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4"/>
          <w:szCs w:val="24"/>
          <w:color w:val="auto"/>
        </w:rPr>
      </w:pPr>
    </w:p>
    <w:p>
      <w:pPr>
        <w:jc w:val="center"/>
        <w:ind w:right="-779"/>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263"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_____________</w:t>
      </w:r>
    </w:p>
    <w:p>
      <w:pPr>
        <w:spacing w:after="0" w:line="200" w:lineRule="exact"/>
        <w:rPr>
          <w:sz w:val="24"/>
          <w:szCs w:val="24"/>
          <w:color w:val="auto"/>
        </w:rPr>
      </w:pPr>
    </w:p>
    <w:p>
      <w:pPr>
        <w:spacing w:after="0" w:line="227" w:lineRule="exact"/>
        <w:rPr>
          <w:sz w:val="24"/>
          <w:szCs w:val="24"/>
          <w:color w:val="auto"/>
        </w:rPr>
      </w:pPr>
    </w:p>
    <w:p>
      <w:pPr>
        <w:ind w:left="5040"/>
        <w:spacing w:after="0"/>
        <w:rPr>
          <w:sz w:val="20"/>
          <w:szCs w:val="20"/>
          <w:color w:val="auto"/>
        </w:rPr>
      </w:pPr>
      <w:r>
        <w:rPr>
          <w:rFonts w:ascii="Arial" w:cs="Arial" w:eastAsia="Arial" w:hAnsi="Arial"/>
          <w:sz w:val="25"/>
          <w:szCs w:val="25"/>
          <w:b w:val="1"/>
          <w:bCs w:val="1"/>
          <w:color w:val="auto"/>
        </w:rPr>
        <w:t>FORM 11-K</w:t>
      </w:r>
    </w:p>
    <w:p>
      <w:pPr>
        <w:spacing w:after="0" w:line="200" w:lineRule="exact"/>
        <w:rPr>
          <w:sz w:val="24"/>
          <w:szCs w:val="24"/>
          <w:color w:val="auto"/>
        </w:rPr>
      </w:pPr>
    </w:p>
    <w:p>
      <w:pPr>
        <w:spacing w:after="0" w:line="296" w:lineRule="exact"/>
        <w:rPr>
          <w:sz w:val="24"/>
          <w:szCs w:val="24"/>
          <w:color w:val="auto"/>
        </w:rPr>
      </w:pPr>
    </w:p>
    <w:p>
      <w:pPr>
        <w:jc w:val="center"/>
        <w:ind w:right="-779"/>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4"/>
          <w:szCs w:val="24"/>
          <w:color w:val="auto"/>
        </w:rPr>
      </w:pPr>
    </w:p>
    <w:p>
      <w:pPr>
        <w:jc w:val="center"/>
        <w:ind w:right="-779"/>
        <w:spacing w:after="0"/>
        <w:rPr>
          <w:sz w:val="20"/>
          <w:szCs w:val="20"/>
          <w:color w:val="auto"/>
        </w:rPr>
      </w:pPr>
      <w:r>
        <w:rPr>
          <w:rFonts w:ascii="Arial" w:cs="Arial" w:eastAsia="Arial" w:hAnsi="Arial"/>
          <w:sz w:val="25"/>
          <w:szCs w:val="25"/>
          <w:b w:val="1"/>
          <w:bCs w:val="1"/>
          <w:color w:val="auto"/>
        </w:rPr>
        <w:t>PURSUANT TO SECTION 15(d) OF THE</w:t>
      </w:r>
    </w:p>
    <w:p>
      <w:pPr>
        <w:jc w:val="center"/>
        <w:ind w:right="-779"/>
        <w:spacing w:after="0"/>
        <w:rPr>
          <w:sz w:val="20"/>
          <w:szCs w:val="20"/>
          <w:color w:val="auto"/>
        </w:rPr>
      </w:pPr>
      <w:r>
        <w:rPr>
          <w:rFonts w:ascii="Arial" w:cs="Arial" w:eastAsia="Arial" w:hAnsi="Arial"/>
          <w:sz w:val="25"/>
          <w:szCs w:val="25"/>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0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33"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b w:val="1"/>
          <w:bCs w:val="1"/>
          <w:color w:val="auto"/>
        </w:rPr>
        <w:t>For the fiscal year ended</w:t>
      </w:r>
      <w:r>
        <w:rPr>
          <w:sz w:val="20"/>
          <w:szCs w:val="20"/>
          <w:color w:val="auto"/>
        </w:rPr>
        <w:tab/>
      </w:r>
      <w:r>
        <w:rPr>
          <w:rFonts w:ascii="Arial" w:cs="Arial" w:eastAsia="Arial" w:hAnsi="Arial"/>
          <w:sz w:val="19"/>
          <w:szCs w:val="19"/>
          <w:b w:val="1"/>
          <w:bCs w:val="1"/>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1487170</wp:posOffset>
            </wp:positionH>
            <wp:positionV relativeFrom="paragraph">
              <wp:posOffset>-13970</wp:posOffset>
            </wp:positionV>
            <wp:extent cx="1211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86"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200" w:lineRule="exact"/>
        <w:rPr>
          <w:sz w:val="24"/>
          <w:szCs w:val="24"/>
          <w:color w:val="auto"/>
        </w:rPr>
      </w:pPr>
    </w:p>
    <w:p>
      <w:pPr>
        <w:spacing w:after="0" w:line="222" w:lineRule="exact"/>
        <w:rPr>
          <w:sz w:val="24"/>
          <w:szCs w:val="24"/>
          <w:color w:val="auto"/>
        </w:rPr>
      </w:pPr>
    </w:p>
    <w:p>
      <w:pPr>
        <w:ind w:right="20" w:firstLine="8"/>
        <w:spacing w:after="0" w:line="448" w:lineRule="auto"/>
        <w:tabs>
          <w:tab w:leader="none" w:pos="21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 For the transition period from __________ to __________</w:t>
      </w:r>
    </w:p>
    <w:p>
      <w:pPr>
        <w:spacing w:after="0" w:line="1" w:lineRule="exact"/>
        <w:rPr>
          <w:sz w:val="24"/>
          <w:szCs w:val="24"/>
          <w:color w:val="auto"/>
        </w:rPr>
      </w:pPr>
    </w:p>
    <w:p>
      <w:pPr>
        <w:ind w:left="1960"/>
        <w:spacing w:after="0"/>
        <w:tabs>
          <w:tab w:leader="none" w:pos="4420" w:val="left"/>
        </w:tabs>
        <w:rPr>
          <w:sz w:val="20"/>
          <w:szCs w:val="20"/>
          <w:color w:val="auto"/>
        </w:rPr>
      </w:pPr>
      <w:r>
        <w:rPr>
          <w:rFonts w:ascii="Arial" w:cs="Arial" w:eastAsia="Arial" w:hAnsi="Arial"/>
          <w:sz w:val="22"/>
          <w:szCs w:val="22"/>
          <w:b w:val="1"/>
          <w:bCs w:val="1"/>
          <w:color w:val="auto"/>
        </w:rPr>
        <w:t>Commission file number</w:t>
      </w:r>
      <w:r>
        <w:rPr>
          <w:sz w:val="20"/>
          <w:szCs w:val="20"/>
          <w:color w:val="auto"/>
        </w:rPr>
        <w:tab/>
      </w:r>
      <w:r>
        <w:rPr>
          <w:rFonts w:ascii="Arial" w:cs="Arial" w:eastAsia="Arial" w:hAnsi="Arial"/>
          <w:sz w:val="19"/>
          <w:szCs w:val="19"/>
          <w:b w:val="1"/>
          <w:bCs w:val="1"/>
          <w:color w:val="auto"/>
        </w:rPr>
        <w:t>1-724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pacing w:after="0" w:line="186" w:lineRule="exact"/>
        <w:rPr>
          <w:sz w:val="24"/>
          <w:szCs w:val="24"/>
          <w:color w:val="auto"/>
        </w:rPr>
      </w:pPr>
    </w:p>
    <w:p>
      <w:pPr>
        <w:ind w:right="200" w:firstLine="656"/>
        <w:spacing w:after="0" w:line="256" w:lineRule="auto"/>
        <w:tabs>
          <w:tab w:leader="none" w:pos="96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Full title of the plan and the address of the plan, if different from that of the issuer named below: </w:t>
      </w:r>
      <w:r>
        <w:rPr>
          <w:rFonts w:ascii="Arial" w:cs="Arial" w:eastAsia="Arial" w:hAnsi="Arial"/>
          <w:sz w:val="22"/>
          <w:szCs w:val="22"/>
          <w:b w:val="1"/>
          <w:bCs w:val="1"/>
          <w:u w:val="single" w:color="auto"/>
          <w:color w:val="auto"/>
        </w:rPr>
        <w:t>PVH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Associates Investment Plan For Residents Of The Commonwealth Of Puerto Rico</w:t>
      </w:r>
    </w:p>
    <w:p>
      <w:pPr>
        <w:spacing w:after="0" w:line="189" w:lineRule="exact"/>
        <w:rPr>
          <w:rFonts w:ascii="Arial" w:cs="Arial" w:eastAsia="Arial" w:hAnsi="Arial"/>
          <w:sz w:val="22"/>
          <w:szCs w:val="22"/>
          <w:b w:val="1"/>
          <w:bCs w:val="1"/>
          <w:color w:val="auto"/>
        </w:rPr>
      </w:pPr>
    </w:p>
    <w:p>
      <w:pPr>
        <w:ind w:firstLine="656"/>
        <w:spacing w:after="0" w:line="256" w:lineRule="auto"/>
        <w:tabs>
          <w:tab w:leader="none" w:pos="954"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of the securities held pursuant to the plan and the address of its principal executive office: </w:t>
      </w:r>
      <w:r>
        <w:rPr>
          <w:rFonts w:ascii="Arial" w:cs="Arial" w:eastAsia="Arial" w:hAnsi="Arial"/>
          <w:sz w:val="22"/>
          <w:szCs w:val="22"/>
          <w:b w:val="1"/>
          <w:bCs w:val="1"/>
          <w:u w:val="single" w:color="auto"/>
          <w:color w:val="auto"/>
        </w:rPr>
        <w:t>Phillips-Van Heusen Corporation, 200 Madison Avenue, New York, New York 10016</w:t>
      </w:r>
    </w:p>
    <w:p>
      <w:pPr>
        <w:sectPr>
          <w:pgSz w:w="11900" w:h="16838" w:orient="portrait"/>
          <w:cols w:equalWidth="0" w:num="1">
            <w:col w:w="10640"/>
          </w:cols>
          <w:pgMar w:left="240" w:top="373" w:right="101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22"/>
          <w:szCs w:val="22"/>
          <w:b w:val="1"/>
          <w:bCs w:val="1"/>
          <w:color w:val="auto"/>
        </w:rPr>
        <w:t>SIGNATURES</w:t>
      </w:r>
    </w:p>
    <w:p>
      <w:pPr>
        <w:spacing w:after="0" w:line="374"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i w:val="1"/>
          <w:iCs w:val="1"/>
          <w:color w:val="auto"/>
        </w:rPr>
        <w:t xml:space="preserve">The Plan. </w:t>
      </w:r>
      <w:r>
        <w:rPr>
          <w:rFonts w:ascii="Arial" w:cs="Arial" w:eastAsia="Arial" w:hAnsi="Arial"/>
          <w:sz w:val="21"/>
          <w:szCs w:val="21"/>
          <w:color w:val="auto"/>
        </w:rPr>
        <w:t>Pursuant to the requirements of the Securities Exchange Act of 1934, the Administrative Committee has duly</w:t>
      </w:r>
      <w:r>
        <w:rPr>
          <w:rFonts w:ascii="Arial" w:cs="Arial" w:eastAsia="Arial" w:hAnsi="Arial"/>
          <w:sz w:val="21"/>
          <w:szCs w:val="21"/>
          <w:i w:val="1"/>
          <w:iCs w:val="1"/>
          <w:color w:val="auto"/>
        </w:rPr>
        <w:t xml:space="preserve"> </w:t>
      </w:r>
      <w:r>
        <w:rPr>
          <w:rFonts w:ascii="Arial" w:cs="Arial" w:eastAsia="Arial" w:hAnsi="Arial"/>
          <w:sz w:val="21"/>
          <w:szCs w:val="21"/>
          <w:color w:val="auto"/>
        </w:rPr>
        <w:t>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1"/>
                <w:szCs w:val="21"/>
                <w:color w:val="auto"/>
              </w:rPr>
            </w:pPr>
          </w:p>
        </w:tc>
        <w:tc>
          <w:tcPr>
            <w:tcW w:w="5020" w:type="dxa"/>
            <w:vAlign w:val="bottom"/>
            <w:gridSpan w:val="4"/>
          </w:tcPr>
          <w:p>
            <w:pPr>
              <w:ind w:left="860"/>
              <w:spacing w:after="0"/>
              <w:rPr>
                <w:sz w:val="20"/>
                <w:szCs w:val="20"/>
                <w:color w:val="auto"/>
              </w:rPr>
            </w:pPr>
            <w:r>
              <w:rPr>
                <w:rFonts w:ascii="Arial" w:cs="Arial" w:eastAsia="Arial" w:hAnsi="Arial"/>
                <w:sz w:val="22"/>
                <w:szCs w:val="22"/>
                <w:b w:val="1"/>
                <w:bCs w:val="1"/>
                <w:color w:val="auto"/>
                <w:w w:val="98"/>
              </w:rPr>
              <w:t>PHILLIPS-VAN HEUSEN CORPORATION</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5020" w:type="dxa"/>
            <w:vAlign w:val="bottom"/>
            <w:gridSpan w:val="4"/>
          </w:tcPr>
          <w:p>
            <w:pPr>
              <w:ind w:left="860"/>
              <w:spacing w:after="0" w:line="243" w:lineRule="exact"/>
              <w:rPr>
                <w:sz w:val="20"/>
                <w:szCs w:val="20"/>
                <w:color w:val="auto"/>
              </w:rPr>
            </w:pPr>
            <w:r>
              <w:rPr>
                <w:rFonts w:ascii="Arial" w:cs="Arial" w:eastAsia="Arial" w:hAnsi="Arial"/>
                <w:sz w:val="22"/>
                <w:szCs w:val="22"/>
                <w:b w:val="1"/>
                <w:bCs w:val="1"/>
                <w:color w:val="auto"/>
              </w:rPr>
              <w:t>ASSOCIATES INVESTMENT PLAN FOR</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5020" w:type="dxa"/>
            <w:vAlign w:val="bottom"/>
            <w:gridSpan w:val="4"/>
          </w:tcPr>
          <w:p>
            <w:pPr>
              <w:ind w:left="860"/>
              <w:spacing w:after="0" w:line="243" w:lineRule="exact"/>
              <w:rPr>
                <w:sz w:val="20"/>
                <w:szCs w:val="20"/>
                <w:color w:val="auto"/>
              </w:rPr>
            </w:pPr>
            <w:r>
              <w:rPr>
                <w:rFonts w:ascii="Arial" w:cs="Arial" w:eastAsia="Arial" w:hAnsi="Arial"/>
                <w:sz w:val="22"/>
                <w:szCs w:val="22"/>
                <w:b w:val="1"/>
                <w:bCs w:val="1"/>
                <w:color w:val="auto"/>
                <w:w w:val="99"/>
              </w:rPr>
              <w:t>RESIDENTS OF THE COMMONWEALTH</w:t>
            </w: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4"/>
                <w:szCs w:val="24"/>
                <w:color w:val="auto"/>
              </w:rPr>
            </w:pPr>
          </w:p>
        </w:tc>
        <w:tc>
          <w:tcPr>
            <w:tcW w:w="5020" w:type="dxa"/>
            <w:vAlign w:val="bottom"/>
            <w:gridSpan w:val="4"/>
          </w:tcPr>
          <w:p>
            <w:pPr>
              <w:ind w:left="860"/>
              <w:spacing w:after="0"/>
              <w:rPr>
                <w:sz w:val="20"/>
                <w:szCs w:val="20"/>
                <w:color w:val="auto"/>
              </w:rPr>
            </w:pPr>
            <w:r>
              <w:rPr>
                <w:rFonts w:ascii="Arial" w:cs="Arial" w:eastAsia="Arial" w:hAnsi="Arial"/>
                <w:sz w:val="22"/>
                <w:szCs w:val="22"/>
                <w:b w:val="1"/>
                <w:bCs w:val="1"/>
                <w:color w:val="auto"/>
              </w:rPr>
              <w:t>OF PUERTO RICO</w:t>
            </w:r>
          </w:p>
        </w:tc>
        <w:tc>
          <w:tcPr>
            <w:tcW w:w="0" w:type="dxa"/>
            <w:vAlign w:val="bottom"/>
          </w:tcPr>
          <w:p>
            <w:pPr>
              <w:spacing w:after="0"/>
              <w:rPr>
                <w:sz w:val="1"/>
                <w:szCs w:val="1"/>
                <w:color w:val="auto"/>
              </w:rPr>
            </w:pPr>
          </w:p>
        </w:tc>
      </w:tr>
      <w:tr>
        <w:trPr>
          <w:trHeight w:val="908"/>
        </w:trPr>
        <w:tc>
          <w:tcPr>
            <w:tcW w:w="2640" w:type="dxa"/>
            <w:vAlign w:val="bottom"/>
            <w:vMerge w:val="restart"/>
          </w:tcPr>
          <w:p>
            <w:pPr>
              <w:spacing w:after="0"/>
              <w:rPr>
                <w:sz w:val="20"/>
                <w:szCs w:val="20"/>
                <w:color w:val="auto"/>
              </w:rPr>
            </w:pPr>
            <w:r>
              <w:rPr>
                <w:rFonts w:ascii="Arial" w:cs="Arial" w:eastAsia="Arial" w:hAnsi="Arial"/>
                <w:sz w:val="22"/>
                <w:szCs w:val="22"/>
                <w:color w:val="auto"/>
              </w:rPr>
              <w:t>Date: June 28, 2006</w:t>
            </w:r>
          </w:p>
        </w:tc>
        <w:tc>
          <w:tcPr>
            <w:tcW w:w="1180" w:type="dxa"/>
            <w:vAlign w:val="bottom"/>
            <w:vMerge w:val="restart"/>
          </w:tcPr>
          <w:p>
            <w:pPr>
              <w:ind w:left="860"/>
              <w:spacing w:after="0"/>
              <w:rPr>
                <w:sz w:val="20"/>
                <w:szCs w:val="20"/>
                <w:color w:val="auto"/>
              </w:rPr>
            </w:pPr>
            <w:r>
              <w:rPr>
                <w:rFonts w:ascii="Arial" w:cs="Arial" w:eastAsia="Arial" w:hAnsi="Arial"/>
                <w:sz w:val="22"/>
                <w:szCs w:val="22"/>
                <w:color w:val="auto"/>
              </w:rPr>
              <w:t>By</w:t>
            </w:r>
          </w:p>
        </w:tc>
        <w:tc>
          <w:tcPr>
            <w:tcW w:w="96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Pamela N. Hootkin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6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22"/>
                <w:szCs w:val="22"/>
                <w:color w:val="auto"/>
              </w:rPr>
              <w:t>Pamela N. Hootkin, Member of</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22"/>
          <w:szCs w:val="22"/>
          <w:color w:val="auto"/>
        </w:rPr>
        <w:t>Administrative Committee</w:t>
      </w:r>
    </w:p>
    <w:p>
      <w:pPr>
        <w:sectPr>
          <w:pgSz w:w="11900" w:h="16838" w:orient="portrait"/>
          <w:cols w:equalWidth="0" w:num="1">
            <w:col w:w="11060"/>
          </w:cols>
          <w:pgMar w:left="240" w:top="369"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7840" w:type="dxa"/>
            <w:vAlign w:val="bottom"/>
            <w:gridSpan w:val="2"/>
          </w:tcPr>
          <w:p>
            <w:pPr>
              <w:jc w:val="center"/>
              <w:ind w:left="3462"/>
              <w:spacing w:after="0"/>
              <w:rPr>
                <w:sz w:val="20"/>
                <w:szCs w:val="20"/>
                <w:color w:val="auto"/>
              </w:rPr>
            </w:pPr>
            <w:r>
              <w:rPr>
                <w:rFonts w:ascii="Arial" w:cs="Arial" w:eastAsia="Arial" w:hAnsi="Arial"/>
                <w:sz w:val="25"/>
                <w:szCs w:val="25"/>
                <w:color w:val="auto"/>
                <w:w w:val="92"/>
              </w:rPr>
              <w:t>Phillips-Van Heusen Corporation</w:t>
            </w:r>
          </w:p>
        </w:tc>
      </w:tr>
      <w:tr>
        <w:trPr>
          <w:trHeight w:val="284"/>
        </w:trPr>
        <w:tc>
          <w:tcPr>
            <w:tcW w:w="7840" w:type="dxa"/>
            <w:vAlign w:val="bottom"/>
            <w:gridSpan w:val="2"/>
          </w:tcPr>
          <w:p>
            <w:pPr>
              <w:ind w:left="3600"/>
              <w:spacing w:after="0" w:line="283" w:lineRule="exact"/>
              <w:rPr>
                <w:sz w:val="20"/>
                <w:szCs w:val="20"/>
                <w:color w:val="auto"/>
              </w:rPr>
            </w:pPr>
            <w:r>
              <w:rPr>
                <w:rFonts w:ascii="Arial" w:cs="Arial" w:eastAsia="Arial" w:hAnsi="Arial"/>
                <w:sz w:val="25"/>
                <w:szCs w:val="25"/>
                <w:color w:val="auto"/>
                <w:w w:val="91"/>
              </w:rPr>
              <w:t>Associates Investment Plan for Residents</w:t>
            </w:r>
          </w:p>
        </w:tc>
      </w:tr>
      <w:tr>
        <w:trPr>
          <w:trHeight w:val="323"/>
        </w:trPr>
        <w:tc>
          <w:tcPr>
            <w:tcW w:w="7840" w:type="dxa"/>
            <w:vAlign w:val="bottom"/>
            <w:gridSpan w:val="2"/>
          </w:tcPr>
          <w:p>
            <w:pPr>
              <w:jc w:val="center"/>
              <w:ind w:left="3462"/>
              <w:spacing w:after="0"/>
              <w:rPr>
                <w:sz w:val="20"/>
                <w:szCs w:val="20"/>
                <w:color w:val="auto"/>
              </w:rPr>
            </w:pPr>
            <w:r>
              <w:rPr>
                <w:rFonts w:ascii="Arial" w:cs="Arial" w:eastAsia="Arial" w:hAnsi="Arial"/>
                <w:sz w:val="25"/>
                <w:szCs w:val="25"/>
                <w:color w:val="auto"/>
                <w:w w:val="92"/>
              </w:rPr>
              <w:t>of the Commonwealth of Puerto Rico</w:t>
            </w:r>
          </w:p>
        </w:tc>
      </w:tr>
      <w:tr>
        <w:trPr>
          <w:trHeight w:val="527"/>
        </w:trPr>
        <w:tc>
          <w:tcPr>
            <w:tcW w:w="7080" w:type="dxa"/>
            <w:vAlign w:val="bottom"/>
          </w:tcPr>
          <w:p>
            <w:pPr>
              <w:jc w:val="center"/>
              <w:ind w:left="4222"/>
              <w:spacing w:after="0"/>
              <w:rPr>
                <w:sz w:val="20"/>
                <w:szCs w:val="20"/>
                <w:color w:val="auto"/>
              </w:rPr>
            </w:pPr>
            <w:r>
              <w:rPr>
                <w:rFonts w:ascii="Arial" w:cs="Arial" w:eastAsia="Arial" w:hAnsi="Arial"/>
                <w:sz w:val="25"/>
                <w:szCs w:val="25"/>
                <w:color w:val="auto"/>
                <w:w w:val="89"/>
              </w:rPr>
              <w:t>Financial Statements</w:t>
            </w:r>
          </w:p>
        </w:tc>
        <w:tc>
          <w:tcPr>
            <w:tcW w:w="760" w:type="dxa"/>
            <w:vAlign w:val="bottom"/>
          </w:tcPr>
          <w:p>
            <w:pPr>
              <w:spacing w:after="0"/>
              <w:rPr>
                <w:sz w:val="24"/>
                <w:szCs w:val="24"/>
                <w:color w:val="auto"/>
              </w:rPr>
            </w:pPr>
          </w:p>
        </w:tc>
      </w:tr>
      <w:tr>
        <w:trPr>
          <w:trHeight w:val="527"/>
        </w:trPr>
        <w:tc>
          <w:tcPr>
            <w:tcW w:w="7840" w:type="dxa"/>
            <w:vAlign w:val="bottom"/>
            <w:gridSpan w:val="2"/>
          </w:tcPr>
          <w:p>
            <w:pPr>
              <w:jc w:val="center"/>
              <w:ind w:left="3462"/>
              <w:spacing w:after="0"/>
              <w:rPr>
                <w:sz w:val="20"/>
                <w:szCs w:val="20"/>
                <w:color w:val="auto"/>
              </w:rPr>
            </w:pPr>
            <w:r>
              <w:rPr>
                <w:rFonts w:ascii="Arial" w:cs="Arial" w:eastAsia="Arial" w:hAnsi="Arial"/>
                <w:sz w:val="25"/>
                <w:szCs w:val="25"/>
                <w:color w:val="auto"/>
                <w:w w:val="88"/>
              </w:rPr>
              <w:t>Years ended December 31, 2005 and 2004</w:t>
            </w:r>
          </w:p>
        </w:tc>
      </w:tr>
      <w:tr>
        <w:trPr>
          <w:trHeight w:val="770"/>
        </w:trPr>
        <w:tc>
          <w:tcPr>
            <w:tcW w:w="7080" w:type="dxa"/>
            <w:vAlign w:val="bottom"/>
          </w:tcPr>
          <w:p>
            <w:pPr>
              <w:jc w:val="center"/>
              <w:ind w:left="4242"/>
              <w:spacing w:after="0"/>
              <w:rPr>
                <w:sz w:val="20"/>
                <w:szCs w:val="20"/>
                <w:color w:val="auto"/>
              </w:rPr>
            </w:pPr>
            <w:r>
              <w:rPr>
                <w:rFonts w:ascii="Arial" w:cs="Arial" w:eastAsia="Arial" w:hAnsi="Arial"/>
                <w:sz w:val="25"/>
                <w:szCs w:val="25"/>
                <w:b w:val="1"/>
                <w:bCs w:val="1"/>
                <w:color w:val="auto"/>
                <w:w w:val="88"/>
              </w:rPr>
              <w:t>Contents</w:t>
            </w:r>
          </w:p>
        </w:tc>
        <w:tc>
          <w:tcPr>
            <w:tcW w:w="760" w:type="dxa"/>
            <w:vAlign w:val="bottom"/>
          </w:tcPr>
          <w:p>
            <w:pPr>
              <w:spacing w:after="0"/>
              <w:rPr>
                <w:sz w:val="24"/>
                <w:szCs w:val="24"/>
                <w:color w:val="auto"/>
              </w:rPr>
            </w:pPr>
          </w:p>
        </w:tc>
      </w:tr>
      <w:tr>
        <w:trPr>
          <w:trHeight w:val="672"/>
        </w:trPr>
        <w:tc>
          <w:tcPr>
            <w:tcW w:w="7080" w:type="dxa"/>
            <w:vAlign w:val="bottom"/>
          </w:tcPr>
          <w:p>
            <w:pPr>
              <w:spacing w:after="0"/>
              <w:rPr>
                <w:sz w:val="20"/>
                <w:szCs w:val="20"/>
                <w:color w:val="auto"/>
              </w:rPr>
            </w:pPr>
            <w:r>
              <w:rPr>
                <w:rFonts w:ascii="Arial" w:cs="Arial" w:eastAsia="Arial" w:hAnsi="Arial"/>
                <w:sz w:val="22"/>
                <w:szCs w:val="22"/>
                <w:color w:val="auto"/>
              </w:rPr>
              <w:t>Report of Independent Registered Public Accounting Firm</w:t>
            </w:r>
          </w:p>
        </w:tc>
        <w:tc>
          <w:tcPr>
            <w:tcW w:w="760" w:type="dxa"/>
            <w:vAlign w:val="bottom"/>
          </w:tcPr>
          <w:p>
            <w:pPr>
              <w:ind w:left="400"/>
              <w:spacing w:after="0"/>
              <w:rPr>
                <w:sz w:val="20"/>
                <w:szCs w:val="20"/>
                <w:color w:val="auto"/>
              </w:rPr>
            </w:pPr>
            <w:r>
              <w:rPr>
                <w:rFonts w:ascii="Arial" w:cs="Arial" w:eastAsia="Arial" w:hAnsi="Arial"/>
                <w:sz w:val="22"/>
                <w:szCs w:val="22"/>
                <w:color w:val="auto"/>
              </w:rPr>
              <w:t>F-2</w:t>
            </w:r>
          </w:p>
        </w:tc>
      </w:tr>
      <w:tr>
        <w:trPr>
          <w:trHeight w:val="230"/>
        </w:trPr>
        <w:tc>
          <w:tcPr>
            <w:tcW w:w="7080" w:type="dxa"/>
            <w:vAlign w:val="bottom"/>
          </w:tcPr>
          <w:p>
            <w:pPr>
              <w:spacing w:after="0" w:line="229" w:lineRule="exact"/>
              <w:rPr>
                <w:sz w:val="20"/>
                <w:szCs w:val="20"/>
                <w:color w:val="auto"/>
              </w:rPr>
            </w:pPr>
            <w:r>
              <w:rPr>
                <w:rFonts w:ascii="Arial" w:cs="Arial" w:eastAsia="Arial" w:hAnsi="Arial"/>
                <w:sz w:val="22"/>
                <w:szCs w:val="22"/>
                <w:color w:val="auto"/>
              </w:rPr>
              <w:t>Statements of Net Assets Available for Benefits</w:t>
            </w:r>
          </w:p>
        </w:tc>
        <w:tc>
          <w:tcPr>
            <w:tcW w:w="760" w:type="dxa"/>
            <w:vAlign w:val="bottom"/>
          </w:tcPr>
          <w:p>
            <w:pPr>
              <w:ind w:left="400"/>
              <w:spacing w:after="0" w:line="229" w:lineRule="exact"/>
              <w:rPr>
                <w:sz w:val="20"/>
                <w:szCs w:val="20"/>
                <w:color w:val="auto"/>
              </w:rPr>
            </w:pPr>
            <w:r>
              <w:rPr>
                <w:rFonts w:ascii="Arial" w:cs="Arial" w:eastAsia="Arial" w:hAnsi="Arial"/>
                <w:sz w:val="22"/>
                <w:szCs w:val="22"/>
                <w:color w:val="auto"/>
              </w:rPr>
              <w:t>F-3</w:t>
            </w:r>
          </w:p>
        </w:tc>
      </w:tr>
      <w:tr>
        <w:trPr>
          <w:trHeight w:val="230"/>
        </w:trPr>
        <w:tc>
          <w:tcPr>
            <w:tcW w:w="7080" w:type="dxa"/>
            <w:vAlign w:val="bottom"/>
          </w:tcPr>
          <w:p>
            <w:pPr>
              <w:spacing w:after="0" w:line="229" w:lineRule="exact"/>
              <w:rPr>
                <w:sz w:val="20"/>
                <w:szCs w:val="20"/>
                <w:color w:val="auto"/>
              </w:rPr>
            </w:pPr>
            <w:r>
              <w:rPr>
                <w:rFonts w:ascii="Arial" w:cs="Arial" w:eastAsia="Arial" w:hAnsi="Arial"/>
                <w:sz w:val="22"/>
                <w:szCs w:val="22"/>
                <w:color w:val="auto"/>
              </w:rPr>
              <w:t>Statements of Changes in Net Assets Available for Benefits</w:t>
            </w:r>
          </w:p>
        </w:tc>
        <w:tc>
          <w:tcPr>
            <w:tcW w:w="760" w:type="dxa"/>
            <w:vAlign w:val="bottom"/>
          </w:tcPr>
          <w:p>
            <w:pPr>
              <w:ind w:left="400"/>
              <w:spacing w:after="0" w:line="229" w:lineRule="exact"/>
              <w:rPr>
                <w:sz w:val="20"/>
                <w:szCs w:val="20"/>
                <w:color w:val="auto"/>
              </w:rPr>
            </w:pPr>
            <w:r>
              <w:rPr>
                <w:rFonts w:ascii="Arial" w:cs="Arial" w:eastAsia="Arial" w:hAnsi="Arial"/>
                <w:sz w:val="22"/>
                <w:szCs w:val="22"/>
                <w:color w:val="auto"/>
              </w:rPr>
              <w:t>F-4</w:t>
            </w:r>
          </w:p>
        </w:tc>
      </w:tr>
      <w:tr>
        <w:trPr>
          <w:trHeight w:val="243"/>
        </w:trPr>
        <w:tc>
          <w:tcPr>
            <w:tcW w:w="7080" w:type="dxa"/>
            <w:vAlign w:val="bottom"/>
          </w:tcPr>
          <w:p>
            <w:pPr>
              <w:spacing w:after="0" w:line="243" w:lineRule="exact"/>
              <w:rPr>
                <w:sz w:val="20"/>
                <w:szCs w:val="20"/>
                <w:color w:val="auto"/>
              </w:rPr>
            </w:pPr>
            <w:r>
              <w:rPr>
                <w:rFonts w:ascii="Arial" w:cs="Arial" w:eastAsia="Arial" w:hAnsi="Arial"/>
                <w:sz w:val="22"/>
                <w:szCs w:val="22"/>
                <w:color w:val="auto"/>
              </w:rPr>
              <w:t>Notes to Financial Statements</w:t>
            </w:r>
          </w:p>
        </w:tc>
        <w:tc>
          <w:tcPr>
            <w:tcW w:w="760" w:type="dxa"/>
            <w:vAlign w:val="bottom"/>
          </w:tcPr>
          <w:p>
            <w:pPr>
              <w:ind w:left="400"/>
              <w:spacing w:after="0" w:line="243" w:lineRule="exact"/>
              <w:rPr>
                <w:sz w:val="20"/>
                <w:szCs w:val="20"/>
                <w:color w:val="auto"/>
              </w:rPr>
            </w:pPr>
            <w:r>
              <w:rPr>
                <w:rFonts w:ascii="Arial" w:cs="Arial" w:eastAsia="Arial" w:hAnsi="Arial"/>
                <w:sz w:val="22"/>
                <w:szCs w:val="22"/>
                <w:color w:val="auto"/>
              </w:rPr>
              <w:t>F-5</w:t>
            </w:r>
          </w:p>
        </w:tc>
      </w:tr>
      <w:tr>
        <w:trPr>
          <w:trHeight w:val="275"/>
        </w:trPr>
        <w:tc>
          <w:tcPr>
            <w:tcW w:w="7080" w:type="dxa"/>
            <w:vAlign w:val="bottom"/>
          </w:tcPr>
          <w:p>
            <w:pPr>
              <w:spacing w:after="0"/>
              <w:rPr>
                <w:sz w:val="20"/>
                <w:szCs w:val="20"/>
                <w:color w:val="auto"/>
              </w:rPr>
            </w:pPr>
            <w:r>
              <w:rPr>
                <w:rFonts w:ascii="Arial" w:cs="Arial" w:eastAsia="Arial" w:hAnsi="Arial"/>
                <w:sz w:val="22"/>
                <w:szCs w:val="22"/>
                <w:color w:val="auto"/>
              </w:rPr>
              <w:t>Supplemental Schedules</w:t>
            </w:r>
          </w:p>
        </w:tc>
        <w:tc>
          <w:tcPr>
            <w:tcW w:w="760" w:type="dxa"/>
            <w:vAlign w:val="bottom"/>
          </w:tcPr>
          <w:p>
            <w:pPr>
              <w:ind w:left="300"/>
              <w:spacing w:after="0"/>
              <w:rPr>
                <w:sz w:val="20"/>
                <w:szCs w:val="20"/>
                <w:color w:val="auto"/>
              </w:rPr>
            </w:pPr>
            <w:r>
              <w:rPr>
                <w:rFonts w:ascii="Arial" w:cs="Arial" w:eastAsia="Arial" w:hAnsi="Arial"/>
                <w:sz w:val="22"/>
                <w:szCs w:val="22"/>
                <w:color w:val="auto"/>
                <w:w w:val="97"/>
              </w:rPr>
              <w:t>F-11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0219"/>
          </w:cols>
          <w:pgMar w:left="240" w:top="362"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color w:val="auto"/>
        </w:rPr>
        <w:t>[Letterhead of Spielman Koenigsberg &amp; Parker, LLP]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Committee of the Plan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Phillips-Van Heusen Corporation</w:t>
      </w:r>
    </w:p>
    <w:p>
      <w:pPr>
        <w:spacing w:after="0"/>
        <w:rPr>
          <w:sz w:val="20"/>
          <w:szCs w:val="20"/>
          <w:color w:val="auto"/>
        </w:rPr>
      </w:pPr>
      <w:r>
        <w:rPr>
          <w:rFonts w:ascii="Arial" w:cs="Arial" w:eastAsia="Arial" w:hAnsi="Arial"/>
          <w:sz w:val="20"/>
          <w:szCs w:val="20"/>
          <w:color w:val="auto"/>
        </w:rPr>
        <w:t>Associates Investment Plan for Residents</w:t>
      </w:r>
    </w:p>
    <w:p>
      <w:pPr>
        <w:spacing w:after="0"/>
        <w:rPr>
          <w:sz w:val="20"/>
          <w:szCs w:val="20"/>
          <w:color w:val="auto"/>
        </w:rPr>
      </w:pPr>
      <w:r>
        <w:rPr>
          <w:rFonts w:ascii="Arial" w:cs="Arial" w:eastAsia="Arial" w:hAnsi="Arial"/>
          <w:sz w:val="20"/>
          <w:szCs w:val="20"/>
          <w:color w:val="auto"/>
        </w:rPr>
        <w:t>of the Commonwealth of Puerto Rico</w:t>
      </w:r>
    </w:p>
    <w:p>
      <w:pPr>
        <w:spacing w:after="0" w:line="22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have audited the accompanying statements of net assets available for benefits of the Phillips-Van Heusen Corporation Associates Investment Plan for Residents of the Commonwealth of Puerto Rico (the “Plan”) as of December 31, 2005, and the related statement of changes in net assets available for benefits for the year then ended. These financial statements are the responsibility of the Plan’s management. Our responsibility is to express an opinion on these financial statements based on our audit. The financial statements of the Phillips-Van Heusen Corporation Associates Investments Plan for Residents of the Commonwealth of Puerto Rico as of and for the year ended December 31, 2004 were audited by other auditors whose report dated May 31, 2005 expressed an unqualified opinion on those statements.</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 ting the overall financial statement presentation. We believe that our audit provides a reasonable basis for our opinion.</w:t>
      </w:r>
    </w:p>
    <w:p>
      <w:pPr>
        <w:spacing w:after="0" w:line="19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 as of December 31, 2005, and the changes in its net assets available for benefits for the year then ended, in conformity with U.S. generally accepted accounting principles.</w:t>
      </w:r>
    </w:p>
    <w:p>
      <w:pPr>
        <w:spacing w:after="0" w:line="213"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SPIELMAN KOENIGSBERG &amp; PARKER,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June 19, 2006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PHILLIPS-VAN HEUSEN CORPORATION</w:t>
      </w:r>
    </w:p>
    <w:p>
      <w:pPr>
        <w:jc w:val="center"/>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spacing w:after="0"/>
        <w:rPr>
          <w:sz w:val="20"/>
          <w:szCs w:val="20"/>
          <w:color w:val="auto"/>
        </w:rPr>
      </w:pPr>
      <w:r>
        <w:rPr>
          <w:rFonts w:ascii="Arial" w:cs="Arial" w:eastAsia="Arial" w:hAnsi="Arial"/>
          <w:sz w:val="22"/>
          <w:szCs w:val="22"/>
          <w:color w:val="auto"/>
        </w:rPr>
        <w:t>OF THE COMMONWEALTH OF PUERTO RICO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NET ASSETS AVAILABLE FOR BENEFITS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00" w:type="dxa"/>
            <w:vAlign w:val="bottom"/>
          </w:tcPr>
          <w:p>
            <w:pPr>
              <w:spacing w:after="0"/>
              <w:rPr>
                <w:sz w:val="21"/>
                <w:szCs w:val="21"/>
                <w:color w:val="auto"/>
              </w:rPr>
            </w:pPr>
          </w:p>
        </w:tc>
        <w:tc>
          <w:tcPr>
            <w:tcW w:w="2100" w:type="dxa"/>
            <w:vAlign w:val="bottom"/>
            <w:gridSpan w:val="3"/>
          </w:tcPr>
          <w:p>
            <w:pPr>
              <w:jc w:val="right"/>
              <w:ind w:right="480"/>
              <w:spacing w:after="0"/>
              <w:rPr>
                <w:sz w:val="20"/>
                <w:szCs w:val="20"/>
                <w:color w:val="auto"/>
              </w:rPr>
            </w:pPr>
            <w:r>
              <w:rPr>
                <w:rFonts w:ascii="Arial" w:cs="Arial" w:eastAsia="Arial" w:hAnsi="Arial"/>
                <w:sz w:val="22"/>
                <w:szCs w:val="22"/>
                <w:color w:val="auto"/>
              </w:rPr>
              <w:t>2005</w:t>
            </w:r>
          </w:p>
        </w:tc>
        <w:tc>
          <w:tcPr>
            <w:tcW w:w="6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22"/>
                <w:szCs w:val="22"/>
                <w:color w:val="auto"/>
              </w:rPr>
              <w:t>2004</w:t>
            </w:r>
          </w:p>
        </w:tc>
      </w:tr>
      <w:tr>
        <w:trPr>
          <w:trHeight w:val="571"/>
        </w:trPr>
        <w:tc>
          <w:tcPr>
            <w:tcW w:w="54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536"/>
        </w:trPr>
        <w:tc>
          <w:tcPr>
            <w:tcW w:w="5400" w:type="dxa"/>
            <w:vAlign w:val="bottom"/>
          </w:tcPr>
          <w:p>
            <w:pPr>
              <w:ind w:left="160"/>
              <w:spacing w:after="0"/>
              <w:rPr>
                <w:sz w:val="20"/>
                <w:szCs w:val="20"/>
                <w:color w:val="auto"/>
              </w:rPr>
            </w:pPr>
            <w:r>
              <w:rPr>
                <w:rFonts w:ascii="Arial" w:cs="Arial" w:eastAsia="Arial" w:hAnsi="Arial"/>
                <w:sz w:val="22"/>
                <w:szCs w:val="22"/>
                <w:color w:val="auto"/>
              </w:rPr>
              <w:t>Investments, at fair value:</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5400" w:type="dxa"/>
            <w:vAlign w:val="bottom"/>
          </w:tcPr>
          <w:p>
            <w:pPr>
              <w:ind w:left="320"/>
              <w:spacing w:after="0"/>
              <w:rPr>
                <w:sz w:val="20"/>
                <w:szCs w:val="20"/>
                <w:color w:val="auto"/>
              </w:rPr>
            </w:pPr>
            <w:r>
              <w:rPr>
                <w:rFonts w:ascii="Arial" w:cs="Arial" w:eastAsia="Arial" w:hAnsi="Arial"/>
                <w:sz w:val="22"/>
                <w:szCs w:val="22"/>
                <w:color w:val="auto"/>
              </w:rPr>
              <w:t>Investments held by Wells Fargo Bank:</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5400" w:type="dxa"/>
            <w:vAlign w:val="bottom"/>
          </w:tcPr>
          <w:p>
            <w:pPr>
              <w:ind w:left="480"/>
              <w:spacing w:after="0"/>
              <w:rPr>
                <w:sz w:val="20"/>
                <w:szCs w:val="20"/>
                <w:color w:val="auto"/>
              </w:rPr>
            </w:pPr>
            <w:r>
              <w:rPr>
                <w:rFonts w:ascii="Arial" w:cs="Arial" w:eastAsia="Arial" w:hAnsi="Arial"/>
                <w:sz w:val="22"/>
                <w:szCs w:val="22"/>
                <w:color w:val="auto"/>
              </w:rPr>
              <w:t>Stable Return Fund</w:t>
            </w:r>
          </w:p>
        </w:tc>
        <w:tc>
          <w:tcPr>
            <w:tcW w:w="2100" w:type="dxa"/>
            <w:vAlign w:val="bottom"/>
            <w:gridSpan w:val="3"/>
          </w:tcPr>
          <w:p>
            <w:pPr>
              <w:jc w:val="right"/>
              <w:ind w:right="380"/>
              <w:spacing w:after="0"/>
              <w:rPr>
                <w:sz w:val="20"/>
                <w:szCs w:val="20"/>
                <w:color w:val="auto"/>
              </w:rPr>
            </w:pPr>
            <w:r>
              <w:rPr>
                <w:rFonts w:ascii="Arial" w:cs="Arial" w:eastAsia="Arial" w:hAnsi="Arial"/>
                <w:sz w:val="22"/>
                <w:szCs w:val="22"/>
                <w:color w:val="auto"/>
              </w:rPr>
              <w:t>$  31,370</w:t>
            </w:r>
          </w:p>
        </w:tc>
        <w:tc>
          <w:tcPr>
            <w:tcW w:w="6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r>
      <w:tr>
        <w:trPr>
          <w:trHeight w:val="275"/>
        </w:trPr>
        <w:tc>
          <w:tcPr>
            <w:tcW w:w="54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2100" w:type="dxa"/>
            <w:vAlign w:val="bottom"/>
            <w:gridSpan w:val="3"/>
          </w:tcPr>
          <w:p>
            <w:pPr>
              <w:jc w:val="right"/>
              <w:ind w:right="380"/>
              <w:spacing w:after="0"/>
              <w:rPr>
                <w:sz w:val="20"/>
                <w:szCs w:val="20"/>
                <w:color w:val="auto"/>
              </w:rPr>
            </w:pPr>
            <w:r>
              <w:rPr>
                <w:rFonts w:ascii="Arial" w:cs="Arial" w:eastAsia="Arial" w:hAnsi="Arial"/>
                <w:sz w:val="22"/>
                <w:szCs w:val="22"/>
                <w:color w:val="auto"/>
              </w:rPr>
              <w:t>34,116</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5400" w:type="dxa"/>
            <w:vAlign w:val="bottom"/>
          </w:tcPr>
          <w:p>
            <w:pPr>
              <w:ind w:left="480"/>
              <w:spacing w:after="0"/>
              <w:rPr>
                <w:sz w:val="20"/>
                <w:szCs w:val="20"/>
                <w:color w:val="auto"/>
              </w:rPr>
            </w:pPr>
            <w:r>
              <w:rPr>
                <w:rFonts w:ascii="Arial" w:cs="Arial" w:eastAsia="Arial" w:hAnsi="Arial"/>
                <w:sz w:val="22"/>
                <w:szCs w:val="22"/>
                <w:color w:val="auto"/>
              </w:rPr>
              <w:t>Investment in Phillips-Van Heusen Corporation</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123"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00" w:type="dxa"/>
            <w:vAlign w:val="bottom"/>
            <w:vMerge w:val="restart"/>
          </w:tcPr>
          <w:p>
            <w:pPr>
              <w:ind w:left="480"/>
              <w:spacing w:after="0"/>
              <w:rPr>
                <w:sz w:val="20"/>
                <w:szCs w:val="20"/>
                <w:color w:val="auto"/>
              </w:rPr>
            </w:pPr>
            <w:r>
              <w:rPr>
                <w:rFonts w:ascii="Arial" w:cs="Arial" w:eastAsia="Arial" w:hAnsi="Arial"/>
                <w:sz w:val="22"/>
                <w:szCs w:val="22"/>
                <w:color w:val="auto"/>
              </w:rPr>
              <w:t>Investment Plans Master Trust</w:t>
            </w:r>
          </w:p>
        </w:tc>
        <w:tc>
          <w:tcPr>
            <w:tcW w:w="1240" w:type="dxa"/>
            <w:vAlign w:val="bottom"/>
          </w:tcPr>
          <w:p>
            <w:pPr>
              <w:ind w:left="280"/>
              <w:spacing w:after="0"/>
              <w:rPr>
                <w:sz w:val="20"/>
                <w:szCs w:val="20"/>
                <w:color w:val="auto"/>
              </w:rPr>
            </w:pPr>
            <w:r>
              <w:rPr>
                <w:rFonts w:ascii="Arial" w:cs="Arial" w:eastAsia="Arial" w:hAnsi="Arial"/>
                <w:sz w:val="22"/>
                <w:szCs w:val="22"/>
                <w:color w:val="auto"/>
                <w:w w:val="88"/>
              </w:rPr>
              <w:t>Associates</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rPr>
              <w:t>28,558</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160"/>
              <w:spacing w:after="0"/>
              <w:rPr>
                <w:sz w:val="20"/>
                <w:szCs w:val="20"/>
                <w:color w:val="auto"/>
              </w:rPr>
            </w:pPr>
            <w:r>
              <w:rPr>
                <w:rFonts w:ascii="Arial" w:cs="Arial" w:eastAsia="Arial" w:hAnsi="Arial"/>
                <w:sz w:val="22"/>
                <w:szCs w:val="22"/>
                <w:color w:val="auto"/>
              </w:rPr>
              <w:t>Participant Loan Receivable</w:t>
            </w:r>
          </w:p>
        </w:tc>
        <w:tc>
          <w:tcPr>
            <w:tcW w:w="1240" w:type="dxa"/>
            <w:vAlign w:val="bottom"/>
          </w:tcPr>
          <w:p>
            <w:pPr>
              <w:spacing w:after="0"/>
              <w:rPr>
                <w:sz w:val="23"/>
                <w:szCs w:val="23"/>
                <w:color w:val="auto"/>
              </w:rPr>
            </w:pPr>
          </w:p>
        </w:tc>
        <w:tc>
          <w:tcPr>
            <w:tcW w:w="1320" w:type="dxa"/>
            <w:vAlign w:val="bottom"/>
          </w:tcPr>
          <w:p>
            <w:pPr>
              <w:jc w:val="right"/>
              <w:ind w:right="232"/>
              <w:spacing w:after="0"/>
              <w:rPr>
                <w:sz w:val="20"/>
                <w:szCs w:val="20"/>
                <w:color w:val="auto"/>
              </w:rPr>
            </w:pPr>
            <w:r>
              <w:rPr>
                <w:rFonts w:ascii="Arial" w:cs="Arial" w:eastAsia="Arial" w:hAnsi="Arial"/>
                <w:sz w:val="22"/>
                <w:szCs w:val="22"/>
                <w:color w:val="auto"/>
              </w:rPr>
              <w:t>10,081</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20"/>
              <w:spacing w:after="0"/>
              <w:rPr>
                <w:sz w:val="20"/>
                <w:szCs w:val="20"/>
                <w:color w:val="auto"/>
              </w:rPr>
            </w:pPr>
            <w:r>
              <w:rPr>
                <w:rFonts w:ascii="Arial" w:cs="Arial" w:eastAsia="Arial" w:hAnsi="Arial"/>
                <w:sz w:val="22"/>
                <w:szCs w:val="22"/>
                <w:color w:val="auto"/>
              </w:rPr>
              <w:t>Investments held by State Street Bank:</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Stable Value Funds</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gridSpan w:val="2"/>
          </w:tcPr>
          <w:p>
            <w:pPr>
              <w:jc w:val="right"/>
              <w:ind w:right="212"/>
              <w:spacing w:after="0"/>
              <w:rPr>
                <w:sz w:val="20"/>
                <w:szCs w:val="20"/>
                <w:color w:val="auto"/>
              </w:rPr>
            </w:pPr>
            <w:r>
              <w:rPr>
                <w:rFonts w:ascii="Arial" w:cs="Arial" w:eastAsia="Arial" w:hAnsi="Arial"/>
                <w:sz w:val="22"/>
                <w:szCs w:val="22"/>
                <w:color w:val="auto"/>
              </w:rPr>
              <w:t>21,360</w:t>
            </w:r>
          </w:p>
        </w:tc>
        <w:tc>
          <w:tcPr>
            <w:tcW w:w="0" w:type="dxa"/>
            <w:vAlign w:val="bottom"/>
          </w:tcPr>
          <w:p>
            <w:pPr>
              <w:spacing w:after="0"/>
              <w:rPr>
                <w:sz w:val="1"/>
                <w:szCs w:val="1"/>
                <w:color w:val="auto"/>
              </w:rPr>
            </w:pPr>
          </w:p>
        </w:tc>
      </w:tr>
      <w:tr>
        <w:trPr>
          <w:trHeight w:val="275"/>
        </w:trPr>
        <w:tc>
          <w:tcPr>
            <w:tcW w:w="49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1240" w:type="dxa"/>
            <w:vAlign w:val="bottom"/>
            <w:vMerge w:val="restart"/>
          </w:tcPr>
          <w:p>
            <w:pPr>
              <w:ind w:left="280"/>
              <w:spacing w:after="0"/>
              <w:rPr>
                <w:sz w:val="20"/>
                <w:szCs w:val="20"/>
                <w:color w:val="auto"/>
              </w:rPr>
            </w:pPr>
            <w:r>
              <w:rPr>
                <w:rFonts w:ascii="Arial" w:cs="Arial" w:eastAsia="Arial" w:hAnsi="Arial"/>
                <w:sz w:val="22"/>
                <w:szCs w:val="22"/>
                <w:color w:val="auto"/>
                <w:w w:val="88"/>
              </w:rPr>
              <w:t>Associates</w:t>
            </w:r>
          </w:p>
        </w:tc>
        <w:tc>
          <w:tcPr>
            <w:tcW w:w="1320" w:type="dxa"/>
            <w:vAlign w:val="bottom"/>
          </w:tcPr>
          <w:p>
            <w:pPr>
              <w:spacing w:after="0"/>
              <w:rPr>
                <w:sz w:val="23"/>
                <w:szCs w:val="23"/>
                <w:color w:val="auto"/>
              </w:rPr>
            </w:pPr>
          </w:p>
        </w:tc>
        <w:tc>
          <w:tcPr>
            <w:tcW w:w="1680" w:type="dxa"/>
            <w:vAlign w:val="bottom"/>
            <w:gridSpan w:val="2"/>
          </w:tcPr>
          <w:p>
            <w:pPr>
              <w:jc w:val="right"/>
              <w:ind w:right="232"/>
              <w:spacing w:after="0"/>
              <w:rPr>
                <w:sz w:val="20"/>
                <w:szCs w:val="20"/>
                <w:color w:val="auto"/>
              </w:rPr>
            </w:pPr>
            <w:r>
              <w:rPr>
                <w:rFonts w:ascii="Arial" w:cs="Arial" w:eastAsia="Arial" w:hAnsi="Arial"/>
                <w:sz w:val="22"/>
                <w:szCs w:val="22"/>
                <w:color w:val="auto"/>
              </w:rPr>
              <w:t>27,422</w:t>
            </w:r>
          </w:p>
        </w:tc>
        <w:tc>
          <w:tcPr>
            <w:tcW w:w="0" w:type="dxa"/>
            <w:vAlign w:val="bottom"/>
          </w:tcPr>
          <w:p>
            <w:pPr>
              <w:spacing w:after="0"/>
              <w:rPr>
                <w:sz w:val="1"/>
                <w:szCs w:val="1"/>
                <w:color w:val="auto"/>
              </w:rPr>
            </w:pPr>
          </w:p>
        </w:tc>
      </w:tr>
      <w:tr>
        <w:trPr>
          <w:trHeight w:val="239"/>
        </w:trPr>
        <w:tc>
          <w:tcPr>
            <w:tcW w:w="4900" w:type="dxa"/>
            <w:vAlign w:val="bottom"/>
          </w:tcPr>
          <w:p>
            <w:pPr>
              <w:ind w:left="480"/>
              <w:spacing w:after="0" w:line="239" w:lineRule="exact"/>
              <w:rPr>
                <w:sz w:val="20"/>
                <w:szCs w:val="20"/>
                <w:color w:val="auto"/>
              </w:rPr>
            </w:pPr>
            <w:r>
              <w:rPr>
                <w:rFonts w:ascii="Arial" w:cs="Arial" w:eastAsia="Arial" w:hAnsi="Arial"/>
                <w:sz w:val="22"/>
                <w:szCs w:val="22"/>
                <w:color w:val="auto"/>
                <w:w w:val="96"/>
              </w:rPr>
              <w:t>Investment in Phillips-Van Heusen Corporation</w:t>
            </w:r>
          </w:p>
        </w:tc>
        <w:tc>
          <w:tcPr>
            <w:tcW w:w="124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68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28,015</w:t>
            </w: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Investment Plans Master Trust</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160"/>
              <w:spacing w:after="0"/>
              <w:rPr>
                <w:sz w:val="20"/>
                <w:szCs w:val="20"/>
                <w:color w:val="auto"/>
              </w:rPr>
            </w:pPr>
            <w:r>
              <w:rPr>
                <w:rFonts w:ascii="Arial" w:cs="Arial" w:eastAsia="Arial" w:hAnsi="Arial"/>
                <w:sz w:val="22"/>
                <w:szCs w:val="22"/>
                <w:color w:val="auto"/>
              </w:rPr>
              <w:t>Participant Loan Receivable</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gridSpan w:val="2"/>
          </w:tcPr>
          <w:p>
            <w:pPr>
              <w:jc w:val="right"/>
              <w:ind w:right="232"/>
              <w:spacing w:after="0"/>
              <w:rPr>
                <w:sz w:val="20"/>
                <w:szCs w:val="20"/>
                <w:color w:val="auto"/>
              </w:rPr>
            </w:pPr>
            <w:r>
              <w:rPr>
                <w:rFonts w:ascii="Arial" w:cs="Arial" w:eastAsia="Arial" w:hAnsi="Arial"/>
                <w:sz w:val="22"/>
                <w:szCs w:val="22"/>
                <w:color w:val="auto"/>
              </w:rPr>
              <w:t>4,704</w:t>
            </w:r>
          </w:p>
        </w:tc>
        <w:tc>
          <w:tcPr>
            <w:tcW w:w="0" w:type="dxa"/>
            <w:vAlign w:val="bottom"/>
          </w:tcPr>
          <w:p>
            <w:pPr>
              <w:spacing w:after="0"/>
              <w:rPr>
                <w:sz w:val="1"/>
                <w:szCs w:val="1"/>
                <w:color w:val="auto"/>
              </w:rPr>
            </w:pPr>
          </w:p>
        </w:tc>
      </w:tr>
      <w:tr>
        <w:trPr>
          <w:trHeight w:val="275"/>
        </w:trPr>
        <w:tc>
          <w:tcPr>
            <w:tcW w:w="4900" w:type="dxa"/>
            <w:vAlign w:val="bottom"/>
          </w:tcPr>
          <w:p>
            <w:pPr>
              <w:ind w:left="160"/>
              <w:spacing w:after="0"/>
              <w:rPr>
                <w:sz w:val="20"/>
                <w:szCs w:val="20"/>
                <w:color w:val="auto"/>
              </w:rPr>
            </w:pPr>
            <w:r>
              <w:rPr>
                <w:rFonts w:ascii="Arial" w:cs="Arial" w:eastAsia="Arial" w:hAnsi="Arial"/>
                <w:sz w:val="22"/>
                <w:szCs w:val="22"/>
                <w:color w:val="auto"/>
              </w:rPr>
              <w:t>Contribution receivable</w:t>
            </w:r>
          </w:p>
        </w:tc>
        <w:tc>
          <w:tcPr>
            <w:tcW w:w="1240" w:type="dxa"/>
            <w:vAlign w:val="bottom"/>
          </w:tcPr>
          <w:p>
            <w:pPr>
              <w:spacing w:after="0"/>
              <w:rPr>
                <w:sz w:val="23"/>
                <w:szCs w:val="23"/>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1,168</w:t>
            </w:r>
          </w:p>
        </w:tc>
        <w:tc>
          <w:tcPr>
            <w:tcW w:w="340" w:type="dxa"/>
            <w:vAlign w:val="bottom"/>
          </w:tcPr>
          <w:p>
            <w:pPr>
              <w:spacing w:after="0"/>
              <w:rPr>
                <w:sz w:val="23"/>
                <w:szCs w:val="23"/>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611</w:t>
            </w:r>
          </w:p>
        </w:tc>
        <w:tc>
          <w:tcPr>
            <w:tcW w:w="0" w:type="dxa"/>
            <w:vAlign w:val="bottom"/>
          </w:tcPr>
          <w:p>
            <w:pPr>
              <w:spacing w:after="0"/>
              <w:rPr>
                <w:sz w:val="1"/>
                <w:szCs w:val="1"/>
                <w:color w:val="auto"/>
              </w:rPr>
            </w:pPr>
          </w:p>
        </w:tc>
      </w:tr>
      <w:tr>
        <w:trPr>
          <w:trHeight w:val="531"/>
        </w:trPr>
        <w:tc>
          <w:tcPr>
            <w:tcW w:w="4900" w:type="dxa"/>
            <w:vAlign w:val="bottom"/>
          </w:tcPr>
          <w:p>
            <w:pPr>
              <w:spacing w:after="0"/>
              <w:rPr>
                <w:sz w:val="20"/>
                <w:szCs w:val="20"/>
                <w:color w:val="auto"/>
              </w:rPr>
            </w:pPr>
            <w:r>
              <w:rPr>
                <w:rFonts w:ascii="Arial" w:cs="Arial" w:eastAsia="Arial" w:hAnsi="Arial"/>
                <w:sz w:val="22"/>
                <w:szCs w:val="22"/>
                <w:b w:val="1"/>
                <w:bCs w:val="1"/>
                <w:color w:val="auto"/>
              </w:rPr>
              <w:t>Net assets available for benefits</w:t>
            </w:r>
          </w:p>
        </w:tc>
        <w:tc>
          <w:tcPr>
            <w:tcW w:w="1240" w:type="dxa"/>
            <w:vAlign w:val="bottom"/>
          </w:tcPr>
          <w:p>
            <w:pPr>
              <w:spacing w:after="0"/>
              <w:rPr>
                <w:sz w:val="24"/>
                <w:szCs w:val="24"/>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98"/>
              </w:rPr>
              <w:t>$ 105,293</w:t>
            </w:r>
          </w:p>
        </w:tc>
        <w:tc>
          <w:tcPr>
            <w:tcW w:w="340" w:type="dxa"/>
            <w:vAlign w:val="bottom"/>
          </w:tcPr>
          <w:p>
            <w:pPr>
              <w:spacing w:after="0"/>
              <w:rPr>
                <w:sz w:val="24"/>
                <w:szCs w:val="24"/>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w w:val="98"/>
              </w:rPr>
              <w:t>$   82,112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part of these financial statements</w:t>
      </w:r>
    </w:p>
    <w:p>
      <w:pPr>
        <w:spacing w:after="0" w:line="24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0199"/>
          </w:cols>
          <w:pgMar w:left="260" w:top="118" w:right="1440" w:bottom="1440" w:gutter="0" w:footer="0" w:header="0"/>
        </w:sectPr>
      </w:pPr>
    </w:p>
    <w:bookmarkStart w:id="5" w:name="page6"/>
    <w:bookmarkEnd w:id="5"/>
    <w:p>
      <w:pPr>
        <w:jc w:val="center"/>
        <w:ind w:right="-118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ASSOCIATES INVESTMENT PLAN FOR RESIDENTS</w:t>
      </w:r>
    </w:p>
    <w:p>
      <w:pPr>
        <w:spacing w:after="0" w:line="2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STATEMENTS OF CHANGES IN NET</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ASSETS AVAILABLE FOR BENEFITS</w:t>
      </w:r>
    </w:p>
    <w:p>
      <w:pPr>
        <w:spacing w:after="0" w:line="215"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For the 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1"/>
                <w:szCs w:val="21"/>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22"/>
                <w:szCs w:val="22"/>
                <w:color w:val="auto"/>
              </w:rPr>
              <w:t>2005</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2004</w:t>
            </w:r>
          </w:p>
        </w:tc>
        <w:tc>
          <w:tcPr>
            <w:tcW w:w="460" w:type="dxa"/>
            <w:vAlign w:val="bottom"/>
          </w:tcPr>
          <w:p>
            <w:pPr>
              <w:spacing w:after="0"/>
              <w:rPr>
                <w:sz w:val="21"/>
                <w:szCs w:val="21"/>
                <w:color w:val="auto"/>
              </w:rPr>
            </w:pPr>
          </w:p>
        </w:tc>
      </w:tr>
      <w:tr>
        <w:trPr>
          <w:trHeight w:val="571"/>
        </w:trPr>
        <w:tc>
          <w:tcPr>
            <w:tcW w:w="4880" w:type="dxa"/>
            <w:vAlign w:val="bottom"/>
          </w:tcPr>
          <w:p>
            <w:pPr>
              <w:spacing w:after="0"/>
              <w:rPr>
                <w:sz w:val="20"/>
                <w:szCs w:val="20"/>
                <w:color w:val="auto"/>
              </w:rPr>
            </w:pPr>
            <w:r>
              <w:rPr>
                <w:rFonts w:ascii="Arial" w:cs="Arial" w:eastAsia="Arial" w:hAnsi="Arial"/>
                <w:sz w:val="22"/>
                <w:szCs w:val="22"/>
                <w:b w:val="1"/>
                <w:bCs w:val="1"/>
                <w:color w:val="auto"/>
              </w:rPr>
              <w:t>Additions</w:t>
            </w:r>
          </w:p>
        </w:tc>
        <w:tc>
          <w:tcPr>
            <w:tcW w:w="4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536"/>
        </w:trPr>
        <w:tc>
          <w:tcPr>
            <w:tcW w:w="4880" w:type="dxa"/>
            <w:vAlign w:val="bottom"/>
          </w:tcPr>
          <w:p>
            <w:pPr>
              <w:ind w:left="160"/>
              <w:spacing w:after="0"/>
              <w:rPr>
                <w:sz w:val="20"/>
                <w:szCs w:val="20"/>
                <w:color w:val="auto"/>
              </w:rPr>
            </w:pPr>
            <w:r>
              <w:rPr>
                <w:rFonts w:ascii="Arial" w:cs="Arial" w:eastAsia="Arial" w:hAnsi="Arial"/>
                <w:sz w:val="22"/>
                <w:szCs w:val="22"/>
                <w:color w:val="auto"/>
              </w:rPr>
              <w:t>Contributions:</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880" w:type="dxa"/>
            <w:vAlign w:val="bottom"/>
          </w:tcPr>
          <w:p>
            <w:pPr>
              <w:ind w:left="320"/>
              <w:spacing w:after="0"/>
              <w:rPr>
                <w:sz w:val="20"/>
                <w:szCs w:val="20"/>
                <w:color w:val="auto"/>
              </w:rPr>
            </w:pPr>
            <w:r>
              <w:rPr>
                <w:rFonts w:ascii="Arial" w:cs="Arial" w:eastAsia="Arial" w:hAnsi="Arial"/>
                <w:sz w:val="22"/>
                <w:szCs w:val="22"/>
                <w:color w:val="auto"/>
              </w:rPr>
              <w:t>Employer, net of forfeitures</w:t>
            </w:r>
          </w:p>
        </w:tc>
        <w:tc>
          <w:tcPr>
            <w:tcW w:w="1320" w:type="dxa"/>
            <w:vAlign w:val="bottom"/>
            <w:gridSpan w:val="3"/>
          </w:tcPr>
          <w:p>
            <w:pPr>
              <w:jc w:val="right"/>
              <w:ind w:right="340"/>
              <w:spacing w:after="0"/>
              <w:rPr>
                <w:sz w:val="20"/>
                <w:szCs w:val="20"/>
                <w:color w:val="auto"/>
              </w:rPr>
            </w:pPr>
            <w:r>
              <w:rPr>
                <w:rFonts w:ascii="Arial" w:cs="Arial" w:eastAsia="Arial" w:hAnsi="Arial"/>
                <w:sz w:val="22"/>
                <w:szCs w:val="22"/>
                <w:color w:val="auto"/>
              </w:rPr>
              <w:t>$  6,554</w:t>
            </w:r>
          </w:p>
        </w:tc>
        <w:tc>
          <w:tcPr>
            <w:tcW w:w="1680" w:type="dxa"/>
            <w:vAlign w:val="bottom"/>
            <w:gridSpan w:val="4"/>
          </w:tcPr>
          <w:p>
            <w:pPr>
              <w:jc w:val="right"/>
              <w:ind w:right="340"/>
              <w:spacing w:after="0"/>
              <w:rPr>
                <w:sz w:val="20"/>
                <w:szCs w:val="20"/>
                <w:color w:val="auto"/>
              </w:rPr>
            </w:pPr>
            <w:r>
              <w:rPr>
                <w:rFonts w:ascii="Arial" w:cs="Arial" w:eastAsia="Arial" w:hAnsi="Arial"/>
                <w:sz w:val="22"/>
                <w:szCs w:val="22"/>
                <w:color w:val="auto"/>
              </w:rPr>
              <w:t>$   4,793</w:t>
            </w:r>
          </w:p>
        </w:tc>
      </w:tr>
      <w:tr>
        <w:trPr>
          <w:trHeight w:val="270"/>
        </w:trPr>
        <w:tc>
          <w:tcPr>
            <w:tcW w:w="4880" w:type="dxa"/>
            <w:vAlign w:val="bottom"/>
          </w:tcPr>
          <w:p>
            <w:pPr>
              <w:ind w:left="320"/>
              <w:spacing w:after="0"/>
              <w:rPr>
                <w:sz w:val="20"/>
                <w:szCs w:val="20"/>
                <w:color w:val="auto"/>
              </w:rPr>
            </w:pPr>
            <w:r>
              <w:rPr>
                <w:rFonts w:ascii="Arial" w:cs="Arial" w:eastAsia="Arial" w:hAnsi="Arial"/>
                <w:sz w:val="22"/>
                <w:szCs w:val="22"/>
                <w:color w:val="auto"/>
              </w:rPr>
              <w:t>Employees</w:t>
            </w:r>
          </w:p>
        </w:tc>
        <w:tc>
          <w:tcPr>
            <w:tcW w:w="1320" w:type="dxa"/>
            <w:vAlign w:val="bottom"/>
            <w:gridSpan w:val="3"/>
          </w:tcPr>
          <w:p>
            <w:pPr>
              <w:jc w:val="right"/>
              <w:ind w:right="340"/>
              <w:spacing w:after="0"/>
              <w:rPr>
                <w:sz w:val="20"/>
                <w:szCs w:val="20"/>
                <w:color w:val="auto"/>
              </w:rPr>
            </w:pPr>
            <w:r>
              <w:rPr>
                <w:rFonts w:ascii="Arial" w:cs="Arial" w:eastAsia="Arial" w:hAnsi="Arial"/>
                <w:sz w:val="22"/>
                <w:szCs w:val="22"/>
                <w:color w:val="auto"/>
              </w:rPr>
              <w:t>13,862</w:t>
            </w:r>
          </w:p>
        </w:tc>
        <w:tc>
          <w:tcPr>
            <w:tcW w:w="1680" w:type="dxa"/>
            <w:vAlign w:val="bottom"/>
            <w:gridSpan w:val="4"/>
          </w:tcPr>
          <w:p>
            <w:pPr>
              <w:jc w:val="right"/>
              <w:ind w:right="340"/>
              <w:spacing w:after="0"/>
              <w:rPr>
                <w:sz w:val="20"/>
                <w:szCs w:val="20"/>
                <w:color w:val="auto"/>
              </w:rPr>
            </w:pPr>
            <w:r>
              <w:rPr>
                <w:rFonts w:ascii="Arial" w:cs="Arial" w:eastAsia="Arial" w:hAnsi="Arial"/>
                <w:sz w:val="22"/>
                <w:szCs w:val="22"/>
                <w:color w:val="auto"/>
              </w:rPr>
              <w:t>10,710</w:t>
            </w:r>
          </w:p>
        </w:tc>
      </w:tr>
      <w:tr>
        <w:trPr>
          <w:trHeight w:val="270"/>
        </w:trPr>
        <w:tc>
          <w:tcPr>
            <w:tcW w:w="4880" w:type="dxa"/>
            <w:vAlign w:val="bottom"/>
          </w:tcPr>
          <w:p>
            <w:pPr>
              <w:ind w:left="160"/>
              <w:spacing w:after="0"/>
              <w:rPr>
                <w:sz w:val="20"/>
                <w:szCs w:val="20"/>
                <w:color w:val="auto"/>
              </w:rPr>
            </w:pPr>
            <w:r>
              <w:rPr>
                <w:rFonts w:ascii="Arial" w:cs="Arial" w:eastAsia="Arial" w:hAnsi="Arial"/>
                <w:sz w:val="22"/>
                <w:szCs w:val="22"/>
                <w:color w:val="auto"/>
              </w:rPr>
              <w:t>Interest and investment income</w:t>
            </w:r>
          </w:p>
        </w:tc>
        <w:tc>
          <w:tcPr>
            <w:tcW w:w="1320" w:type="dxa"/>
            <w:vAlign w:val="bottom"/>
            <w:gridSpan w:val="3"/>
          </w:tcPr>
          <w:p>
            <w:pPr>
              <w:jc w:val="right"/>
              <w:ind w:right="340"/>
              <w:spacing w:after="0"/>
              <w:rPr>
                <w:sz w:val="20"/>
                <w:szCs w:val="20"/>
                <w:color w:val="auto"/>
              </w:rPr>
            </w:pPr>
            <w:r>
              <w:rPr>
                <w:rFonts w:ascii="Arial" w:cs="Arial" w:eastAsia="Arial" w:hAnsi="Arial"/>
                <w:sz w:val="22"/>
                <w:szCs w:val="22"/>
                <w:color w:val="auto"/>
              </w:rPr>
              <w:t>672</w:t>
            </w:r>
          </w:p>
        </w:tc>
        <w:tc>
          <w:tcPr>
            <w:tcW w:w="1680" w:type="dxa"/>
            <w:vAlign w:val="bottom"/>
            <w:gridSpan w:val="4"/>
          </w:tcPr>
          <w:p>
            <w:pPr>
              <w:jc w:val="right"/>
              <w:ind w:right="340"/>
              <w:spacing w:after="0"/>
              <w:rPr>
                <w:sz w:val="20"/>
                <w:szCs w:val="20"/>
                <w:color w:val="auto"/>
              </w:rPr>
            </w:pPr>
            <w:r>
              <w:rPr>
                <w:rFonts w:ascii="Arial" w:cs="Arial" w:eastAsia="Arial" w:hAnsi="Arial"/>
                <w:sz w:val="22"/>
                <w:szCs w:val="22"/>
                <w:color w:val="auto"/>
              </w:rPr>
              <w:t>1,794</w:t>
            </w:r>
          </w:p>
        </w:tc>
      </w:tr>
      <w:tr>
        <w:trPr>
          <w:trHeight w:val="276"/>
        </w:trPr>
        <w:tc>
          <w:tcPr>
            <w:tcW w:w="4880" w:type="dxa"/>
            <w:vAlign w:val="bottom"/>
          </w:tcPr>
          <w:p>
            <w:pPr>
              <w:ind w:left="160"/>
              <w:spacing w:after="0"/>
              <w:rPr>
                <w:sz w:val="20"/>
                <w:szCs w:val="20"/>
                <w:color w:val="auto"/>
              </w:rPr>
            </w:pPr>
            <w:r>
              <w:rPr>
                <w:rFonts w:ascii="Arial" w:cs="Arial" w:eastAsia="Arial" w:hAnsi="Arial"/>
                <w:sz w:val="22"/>
                <w:szCs w:val="22"/>
                <w:color w:val="auto"/>
              </w:rPr>
              <w:t>Loan repayments, interest</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385</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82</w:t>
            </w:r>
          </w:p>
        </w:tc>
      </w:tr>
      <w:tr>
        <w:trPr>
          <w:trHeight w:val="532"/>
        </w:trPr>
        <w:tc>
          <w:tcPr>
            <w:tcW w:w="4880" w:type="dxa"/>
            <w:vAlign w:val="bottom"/>
          </w:tcPr>
          <w:p>
            <w:pPr>
              <w:ind w:left="640"/>
              <w:spacing w:after="0"/>
              <w:rPr>
                <w:sz w:val="20"/>
                <w:szCs w:val="20"/>
                <w:color w:val="auto"/>
              </w:rPr>
            </w:pPr>
            <w:r>
              <w:rPr>
                <w:rFonts w:ascii="Arial" w:cs="Arial" w:eastAsia="Arial" w:hAnsi="Arial"/>
                <w:sz w:val="22"/>
                <w:szCs w:val="22"/>
                <w:color w:val="auto"/>
              </w:rPr>
              <w:t>Total additions</w:t>
            </w:r>
          </w:p>
        </w:tc>
        <w:tc>
          <w:tcPr>
            <w:tcW w:w="1320" w:type="dxa"/>
            <w:vAlign w:val="bottom"/>
            <w:gridSpan w:val="3"/>
          </w:tcPr>
          <w:p>
            <w:pPr>
              <w:jc w:val="right"/>
              <w:ind w:right="340"/>
              <w:spacing w:after="0"/>
              <w:rPr>
                <w:sz w:val="20"/>
                <w:szCs w:val="20"/>
                <w:color w:val="auto"/>
              </w:rPr>
            </w:pPr>
            <w:r>
              <w:rPr>
                <w:rFonts w:ascii="Arial" w:cs="Arial" w:eastAsia="Arial" w:hAnsi="Arial"/>
                <w:sz w:val="22"/>
                <w:szCs w:val="22"/>
                <w:color w:val="auto"/>
              </w:rPr>
              <w:t>21,473</w:t>
            </w:r>
          </w:p>
        </w:tc>
        <w:tc>
          <w:tcPr>
            <w:tcW w:w="1680" w:type="dxa"/>
            <w:vAlign w:val="bottom"/>
            <w:gridSpan w:val="4"/>
          </w:tcPr>
          <w:p>
            <w:pPr>
              <w:jc w:val="right"/>
              <w:ind w:right="340"/>
              <w:spacing w:after="0"/>
              <w:rPr>
                <w:sz w:val="20"/>
                <w:szCs w:val="20"/>
                <w:color w:val="auto"/>
              </w:rPr>
            </w:pPr>
            <w:r>
              <w:rPr>
                <w:rFonts w:ascii="Arial" w:cs="Arial" w:eastAsia="Arial" w:hAnsi="Arial"/>
                <w:sz w:val="22"/>
                <w:szCs w:val="22"/>
                <w:color w:val="auto"/>
              </w:rPr>
              <w:t>17,379</w:t>
            </w:r>
          </w:p>
        </w:tc>
      </w:tr>
      <w:tr>
        <w:trPr>
          <w:trHeight w:val="534"/>
        </w:trPr>
        <w:tc>
          <w:tcPr>
            <w:tcW w:w="4880" w:type="dxa"/>
            <w:vAlign w:val="bottom"/>
          </w:tcPr>
          <w:p>
            <w:pPr>
              <w:spacing w:after="0"/>
              <w:rPr>
                <w:sz w:val="20"/>
                <w:szCs w:val="20"/>
                <w:color w:val="auto"/>
              </w:rPr>
            </w:pPr>
            <w:r>
              <w:rPr>
                <w:rFonts w:ascii="Arial" w:cs="Arial" w:eastAsia="Arial" w:hAnsi="Arial"/>
                <w:sz w:val="22"/>
                <w:szCs w:val="22"/>
                <w:b w:val="1"/>
                <w:bCs w:val="1"/>
                <w:color w:val="auto"/>
              </w:rPr>
              <w:t>Deductions</w:t>
            </w: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542"/>
        </w:trPr>
        <w:tc>
          <w:tcPr>
            <w:tcW w:w="4880" w:type="dxa"/>
            <w:vAlign w:val="bottom"/>
          </w:tcPr>
          <w:p>
            <w:pPr>
              <w:ind w:left="160"/>
              <w:spacing w:after="0"/>
              <w:rPr>
                <w:sz w:val="20"/>
                <w:szCs w:val="20"/>
                <w:color w:val="auto"/>
              </w:rPr>
            </w:pPr>
            <w:r>
              <w:rPr>
                <w:rFonts w:ascii="Arial" w:cs="Arial" w:eastAsia="Arial" w:hAnsi="Arial"/>
                <w:sz w:val="22"/>
                <w:szCs w:val="22"/>
                <w:color w:val="auto"/>
              </w:rPr>
              <w:t>Payments to participants</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4,623</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8,863</w:t>
            </w:r>
          </w:p>
        </w:tc>
      </w:tr>
      <w:tr>
        <w:trPr>
          <w:trHeight w:val="534"/>
        </w:trPr>
        <w:tc>
          <w:tcPr>
            <w:tcW w:w="4880" w:type="dxa"/>
            <w:vAlign w:val="bottom"/>
          </w:tcPr>
          <w:p>
            <w:pPr>
              <w:ind w:left="640"/>
              <w:spacing w:after="0"/>
              <w:rPr>
                <w:sz w:val="20"/>
                <w:szCs w:val="20"/>
                <w:color w:val="auto"/>
              </w:rPr>
            </w:pPr>
            <w:r>
              <w:rPr>
                <w:rFonts w:ascii="Arial" w:cs="Arial" w:eastAsia="Arial" w:hAnsi="Arial"/>
                <w:sz w:val="22"/>
                <w:szCs w:val="22"/>
                <w:color w:val="auto"/>
              </w:rPr>
              <w:t>Total deductions</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4,623</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8,863</w:t>
            </w:r>
          </w:p>
        </w:tc>
      </w:tr>
      <w:tr>
        <w:trPr>
          <w:trHeight w:val="534"/>
        </w:trPr>
        <w:tc>
          <w:tcPr>
            <w:tcW w:w="4880" w:type="dxa"/>
            <w:vAlign w:val="bottom"/>
          </w:tcPr>
          <w:p>
            <w:pPr>
              <w:spacing w:after="0"/>
              <w:rPr>
                <w:sz w:val="20"/>
                <w:szCs w:val="20"/>
                <w:color w:val="auto"/>
              </w:rPr>
            </w:pPr>
            <w:r>
              <w:rPr>
                <w:rFonts w:ascii="Arial" w:cs="Arial" w:eastAsia="Arial" w:hAnsi="Arial"/>
                <w:sz w:val="22"/>
                <w:szCs w:val="22"/>
                <w:color w:val="auto"/>
                <w:w w:val="89"/>
              </w:rPr>
              <w:t>Net realized and unrealized appreciation of investments</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6,331</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22"/>
                <w:szCs w:val="22"/>
                <w:color w:val="auto"/>
              </w:rPr>
              <w:t>11,376</w:t>
            </w:r>
          </w:p>
        </w:tc>
      </w:tr>
      <w:tr>
        <w:trPr>
          <w:trHeight w:val="532"/>
        </w:trPr>
        <w:tc>
          <w:tcPr>
            <w:tcW w:w="4880" w:type="dxa"/>
            <w:vAlign w:val="bottom"/>
          </w:tcPr>
          <w:p>
            <w:pPr>
              <w:spacing w:after="0"/>
              <w:rPr>
                <w:sz w:val="20"/>
                <w:szCs w:val="20"/>
                <w:color w:val="auto"/>
              </w:rPr>
            </w:pPr>
            <w:r>
              <w:rPr>
                <w:rFonts w:ascii="Arial" w:cs="Arial" w:eastAsia="Arial" w:hAnsi="Arial"/>
                <w:sz w:val="22"/>
                <w:szCs w:val="22"/>
                <w:color w:val="auto"/>
              </w:rPr>
              <w:t>Net increase in net assets available for benefits</w:t>
            </w:r>
          </w:p>
        </w:tc>
        <w:tc>
          <w:tcPr>
            <w:tcW w:w="1320" w:type="dxa"/>
            <w:vAlign w:val="bottom"/>
            <w:gridSpan w:val="3"/>
          </w:tcPr>
          <w:p>
            <w:pPr>
              <w:jc w:val="right"/>
              <w:ind w:right="340"/>
              <w:spacing w:after="0"/>
              <w:rPr>
                <w:sz w:val="20"/>
                <w:szCs w:val="20"/>
                <w:color w:val="auto"/>
              </w:rPr>
            </w:pPr>
            <w:r>
              <w:rPr>
                <w:rFonts w:ascii="Arial" w:cs="Arial" w:eastAsia="Arial" w:hAnsi="Arial"/>
                <w:sz w:val="22"/>
                <w:szCs w:val="22"/>
                <w:color w:val="auto"/>
              </w:rPr>
              <w:t>23,181</w:t>
            </w:r>
          </w:p>
        </w:tc>
        <w:tc>
          <w:tcPr>
            <w:tcW w:w="1680" w:type="dxa"/>
            <w:vAlign w:val="bottom"/>
            <w:gridSpan w:val="4"/>
          </w:tcPr>
          <w:p>
            <w:pPr>
              <w:jc w:val="right"/>
              <w:ind w:right="340"/>
              <w:spacing w:after="0"/>
              <w:rPr>
                <w:sz w:val="20"/>
                <w:szCs w:val="20"/>
                <w:color w:val="auto"/>
              </w:rPr>
            </w:pPr>
            <w:r>
              <w:rPr>
                <w:rFonts w:ascii="Arial" w:cs="Arial" w:eastAsia="Arial" w:hAnsi="Arial"/>
                <w:sz w:val="22"/>
                <w:szCs w:val="22"/>
                <w:color w:val="auto"/>
              </w:rPr>
              <w:t>19,892</w:t>
            </w:r>
          </w:p>
        </w:tc>
      </w:tr>
      <w:tr>
        <w:trPr>
          <w:trHeight w:val="540"/>
        </w:trPr>
        <w:tc>
          <w:tcPr>
            <w:tcW w:w="4880" w:type="dxa"/>
            <w:vAlign w:val="bottom"/>
          </w:tcPr>
          <w:p>
            <w:pPr>
              <w:spacing w:after="0"/>
              <w:rPr>
                <w:sz w:val="20"/>
                <w:szCs w:val="20"/>
                <w:color w:val="auto"/>
              </w:rPr>
            </w:pPr>
            <w:r>
              <w:rPr>
                <w:rFonts w:ascii="Arial" w:cs="Arial" w:eastAsia="Arial" w:hAnsi="Arial"/>
                <w:sz w:val="22"/>
                <w:szCs w:val="22"/>
                <w:color w:val="auto"/>
                <w:w w:val="95"/>
              </w:rPr>
              <w:t>Net assets available for benefits at beginning of year</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82,112</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rPr>
              <w:t>62,220</w:t>
            </w:r>
          </w:p>
        </w:tc>
      </w:tr>
      <w:tr>
        <w:trPr>
          <w:trHeight w:val="558"/>
        </w:trPr>
        <w:tc>
          <w:tcPr>
            <w:tcW w:w="4880" w:type="dxa"/>
            <w:vAlign w:val="bottom"/>
          </w:tcPr>
          <w:p>
            <w:pPr>
              <w:spacing w:after="0"/>
              <w:rPr>
                <w:sz w:val="20"/>
                <w:szCs w:val="20"/>
                <w:color w:val="auto"/>
              </w:rPr>
            </w:pPr>
            <w:r>
              <w:rPr>
                <w:rFonts w:ascii="Arial" w:cs="Arial" w:eastAsia="Arial" w:hAnsi="Arial"/>
                <w:sz w:val="22"/>
                <w:szCs w:val="22"/>
                <w:b w:val="1"/>
                <w:bCs w:val="1"/>
                <w:color w:val="auto"/>
              </w:rPr>
              <w:t>Net assets available for benefits at end of year</w:t>
            </w:r>
          </w:p>
        </w:tc>
        <w:tc>
          <w:tcPr>
            <w:tcW w:w="13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22"/>
                <w:szCs w:val="22"/>
                <w:color w:val="auto"/>
                <w:w w:val="98"/>
              </w:rPr>
              <w:t>$ 105,293</w:t>
            </w:r>
          </w:p>
        </w:tc>
        <w:tc>
          <w:tcPr>
            <w:tcW w:w="36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22"/>
                <w:szCs w:val="22"/>
                <w:color w:val="auto"/>
              </w:rPr>
              <w:t>$ 82,112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part of these financial statements</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0199"/>
          </w:cols>
          <w:pgMar w:left="260" w:top="60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PHILLIPS-VAN HEUSEN CORPORATION</w:t>
      </w:r>
    </w:p>
    <w:p>
      <w:pPr>
        <w:jc w:val="center"/>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the Plan</w:t>
      </w:r>
    </w:p>
    <w:p>
      <w:pPr>
        <w:spacing w:after="0" w:line="239" w:lineRule="exact"/>
        <w:rPr>
          <w:sz w:val="20"/>
          <w:szCs w:val="20"/>
          <w:color w:val="auto"/>
        </w:rPr>
      </w:pPr>
    </w:p>
    <w:p>
      <w:pPr>
        <w:ind w:right="360" w:firstLine="648"/>
        <w:spacing w:after="0"/>
        <w:rPr>
          <w:sz w:val="20"/>
          <w:szCs w:val="20"/>
          <w:color w:val="auto"/>
        </w:rPr>
      </w:pPr>
      <w:r>
        <w:rPr>
          <w:rFonts w:ascii="Arial" w:cs="Arial" w:eastAsia="Arial" w:hAnsi="Arial"/>
          <w:sz w:val="22"/>
          <w:szCs w:val="22"/>
          <w:color w:val="auto"/>
        </w:rPr>
        <w:t>The following description of the Phillips-Van Heusen Corporation (the “Company”) Associates Investment Plan for Residents of the Commonwealth of Puerto Rico (the “Plan”) provides only general information. Participants should refer to the Plan Document for a more complete description of the Plan’s provisions.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Change in Trustee and Recordkeeper</w:t>
      </w:r>
    </w:p>
    <w:p>
      <w:pPr>
        <w:spacing w:after="0" w:line="239"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Effective January 1, 2004, the Plan’s Trustee changed from UMB Bank (the “Predecessor Trustee”) to State Street Bank (the “Trustee” or “Successor Trustee”). On January 1, 2005, Wells Fargo acquired Strong Retirement Plan Services and as a result, Wells Fargo Retirement Solutions became the “Recordkeeper” and Wells Fargo Bank became the “Trustee”.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Master Trust</w:t>
      </w:r>
    </w:p>
    <w:p>
      <w:pPr>
        <w:spacing w:after="0" w:line="239"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Phillips-Van Heusen Corporation Associates Investment Plans Master Trust (the “Master Trust”) was established for the investment of the Phillips-Van Heusen Stock Fund (the “PVH Stock Fund”). The Plan is one of three plans participating in the Master Trust.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Plan is a defined contribution plan covering salaried and hourly retail field workers who are residents of the Commonwealth of Puerto Rico who are at least age 21 or older, have completed at least three consecutive months of service and are regularly scheduled to work at least 20 hours per week. The Plan is subject to the reporting and disclosure requirements of the Employee Retirement Income Security Act of 1974 (“ERISA”).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Contributions</w:t>
      </w:r>
    </w:p>
    <w:p>
      <w:pPr>
        <w:spacing w:after="0" w:line="239"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9"/>
          <w:szCs w:val="19"/>
          <w:color w:val="auto"/>
        </w:rPr>
        <w:t>Each year, participants may contribute up to 10% of pre-tax annual compensation, as defined by the Plan, limited to $8,000 per annum in 2005 and 2004, respectively. The Company matches 100% of the first 2% of eligible compensation that a participant contributed to the Plan plus 25% of the next 4% of eligible compensation contributed by the participant.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420"/>
          </w:cols>
          <w:pgMar w:left="240" w:top="60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color w:val="auto"/>
        </w:rPr>
        <w:t>PHILLIPS-VAN HEUSEN CORPORATION</w:t>
      </w:r>
    </w:p>
    <w:p>
      <w:pPr>
        <w:jc w:val="center"/>
        <w:ind w:right="-39"/>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ind w:right="-39"/>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Accounts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Each participant’s account is credited with the participant’s contributions and allocations of (a) the Company’s contributions and (b) Plan earnings. Forfeited balances of terminated participants’ nonvested accounts are used to reduce future Company contributions.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Vesting</w:t>
      </w:r>
    </w:p>
    <w:p>
      <w:pPr>
        <w:spacing w:after="0" w:line="239"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Amounts attributable to employee contributions and the allocated earnings thereon are immediately vested. Participants become 25%, 50%, 75% and 100% vested in Company contributions after two, three, four and five years of service, respectively. Upon death, permanent disability, or reaching age 65, participants or their beneficiaries become 100% vested in Company contributions.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Investment Options</w:t>
      </w:r>
    </w:p>
    <w:p>
      <w:pPr>
        <w:spacing w:after="0" w:line="239" w:lineRule="exact"/>
        <w:rPr>
          <w:sz w:val="20"/>
          <w:szCs w:val="20"/>
          <w:color w:val="auto"/>
        </w:rPr>
      </w:pPr>
    </w:p>
    <w:p>
      <w:pPr>
        <w:ind w:right="440" w:firstLine="648"/>
        <w:spacing w:after="0" w:line="274" w:lineRule="auto"/>
        <w:rPr>
          <w:sz w:val="20"/>
          <w:szCs w:val="20"/>
          <w:color w:val="auto"/>
        </w:rPr>
      </w:pPr>
      <w:r>
        <w:rPr>
          <w:rFonts w:ascii="Arial" w:cs="Arial" w:eastAsia="Arial" w:hAnsi="Arial"/>
          <w:sz w:val="21"/>
          <w:szCs w:val="21"/>
          <w:color w:val="auto"/>
        </w:rPr>
        <w:t>Upon enrollment in the Plan, a participant may direct employee contributions into any of eleven investment options. A participant may contribute a maximum of 25% of employee contributions into the PVH Stock Fund.</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The Company contributions are invested in any fund offered by the Plan as elected by the participant. However, existing balances contributed to the PVH Stock Fund as of March 31, 1999 were required to remain in the fund until participants are age 55 or older. Effective December 30, 2004, all restrictions on Company Match invested in the PVH Stock Fund were removed and participants are allowed to transfer all Company Match monies to other investment options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F-6</w:t>
      </w:r>
    </w:p>
    <w:p>
      <w:pPr>
        <w:sectPr>
          <w:pgSz w:w="11900" w:h="16838" w:orient="portrait"/>
          <w:cols w:equalWidth="0" w:num="1">
            <w:col w:w="11400"/>
          </w:cols>
          <w:pgMar w:left="240" w:top="604"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color w:val="auto"/>
        </w:rPr>
        <w:t>PHILLIPS-VAN HEUSEN CORPORATION</w:t>
      </w:r>
    </w:p>
    <w:p>
      <w:pPr>
        <w:jc w:val="center"/>
        <w:ind w:right="-39"/>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ind w:right="-39"/>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Loans Receivable</w:t>
      </w:r>
    </w:p>
    <w:p>
      <w:pPr>
        <w:spacing w:after="0" w:line="239" w:lineRule="exact"/>
        <w:rPr>
          <w:sz w:val="20"/>
          <w:szCs w:val="20"/>
          <w:color w:val="auto"/>
        </w:rPr>
      </w:pPr>
    </w:p>
    <w:p>
      <w:pPr>
        <w:ind w:right="400" w:firstLine="648"/>
        <w:spacing w:after="0" w:line="282" w:lineRule="auto"/>
        <w:rPr>
          <w:sz w:val="20"/>
          <w:szCs w:val="20"/>
          <w:color w:val="auto"/>
        </w:rPr>
      </w:pPr>
      <w:r>
        <w:rPr>
          <w:rFonts w:ascii="Arial" w:cs="Arial" w:eastAsia="Arial" w:hAnsi="Arial"/>
          <w:sz w:val="19"/>
          <w:szCs w:val="19"/>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Forfeitures</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Contributions made on behalf of non-vested or partially vested employees who have terminated are retained by the Plan and are used to reduce the Company’s future matching contributions.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of Benefits</w:t>
      </w:r>
    </w:p>
    <w:p>
      <w:pPr>
        <w:spacing w:after="0" w:line="239"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Participants electing final distributions will receive payment in the form of a lump sum amount equal to the value of their vested account unless the participant notifies the Company of their intent to receive all or a portion of their balance attributable to the PVH Stock Fund paid in the form of shares of the Company’s Common Stock.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Termination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239" w:lineRule="exact"/>
        <w:rPr>
          <w:rFonts w:ascii="Arial" w:cs="Arial" w:eastAsia="Arial" w:hAnsi="Arial"/>
          <w:sz w:val="22"/>
          <w:szCs w:val="22"/>
          <w:b w:val="1"/>
          <w:bCs w:val="1"/>
          <w:color w:val="auto"/>
        </w:rPr>
      </w:pPr>
    </w:p>
    <w:p>
      <w:pPr>
        <w:ind w:left="660" w:right="4580"/>
        <w:spacing w:after="0" w:line="595" w:lineRule="auto"/>
        <w:rPr>
          <w:rFonts w:ascii="Arial" w:cs="Arial" w:eastAsia="Arial" w:hAnsi="Arial"/>
          <w:sz w:val="22"/>
          <w:szCs w:val="22"/>
          <w:b w:val="1"/>
          <w:bCs w:val="1"/>
          <w:color w:val="auto"/>
        </w:rPr>
      </w:pPr>
      <w:r>
        <w:rPr>
          <w:rFonts w:ascii="Arial" w:cs="Arial" w:eastAsia="Arial" w:hAnsi="Arial"/>
          <w:sz w:val="19"/>
          <w:szCs w:val="19"/>
          <w:color w:val="auto"/>
        </w:rPr>
        <w:t>The accounting records of the Plan are maintained on the accrual basis. Substantially all administrative expenses are paid by the Company.</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ectPr>
          <w:pgSz w:w="11900" w:h="16838" w:orient="portrait"/>
          <w:cols w:equalWidth="0" w:num="1">
            <w:col w:w="11400"/>
          </w:cols>
          <w:pgMar w:left="240" w:top="60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PHILLIPS-VAN HEUSEN CORPORATION</w:t>
      </w:r>
    </w:p>
    <w:p>
      <w:pPr>
        <w:jc w:val="center"/>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In accordance with the Rules and Regulations of the Department of Labor, investments are included in the accompanying financial statements at market value as determined by quoted market prices or at fair value as determined by the trustee. Purchases and sales of securities are reflected on a trade date basis.</w:t>
      </w:r>
    </w:p>
    <w:p>
      <w:pPr>
        <w:spacing w:after="0" w:line="213"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All assets of the Plan are held by the Trustee and are segregated from the assets of the Company. The Master Trust holds the investments in the PVH Stock Fund. The Plan shares in the Master Trust interest and investment income based upon its participants’ shares of the Master Trust net assets available for benefits.</w:t>
      </w:r>
    </w:p>
    <w:p>
      <w:pPr>
        <w:spacing w:after="0" w:line="213"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9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Transactions with Parties-in-Interest</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During the years ended December 31, 2005 and 2004, the Master Trust purchased 47,988 and 15,616 shares, respectively, of the Company’s common stock and received $153,906 and $168,641, respectively, from the Company as payment of dividends on its common stock. The AIP Master Trust also sold 160,053 and 64,342 shares of the Company’s common stock during the years ended December 31, 2005 and 2004, respectively.</w:t>
      </w:r>
    </w:p>
    <w:p>
      <w:pPr>
        <w:spacing w:after="0" w:line="20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During 2005 and 2004, the Plan’s investments (including investments purchased, sold, as well as held during the year) appreciated (depreciated) in fair value as determined by quoted market prices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ectPr>
          <w:pgSz w:w="11900" w:h="16838" w:orient="portrait"/>
          <w:cols w:equalWidth="0" w:num="1">
            <w:col w:w="11420"/>
          </w:cols>
          <w:pgMar w:left="240" w:top="604"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22"/>
          <w:szCs w:val="22"/>
          <w:color w:val="auto"/>
        </w:rPr>
        <w:t>PHILLIPS-VAN HEUSEN CORPORATION</w:t>
      </w:r>
    </w:p>
    <w:p>
      <w:pPr>
        <w:jc w:val="center"/>
        <w:ind w:right="100"/>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ind w:right="100"/>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Net Realized and Unrealized</w:t>
      </w:r>
    </w:p>
    <w:tbl>
      <w:tblPr>
        <w:tblLayout w:type="fixed"/>
        <w:tblInd w:w="1940" w:type="dxa"/>
        <w:tblCellMar>
          <w:top w:w="0" w:type="dxa"/>
          <w:left w:w="0" w:type="dxa"/>
          <w:bottom w:w="0" w:type="dxa"/>
          <w:right w:w="0" w:type="dxa"/>
        </w:tblCellMar>
      </w:tblPr>
      <w:tr>
        <w:trPr>
          <w:trHeight w:val="233"/>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10"/>
          </w:tcPr>
          <w:p>
            <w:pPr>
              <w:ind w:left="20"/>
              <w:spacing w:after="0" w:line="233" w:lineRule="exact"/>
              <w:rPr>
                <w:sz w:val="20"/>
                <w:szCs w:val="20"/>
                <w:color w:val="auto"/>
              </w:rPr>
            </w:pPr>
            <w:r>
              <w:rPr>
                <w:rFonts w:ascii="Arial" w:cs="Arial" w:eastAsia="Arial" w:hAnsi="Arial"/>
                <w:sz w:val="22"/>
                <w:szCs w:val="22"/>
                <w:color w:val="auto"/>
              </w:rPr>
              <w:t>Appreciation (Depreciation)</w:t>
            </w:r>
          </w:p>
        </w:tc>
      </w:tr>
      <w:tr>
        <w:trPr>
          <w:trHeight w:val="224"/>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Borders>
              <w:bottom w:val="single" w:sz="8" w:color="auto"/>
            </w:tcBorders>
            <w:gridSpan w:val="7"/>
          </w:tcPr>
          <w:p>
            <w:pPr>
              <w:spacing w:after="0" w:line="224" w:lineRule="exact"/>
              <w:rPr>
                <w:sz w:val="20"/>
                <w:szCs w:val="20"/>
                <w:color w:val="auto"/>
              </w:rPr>
            </w:pPr>
            <w:r>
              <w:rPr>
                <w:rFonts w:ascii="Arial" w:cs="Arial" w:eastAsia="Arial" w:hAnsi="Arial"/>
                <w:sz w:val="22"/>
                <w:szCs w:val="22"/>
                <w:color w:val="auto"/>
                <w:w w:val="89"/>
              </w:rPr>
              <w:t>in Fair Value of Investments</w:t>
            </w:r>
          </w:p>
        </w:tc>
        <w:tc>
          <w:tcPr>
            <w:tcW w:w="620" w:type="dxa"/>
            <w:vAlign w:val="bottom"/>
            <w:gridSpan w:val="2"/>
          </w:tcPr>
          <w:p>
            <w:pPr>
              <w:spacing w:after="0"/>
              <w:rPr>
                <w:sz w:val="19"/>
                <w:szCs w:val="19"/>
                <w:color w:val="auto"/>
              </w:rPr>
            </w:pPr>
          </w:p>
        </w:tc>
      </w:tr>
      <w:tr>
        <w:trPr>
          <w:trHeight w:val="493"/>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w w:val="85"/>
              </w:rPr>
              <w:t>2005</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22"/>
                <w:szCs w:val="22"/>
                <w:color w:val="auto"/>
              </w:rPr>
              <w:t>2004</w:t>
            </w: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66"/>
        </w:trPr>
        <w:tc>
          <w:tcPr>
            <w:tcW w:w="4120" w:type="dxa"/>
            <w:vAlign w:val="bottom"/>
          </w:tcPr>
          <w:p>
            <w:pPr>
              <w:spacing w:after="0"/>
              <w:rPr>
                <w:sz w:val="20"/>
                <w:szCs w:val="20"/>
                <w:color w:val="auto"/>
              </w:rPr>
            </w:pPr>
            <w:r>
              <w:rPr>
                <w:rFonts w:ascii="Arial" w:cs="Arial" w:eastAsia="Arial" w:hAnsi="Arial"/>
                <w:sz w:val="22"/>
                <w:szCs w:val="22"/>
                <w:color w:val="auto"/>
              </w:rPr>
              <w:t>Common stock – PVH Stock Fund</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780" w:type="dxa"/>
            <w:vAlign w:val="bottom"/>
            <w:gridSpan w:val="3"/>
          </w:tcPr>
          <w:p>
            <w:pPr>
              <w:jc w:val="right"/>
              <w:spacing w:after="0"/>
              <w:rPr>
                <w:sz w:val="20"/>
                <w:szCs w:val="20"/>
                <w:color w:val="auto"/>
              </w:rPr>
            </w:pPr>
            <w:r>
              <w:rPr>
                <w:rFonts w:ascii="Arial" w:cs="Arial" w:eastAsia="Arial" w:hAnsi="Arial"/>
                <w:sz w:val="22"/>
                <w:szCs w:val="22"/>
                <w:color w:val="auto"/>
              </w:rPr>
              <w:t>18,698</w:t>
            </w:r>
          </w:p>
        </w:tc>
        <w:tc>
          <w:tcPr>
            <w:tcW w:w="5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4"/>
          </w:tcPr>
          <w:p>
            <w:pPr>
              <w:jc w:val="right"/>
              <w:ind w:right="340"/>
              <w:spacing w:after="0"/>
              <w:rPr>
                <w:sz w:val="20"/>
                <w:szCs w:val="20"/>
                <w:color w:val="auto"/>
              </w:rPr>
            </w:pPr>
            <w:r>
              <w:rPr>
                <w:rFonts w:ascii="Arial" w:cs="Arial" w:eastAsia="Arial" w:hAnsi="Arial"/>
                <w:sz w:val="22"/>
                <w:szCs w:val="22"/>
                <w:color w:val="auto"/>
              </w:rPr>
              <w:t>9,484</w:t>
            </w:r>
          </w:p>
        </w:tc>
      </w:tr>
      <w:tr>
        <w:trPr>
          <w:trHeight w:val="276"/>
        </w:trPr>
        <w:tc>
          <w:tcPr>
            <w:tcW w:w="4120" w:type="dxa"/>
            <w:vAlign w:val="bottom"/>
          </w:tcPr>
          <w:p>
            <w:pPr>
              <w:spacing w:after="0"/>
              <w:rPr>
                <w:sz w:val="20"/>
                <w:szCs w:val="20"/>
                <w:color w:val="auto"/>
              </w:rPr>
            </w:pPr>
            <w:r>
              <w:rPr>
                <w:rFonts w:ascii="Arial" w:cs="Arial" w:eastAsia="Arial" w:hAnsi="Arial"/>
                <w:sz w:val="22"/>
                <w:szCs w:val="22"/>
                <w:color w:val="auto"/>
                <w:w w:val="96"/>
              </w:rPr>
              <w:t>Shares of registered investment companies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0"/>
              </w:rPr>
              <w:t>(12,367)</w:t>
            </w:r>
          </w:p>
        </w:tc>
        <w:tc>
          <w:tcPr>
            <w:tcW w:w="5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22"/>
                <w:szCs w:val="22"/>
                <w:color w:val="auto"/>
              </w:rPr>
              <w:t>1,892</w:t>
            </w:r>
          </w:p>
        </w:tc>
      </w:tr>
      <w:tr>
        <w:trPr>
          <w:trHeight w:val="556"/>
        </w:trPr>
        <w:tc>
          <w:tcPr>
            <w:tcW w:w="4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6,331</w:t>
            </w:r>
          </w:p>
        </w:tc>
        <w:tc>
          <w:tcPr>
            <w:tcW w:w="5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22"/>
                <w:szCs w:val="22"/>
                <w:color w:val="auto"/>
                <w:w w:val="92"/>
              </w:rPr>
              <w:t>11,376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-205105</wp:posOffset>
            </wp:positionV>
            <wp:extent cx="300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Investments that represent 5% or more of the fair value of the Plan’s net assets at the end of the plan year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4800" w:type="dxa"/>
            <w:vAlign w:val="bottom"/>
          </w:tcPr>
          <w:p>
            <w:pPr>
              <w:spacing w:after="0"/>
              <w:rPr>
                <w:sz w:val="21"/>
                <w:szCs w:val="21"/>
                <w:color w:val="auto"/>
              </w:rPr>
            </w:pPr>
          </w:p>
        </w:tc>
        <w:tc>
          <w:tcPr>
            <w:tcW w:w="2500" w:type="dxa"/>
            <w:vAlign w:val="bottom"/>
            <w:gridSpan w:val="3"/>
          </w:tcPr>
          <w:p>
            <w:pPr>
              <w:jc w:val="right"/>
              <w:ind w:right="440"/>
              <w:spacing w:after="0"/>
              <w:rPr>
                <w:sz w:val="20"/>
                <w:szCs w:val="20"/>
                <w:color w:val="auto"/>
              </w:rPr>
            </w:pPr>
            <w:r>
              <w:rPr>
                <w:rFonts w:ascii="Arial" w:cs="Arial" w:eastAsia="Arial" w:hAnsi="Arial"/>
                <w:sz w:val="22"/>
                <w:szCs w:val="22"/>
                <w:color w:val="auto"/>
              </w:rPr>
              <w:t>2005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4800" w:type="dxa"/>
            <w:vAlign w:val="bottom"/>
          </w:tcPr>
          <w:p>
            <w:pPr>
              <w:ind w:left="260"/>
              <w:spacing w:after="0"/>
              <w:rPr>
                <w:sz w:val="20"/>
                <w:szCs w:val="20"/>
                <w:color w:val="auto"/>
              </w:rPr>
            </w:pPr>
            <w:r>
              <w:rPr>
                <w:rFonts w:ascii="Arial" w:cs="Arial" w:eastAsia="Arial" w:hAnsi="Arial"/>
                <w:sz w:val="22"/>
                <w:szCs w:val="22"/>
                <w:color w:val="auto"/>
                <w:w w:val="99"/>
              </w:rPr>
              <w:t>Investment in Phillips-Van Heusen Corporation</w:t>
            </w:r>
          </w:p>
        </w:tc>
        <w:tc>
          <w:tcPr>
            <w:tcW w:w="1640" w:type="dxa"/>
            <w:vAlign w:val="bottom"/>
          </w:tcPr>
          <w:p>
            <w:pPr>
              <w:ind w:left="200"/>
              <w:spacing w:after="0"/>
              <w:rPr>
                <w:sz w:val="20"/>
                <w:szCs w:val="20"/>
                <w:color w:val="auto"/>
              </w:rPr>
            </w:pPr>
            <w:r>
              <w:rPr>
                <w:rFonts w:ascii="Arial" w:cs="Arial" w:eastAsia="Arial" w:hAnsi="Arial"/>
                <w:sz w:val="22"/>
                <w:szCs w:val="22"/>
                <w:color w:val="auto"/>
              </w:rPr>
              <w:t>Associates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22"/>
                <w:szCs w:val="22"/>
                <w:color w:val="auto"/>
              </w:rPr>
              <w:t>$  28,015</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22"/>
                <w:szCs w:val="22"/>
                <w:color w:val="auto"/>
              </w:rPr>
              <w:t>Investment Plans Master Trust</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  28,558</w:t>
            </w:r>
          </w:p>
        </w:tc>
        <w:tc>
          <w:tcPr>
            <w:tcW w:w="13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rPr>
              <w:t>Dodge &amp; Cox Balanced</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9,205</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7,748</w:t>
            </w: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rPr>
              <w:t>Dreyfus Appreciation</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7,070</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5,875</w:t>
            </w: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rPr>
              <w:t>Strong Advisor Bond</w:t>
            </w:r>
          </w:p>
        </w:tc>
        <w:tc>
          <w:tcPr>
            <w:tcW w:w="206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8,313</w:t>
            </w: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w w:val="94"/>
              </w:rPr>
              <w:t>Wells Fargo Advantage Total Return Bond (Adm)</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9,005</w:t>
            </w: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rPr>
              <w:t>Wells Fargo Stable Return Fund (S)</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31,370</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21,360</w:t>
            </w:r>
          </w:p>
        </w:tc>
        <w:tc>
          <w:tcPr>
            <w:tcW w:w="0" w:type="dxa"/>
            <w:vAlign w:val="bottom"/>
          </w:tcPr>
          <w:p>
            <w:pPr>
              <w:spacing w:after="0"/>
              <w:rPr>
                <w:sz w:val="1"/>
                <w:szCs w:val="1"/>
                <w:color w:val="auto"/>
              </w:rPr>
            </w:pPr>
          </w:p>
        </w:tc>
      </w:tr>
      <w:tr>
        <w:trPr>
          <w:trHeight w:val="270"/>
        </w:trPr>
        <w:tc>
          <w:tcPr>
            <w:tcW w:w="4800" w:type="dxa"/>
            <w:vAlign w:val="bottom"/>
          </w:tcPr>
          <w:p>
            <w:pPr>
              <w:ind w:left="260"/>
              <w:spacing w:after="0"/>
              <w:rPr>
                <w:sz w:val="20"/>
                <w:szCs w:val="20"/>
                <w:color w:val="auto"/>
              </w:rPr>
            </w:pPr>
            <w:r>
              <w:rPr>
                <w:rFonts w:ascii="Arial" w:cs="Arial" w:eastAsia="Arial" w:hAnsi="Arial"/>
                <w:sz w:val="22"/>
                <w:szCs w:val="22"/>
                <w:color w:val="auto"/>
              </w:rPr>
              <w:t>Wells Fargo S&amp;P 500 Index Fund (G)</w:t>
            </w:r>
          </w:p>
        </w:tc>
        <w:tc>
          <w:tcPr>
            <w:tcW w:w="2500" w:type="dxa"/>
            <w:vAlign w:val="bottom"/>
            <w:gridSpan w:val="3"/>
          </w:tcPr>
          <w:p>
            <w:pPr>
              <w:jc w:val="right"/>
              <w:ind w:right="380"/>
              <w:spacing w:after="0"/>
              <w:rPr>
                <w:sz w:val="20"/>
                <w:szCs w:val="20"/>
                <w:color w:val="auto"/>
              </w:rPr>
            </w:pPr>
            <w:r>
              <w:rPr>
                <w:rFonts w:ascii="Arial" w:cs="Arial" w:eastAsia="Arial" w:hAnsi="Arial"/>
                <w:sz w:val="22"/>
                <w:szCs w:val="22"/>
                <w:color w:val="auto"/>
              </w:rPr>
              <w:t>8,624,725</w:t>
            </w: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line="210" w:lineRule="exact"/>
              <w:rPr>
                <w:sz w:val="20"/>
                <w:szCs w:val="20"/>
                <w:color w:val="auto"/>
              </w:rPr>
            </w:pPr>
            <w:r>
              <w:rPr>
                <w:rFonts w:ascii="Arial" w:cs="Arial" w:eastAsia="Arial" w:hAnsi="Arial"/>
                <w:sz w:val="22"/>
                <w:szCs w:val="22"/>
                <w:color w:val="auto"/>
              </w:rPr>
              <w:t>less than 5%</w:t>
            </w: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60"/>
              <w:spacing w:after="0" w:line="243" w:lineRule="exact"/>
              <w:rPr>
                <w:sz w:val="20"/>
                <w:szCs w:val="20"/>
                <w:color w:val="auto"/>
              </w:rPr>
            </w:pPr>
            <w:r>
              <w:rPr>
                <w:rFonts w:ascii="Arial" w:cs="Arial" w:eastAsia="Arial" w:hAnsi="Arial"/>
                <w:sz w:val="22"/>
                <w:szCs w:val="22"/>
                <w:color w:val="auto"/>
              </w:rPr>
              <w:t>Shares of registered companies representing</w:t>
            </w:r>
          </w:p>
        </w:tc>
        <w:tc>
          <w:tcPr>
            <w:tcW w:w="2500" w:type="dxa"/>
            <w:vAlign w:val="bottom"/>
            <w:gridSpan w:val="3"/>
            <w:vMerge w:val="restart"/>
          </w:tcPr>
          <w:p>
            <w:pPr>
              <w:jc w:val="right"/>
              <w:ind w:right="380"/>
              <w:spacing w:after="0"/>
              <w:rPr>
                <w:sz w:val="20"/>
                <w:szCs w:val="20"/>
                <w:color w:val="auto"/>
              </w:rPr>
            </w:pPr>
            <w:r>
              <w:rPr>
                <w:rFonts w:ascii="Arial" w:cs="Arial" w:eastAsia="Arial" w:hAnsi="Arial"/>
                <w:sz w:val="22"/>
                <w:szCs w:val="22"/>
                <w:color w:val="auto"/>
              </w:rPr>
              <w:t>8,836</w:t>
            </w:r>
          </w:p>
        </w:tc>
        <w:tc>
          <w:tcPr>
            <w:tcW w:w="1300" w:type="dxa"/>
            <w:vAlign w:val="bottom"/>
            <w:gridSpan w:val="3"/>
            <w:vMerge w:val="restart"/>
          </w:tcPr>
          <w:p>
            <w:pPr>
              <w:jc w:val="right"/>
              <w:spacing w:after="0"/>
              <w:rPr>
                <w:sz w:val="20"/>
                <w:szCs w:val="20"/>
                <w:color w:val="auto"/>
              </w:rPr>
            </w:pPr>
            <w:r>
              <w:rPr>
                <w:rFonts w:ascii="Arial" w:cs="Arial" w:eastAsia="Arial" w:hAnsi="Arial"/>
                <w:sz w:val="22"/>
                <w:szCs w:val="22"/>
                <w:color w:val="auto"/>
              </w:rPr>
              <w:t>5,486</w:t>
            </w:r>
          </w:p>
        </w:tc>
        <w:tc>
          <w:tcPr>
            <w:tcW w:w="0" w:type="dxa"/>
            <w:vAlign w:val="bottom"/>
          </w:tcPr>
          <w:p>
            <w:pPr>
              <w:spacing w:after="0"/>
              <w:rPr>
                <w:sz w:val="1"/>
                <w:szCs w:val="1"/>
                <w:color w:val="auto"/>
              </w:rPr>
            </w:pPr>
          </w:p>
        </w:tc>
      </w:tr>
      <w:tr>
        <w:trPr>
          <w:trHeight w:val="64"/>
        </w:trPr>
        <w:tc>
          <w:tcPr>
            <w:tcW w:w="480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 Investments not offered at the end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10540"/>
          </w:cols>
          <w:pgMar w:left="740" w:top="847" w:right="6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color w:val="auto"/>
        </w:rPr>
        <w:t>PHILLIPS-VAN HEUSEN CORPORATION</w:t>
      </w:r>
    </w:p>
    <w:p>
      <w:pPr>
        <w:jc w:val="center"/>
        <w:ind w:right="-19"/>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ind w:right="-19"/>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 Status</w:t>
      </w:r>
    </w:p>
    <w:p>
      <w:pPr>
        <w:spacing w:after="0" w:line="239"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The Plan has received a determination letter from the Internal Revenue Service dated April 27, 1995 stating that the Plan is qualified under Section 401(a) of the Internal Revenue Code (the “Code”) and, therefore, the related trust is exempt from taxation. Once qualified, the Plan is required to operate in conformity with the Code to maintain its qualification. The Plan has been amended since receiving the determination letter and a new determination letter will be applied for. The plan administrator believes that the Plan is currently designed and being operated in compliance with the applicable requirements of the Code and, therefore, believes that the Plan is qualified and the related trust is tax-exempt.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ectPr>
          <w:pgSz w:w="11900" w:h="16838" w:orient="portrait"/>
          <w:cols w:equalWidth="0" w:num="1">
            <w:col w:w="11420"/>
          </w:cols>
          <w:pgMar w:left="240" w:top="604"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4"/>
          <w:szCs w:val="34"/>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F-11</w:t>
      </w:r>
    </w:p>
    <w:p>
      <w:pPr>
        <w:sectPr>
          <w:pgSz w:w="11900" w:h="16838" w:orient="portrait"/>
          <w:cols w:equalWidth="0" w:num="1">
            <w:col w:w="9019"/>
          </w:cols>
          <w:pgMar w:left="1440" w:top="1440" w:right="1440"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22"/>
          <w:szCs w:val="22"/>
          <w:color w:val="auto"/>
        </w:rPr>
        <w:t>EIN:13-1166910</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Plan No: 014</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PHILLIPS-VAN HEUSEN CORPORATION</w:t>
      </w:r>
    </w:p>
    <w:p>
      <w:pPr>
        <w:jc w:val="center"/>
        <w:ind w:right="1200"/>
        <w:spacing w:after="0" w:line="238" w:lineRule="auto"/>
        <w:rPr>
          <w:sz w:val="20"/>
          <w:szCs w:val="20"/>
          <w:color w:val="auto"/>
        </w:rPr>
      </w:pPr>
      <w:r>
        <w:rPr>
          <w:rFonts w:ascii="Arial" w:cs="Arial" w:eastAsia="Arial" w:hAnsi="Arial"/>
          <w:sz w:val="22"/>
          <w:szCs w:val="22"/>
          <w:color w:val="auto"/>
        </w:rPr>
        <w:t>ASSOCIATES INVESTMENT PLAN FOR RESIDENTS</w:t>
      </w:r>
    </w:p>
    <w:p>
      <w:pPr>
        <w:jc w:val="center"/>
        <w:ind w:right="1200"/>
        <w:spacing w:after="0"/>
        <w:rPr>
          <w:sz w:val="20"/>
          <w:szCs w:val="20"/>
          <w:color w:val="auto"/>
        </w:rPr>
      </w:pPr>
      <w:r>
        <w:rPr>
          <w:rFonts w:ascii="Arial" w:cs="Arial" w:eastAsia="Arial" w:hAnsi="Arial"/>
          <w:sz w:val="22"/>
          <w:szCs w:val="22"/>
          <w:color w:val="auto"/>
        </w:rPr>
        <w:t>OF THE COMMONWEALTH OF PUERTO RICO</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SCHEDULE H, LINE 4i--SCHEDULE OF ASSETS (HELD AT END OF YEAR)</w:t>
      </w:r>
    </w:p>
    <w:p>
      <w:pPr>
        <w:spacing w:after="0" w:line="233"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December 31, 2005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gridSpan w:val="3"/>
          </w:tcPr>
          <w:p>
            <w:pPr>
              <w:jc w:val="center"/>
              <w:spacing w:after="0"/>
              <w:rPr>
                <w:sz w:val="20"/>
                <w:szCs w:val="20"/>
                <w:color w:val="auto"/>
              </w:rPr>
            </w:pPr>
            <w:r>
              <w:rPr>
                <w:rFonts w:ascii="Arial" w:cs="Arial" w:eastAsia="Arial" w:hAnsi="Arial"/>
                <w:sz w:val="22"/>
                <w:szCs w:val="22"/>
                <w:color w:val="auto"/>
                <w:w w:val="90"/>
              </w:rPr>
              <w:t>Description of Investment,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gridSpan w:val="3"/>
          </w:tcPr>
          <w:p>
            <w:pPr>
              <w:jc w:val="center"/>
              <w:spacing w:after="0" w:line="229" w:lineRule="exact"/>
              <w:rPr>
                <w:sz w:val="20"/>
                <w:szCs w:val="20"/>
                <w:color w:val="auto"/>
              </w:rPr>
            </w:pPr>
            <w:r>
              <w:rPr>
                <w:rFonts w:ascii="Arial" w:cs="Arial" w:eastAsia="Arial" w:hAnsi="Arial"/>
                <w:sz w:val="22"/>
                <w:szCs w:val="22"/>
                <w:color w:val="auto"/>
                <w:w w:val="92"/>
              </w:rPr>
              <w:t>Including Maturity Date,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4"/>
              </w:rPr>
              <w:t>Identity of Issue, Borrower,</w:t>
            </w:r>
          </w:p>
        </w:tc>
        <w:tc>
          <w:tcPr>
            <w:tcW w:w="1060" w:type="dxa"/>
            <w:vAlign w:val="bottom"/>
          </w:tcPr>
          <w:p>
            <w:pPr>
              <w:spacing w:after="0"/>
              <w:rPr>
                <w:sz w:val="19"/>
                <w:szCs w:val="19"/>
                <w:color w:val="auto"/>
              </w:rPr>
            </w:pPr>
          </w:p>
        </w:tc>
        <w:tc>
          <w:tcPr>
            <w:tcW w:w="2880" w:type="dxa"/>
            <w:vAlign w:val="bottom"/>
            <w:gridSpan w:val="2"/>
          </w:tcPr>
          <w:p>
            <w:pPr>
              <w:jc w:val="center"/>
              <w:ind w:right="1060"/>
              <w:spacing w:after="0" w:line="229" w:lineRule="exact"/>
              <w:rPr>
                <w:sz w:val="20"/>
                <w:szCs w:val="20"/>
                <w:color w:val="auto"/>
              </w:rPr>
            </w:pPr>
            <w:r>
              <w:rPr>
                <w:rFonts w:ascii="Arial" w:cs="Arial" w:eastAsia="Arial" w:hAnsi="Arial"/>
                <w:sz w:val="22"/>
                <w:szCs w:val="22"/>
                <w:color w:val="auto"/>
                <w:w w:val="88"/>
              </w:rPr>
              <w:t>Rate of Interest,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jc w:val="center"/>
              <w:spacing w:after="0" w:line="224" w:lineRule="exact"/>
              <w:rPr>
                <w:sz w:val="20"/>
                <w:szCs w:val="20"/>
                <w:color w:val="auto"/>
              </w:rPr>
            </w:pPr>
            <w:r>
              <w:rPr>
                <w:rFonts w:ascii="Arial" w:cs="Arial" w:eastAsia="Arial" w:hAnsi="Arial"/>
                <w:sz w:val="22"/>
                <w:szCs w:val="22"/>
                <w:color w:val="auto"/>
                <w:w w:val="90"/>
              </w:rPr>
              <w:t>Lessor or Similar Party</w:t>
            </w:r>
          </w:p>
        </w:tc>
        <w:tc>
          <w:tcPr>
            <w:tcW w:w="1060" w:type="dxa"/>
            <w:vAlign w:val="bottom"/>
          </w:tcPr>
          <w:p>
            <w:pPr>
              <w:spacing w:after="0"/>
              <w:rPr>
                <w:sz w:val="19"/>
                <w:szCs w:val="19"/>
                <w:color w:val="auto"/>
              </w:rPr>
            </w:pPr>
          </w:p>
        </w:tc>
        <w:tc>
          <w:tcPr>
            <w:tcW w:w="2880" w:type="dxa"/>
            <w:vAlign w:val="bottom"/>
            <w:gridSpan w:val="2"/>
          </w:tcPr>
          <w:p>
            <w:pPr>
              <w:spacing w:after="0" w:line="224" w:lineRule="exact"/>
              <w:rPr>
                <w:sz w:val="20"/>
                <w:szCs w:val="20"/>
                <w:color w:val="auto"/>
              </w:rPr>
            </w:pPr>
            <w:r>
              <w:rPr>
                <w:rFonts w:ascii="Arial" w:cs="Arial" w:eastAsia="Arial" w:hAnsi="Arial"/>
                <w:sz w:val="22"/>
                <w:szCs w:val="22"/>
                <w:color w:val="auto"/>
              </w:rPr>
              <w:t>Par or Maturity Value</w:t>
            </w:r>
          </w:p>
        </w:tc>
        <w:tc>
          <w:tcPr>
            <w:tcW w:w="100" w:type="dxa"/>
            <w:vAlign w:val="bottom"/>
          </w:tcPr>
          <w:p>
            <w:pPr>
              <w:spacing w:after="0"/>
              <w:rPr>
                <w:sz w:val="19"/>
                <w:szCs w:val="19"/>
                <w:color w:val="auto"/>
              </w:rPr>
            </w:pPr>
          </w:p>
        </w:tc>
        <w:tc>
          <w:tcPr>
            <w:tcW w:w="1320" w:type="dxa"/>
            <w:vAlign w:val="bottom"/>
            <w:gridSpan w:val="3"/>
          </w:tcPr>
          <w:p>
            <w:pPr>
              <w:spacing w:after="0" w:line="224" w:lineRule="exact"/>
              <w:rPr>
                <w:sz w:val="20"/>
                <w:szCs w:val="20"/>
                <w:color w:val="auto"/>
              </w:rPr>
            </w:pPr>
            <w:r>
              <w:rPr>
                <w:rFonts w:ascii="Arial" w:cs="Arial" w:eastAsia="Arial" w:hAnsi="Arial"/>
                <w:sz w:val="22"/>
                <w:szCs w:val="22"/>
                <w:color w:val="auto"/>
                <w:w w:val="95"/>
              </w:rPr>
              <w:t>Current Value</w:t>
            </w:r>
          </w:p>
        </w:tc>
        <w:tc>
          <w:tcPr>
            <w:tcW w:w="0" w:type="dxa"/>
            <w:vAlign w:val="bottom"/>
          </w:tcPr>
          <w:p>
            <w:pPr>
              <w:spacing w:after="0"/>
              <w:rPr>
                <w:sz w:val="1"/>
                <w:szCs w:val="1"/>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260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rPr>
                <w:sz w:val="20"/>
                <w:szCs w:val="20"/>
                <w:color w:val="auto"/>
              </w:rPr>
            </w:pPr>
            <w:r>
              <w:rPr>
                <w:rFonts w:ascii="Arial" w:cs="Arial" w:eastAsia="Arial" w:hAnsi="Arial"/>
                <w:sz w:val="22"/>
                <w:szCs w:val="22"/>
                <w:color w:val="auto"/>
                <w:w w:val="97"/>
              </w:rPr>
              <w:t>Dodge &amp; Cox Balanced; 111.644 shares</w:t>
            </w:r>
          </w:p>
        </w:tc>
        <w:tc>
          <w:tcPr>
            <w:tcW w:w="280" w:type="dxa"/>
            <w:vAlign w:val="bottom"/>
            <w:gridSpan w:val="2"/>
          </w:tcPr>
          <w:p>
            <w:pPr>
              <w:ind w:left="100"/>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9,205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rPr>
                <w:sz w:val="20"/>
                <w:szCs w:val="20"/>
                <w:color w:val="auto"/>
              </w:rPr>
            </w:pPr>
            <w:r>
              <w:rPr>
                <w:rFonts w:ascii="Arial" w:cs="Arial" w:eastAsia="Arial" w:hAnsi="Arial"/>
                <w:sz w:val="22"/>
                <w:szCs w:val="22"/>
                <w:color w:val="auto"/>
              </w:rPr>
              <w:t>Dreyfus Appreciation; 177.855 shares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7,070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rPr>
                <w:sz w:val="20"/>
                <w:szCs w:val="20"/>
                <w:color w:val="auto"/>
              </w:rPr>
            </w:pPr>
            <w:r>
              <w:rPr>
                <w:rFonts w:ascii="Arial" w:cs="Arial" w:eastAsia="Arial" w:hAnsi="Arial"/>
                <w:sz w:val="22"/>
                <w:szCs w:val="22"/>
                <w:color w:val="auto"/>
              </w:rPr>
              <w:t>Oakmark International I; 73.000 shares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1,644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rPr>
                <w:sz w:val="20"/>
                <w:szCs w:val="20"/>
                <w:color w:val="auto"/>
              </w:rPr>
            </w:pPr>
            <w:r>
              <w:rPr>
                <w:rFonts w:ascii="Arial" w:cs="Arial" w:eastAsia="Arial" w:hAnsi="Arial"/>
                <w:sz w:val="22"/>
                <w:szCs w:val="22"/>
                <w:color w:val="auto"/>
              </w:rPr>
              <w:t>Dodge &amp; Cox Income; 63.902 shares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801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2"/>
              </w:rPr>
              <w:t>Wells Fargo Advantage Total Return Bond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40" w:type="dxa"/>
            <w:vAlign w:val="bottom"/>
            <w:gridSpan w:val="3"/>
          </w:tcPr>
          <w:p>
            <w:pPr>
              <w:ind w:left="280"/>
              <w:spacing w:after="0"/>
              <w:rPr>
                <w:sz w:val="20"/>
                <w:szCs w:val="20"/>
                <w:color w:val="auto"/>
              </w:rPr>
            </w:pPr>
            <w:r>
              <w:rPr>
                <w:rFonts w:ascii="Arial" w:cs="Arial" w:eastAsia="Arial" w:hAnsi="Arial"/>
                <w:sz w:val="22"/>
                <w:szCs w:val="22"/>
                <w:color w:val="auto"/>
              </w:rPr>
              <w:t>Fund (Adm); 738.735 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9,005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Wells Fargo S&amp;P 500 Index Fund (G);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40" w:type="dxa"/>
            <w:vAlign w:val="bottom"/>
            <w:gridSpan w:val="3"/>
          </w:tcPr>
          <w:p>
            <w:pPr>
              <w:ind w:left="480"/>
              <w:spacing w:after="0"/>
              <w:rPr>
                <w:sz w:val="20"/>
                <w:szCs w:val="20"/>
                <w:color w:val="auto"/>
              </w:rPr>
            </w:pPr>
            <w:r>
              <w:rPr>
                <w:rFonts w:ascii="Arial" w:cs="Arial" w:eastAsia="Arial" w:hAnsi="Arial"/>
                <w:sz w:val="22"/>
                <w:szCs w:val="22"/>
                <w:color w:val="auto"/>
              </w:rPr>
              <w:t>91.634 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72"/>
              <w:spacing w:after="0"/>
              <w:rPr>
                <w:sz w:val="20"/>
                <w:szCs w:val="20"/>
                <w:color w:val="auto"/>
              </w:rPr>
            </w:pPr>
            <w:r>
              <w:rPr>
                <w:rFonts w:ascii="Arial" w:cs="Arial" w:eastAsia="Arial" w:hAnsi="Arial"/>
                <w:sz w:val="22"/>
                <w:szCs w:val="22"/>
                <w:color w:val="auto"/>
              </w:rPr>
              <w:t>3,598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9"/>
              </w:rPr>
              <w:t>Wells Fargo Small Cap Value Fund (Z);</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40" w:type="dxa"/>
            <w:vAlign w:val="bottom"/>
            <w:gridSpan w:val="3"/>
          </w:tcPr>
          <w:p>
            <w:pPr>
              <w:ind w:left="320"/>
              <w:spacing w:after="0"/>
              <w:rPr>
                <w:sz w:val="20"/>
                <w:szCs w:val="20"/>
                <w:color w:val="auto"/>
              </w:rPr>
            </w:pPr>
            <w:r>
              <w:rPr>
                <w:rFonts w:ascii="Arial" w:cs="Arial" w:eastAsia="Arial" w:hAnsi="Arial"/>
                <w:sz w:val="22"/>
                <w:szCs w:val="22"/>
                <w:color w:val="auto"/>
              </w:rPr>
              <w:t>92.555 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2,793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Wells Fargo Stable Return Fund (S);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40" w:type="dxa"/>
            <w:vAlign w:val="bottom"/>
            <w:gridSpan w:val="3"/>
          </w:tcPr>
          <w:p>
            <w:pPr>
              <w:ind w:left="320"/>
              <w:spacing w:after="0"/>
              <w:rPr>
                <w:sz w:val="20"/>
                <w:szCs w:val="20"/>
                <w:color w:val="auto"/>
              </w:rPr>
            </w:pPr>
            <w:r>
              <w:rPr>
                <w:rFonts w:ascii="Arial" w:cs="Arial" w:eastAsia="Arial" w:hAnsi="Arial"/>
                <w:sz w:val="22"/>
                <w:szCs w:val="22"/>
                <w:color w:val="auto"/>
              </w:rPr>
              <w:t>817.004 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31,370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Investment in Phillips-Van Heusen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40" w:type="dxa"/>
            <w:vAlign w:val="bottom"/>
            <w:gridSpan w:val="3"/>
          </w:tcPr>
          <w:p>
            <w:pPr>
              <w:ind w:left="280"/>
              <w:spacing w:after="0" w:line="229" w:lineRule="exact"/>
              <w:rPr>
                <w:sz w:val="20"/>
                <w:szCs w:val="20"/>
                <w:color w:val="auto"/>
              </w:rPr>
            </w:pPr>
            <w:r>
              <w:rPr>
                <w:rFonts w:ascii="Arial" w:cs="Arial" w:eastAsia="Arial" w:hAnsi="Arial"/>
                <w:sz w:val="22"/>
                <w:szCs w:val="22"/>
                <w:color w:val="auto"/>
                <w:w w:val="90"/>
              </w:rPr>
              <w:t>Corporation Associates Investment Plans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172"/>
              <w:spacing w:after="0" w:line="229" w:lineRule="exact"/>
              <w:rPr>
                <w:sz w:val="20"/>
                <w:szCs w:val="20"/>
                <w:color w:val="auto"/>
              </w:rPr>
            </w:pPr>
            <w:r>
              <w:rPr>
                <w:rFonts w:ascii="Arial" w:cs="Arial" w:eastAsia="Arial" w:hAnsi="Arial"/>
                <w:sz w:val="22"/>
                <w:szCs w:val="22"/>
                <w:color w:val="auto"/>
              </w:rPr>
              <w:t>28,558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Master Trust; 851,000 units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394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0"/>
              </w:rPr>
              <w:t>Loan Fund; 10,081.320 units maturity dates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2280" w:type="dxa"/>
            <w:vAlign w:val="bottom"/>
            <w:gridSpan w:val="2"/>
            <w:vMerge w:val="restart"/>
          </w:tcPr>
          <w:p>
            <w:pPr>
              <w:jc w:val="center"/>
              <w:ind w:right="260"/>
              <w:spacing w:after="0"/>
              <w:rPr>
                <w:sz w:val="20"/>
                <w:szCs w:val="20"/>
                <w:color w:val="auto"/>
              </w:rPr>
            </w:pPr>
            <w:r>
              <w:rPr>
                <w:rFonts w:ascii="Arial" w:cs="Arial" w:eastAsia="Arial" w:hAnsi="Arial"/>
                <w:sz w:val="22"/>
                <w:szCs w:val="22"/>
                <w:color w:val="auto"/>
                <w:w w:val="88"/>
              </w:rPr>
              <w:t>Total investments held</w:t>
            </w:r>
          </w:p>
        </w:tc>
        <w:tc>
          <w:tcPr>
            <w:tcW w:w="3940" w:type="dxa"/>
            <w:vAlign w:val="bottom"/>
            <w:gridSpan w:val="3"/>
          </w:tcPr>
          <w:p>
            <w:pPr>
              <w:ind w:left="280"/>
              <w:spacing w:after="0"/>
              <w:rPr>
                <w:sz w:val="20"/>
                <w:szCs w:val="20"/>
                <w:color w:val="auto"/>
              </w:rPr>
            </w:pPr>
            <w:r>
              <w:rPr>
                <w:rFonts w:ascii="Arial" w:cs="Arial" w:eastAsia="Arial" w:hAnsi="Arial"/>
                <w:sz w:val="22"/>
                <w:szCs w:val="22"/>
                <w:color w:val="auto"/>
                <w:w w:val="92"/>
              </w:rPr>
              <w:t>through 2009, interest rates: 5% to 7.5%</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10,081</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20" w:type="dxa"/>
            <w:vAlign w:val="bottom"/>
          </w:tcPr>
          <w:p>
            <w:pPr>
              <w:spacing w:after="0"/>
              <w:rPr>
                <w:sz w:val="24"/>
                <w:szCs w:val="24"/>
                <w:color w:val="auto"/>
              </w:rPr>
            </w:pPr>
          </w:p>
        </w:tc>
        <w:tc>
          <w:tcPr>
            <w:tcW w:w="6220" w:type="dxa"/>
            <w:vAlign w:val="bottom"/>
            <w:gridSpan w:val="5"/>
          </w:tcPr>
          <w:p>
            <w:pPr>
              <w:ind w:left="340"/>
              <w:spacing w:after="0"/>
              <w:rPr>
                <w:sz w:val="20"/>
                <w:szCs w:val="20"/>
                <w:color w:val="auto"/>
              </w:rPr>
            </w:pPr>
            <w:r>
              <w:rPr>
                <w:rFonts w:ascii="Arial" w:cs="Arial" w:eastAsia="Arial" w:hAnsi="Arial"/>
                <w:sz w:val="22"/>
                <w:szCs w:val="22"/>
                <w:color w:val="auto"/>
              </w:rPr>
              <w:t>by Wells Fargo Bank, N.A.</w:t>
            </w:r>
          </w:p>
        </w:tc>
        <w:tc>
          <w:tcPr>
            <w:tcW w:w="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0"/>
              </w:rPr>
              <w:t>104,125</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F-12</w:t>
      </w:r>
    </w:p>
    <w:p>
      <w:pPr>
        <w:sectPr>
          <w:pgSz w:w="11900" w:h="16838" w:orient="portrait"/>
          <w:cols w:equalWidth="0" w:num="1">
            <w:col w:w="10220"/>
          </w:cols>
          <w:pgMar w:left="1440" w:top="604" w:right="239" w:bottom="1440" w:gutter="0" w:footer="0" w:header="0"/>
        </w:sectPr>
      </w:pPr>
    </w:p>
    <w:bookmarkStart w:id="14" w:name="page15"/>
    <w:bookmarkEnd w:id="14"/>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No.</w:t>
      </w:r>
    </w:p>
    <w:p>
      <w:pPr>
        <w:spacing w:after="0" w:line="233" w:lineRule="exact"/>
        <w:rPr>
          <w:sz w:val="20"/>
          <w:szCs w:val="20"/>
          <w:color w:val="auto"/>
        </w:rPr>
      </w:pPr>
    </w:p>
    <w:p>
      <w:pPr>
        <w:ind w:left="260"/>
        <w:spacing w:after="0"/>
        <w:tabs>
          <w:tab w:leader="none" w:pos="1940" w:val="left"/>
        </w:tabs>
        <w:rPr>
          <w:sz w:val="20"/>
          <w:szCs w:val="20"/>
          <w:color w:val="auto"/>
        </w:rPr>
      </w:pPr>
      <w:r>
        <w:rPr>
          <w:rFonts w:ascii="Arial" w:cs="Arial" w:eastAsia="Arial" w:hAnsi="Arial"/>
          <w:sz w:val="43"/>
          <w:szCs w:val="43"/>
          <w:color w:val="auto"/>
          <w:vertAlign w:val="superscript"/>
        </w:rPr>
        <w:t>23.1</w:t>
      </w:r>
      <w:r>
        <w:rPr>
          <w:sz w:val="20"/>
          <w:szCs w:val="20"/>
          <w:color w:val="auto"/>
        </w:rPr>
        <w:tab/>
      </w:r>
      <w:r>
        <w:rPr>
          <w:rFonts w:ascii="Arial" w:cs="Arial" w:eastAsia="Arial" w:hAnsi="Arial"/>
          <w:sz w:val="19"/>
          <w:szCs w:val="19"/>
          <w:color w:val="auto"/>
        </w:rPr>
        <w:t>Consent of Independent Auditors</w:t>
      </w:r>
    </w:p>
    <w:p>
      <w:pPr>
        <w:sectPr>
          <w:pgSz w:w="11900" w:h="16838" w:orient="portrait"/>
          <w:cols w:equalWidth="0" w:num="1">
            <w:col w:w="10219"/>
          </w:cols>
          <w:pgMar w:left="240" w:top="604" w:right="1440" w:bottom="1440" w:gutter="0" w:footer="0" w:header="0"/>
        </w:sectPr>
      </w:pPr>
    </w:p>
    <w:bookmarkStart w:id="15" w:name="page16"/>
    <w:bookmarkEnd w:id="15"/>
    <w:p>
      <w:pPr>
        <w:spacing w:after="0"/>
        <w:tabs>
          <w:tab w:leader="none" w:pos="1940"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consent to the incorporation by reference in the Registration Statement (Form S-8 No. 333-125694) pertaining to the Phillips-Van Heusen Corporation Associates Investment Plan for Salaried Associates of our report dated June 19, 2006, with respect to the financial statements of the Phillips-Van Heusen Corporation Associates Investment Plan for Salaried Associates included in this Annual Report (Form 11-K) for the year ended December 31, 2005.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SPIELMAN KOENIGSBERG &amp; PARKER, LLP</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June 23, 2006</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2019-12-13T06:19:07Z</dcterms:created>
  <dcterms:modified xsi:type="dcterms:W3CDTF">2019-12-13T06:19:07Z</dcterms:modified>
</cp:coreProperties>
</file>