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FISCHER MARK 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PVH CORP.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PVH</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04/06/2023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5"/>
        <w:spacing w:after="0"/>
        <w:rPr>
          <w:sz w:val="20"/>
          <w:szCs w:val="20"/>
          <w:color w:val="auto"/>
        </w:rPr>
      </w:pPr>
      <w:r>
        <w:rPr>
          <w:rFonts w:ascii="Arial" w:cs="Arial" w:eastAsia="Arial" w:hAnsi="Arial"/>
          <w:sz w:val="17"/>
          <w:szCs w:val="17"/>
          <w:color w:val="0000FF"/>
        </w:rPr>
        <w:t>EVP, General Counsel &amp; Sec.</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10017</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$1 par value</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04/06/2023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2,984</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33,746</w:t>
            </w:r>
            <w:r>
              <w:rPr>
                <w:rFonts w:ascii="Arial" w:cs="Arial" w:eastAsia="Arial" w:hAnsi="Arial"/>
                <w:sz w:val="22"/>
                <w:szCs w:val="22"/>
                <w:color w:val="008000"/>
                <w:w w:val="85"/>
                <w:vertAlign w:val="superscript"/>
              </w:rPr>
              <w:t>(2)</w:t>
            </w:r>
          </w:p>
        </w:tc>
        <w:tc>
          <w:tcPr>
            <w:tcW w:w="94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$1 par value</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04/06/2023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882</w:t>
            </w:r>
            <w:r>
              <w:rPr>
                <w:rFonts w:ascii="Arial" w:cs="Arial" w:eastAsia="Arial" w:hAnsi="Arial"/>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83.8</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32,864</w:t>
            </w:r>
            <w:r>
              <w:rPr>
                <w:rFonts w:ascii="Arial" w:cs="Arial" w:eastAsia="Arial" w:hAnsi="Arial"/>
                <w:sz w:val="22"/>
                <w:szCs w:val="22"/>
                <w:color w:val="008000"/>
                <w:w w:val="85"/>
                <w:vertAlign w:val="superscript"/>
              </w:rPr>
              <w:t>(4)</w:t>
            </w:r>
          </w:p>
        </w:tc>
        <w:tc>
          <w:tcPr>
            <w:tcW w:w="94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740" w:type="dxa"/>
            <w:vAlign w:val="bottom"/>
            <w:gridSpan w:val="3"/>
          </w:tcPr>
          <w:p>
            <w:pPr>
              <w:ind w:left="80"/>
              <w:spacing w:after="0"/>
              <w:rPr>
                <w:sz w:val="20"/>
                <w:szCs w:val="20"/>
                <w:color w:val="auto"/>
              </w:rPr>
            </w:pPr>
            <w:r>
              <w:rPr>
                <w:rFonts w:ascii="Arial" w:cs="Arial" w:eastAsia="Arial" w:hAnsi="Arial"/>
                <w:sz w:val="17"/>
                <w:szCs w:val="17"/>
                <w:color w:val="0000FF"/>
              </w:rPr>
              <w: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0"/>
              </w:rPr>
              <w:t>706.7606</w:t>
            </w:r>
          </w:p>
        </w:tc>
        <w:tc>
          <w:tcPr>
            <w:tcW w:w="940" w:type="dxa"/>
            <w:vAlign w:val="bottom"/>
          </w:tcPr>
          <w:p>
            <w:pPr>
              <w:jc w:val="center"/>
              <w:ind w:right="53"/>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subject to an award of restricted stock units. Each unit represents a contingent right to receive one share of Issuer's Common Stock. The units vest 25% (746 shares) on each anniversary of grant. Vested shares are delivered as soon as practicable after they vest.</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19,066 shares of Common Stock subject to awards of restricted stock units.</w:t>
      </w:r>
    </w:p>
    <w:p>
      <w:pPr>
        <w:spacing w:after="0" w:line="50"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satisfy the Reporting Person's tax obligations in connection with the vesting of 1,749 restricted stock units. The restricted stock units were reported as directly owned shares at the time they were granted.</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17,317 shares of Common Stock subject to awards of restricted stock units.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Mark D. Fischer</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04/07/2023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3792" TargetMode="External"/><Relationship Id="rId13"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2023-04-10T15:20:00Z</dcterms:created>
  <dcterms:modified xsi:type="dcterms:W3CDTF">2023-04-10T15:20:00Z</dcterms:modified>
</cp:coreProperties>
</file>