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70" w:lineRule="exact"/>
        <w:rPr>
          <w:sz w:val="24"/>
          <w:szCs w:val="24"/>
          <w:color w:val="auto"/>
        </w:rPr>
      </w:pPr>
    </w:p>
    <w:p>
      <w:pPr>
        <w:ind w:left="1400" w:hanging="362"/>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ind w:left="1040"/>
        <w:spacing w:after="0"/>
        <w:tabs>
          <w:tab w:leader="none" w:pos="3400" w:val="left"/>
        </w:tabs>
        <w:rPr>
          <w:sz w:val="20"/>
          <w:szCs w:val="20"/>
          <w:color w:val="auto"/>
        </w:rPr>
      </w:pPr>
      <w:r>
        <w:rPr>
          <w:rFonts w:ascii="Times New Roman" w:cs="Times New Roman" w:eastAsia="Times New Roman" w:hAnsi="Times New Roman"/>
          <w:sz w:val="18"/>
          <w:szCs w:val="18"/>
          <w:color w:val="auto"/>
        </w:rPr>
        <w:t>For the quarterly period ended</w:t>
        <w:tab/>
        <w:t>May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17145</wp:posOffset>
            </wp:positionV>
            <wp:extent cx="4328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0" w:lineRule="exact"/>
        <w:rPr>
          <w:sz w:val="24"/>
          <w:szCs w:val="24"/>
          <w:color w:val="auto"/>
        </w:rPr>
      </w:pPr>
    </w:p>
    <w:p>
      <w:pPr>
        <w:ind w:left="1380" w:hanging="335"/>
        <w:spacing w:after="0"/>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3860" w:type="dxa"/>
            <w:vAlign w:val="bottom"/>
            <w:tcBorders>
              <w:bottom w:val="single" w:sz="8" w:color="auto"/>
            </w:tcBorders>
            <w:gridSpan w:val="3"/>
          </w:tcPr>
          <w:p>
            <w:pPr>
              <w:spacing w:after="0"/>
              <w:rPr>
                <w:sz w:val="20"/>
                <w:szCs w:val="20"/>
                <w:color w:val="auto"/>
              </w:rPr>
            </w:pPr>
          </w:p>
        </w:tc>
        <w:tc>
          <w:tcPr>
            <w:tcW w:w="1020" w:type="dxa"/>
            <w:vAlign w:val="bottom"/>
          </w:tcPr>
          <w:p>
            <w:pPr>
              <w:spacing w:after="0"/>
              <w:rPr>
                <w:sz w:val="20"/>
                <w:szCs w:val="20"/>
                <w:color w:val="auto"/>
              </w:rPr>
            </w:pPr>
          </w:p>
        </w:tc>
      </w:tr>
      <w:tr>
        <w:trPr>
          <w:trHeight w:val="506"/>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20" w:type="dxa"/>
            <w:vAlign w:val="bottom"/>
            <w:gridSpan w:val="7"/>
          </w:tcPr>
          <w:p>
            <w:pPr>
              <w:jc w:val="center"/>
              <w:ind w:right="3070"/>
              <w:spacing w:after="0"/>
              <w:rPr>
                <w:sz w:val="20"/>
                <w:szCs w:val="20"/>
                <w:color w:val="auto"/>
              </w:rPr>
            </w:pPr>
            <w:r>
              <w:rPr>
                <w:rFonts w:ascii="Times New Roman" w:cs="Times New Roman" w:eastAsia="Times New Roman" w:hAnsi="Times New Roman"/>
                <w:sz w:val="18"/>
                <w:szCs w:val="18"/>
                <w:color w:val="auto"/>
              </w:rPr>
              <w:t>Commission File Number 001-07572</w:t>
            </w:r>
          </w:p>
        </w:tc>
        <w:tc>
          <w:tcPr>
            <w:tcW w:w="1020" w:type="dxa"/>
            <w:vAlign w:val="bottom"/>
          </w:tcPr>
          <w:p>
            <w:pPr>
              <w:spacing w:after="0"/>
              <w:rPr>
                <w:sz w:val="24"/>
                <w:szCs w:val="24"/>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3"/>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gridSpan w:val="6"/>
          </w:tcPr>
          <w:p>
            <w:pPr>
              <w:jc w:val="center"/>
              <w:ind w:right="3470"/>
              <w:spacing w:after="0"/>
              <w:rPr>
                <w:sz w:val="20"/>
                <w:szCs w:val="20"/>
                <w:color w:val="auto"/>
              </w:rPr>
            </w:pPr>
            <w:r>
              <w:rPr>
                <w:rFonts w:ascii="Times New Roman" w:cs="Times New Roman" w:eastAsia="Times New Roman" w:hAnsi="Times New Roman"/>
                <w:sz w:val="22"/>
                <w:szCs w:val="22"/>
                <w:b w:val="1"/>
                <w:bCs w:val="1"/>
                <w:color w:val="auto"/>
                <w:w w:val="96"/>
              </w:rPr>
              <w:t>PVH CORP.</w:t>
            </w:r>
          </w:p>
        </w:tc>
        <w:tc>
          <w:tcPr>
            <w:tcW w:w="102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gridSpan w:val="8"/>
          </w:tcPr>
          <w:p>
            <w:pPr>
              <w:jc w:val="center"/>
              <w:ind w:right="23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020" w:type="dxa"/>
            <w:vAlign w:val="bottom"/>
          </w:tcPr>
          <w:p>
            <w:pPr>
              <w:spacing w:after="0"/>
              <w:rPr>
                <w:sz w:val="20"/>
                <w:szCs w:val="20"/>
                <w:color w:val="auto"/>
              </w:rPr>
            </w:pPr>
          </w:p>
        </w:tc>
      </w:tr>
      <w:tr>
        <w:trPr>
          <w:trHeight w:val="351"/>
        </w:trPr>
        <w:tc>
          <w:tcPr>
            <w:tcW w:w="33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2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color w:val="auto"/>
              </w:rPr>
              <w:t>13-1166910</w:t>
            </w:r>
          </w:p>
        </w:tc>
        <w:tc>
          <w:tcPr>
            <w:tcW w:w="1020" w:type="dxa"/>
            <w:vAlign w:val="bottom"/>
          </w:tcPr>
          <w:p>
            <w:pPr>
              <w:spacing w:after="0"/>
              <w:rPr>
                <w:sz w:val="24"/>
                <w:szCs w:val="24"/>
                <w:color w:val="auto"/>
              </w:rPr>
            </w:pPr>
          </w:p>
        </w:tc>
      </w:tr>
      <w:tr>
        <w:trPr>
          <w:trHeight w:val="218"/>
        </w:trPr>
        <w:tc>
          <w:tcPr>
            <w:tcW w:w="3380" w:type="dxa"/>
            <w:vAlign w:val="bottom"/>
            <w:tcBorders>
              <w:top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tcBorders>
              <w:top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(I.R.S. Employer</w:t>
            </w:r>
          </w:p>
        </w:tc>
        <w:tc>
          <w:tcPr>
            <w:tcW w:w="1020" w:type="dxa"/>
            <w:vAlign w:val="bottom"/>
            <w:tcBorders>
              <w:top w:val="single" w:sz="8" w:color="auto"/>
            </w:tcBorders>
          </w:tcPr>
          <w:p>
            <w:pPr>
              <w:spacing w:after="0"/>
              <w:rPr>
                <w:sz w:val="18"/>
                <w:szCs w:val="18"/>
                <w:color w:val="auto"/>
              </w:rPr>
            </w:pPr>
          </w:p>
        </w:tc>
      </w:tr>
      <w:tr>
        <w:trPr>
          <w:trHeight w:val="234"/>
        </w:trPr>
        <w:tc>
          <w:tcPr>
            <w:tcW w:w="33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1020" w:type="dxa"/>
            <w:vAlign w:val="bottom"/>
          </w:tcPr>
          <w:p>
            <w:pPr>
              <w:spacing w:after="0"/>
              <w:rPr>
                <w:sz w:val="20"/>
                <w:szCs w:val="20"/>
                <w:color w:val="auto"/>
              </w:rPr>
            </w:pPr>
          </w:p>
        </w:tc>
      </w:tr>
      <w:tr>
        <w:trPr>
          <w:trHeight w:val="486"/>
        </w:trPr>
        <w:tc>
          <w:tcPr>
            <w:tcW w:w="3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285 Madison Avenue, New York,</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6020" w:type="dxa"/>
            <w:vAlign w:val="bottom"/>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10017</w:t>
            </w:r>
          </w:p>
        </w:tc>
        <w:tc>
          <w:tcPr>
            <w:tcW w:w="1020" w:type="dxa"/>
            <w:vAlign w:val="bottom"/>
          </w:tcPr>
          <w:p>
            <w:pPr>
              <w:spacing w:after="0"/>
              <w:rPr>
                <w:sz w:val="24"/>
                <w:szCs w:val="24"/>
                <w:color w:val="auto"/>
              </w:rPr>
            </w:pPr>
          </w:p>
        </w:tc>
      </w:tr>
      <w:tr>
        <w:trPr>
          <w:trHeight w:val="228"/>
        </w:trPr>
        <w:tc>
          <w:tcPr>
            <w:tcW w:w="4200" w:type="dxa"/>
            <w:vAlign w:val="bottom"/>
            <w:tcBorders>
              <w:top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0" w:type="dxa"/>
            <w:vAlign w:val="bottom"/>
            <w:tcBorders>
              <w:top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c>
          <w:tcPr>
            <w:tcW w:w="1020" w:type="dxa"/>
            <w:vAlign w:val="bottom"/>
            <w:tcBorders>
              <w:top w:val="single" w:sz="8" w:color="auto"/>
            </w:tcBorders>
          </w:tcPr>
          <w:p>
            <w:pPr>
              <w:spacing w:after="0"/>
              <w:rPr>
                <w:sz w:val="19"/>
                <w:szCs w:val="19"/>
                <w:color w:val="auto"/>
              </w:rPr>
            </w:pPr>
          </w:p>
        </w:tc>
      </w:tr>
      <w:tr>
        <w:trPr>
          <w:trHeight w:val="614"/>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(212) 381-3500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ind w:left="10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__________________________________________________________________________________________________________________________________________________________________________</w:t>
      </w:r>
    </w:p>
    <w:p>
      <w:pPr>
        <w:spacing w:after="0" w:line="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0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290" w:type="dxa"/>
        <w:tblCellMar>
          <w:top w:w="0" w:type="dxa"/>
          <w:left w:w="0" w:type="dxa"/>
          <w:bottom w:w="0" w:type="dxa"/>
          <w:right w:w="0" w:type="dxa"/>
        </w:tblCellMar>
      </w:tblPr>
      <w:tr>
        <w:trPr>
          <w:trHeight w:val="226"/>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09"/>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24"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40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outstanding shares of common stock of the registrant as of June 1, 2026 was 46,108,092.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 xml:space="preserve">SAFE HARBOR STATEMENT UNDER THE PRIVATE SECURITIES LITIGATION REFORM ACT OF 1995: Forward-looking statements in this Quarterly Report on Form 10-Q, including, without limitation, statements relating to our future revenue, earnings and cash flows,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our ability to realize anticipated benefits and savings from divestitures, restructurings and similar plans, such as the actions taken in recent years to focus on our Calvin Klein and Tommy Hilfiger businesses and our current multiyear initiative to simplify our operating model and achieve cost savings; (iii) the ability to realize the intended benefits from increasing our direct management and oversight of our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TOMMY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HILFIGER </w:t>
      </w:r>
      <w:r>
        <w:rPr>
          <w:rFonts w:ascii="Times New Roman" w:cs="Times New Roman" w:eastAsia="Times New Roman" w:hAnsi="Times New Roman"/>
          <w:sz w:val="18"/>
          <w:szCs w:val="18"/>
          <w:color w:val="auto"/>
        </w:rPr>
        <w:t>brands (such as the in-process plan to directly operate a significant portion of the businesses for the product categories that are or had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to G-III Apparel Group, Ltd., with the remainder to be re-licensed to other third parties, upon the expirations of the underlying license agreements) and avoid any disruptions in the businesses; (iv) we have significant levels of outstanding debt, as well as significant additional borrowing capacity, and we use a significant portion of our cash flows to service our indebtedness, as a result of which we might not have sufficient funds to operate our businesses in the manner we intend or have operated in the past; (v) the levels of sales of our apparel, footwear and related products, both to our wholesale customers and in our direct-to-consumer retail store and digital commerce operations, the levels of sales of our licensees at wholesale and retail, and the extent of discounts and promotional pricing in which we and our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our ability to manage our growth and inventory; (vii) restrictions, including quotas and the imposition of new or increased duties or tariffs on goods from the countries where we or our licensees produce goods under our trademarks, which, among other things, could limit the ability to produce products in cost-effective countries, or in countries that have the labor and technical expertise needed, or require us to absorb costs or try to pass costs onto consumers, which could materially impact our revenue and profitability, and uncertainties regarding trade regulation, including as a result of the U.S. Supreme Court’s recent ruling that many of the tariffs imposed by the U.S. federal government were unconstitutional which led to the issuance of an executive order imposing tariffs at different rates pursuant to Section 122 of the Trade Act of 1974 (which are currently being challenged in court) and launching investigations under Section 301 of the Trade Act, which could lead to the imposition of new tariffs; (viii) the availability and cost of raw materials; (ix) our ability to adjust timely to changes in trade regulations and the migration and development of manufacturers (which can affect where our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w:t>
      </w:r>
    </w:p>
    <w:p>
      <w:pPr>
        <w:spacing w:after="0" w:line="21" w:lineRule="exact"/>
        <w:rPr>
          <w:sz w:val="20"/>
          <w:szCs w:val="20"/>
          <w:color w:val="auto"/>
        </w:rPr>
      </w:pPr>
    </w:p>
    <w:p>
      <w:pPr>
        <w:ind w:right="20" w:firstLine="8"/>
        <w:spacing w:after="0" w:line="224"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factory and shipping capacity, wage and shipping cost escalation, and store closures in any of the countries where our or our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our exit from our retail business in Russia and the cessation of our wholesale operations in Russia and Belarus, and the temporary cessation of business by many of our business partners in Ukraine, and the current conflict in the Middle East that has resulted in the closure of some of our licensees’, wholesale customers’ and other business partners’ stores, as well as increased fuel and oil costs and has impacted inventory availability;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our stores and customers, order cancellations and lost sales, as well as in noncash impairments of our goodwill and other intangible assets, operating lease right-of-use assets, and property, plant and equipment; (xiii) actions taken towards sustainability and social and environmental responsibility as part of our sustainability and social and environmental strategy may not be achieved or may be perceived to be falsely claimed, which could diminish consumer trust in our brands and our brands’ values, as well as the potential for adverse consumer response to any sustainability, social or environmental actions taken by us; (xiv) the failure of our licensees to market successfully licensed products or to preserve the value of our brands, or their misuse of our brands; (xv) significant fluctuations of the U.S. dollar against foreign currencies in which we transact significant levels of business; (xvi) our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us on the List of Unreliable Entities, including the impact of any fines imposed, or restrictions or prohibitions on us that have the effect of limiting or prohibiting our ability to do business in China; and (xix) other risks and uncertainties indicated from time to time in our filings with the Securities and Exchange Commission.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do not undertake any obligation to update publicly any forward-looking statement, including, without limitation, any estimate regarding revenue, earnings or cash flows,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9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Thirteen Weeks Ended May 3, 2026 and May 4, 2025</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3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Thirteen Weeks Ended May 3, 2026 and May 4, 2025</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3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May 3, 2026, February 1, 2026 and May 4, 2025</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3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Thirteen Weeks Ended May 3, 2026 and May 4, 2025</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380" w:type="dxa"/>
            <w:vAlign w:val="bottom"/>
            <w:shd w:val="clear" w:color="auto" w:fill="CCEEFF"/>
          </w:tcPr>
          <w:p>
            <w:pPr>
              <w:spacing w:after="0"/>
              <w:rPr>
                <w:sz w:val="18"/>
                <w:szCs w:val="18"/>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Thirteen Weeks Ended May 3, 2026 and May 4, 2025</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380" w:type="dxa"/>
            <w:vAlign w:val="bottom"/>
            <w:shd w:val="clear" w:color="auto" w:fill="CCEEFF"/>
          </w:tcPr>
          <w:p>
            <w:pPr>
              <w:spacing w:after="0"/>
              <w:rPr>
                <w:sz w:val="18"/>
                <w:szCs w:val="18"/>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1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40" w:type="dxa"/>
            <w:vAlign w:val="bottom"/>
            <w:gridSpan w:val="4"/>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30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Management’s Discussion and Analysis of Financial Condition and Results of Operations</w:t>
            </w:r>
          </w:p>
        </w:tc>
        <w:tc>
          <w:tcPr>
            <w:tcW w:w="1420" w:type="dxa"/>
            <w:vAlign w:val="bottom"/>
            <w:gridSpan w:val="5"/>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28</w:t>
            </w: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Quantitative and Qualitative Disclosures About Market Risk</w:t>
            </w:r>
          </w:p>
        </w:tc>
        <w:tc>
          <w:tcPr>
            <w:tcW w:w="1420" w:type="dxa"/>
            <w:vAlign w:val="bottom"/>
            <w:gridSpan w:val="5"/>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40</w:t>
            </w:r>
          </w:p>
        </w:tc>
      </w:tr>
      <w:tr>
        <w:trPr>
          <w:trHeight w:val="95"/>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700" w:type="dxa"/>
            <w:vAlign w:val="bottom"/>
            <w:tcBorders>
              <w:top w:val="single" w:sz="8" w:color="0000FF"/>
            </w:tcBorders>
          </w:tcPr>
          <w:p>
            <w:pPr>
              <w:spacing w:after="0"/>
              <w:rPr>
                <w:sz w:val="8"/>
                <w:szCs w:val="8"/>
                <w:color w:val="auto"/>
              </w:rPr>
            </w:pPr>
          </w:p>
        </w:tc>
        <w:tc>
          <w:tcPr>
            <w:tcW w:w="118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Controls and Procedures</w:t>
            </w:r>
          </w:p>
        </w:tc>
        <w:tc>
          <w:tcPr>
            <w:tcW w:w="1420" w:type="dxa"/>
            <w:vAlign w:val="bottom"/>
            <w:gridSpan w:val="5"/>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w:t>
            </w:r>
          </w:p>
        </w:tc>
        <w:tc>
          <w:tcPr>
            <w:tcW w:w="10080" w:type="dxa"/>
            <w:vAlign w:val="bottom"/>
            <w:gridSpan w:val="7"/>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 Legal Proceedings</w:t>
            </w:r>
          </w:p>
        </w:tc>
        <w:tc>
          <w:tcPr>
            <w:tcW w:w="500" w:type="dxa"/>
            <w:vAlign w:val="bottom"/>
            <w:gridSpan w:val="2"/>
            <w:shd w:val="clear" w:color="auto" w:fill="CCEEFF"/>
          </w:tcPr>
          <w:p>
            <w:pPr>
              <w:jc w:val="right"/>
              <w:ind w:right="320"/>
              <w:spacing w:after="0" w:line="195" w:lineRule="exact"/>
              <w:rPr>
                <w:sz w:val="20"/>
                <w:szCs w:val="20"/>
                <w:color w:val="auto"/>
              </w:rPr>
            </w:pPr>
            <w:r>
              <w:rPr>
                <w:rFonts w:ascii="Times New Roman" w:cs="Times New Roman" w:eastAsia="Times New Roman" w:hAnsi="Times New Roman"/>
                <w:sz w:val="18"/>
                <w:szCs w:val="18"/>
                <w:color w:val="0000FF"/>
                <w:w w:val="88"/>
              </w:rPr>
              <w:t>43</w:t>
            </w:r>
          </w:p>
        </w:tc>
        <w:tc>
          <w:tcPr>
            <w:tcW w:w="140" w:type="dxa"/>
            <w:vAlign w:val="bottom"/>
          </w:tcPr>
          <w:p>
            <w:pPr>
              <w:spacing w:after="0"/>
              <w:rPr>
                <w:sz w:val="18"/>
                <w:szCs w:val="18"/>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gridSpan w:val="2"/>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62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4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500" w:type="dxa"/>
            <w:vAlign w:val="bottom"/>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140" w:type="dxa"/>
            <w:vAlign w:val="bottom"/>
          </w:tcPr>
          <w:p>
            <w:pPr>
              <w:spacing w:after="0"/>
              <w:rPr>
                <w:sz w:val="18"/>
                <w:szCs w:val="18"/>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62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4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008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Unregistered Sales of Equity Securities and Use of Proceeds</w:t>
            </w:r>
          </w:p>
        </w:tc>
        <w:tc>
          <w:tcPr>
            <w:tcW w:w="500" w:type="dxa"/>
            <w:vAlign w:val="bottom"/>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140" w:type="dxa"/>
            <w:vAlign w:val="bottom"/>
          </w:tcPr>
          <w:p>
            <w:pPr>
              <w:spacing w:after="0"/>
              <w:rPr>
                <w:sz w:val="18"/>
                <w:szCs w:val="18"/>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562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4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008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Other Information</w:t>
            </w:r>
          </w:p>
        </w:tc>
        <w:tc>
          <w:tcPr>
            <w:tcW w:w="500" w:type="dxa"/>
            <w:vAlign w:val="bottom"/>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140" w:type="dxa"/>
            <w:vAlign w:val="bottom"/>
          </w:tcPr>
          <w:p>
            <w:pPr>
              <w:spacing w:after="0"/>
              <w:rPr>
                <w:sz w:val="18"/>
                <w:szCs w:val="18"/>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62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4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1008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Exhibits</w:t>
            </w:r>
          </w:p>
        </w:tc>
        <w:tc>
          <w:tcPr>
            <w:tcW w:w="500" w:type="dxa"/>
            <w:vAlign w:val="bottom"/>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140" w:type="dxa"/>
            <w:vAlign w:val="bottom"/>
          </w:tcPr>
          <w:p>
            <w:pPr>
              <w:spacing w:after="0"/>
              <w:rPr>
                <w:sz w:val="18"/>
                <w:szCs w:val="18"/>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gridSpan w:val="2"/>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62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4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00" w:type="dxa"/>
            <w:vAlign w:val="bottom"/>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140" w:type="dxa"/>
            <w:vAlign w:val="bottom"/>
          </w:tcPr>
          <w:p>
            <w:pPr>
              <w:spacing w:after="0"/>
              <w:rPr>
                <w:sz w:val="18"/>
                <w:szCs w:val="18"/>
                <w:color w:val="auto"/>
              </w:rPr>
            </w:pPr>
          </w:p>
        </w:tc>
      </w:tr>
      <w:tr>
        <w:trPr>
          <w:trHeight w:val="1181"/>
        </w:trPr>
        <w:tc>
          <w:tcPr>
            <w:tcW w:w="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000" w:type="dxa"/>
            <w:vAlign w:val="bottom"/>
            <w:tcBorders>
              <w:top w:val="single" w:sz="8" w:color="CCEEFF"/>
              <w:bottom w:val="single" w:sz="8" w:color="9A9A9A"/>
            </w:tcBorders>
          </w:tcPr>
          <w:p>
            <w:pPr>
              <w:spacing w:after="0"/>
              <w:rPr>
                <w:sz w:val="24"/>
                <w:szCs w:val="24"/>
                <w:color w:val="auto"/>
              </w:rPr>
            </w:pPr>
          </w:p>
        </w:tc>
        <w:tc>
          <w:tcPr>
            <w:tcW w:w="56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6"/>
        </w:trPr>
        <w:tc>
          <w:tcPr>
            <w:tcW w:w="28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PVH Corp.</w:t>
            </w:r>
          </w:p>
        </w:tc>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4"/>
        </w:trPr>
        <w:tc>
          <w:tcPr>
            <w:tcW w:w="82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0"/>
        </w:trPr>
        <w:tc>
          <w:tcPr>
            <w:tcW w:w="8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28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18"/>
        </w:trPr>
        <w:tc>
          <w:tcPr>
            <w:tcW w:w="28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w:t>
            </w:r>
          </w:p>
        </w:tc>
        <w:tc>
          <w:tcPr>
            <w:tcW w:w="28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May 4,</w:t>
            </w:r>
          </w:p>
        </w:tc>
      </w:tr>
      <w:tr>
        <w:trPr>
          <w:trHeight w:val="234"/>
        </w:trPr>
        <w:tc>
          <w:tcPr>
            <w:tcW w:w="288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(exclusive of depreciation and 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postretirement cost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interest and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05" w:lineRule="auto"/>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19"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18"/>
        </w:trPr>
        <w:tc>
          <w:tcPr>
            <w:tcW w:w="8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w:t>
            </w:r>
          </w:p>
        </w:tc>
        <w:tc>
          <w:tcPr>
            <w:tcW w:w="30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May 4,</w:t>
            </w:r>
          </w:p>
        </w:tc>
      </w:tr>
      <w:tr>
        <w:trPr>
          <w:trHeight w:val="234"/>
        </w:trPr>
        <w:tc>
          <w:tcPr>
            <w:tcW w:w="8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184"/>
        </w:trPr>
        <w:tc>
          <w:tcPr>
            <w:tcW w:w="8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Net unrealized and realized gain (loss) related to effective cash flow hedges, net of tax expense (benefit) of</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 and $(12.9)</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(loss) on net investment hedges, net of tax expense (benefit) of $5.4 and $(36.7)</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05" w:lineRule="auto"/>
        <w:rPr>
          <w:sz w:val="20"/>
          <w:szCs w:val="20"/>
          <w:color w:val="auto"/>
        </w:rPr>
      </w:pPr>
      <w:r>
        <w:rPr>
          <w:rFonts w:ascii="Times New Roman" w:cs="Times New Roman" w:eastAsia="Times New Roman" w:hAnsi="Times New Roman"/>
          <w:sz w:val="18"/>
          <w:szCs w:val="18"/>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May 3,</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February 1,</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May 4,</w:t>
            </w:r>
          </w:p>
        </w:tc>
        <w:tc>
          <w:tcPr>
            <w:tcW w:w="0" w:type="dxa"/>
            <w:vAlign w:val="bottom"/>
          </w:tcPr>
          <w:p>
            <w:pPr>
              <w:spacing w:after="0"/>
              <w:rPr>
                <w:sz w:val="1"/>
                <w:szCs w:val="1"/>
                <w:color w:val="auto"/>
              </w:rPr>
            </w:pPr>
          </w:p>
        </w:tc>
      </w:tr>
      <w:tr>
        <w:trPr>
          <w:trHeight w:val="219"/>
        </w:trPr>
        <w:tc>
          <w:tcPr>
            <w:tcW w:w="6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AUDITED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UNAUDITED</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receivables, net of allowances for credit losses of $22.8, $23.7 and $27.0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7"/>
        </w:trPr>
        <w:tc>
          <w:tcPr>
            <w:tcW w:w="6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3,033.6</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1,950.3</w:t>
            </w: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Tradenames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Intangibles,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Assets, including deferred taxes of $96.7, $99.0 and $367.5</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10,672.4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2,730.5</w:t>
            </w: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 Portion of Operating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c>
          <w:tcPr>
            <w:tcW w:w="0" w:type="dxa"/>
            <w:vAlign w:val="bottom"/>
          </w:tcPr>
          <w:p>
            <w:pPr>
              <w:spacing w:after="0"/>
              <w:rPr>
                <w:sz w:val="1"/>
                <w:szCs w:val="1"/>
                <w:color w:val="auto"/>
              </w:rPr>
            </w:pPr>
          </w:p>
        </w:tc>
      </w:tr>
      <w:tr>
        <w:trPr>
          <w:trHeight w:val="213"/>
        </w:trPr>
        <w:tc>
          <w:tcPr>
            <w:tcW w:w="6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Liabilities, including deferred taxes of $306.0, $307.3 and $289.8</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Preferred stock, par value $100 per share; 150,000 total shares authorized</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40" w:type="dxa"/>
            <w:vAlign w:val="bottom"/>
            <w:shd w:val="clear" w:color="auto" w:fill="CCEEFF"/>
          </w:tcPr>
          <w:p>
            <w:pPr>
              <w:ind w:left="400"/>
              <w:spacing w:after="0" w:line="165" w:lineRule="exact"/>
              <w:rPr>
                <w:sz w:val="20"/>
                <w:szCs w:val="20"/>
                <w:color w:val="auto"/>
              </w:rPr>
            </w:pPr>
            <w:r>
              <w:rPr>
                <w:rFonts w:ascii="Times New Roman" w:cs="Times New Roman" w:eastAsia="Times New Roman" w:hAnsi="Times New Roman"/>
                <w:sz w:val="16"/>
                <w:szCs w:val="16"/>
                <w:color w:val="auto"/>
              </w:rPr>
              <w:t>Common stock, par value $1 per share; 240,000,000 shares authorized; 90,037,408; 89,593,986 and</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89,381,362 shares issued</w:t>
            </w: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Additional paid-in capital - common stock</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5,948.5</w:t>
            </w:r>
          </w:p>
        </w:tc>
        <w:tc>
          <w:tcPr>
            <w:tcW w:w="0" w:type="dxa"/>
            <w:vAlign w:val="bottom"/>
          </w:tcPr>
          <w:p>
            <w:pPr>
              <w:spacing w:after="0"/>
              <w:rPr>
                <w:sz w:val="1"/>
                <w:szCs w:val="1"/>
                <w:color w:val="auto"/>
              </w:rPr>
            </w:pPr>
          </w:p>
        </w:tc>
      </w:tr>
      <w:tr>
        <w:trPr>
          <w:trHeight w:val="213"/>
        </w:trPr>
        <w:tc>
          <w:tcPr>
            <w:tcW w:w="6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43,960,456; 43,786,773 and 41,387,386 shares of common stock held in treasury, at cost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(3,885.3)</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4,618.2</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10,672.4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05" w:lineRule="auto"/>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19"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Thirteen Weeks Ended</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w:t>
            </w:r>
          </w:p>
        </w:tc>
        <w:tc>
          <w:tcPr>
            <w:tcW w:w="28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May 4,</w:t>
            </w:r>
          </w:p>
        </w:tc>
        <w:tc>
          <w:tcPr>
            <w:tcW w:w="0" w:type="dxa"/>
            <w:vAlign w:val="bottom"/>
          </w:tcPr>
          <w:p>
            <w:pPr>
              <w:spacing w:after="0"/>
              <w:rPr>
                <w:sz w:val="1"/>
                <w:szCs w:val="1"/>
                <w:color w:val="auto"/>
              </w:rPr>
            </w:pPr>
          </w:p>
        </w:tc>
      </w:tr>
      <w:tr>
        <w:trPr>
          <w:trHeight w:val="23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to net cash used by operating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Trade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accrued expenses and deferred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Warner’s, Olga and True&amp;Co. women’s intimates businesses</w:t>
            </w:r>
          </w:p>
        </w:tc>
        <w:tc>
          <w:tcPr>
            <w:tcW w:w="280" w:type="dxa"/>
            <w:vAlign w:val="bottom"/>
          </w:tcPr>
          <w:p>
            <w:pPr>
              <w:spacing w:after="0"/>
              <w:rPr>
                <w:sz w:val="19"/>
                <w:szCs w:val="19"/>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 held in rabbi trust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investments held in rabbi trust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short-term borrowings</w:t>
            </w:r>
          </w:p>
        </w:tc>
        <w:tc>
          <w:tcPr>
            <w:tcW w:w="2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2022 facilities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settlement of awards under stock plans</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of finance lease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05" w:lineRule="auto"/>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219"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Thirteen Weeks Ended May 4, 2025</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Preferred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$1 par</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5"/>
              </w:rPr>
              <w:t>Capital-</w:t>
            </w:r>
          </w:p>
        </w:tc>
        <w:tc>
          <w:tcPr>
            <w:tcW w:w="12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restart"/>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42"/>
              <w:spacing w:after="0" w:line="111"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5"/>
        </w:trPr>
        <w:tc>
          <w:tcPr>
            <w:tcW w:w="3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Comprehensive Loss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5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February 2,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89,112,404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3,374.1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5,997.2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(3,463.1)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5,140.5</w:t>
            </w:r>
          </w:p>
        </w:tc>
        <w:tc>
          <w:tcPr>
            <w:tcW w:w="0" w:type="dxa"/>
            <w:vAlign w:val="bottom"/>
          </w:tcPr>
          <w:p>
            <w:pPr>
              <w:spacing w:after="0"/>
              <w:rPr>
                <w:sz w:val="1"/>
                <w:szCs w:val="1"/>
                <w:color w:val="auto"/>
              </w:rPr>
            </w:pPr>
          </w:p>
        </w:tc>
      </w:tr>
      <w:tr>
        <w:trPr>
          <w:trHeight w:val="165"/>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0" w:type="dxa"/>
            <w:vAlign w:val="bottom"/>
          </w:tcPr>
          <w:p>
            <w:pPr>
              <w:spacing w:after="0"/>
              <w:rPr>
                <w:sz w:val="1"/>
                <w:szCs w:val="1"/>
                <w:color w:val="auto"/>
              </w:rPr>
            </w:pPr>
          </w:p>
        </w:tc>
      </w:tr>
      <w:tr>
        <w:trPr>
          <w:trHeight w:val="16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233.6</w:t>
            </w:r>
          </w:p>
        </w:tc>
        <w:tc>
          <w:tcPr>
            <w:tcW w:w="0" w:type="dxa"/>
            <w:vAlign w:val="bottom"/>
          </w:tcPr>
          <w:p>
            <w:pPr>
              <w:spacing w:after="0"/>
              <w:rPr>
                <w:sz w:val="1"/>
                <w:szCs w:val="1"/>
                <w:color w:val="auto"/>
              </w:rPr>
            </w:pPr>
          </w:p>
        </w:tc>
      </w:tr>
      <w:tr>
        <w:trPr>
          <w:trHeight w:val="127"/>
        </w:trPr>
        <w:tc>
          <w:tcPr>
            <w:tcW w:w="37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Net unrealized and realized loss related to effective cash flow hedges, net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benefit of $12.9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on net investment hedges, net of tax benefit of $36.7</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 of awards under stock plans</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268,958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($0.075 per common share)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Acquisition of 5,524,115 treasury shares, including excise taxes of $4.0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(572.2)</w:t>
            </w:r>
          </w:p>
        </w:tc>
        <w:tc>
          <w:tcPr>
            <w:tcW w:w="0" w:type="dxa"/>
            <w:vAlign w:val="bottom"/>
          </w:tcPr>
          <w:p>
            <w:pPr>
              <w:spacing w:after="0"/>
              <w:rPr>
                <w:sz w:val="1"/>
                <w:szCs w:val="1"/>
                <w:color w:val="auto"/>
              </w:rPr>
            </w:pPr>
          </w:p>
        </w:tc>
      </w:tr>
      <w:tr>
        <w:trPr>
          <w:trHeight w:val="15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May 4,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89,381,362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3,236.0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5,948.5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(3,885.3)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4,618.2</w:t>
            </w:r>
          </w:p>
        </w:tc>
        <w:tc>
          <w:tcPr>
            <w:tcW w:w="0" w:type="dxa"/>
            <w:vAlign w:val="bottom"/>
          </w:tcPr>
          <w:p>
            <w:pPr>
              <w:spacing w:after="0"/>
              <w:rPr>
                <w:sz w:val="1"/>
                <w:szCs w:val="1"/>
                <w:color w:val="auto"/>
              </w:rPr>
            </w:pPr>
          </w:p>
        </w:tc>
      </w:tr>
      <w:tr>
        <w:trPr>
          <w:trHeight w:val="776"/>
        </w:trPr>
        <w:tc>
          <w:tcPr>
            <w:tcW w:w="3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Thirteen Weeks Ended May 3, 2026</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1"/>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Preferred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$1 par</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w w:val="95"/>
              </w:rPr>
              <w:t>Capital-</w:t>
            </w:r>
          </w:p>
        </w:tc>
        <w:tc>
          <w:tcPr>
            <w:tcW w:w="12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2"/>
              <w:spacing w:after="0" w:line="118"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9"/>
        </w:trPr>
        <w:tc>
          <w:tcPr>
            <w:tcW w:w="3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Comprehensive Loss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5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February 1, 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89,593,986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3,464.0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6,015.0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4,792.3</w:t>
            </w:r>
          </w:p>
        </w:tc>
        <w:tc>
          <w:tcPr>
            <w:tcW w:w="0" w:type="dxa"/>
            <w:vAlign w:val="bottom"/>
          </w:tcPr>
          <w:p>
            <w:pPr>
              <w:spacing w:after="0"/>
              <w:rPr>
                <w:sz w:val="1"/>
                <w:szCs w:val="1"/>
                <w:color w:val="auto"/>
              </w:rPr>
            </w:pPr>
          </w:p>
        </w:tc>
      </w:tr>
      <w:tr>
        <w:trPr>
          <w:trHeight w:val="165"/>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88.0</w:t>
            </w: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27"/>
        </w:trPr>
        <w:tc>
          <w:tcPr>
            <w:tcW w:w="37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w w:val="99"/>
              </w:rPr>
              <w:t>Net unrealized and realized gain related to effective cash flow hedges, net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expense of $6.0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gain on net investment hedges, net of tax expense of $5.4</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65"/>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108.8</w:t>
            </w:r>
          </w:p>
        </w:tc>
        <w:tc>
          <w:tcPr>
            <w:tcW w:w="0" w:type="dxa"/>
            <w:vAlign w:val="bottom"/>
          </w:tcPr>
          <w:p>
            <w:pPr>
              <w:spacing w:after="0"/>
              <w:rPr>
                <w:sz w:val="1"/>
                <w:szCs w:val="1"/>
                <w:color w:val="auto"/>
              </w:rPr>
            </w:pPr>
          </w:p>
        </w:tc>
      </w:tr>
      <w:tr>
        <w:trPr>
          <w:trHeight w:val="16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 of awards under stock plans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443,422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($0.075 per common share)</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Acquisition of 173,683 treasury shares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5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May 3,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90,037,408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3,475.6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6,099.5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4,894.7</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PVH CORP.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GENERAL</w:t>
      </w:r>
    </w:p>
    <w:p>
      <w:pPr>
        <w:spacing w:after="0" w:line="239"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8"/>
          <w:szCs w:val="18"/>
          <w:color w:val="auto"/>
        </w:rPr>
        <w:t xml:space="preserve">PVH Corp. and its consolidated subsidiaries (collectively, the “Company”) constitute a global apparel company with a brand portfolio that includes </w:t>
      </w:r>
      <w:r>
        <w:rPr>
          <w:rFonts w:ascii="Times New Roman" w:cs="Times New Roman" w:eastAsia="Times New Roman" w:hAnsi="Times New Roman"/>
          <w:sz w:val="18"/>
          <w:szCs w:val="18"/>
          <w:i w:val="1"/>
          <w:iCs w:val="1"/>
          <w:color w:val="auto"/>
        </w:rPr>
        <w:t xml:space="preserve">TOMMY HILFIGER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Calvin Klein</w:t>
      </w:r>
      <w:r>
        <w:rPr>
          <w:rFonts w:ascii="Times New Roman" w:cs="Times New Roman" w:eastAsia="Times New Roman" w:hAnsi="Times New Roman"/>
          <w:sz w:val="18"/>
          <w:szCs w:val="18"/>
          <w:color w:val="auto"/>
        </w:rPr>
        <w:t>, which are owned, and</w:t>
      </w:r>
      <w:r>
        <w:rPr>
          <w:rFonts w:ascii="Times New Roman" w:cs="Times New Roman" w:eastAsia="Times New Roman" w:hAnsi="Times New Roman"/>
          <w:sz w:val="18"/>
          <w:szCs w:val="18"/>
          <w:i w:val="1"/>
          <w:iCs w:val="1"/>
          <w:color w:val="auto"/>
        </w:rPr>
        <w:t xml:space="preserve"> Van Heusen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Nike </w:t>
      </w:r>
      <w:r>
        <w:rPr>
          <w:rFonts w:ascii="Times New Roman" w:cs="Times New Roman" w:eastAsia="Times New Roman" w:hAnsi="Times New Roman"/>
          <w:sz w:val="18"/>
          <w:szCs w:val="18"/>
          <w:color w:val="auto"/>
        </w:rPr>
        <w:t>and other brands, which the Company licenses for certain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categories. The Company designs and markets branded sportswear (casual apparel), jeanswear, performance apparel, intimate apparel, underwear, swimwear, dress shirts, handbags, accessories, footwear and other related products and licenses its owned brands globally over a broad array of product categories and for use in certain territories. The business conducted under the </w:t>
      </w:r>
      <w:r>
        <w:rPr>
          <w:rFonts w:ascii="Times New Roman" w:cs="Times New Roman" w:eastAsia="Times New Roman" w:hAnsi="Times New Roman"/>
          <w:sz w:val="18"/>
          <w:szCs w:val="18"/>
          <w:i w:val="1"/>
          <w:iCs w:val="1"/>
          <w:color w:val="auto"/>
        </w:rPr>
        <w:t>Van Heusen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Nike</w:t>
      </w:r>
      <w:r>
        <w:rPr>
          <w:rFonts w:ascii="Times New Roman" w:cs="Times New Roman" w:eastAsia="Times New Roman" w:hAnsi="Times New Roman"/>
          <w:sz w:val="18"/>
          <w:szCs w:val="18"/>
          <w:color w:val="auto"/>
        </w:rPr>
        <w:t xml:space="preserve"> and other licensed brand names is referred to as the “Heritage Brands business.”</w:t>
      </w:r>
    </w:p>
    <w:p>
      <w:pPr>
        <w:spacing w:after="0" w:line="22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all of the accounts of the Company. Intercompany accounts and transactions have been eliminated in consolidation. Investments in entities that the Company does not control but has the ability to exercise significant influence over are accounted for using the equity method of accounting. The Company’s Consolidated Statements of Operations include its proportionate share of the net income or loss of these entities.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fiscal years are based on the 52-53 week periods ending on the Sunday closest to February 1 and are designated by the calendar year in which the fiscal year commences. References to a year are to the Company’s fiscal year, unless the context requires otherwise.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accounting principles generally accepted in the United States (“U.S. GAAP”) for interim financial information. Accordingly, they do not contain all disclosures required by U.S. GAAP for complete financial statements. Reference is made to the Company’s audited consolidated financial statements, including the notes thereto, included in the Company’s Annual Report on Form 10-K for the fiscal year ended February 1, 2026.</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preparation of the interim financial statements in conformity with U.S. GAAP requires management to make estimates and assumptions that affect the amounts reported in the consolidated financial statements and accompanying notes. Actual results could differ materially from these estimates.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thirteen weeks ended May 3, 2026 and May 4, 2025 are not necessarily indicative of those for a full fiscal year due, in part, to seasonal factors. Furthermore, the data contained in these consolidated financial statements are unaudited and are subject to year-end adjustments. However, in the opinion of management, all known adjustments have been made to present fairly the consolidated operating results for the unaudited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Environment</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Inflation and other macroeconomic pressures, such as tariffs and the Middle East conflict (discussed further below), elevated interest rates and the risk of recession, continue to create a complex and challenging retail environment globally. Macroeconomic factors are having, and may continue to have, a negative impact on consumer demand for apparel and related products globally.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conflict in the Middle East, which began in March 2026, has resulted in disruption and instability in global supply chains, increased fuel and oil costs, foreign currency volatility, particularly in the euro, and continued volatility and uncertainty in global markets. These and other factors have had, and may continue to have, broader macroeconomic implications that could have a significant impact on the Company’s business, including a decline in consumer spending and inventory availability. The Company is already seeing a broader impact from the conflict on consumer purchasing behavior in Turkey and the greater European region, including the effect of increased fuel prices, which is causing a decline in consumer traffic to stores and a more promotional environment. The Company has also started to experience an impact to wholesale demand in the direct Middle East region (excluding Turkey). The length, scope and intensity of the conflict remain uncertain.</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2025, the United States government announced additional tariffs on goods imported into the United States primarily under the International Emergency Economic Powers Act (“IEEPA”), with incremental tariffs on products imported from most countries and economic unions, and the potential for further increases and revisions or terminations to existing trade agreements. In response, some countries and economic unions announced retaliatory tariffs on United States exports and other trade restrictions. In February 2026, the U.S. Supreme Court ruled that the IEEPA tariffs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 w:name="page10"/>
    <w:bookmarkEnd w:id="9"/>
    <w:p>
      <w:pPr>
        <w:ind w:right="360"/>
        <w:spacing w:after="0" w:line="282" w:lineRule="auto"/>
        <w:rPr>
          <w:sz w:val="20"/>
          <w:szCs w:val="20"/>
          <w:color w:val="auto"/>
        </w:rPr>
      </w:pPr>
      <w:r>
        <w:rPr>
          <w:rFonts w:ascii="Times New Roman" w:cs="Times New Roman" w:eastAsia="Times New Roman" w:hAnsi="Times New Roman"/>
          <w:sz w:val="18"/>
          <w:szCs w:val="18"/>
          <w:color w:val="auto"/>
        </w:rPr>
        <w:t>imposed were unconstitutional. In response to that decision, an executive order was issued imposing tariffs pursuant to Section 122 of the Trade Act of 1974 for 150 days, effective on February 24, 2026.</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2026, the U.S. Court of International Trade directed U.S. Customs and Border Protection (“CBP”) to refund IEEPA tariffs that were previously collected, including applicable interest. CBP launched a tariff refund program in April 2026 to facilitate the refunds, and the Company submitted claims for IEEPA tariffs that have been previously paid. The Company elected to apply a gain contingency model in accordance with ASC 450-30, </w:t>
      </w:r>
      <w:r>
        <w:rPr>
          <w:rFonts w:ascii="Times New Roman" w:cs="Times New Roman" w:eastAsia="Times New Roman" w:hAnsi="Times New Roman"/>
          <w:sz w:val="18"/>
          <w:szCs w:val="18"/>
          <w:i w:val="1"/>
          <w:iCs w:val="1"/>
          <w:color w:val="auto"/>
        </w:rPr>
        <w:t>“Gain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account for potential recoveries of previously paid tariffs under which a gain will not be recognized until realized or realizable.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 2026, the Company did not record a receivable related to potential tariff refunds as the amount and timing of any recoveries was uncertain. As of the date of this report, the Company has received $27 million in cash payments, plus interest, subsequent to the end of the quarter.</w:t>
      </w:r>
    </w:p>
    <w:p>
      <w:pPr>
        <w:spacing w:after="0" w:line="21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Further trade policy actions are unclear, including whether additional tariffs or other actions may be imposed, modified, or suspended. The Office of the U.S. Trade Representative has conducted and is conducting investigations under Section 301 of the Trade Act of 1974 that are expected to result in new tariffs being implemented in the second or third quarter of 2026. These factors have led to significant volatility and uncertainty in global markets. The Company continues to analyze the impact of incremental tariffs on its business and is taking steps to mitigate its tariff exposure to the extent possible. Mitigation strategies have included, and may continue to more significantly include, further sourcing optimization, negotiations with the Company’s vendors, internal efficiencies to drive cost savings, optimizing discount strategies and pricing actions.</w:t>
      </w:r>
    </w:p>
    <w:p>
      <w:pPr>
        <w:spacing w:after="0" w:line="2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There is significant uncertainty with respect to the conflict in the Middle East, global trade policies (including tariffs) and the related impacts of each on the broader global macroeconomic environment, as well as the impact of inflation and other macroeconomic factors, and foreign currency volatility. If economic conditions were to worsen due to any of these factors, the Company’s results of operations, financial condition and cash flows from operations may be materially and adversely impacted.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REVENUE</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from sales of finished products under its owned trademarks through its wholesale and retail operations and from licensing rights to its trademarks to third parties. Revenue is recognized upon the transfer of control of products or services to the Company’s customers in an amount that reflects the consideration to which it expects to be entitled in exchange for those products or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Obligations Under License Agreements</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May 3, 2026, the contractual minimum fees on the portion of all license agreements not yet satisfied totaled $1.1 billion, of which the Company expects to recognize $200.4 million as revenue during the remainder of 2026, $222.3 million in 2027 and $695.2 million thereafter. The Company elected not to disclose the remaining performance obligations for license agreements that have an original expected term of one year or less and expected sales-based percentage fees for the portion of all license agreements not yet satisfied.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revenue, which primarily relate to customer loyalty programs, gift cards and license agreements for the thirteen weeks ended May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May 4, 2025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5/3/26</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5/4/25</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deferred revenue during the period</w:t>
            </w:r>
          </w:p>
        </w:tc>
        <w:tc>
          <w:tcPr>
            <w:tcW w:w="360" w:type="dxa"/>
            <w:vAlign w:val="bottom"/>
          </w:tcPr>
          <w:p>
            <w:pPr>
              <w:spacing w:after="0"/>
              <w:rPr>
                <w:sz w:val="19"/>
                <w:szCs w:val="19"/>
                <w:color w:val="auto"/>
              </w:rPr>
            </w:pPr>
          </w:p>
        </w:tc>
        <w:tc>
          <w:tcPr>
            <w:tcW w:w="13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Reductions in deferred revenue for revenue recognized during the period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(39.1)</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54.1</w:t>
            </w:r>
          </w:p>
        </w:tc>
      </w:tr>
      <w:tr>
        <w:trPr>
          <w:trHeight w:val="21"/>
        </w:trPr>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hanging="252"/>
        <w:spacing w:after="0" w:line="229" w:lineRule="auto"/>
        <w:tabs>
          <w:tab w:leader="none" w:pos="19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amount of revenue recognized during the period that was included in the deferred revenue balance at the beginning of the period and does not contemplate revenue recognized from amounts deferred during the period.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also had long-term deferred revenue liabilities included in other liabilities in its Consolidated Balance Sheets of $4.3 million, $4.7 million and $6.1 million as of May 3, 2026, February 1, 2026 and May 4,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Please see Note 16, “Segment Data,” for information on the disaggregation of revenue by segment, distribution channel and brand.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INVENTORIES</w:t>
      </w:r>
    </w:p>
    <w:p>
      <w:pPr>
        <w:spacing w:after="0" w:line="25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Inventories are comprised principally of finished goods and are stated at the lower of cost or net realizable value, except for certain retail 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The Company reviews current business trends and forecasts, inventory aging and discontinued merchandise categories to determine adjustments that it estimates will be needed to liquidate existing clearance inventories and record inventories at either the lower of cost or net realizable value or the lower of cost or market using the retail inventory method, as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ASSETS HELD FOR SALE</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line with the fifth growth driver of the PVH+ Plan, the Company’s multiyear strategic plan, the Company committed to a plan to sell its owned warehouse and distribution center located in Jonesville, NC. The Company concluded the criteria had been met to classify the building and related assets as held for sale during the first quarter of 2025 and ceased recording depreciation at that time. The carrying value of $16.7 million, which was determined to be lower than its fair value, less costs to sell, was reclassified from property, plant and equipment, net to assets held for sale in the Company’s Consolidated Balance Sheet during the first quarter of 2025. During the fourth quarter of 2025, the Company made the determination to redeploy certain equipment from the Jonesville warehouse and distribution center that was originally classified as held for sale for use in other Company warehouses and distribution centers and as a result, reduced the assets held for sale to a carrying value of $12.3 million. There were no further adjustments to the carrying value of the assets held for sale.</w:t>
      </w:r>
    </w:p>
    <w:p>
      <w:pPr>
        <w:spacing w:after="0" w:line="2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completed the sale of the building and related assets on May 11, 2026 for net proceeds of $37.7 million and will record a pre-tax gain of $25.4 million during the second quarter of 2026, which represents the excess of the net proceeds over the carrying value of the assets on the date of the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GOODWILL AND OTHER INTANGIBLE ASSETS</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for the thirteen weeks ended May 3, 2026, by segment (please see Note 16, “Segment Data,” for further discussion of the Company’s reportable segments and segment definitions),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Licensing</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as of February 1, 2026</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as of May 3, 2026</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assesses the recoverability of goodwill and other indefinite-lived intangible assets annually, at the beginning of the third quarter of each fiscal year, and between annual tests if an event occurs or circumstances change that would indicate that it is more likely than not that the carrying amount may be impaired. Intangible assets with finite lives are amortized over their estimated useful lives and are tested for impairment along with other long-lived assets when events and circumstances indicate that the assets might be impaired. Please see Note 1, “Summary of Significant Accounting Policies,” in the Notes to Consolidated Financial Statements included in Item 8 of the Company’s Annual Report on Form 10-K for the fiscal year ended February 1, 2026 for discussion of the Company’s goodwill and other intangible assets impairment testing process.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Interim Goodwill Impairment Test</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 As a result of this interim impairment test, the Company recorded $426.0 million of noncash impairment charges during the first quarter of 2025, which were included in goodwill and other intangible asset impairments in the Company’s Consolidated Statement of Operations and included in restructuring and other items for segment data reporting purposes. The impairments were primarily due to a significant increase in discount rates, which incorporated elevated risk premiums, in particular for the Americas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 w:name="page12"/>
    <w:bookmarkEnd w:id="11"/>
    <w:p>
      <w:pPr>
        <w:ind w:right="180"/>
        <w:spacing w:after="0" w:line="282" w:lineRule="auto"/>
        <w:rPr>
          <w:sz w:val="20"/>
          <w:szCs w:val="20"/>
          <w:color w:val="auto"/>
        </w:rPr>
      </w:pPr>
      <w:r>
        <w:rPr>
          <w:rFonts w:ascii="Times New Roman" w:cs="Times New Roman" w:eastAsia="Times New Roman" w:hAnsi="Times New Roman"/>
          <w:sz w:val="18"/>
          <w:szCs w:val="18"/>
          <w:color w:val="auto"/>
        </w:rPr>
        <w:t>APAC reporting units. Impairment charges of $7.6 million and $418.4 million fully impaired the goodwill balances in the Americas and APAC segments, respectively.</w:t>
      </w:r>
    </w:p>
    <w:p>
      <w:pPr>
        <w:spacing w:after="0" w:line="189"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The fair value of the reporting units for goodwill impairment testing was determined using an income approach. The income approach was based on discounted projected future (debt-free) cash flows for each reporting unit. The discount rates applied to these cash flows were based on the weighted average cost of capital for each reporting unit, which takes market participant assumptions into consideration, inclusive of a risk premium for each reporting unit to account for the additional risk and uncertainty perceived by market participants related to each reporting unit’s cash flows due to macroeconomic and geopolitical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Interim Indefinite-Lived Intangible Assets Impairment Test</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determined the macroeconomic and geopolitical conditions that occurred during the first quarter of 2025 and resulting impacts to the Company discussed above were also a triggering event that prompted the need to perform interim impairment testing of its indefinite-lived intangible assets as of the end of the first quarter of 2025. For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tradenames and the reacquired perpetual license rights for </w:t>
      </w:r>
      <w:r>
        <w:rPr>
          <w:rFonts w:ascii="Times New Roman" w:cs="Times New Roman" w:eastAsia="Times New Roman" w:hAnsi="Times New Roman"/>
          <w:sz w:val="18"/>
          <w:szCs w:val="18"/>
          <w:i w:val="1"/>
          <w:iCs w:val="1"/>
          <w:color w:val="auto"/>
        </w:rPr>
        <w:t>TOMMY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HILFIGER </w:t>
      </w:r>
      <w:r>
        <w:rPr>
          <w:rFonts w:ascii="Times New Roman" w:cs="Times New Roman" w:eastAsia="Times New Roman" w:hAnsi="Times New Roman"/>
          <w:sz w:val="18"/>
          <w:szCs w:val="18"/>
          <w:color w:val="auto"/>
        </w:rPr>
        <w:t>in India, the Company elected to first assess qualitative factors to determine whether it was more likely than not that the fair value of any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less than its carrying amount. For these assets, no impairment was identified as a result of the Company’s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the Company’s 2024 annual test. Considering this and other factors, the Company determined qualitatively that it was not more likely than not that the fair values of these indefinite-lived intangible assets were less than their carrying amounts and concluded that a quantitative impairment test was not required.</w:t>
      </w:r>
    </w:p>
    <w:p>
      <w:pPr>
        <w:spacing w:after="0" w:line="21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reacquired perpetual license rights in Australia, the Company elected to bypass the qualitative assessment and proceeded directly to the quantitative impairment test. As a result of this quantitative interim impairment testing, the Company recorded $53.5 million of noncash impairment charges during the first quarter of 2025 to write down the license rights, which had a carrying amount of $190.8 million, to a fair value of $137.3 million. The $53.5 million of impairment charges was included in goodwill and other intangible asset impairments in the Company’s Consolidated Statement of Operations and included in restructuring and other items for segment data reporting purposes. The impairment was primarily due to a significant increase in discount rates.</w:t>
      </w:r>
    </w:p>
    <w:p>
      <w:pPr>
        <w:spacing w:after="0" w:line="2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Considerations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have been no significant events or changes in circumstances during the thirteen weeks ended May 3, 2026 that would indicate that it is more likely than not that the remaining carrying amount of the Company’s goodwill and indefinite-lived intangible assets may be impaired as of May 3, 2026. If different assumptions for the Company’s goodwill and other indefinite-lived intangible assets impairment tests had been applied, significantly different outcomes could have resulted. There continues to be significant uncertainty with respect to the conflict in the Middle East, global trade policies (including tariffs) and the related impacts of each on the broader global macroeconomic environment, as well as the impact of inflation and other macroeconomic factors, and foreign currency volatility. If economic conditions or market factors utilized in the impairment analysis deteriorate or otherwise vary from current assumptions (including those resulting in changes in the weighted average cost of capital), industry conditions deteriorate, or business conditions or strategies for a specific reporting unit change from current assumptions, the Company’s businesses do not perform as projected, or there is an extended period of a significant decline in its stock price, the Company could incur additional goodwill and other indefinite-lived intangible asset impairment charges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RETIREMENT AND BENEFIT PLANS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two noncontributory qualified defined benefit pension plans covering substantially all employees resident in the United States hired prior to January 1, 2022, who meet certain age and service requirements. The plans provide monthly benefits upon retirement generally based on career average compensation, subject to the plan freeze as discussed below, and years of credited service. The plans also provide participants with the option to receive their benefits in the form of lump sum payments. Vesting in benefits generally occurs after five years of service. The company refers to these two plans as its “Pension Plans.”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The Company also has three noncontributory unfunded non-qualified supplemental defined benefit pension plans, one of which is a supplemental pension plan for certain employees resident in the United States hired prior to January 1, 2022, who meet certain age and service requirements that provides benefits for compensation in excess of Internal Revenue Service earnings limits and requires payments to vested employees upon or after employment termination or retirement, according to their distribution election, and two other plans for select former senior management. The Company refers to these three plans as its “SERP Plans.”</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Company’s Board of Directors approved changes to its Pension Plans and its supplemental pension plan to freeze the pensionable compensation and credited service amounts used to calculate participants’ benefits which became effective June 30, 2024, except for employees near retirement age that meet a specified service requirement, who will continue to accrue benefits under the Pension Plans and supplemental pension plan, as applicable, through June 30, 2026 (two years after the effective date of the freeze).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benefit cost recognized were as follows: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Pension Plans</w:t>
            </w:r>
          </w:p>
        </w:tc>
        <w:tc>
          <w:tcPr>
            <w:tcW w:w="94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SERP Plans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color w:val="auto"/>
                <w:w w:val="98"/>
              </w:rPr>
              <w:t>Thirteen Weeks Ended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w w:val="98"/>
              </w:rPr>
              <w:t>Thirteen Weeks Ended</w:t>
            </w:r>
          </w:p>
        </w:tc>
      </w:tr>
      <w:tr>
        <w:trPr>
          <w:trHeight w:val="20"/>
        </w:trPr>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18"/>
                <w:szCs w:val="18"/>
                <w:color w:val="auto"/>
              </w:rPr>
            </w:pPr>
          </w:p>
        </w:tc>
        <w:tc>
          <w:tcPr>
            <w:tcW w:w="8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95"/>
              </w:rPr>
              <w:t>5/3/26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5/4/25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5"/>
              </w:rPr>
              <w:t>5/4/25</w:t>
            </w:r>
          </w:p>
        </w:tc>
      </w:tr>
      <w:tr>
        <w:trPr>
          <w:trHeight w:val="128"/>
        </w:trPr>
        <w:tc>
          <w:tcPr>
            <w:tcW w:w="5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0.8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4"/>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9"/>
                <w:szCs w:val="19"/>
                <w:color w:val="auto"/>
              </w:rPr>
            </w:pPr>
          </w:p>
        </w:tc>
        <w:tc>
          <w:tcPr>
            <w:tcW w:w="8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7"/>
              </w:rPr>
              <w:t>6.1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7"/>
              </w:rPr>
              <w:t>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(5.8)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(6.2)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7"/>
              </w:rPr>
              <w:t>1.7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also provides certain other postretirement benefits to certain retirees resident in the United States under two plans. Retirees contribute to the cost of the applicable plan, which are unfunded and frozen. The Company refers to these two plans as its “Postretirement Plans.” Net benefit cost related to the Postretirement Plans was immaterial for the thirteen weeks ended May 3, 2026 and May 4, 2025.</w:t>
      </w: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components of net benefit cost are recorded in the Company’s Consolidated Statements of Operations as follows: (i) the service cost component is recorded in selling, general and administrative (“SG&amp;A”) expenses and (ii) the other components are recorded in non-service related pension and postretirement (cost) income.</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Currently, the Company does not expect to make material contributions to the Pension Plans in 2026. The Company’s actual contributions may differ from planned contributions due to many factors, including changes in tax and other laws, as well as significant differences between expected and actual pension asset performance or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Borrowings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the ability to draw revolving borrowings under the senior unsecured credit facilities discussed below in the section entitled “2022 Senior Unsecured Credit Facilities.” The Company had no revolving borrowings outstanding under these facilities as of May 3, 2026.</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Additionally, the Company has the ability to borrow under short-term lines of credit, overdraft facilities and short-term revolving credit facilities denominated in various foreign currencies. These facilities provided for borrowing capacity of up to $236.2 million based on exchange rates in effect on May 3, 2026 and are utilized primarily to fund working capital needs. The Company had no borrowings outstanding under these facilities as of May 3,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254"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 has the ability to issue unsecured commercial paper notes with maturities that vary but do not exceed 397 days from the date of issuance primarily to fund working capital needs. The Company had no borrowings outstanding under the commercial paper note program as of May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Long-Term Debt</w:t>
            </w:r>
          </w:p>
        </w:tc>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carrying amounts of the Company’s long-term debt were as follows: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7"/>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2/1/26</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5/4/25</w:t>
            </w:r>
          </w:p>
        </w:tc>
      </w:tr>
      <w:tr>
        <w:trPr>
          <w:trHeight w:val="88"/>
        </w:trPr>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29"/>
        </w:trPr>
        <w:tc>
          <w:tcPr>
            <w:tcW w:w="66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unsecured Term Loan A facility due 2027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5/8% senior unsecured notes due 2025</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1/8% senior unsecured euro notes due 2027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1/8% senior unsecured euro notes due 2029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 senior unsecured notes due 2030</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w:t>
            </w: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1,720.1</w:t>
            </w: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right="20" w:hanging="251"/>
        <w:spacing w:after="0" w:line="229" w:lineRule="auto"/>
        <w:tabs>
          <w:tab w:leader="none" w:pos="27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 of the euro-denominated Term Loan A facility and the senior unsecured euro notes includes the impact of changes in the exchange rate of the United States dollar against the euro.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Note 10, “Fair Value Measurements,” for the fair value of the Company’s long-term debt as of May 3, 2026, February 1, 2026 and May 4,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mandatory long-term debt repayments for the remainder of 2026 through 2031 were as follows as of May 3,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20" w:type="dxa"/>
            <w:vAlign w:val="bottom"/>
          </w:tcPr>
          <w:p>
            <w:pPr>
              <w:spacing w:after="0"/>
              <w:rPr>
                <w:sz w:val="19"/>
                <w:szCs w:val="19"/>
                <w:color w:val="auto"/>
              </w:rPr>
            </w:pPr>
          </w:p>
        </w:tc>
        <w:tc>
          <w:tcPr>
            <w:tcW w:w="11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90"/>
              </w:rPr>
              <w:t xml:space="preserve">Amount </w:t>
            </w:r>
            <w:r>
              <w:rPr>
                <w:rFonts w:ascii="Times New Roman" w:cs="Times New Roman" w:eastAsia="Times New Roman" w:hAnsi="Times New Roman"/>
                <w:sz w:val="23"/>
                <w:szCs w:val="23"/>
                <w:color w:val="auto"/>
                <w:w w:val="90"/>
                <w:vertAlign w:val="superscript"/>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Fiscal Year</w:t>
            </w:r>
          </w:p>
        </w:tc>
        <w:tc>
          <w:tcPr>
            <w:tcW w:w="9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30"/>
        </w:trPr>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29"/>
        </w:trPr>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right="320" w:hanging="172"/>
        <w:spacing w:after="0" w:line="229" w:lineRule="auto"/>
        <w:tabs>
          <w:tab w:leader="none" w:pos="19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portion of the Company’s mandatory long-term debt repayments is denominated in euros and subject to changes in the exchange rate of the United States dollar against the euro.</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Total debt repayments for the remainder of 2026 through 2031 exceed the total carrying amount of the Company’s debt as of May 3, 2026 because the carrying amount reflects the unamortized portions of debt issuance costs and the original issue discounts.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 2026, approximately 80% of the Company’s long-term debt had fixed interest rates, with the remainder at variable interest rates.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Senior Unsecured Credit Facilities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2022, the Company entered into senior unsecured credit facilities (the “2022 facilities”). The 2022 facilities consist of (a) a €440.6 million euro-denominated Term Loan A facility (the “Euro TLA facility”), (b) a $1,150.0 million United States dollar-denominated multicurrency revolving credit facility (the “multicurrency revolving credit facility”), which is available in (i) United States dollars, (ii) Australian dollars (limited to A$50.0 million), (iii) Canadian dollars (limited to C$70.0 million), or (iv) euros, yen, pounds sterling, Swiss francs or other agreed foreign currencies (limited to €250.0 million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(c) a $50.0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21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made payments of $3.2 million and $3.0 million on its term loan under the 2022 facilities during the thirteen weeks ended May 3, 2026 and May 4,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t>The applicable margin with respect to the Euro TLA facility as of May 3, 2026 was 1.250%. The applicable margin with respect to the revolving credit facilities as of May 3, 2026 was 0.125% for loans bearing interest at the base rate, Canadian prime rate or daily simple euro short term rate and 1.125% for loans bearing interest at the euro interbank offered rate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the Company’s fiscal quarters, based upon the Company’s net leverage ratio or (ii) after the date of delivery of notice of a change in the Company’s public debt rating by Standard &amp; Poor’s or Moody’s.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facilities require the Company to comply with customary affirmative, negative and financial covenants, including a maximum net leverage ratio, calculated in a manner set forth in the terms of the 2022 facilities. Please see Note 8, “Debt,” in the Notes to Consolidated Financial Statements included in Item 8 of the Company’s Annual Report on Form 10-K for the fiscal year ended February 1, 2026 for further discussion of the 2022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5/8% Senior Notes Due 2025</w:t>
      </w:r>
    </w:p>
    <w:p>
      <w:pPr>
        <w:spacing w:after="0" w:line="2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had outstanding $500.0 million principal amount of 4 5/8% senior notes due July 10, 2025. The Company repaid these notes upon maturity utilizing the net proceeds from the issuance of the $500.0 million principal amount of 5 1/2% senior notes due June 13, 2030 together with other available funds, as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 1/8% Euro Senior Notes Due 2027</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outstanding €600.0 million principal amount of 3 1/8% senior notes due December 15, 2027. The Company may redeem some or all of these notes at any time prior to September 15, 2027 by paying a “make whole” premium plus any accrued and unpaid interest. In addition, in advance of maturity, the Company may redeem the remaining outstanding notes beginning on September 15, 2027 at their principal amount plus any accrued and unpaid interest.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1/8% Euro Senior Notes Due 2029</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outstanding €525.0 million principal amount of 4 1/8% senior notes due July 16, 2029. The Company may redeem some or all of these notes at any time prior to April 16, 2029 by paying a “make whole” premium, plus any accrued and unpaid interest. In addition, in advance of maturity, the Company may redeem the remaining outstanding notes beginning on April 16, 2029, or all of these notes at any time in the event of certain developments affecting taxation, at their principal amount plus any accrued and unpaid interest.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 1/2% Senior Notes Due 2030</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on June 13, 2025, $500.0 million principal amount of 5 1/2% senior notes due June 13, 2030. The Company paid $6.0 million of fees in connection with the issuance of the notes, which are being amortized over the term of the notes.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utilized the net proceeds of the offering, together with other available funds, to repay the $500.0 million principal amount of 4 5/8% senior notes due July 10, 2025, as discussed above.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redeem some or all of these notes at any time prior to May 13, 2030 by paying a “make whole” premium, plus any accrued and unpaid interest. In addition, in advance of maturity, the Company may redeem the remaining outstanding notes beginning on May 13, 2030 at their principal amount plus any accrued and unpaid interest.</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financing arrangements contain financial and non-financial covenants and customary events of default. As of May 3, 2026, the Company was in compliance with all applicable financial and non-financial covenants under its financing arrangements.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also has standby letters of credit and bank guarantees primarily to collateralize the Company’s insurance and lease obligations. The Company had $103.5 million of these standby letters of credit and bank guarantees outstanding as of May 3, 2026.</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Please see Note 8, “Debt,” in the Notes to Consolidated Financial Statements included in Item 8 of the Company’s Annual Report on Form 10-K for the fiscal year ended February 1, 2026 for further discussion of the Company’s debt.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8. INCOME TAXES</w:t>
      </w:r>
    </w:p>
    <w:p>
      <w:pPr>
        <w:spacing w:after="0" w:line="25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effective income tax rates for the thirteen weeks ended May 3, 2026 and May 4, 2025 were 18.9% and 87.2%, respectively. The effective income tax rate for the thirteen weeks ended May 3, 2026 reflected a $20.5 million income tax expense recorded on $108.5 million of pre-tax income. The effective income tax rate for the thirteen weeks ended May 4, 2025 reflected a $(304.8) million income tax benefit recorded on $(349.6) million of pre-tax losses.</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May 3, 2026 was lower than the prior year period primarily due to the impact of the $479.5 million pre-tax noncash goodwill and other intangible asset impairment charges recorded during the first quarter of 2025, which were non-deductible for tax purposes and factored into the Company’s 2025 annualized effective income tax rate, and resulted in a 70.5% increase to the Company’s effective income tax rate for the thirteen weeks ended May 4, 2025.</w:t>
      </w:r>
    </w:p>
    <w:p>
      <w:pPr>
        <w:spacing w:after="0" w:line="207" w:lineRule="exact"/>
        <w:rPr>
          <w:sz w:val="20"/>
          <w:szCs w:val="20"/>
          <w:color w:val="auto"/>
        </w:rPr>
      </w:pPr>
    </w:p>
    <w:p>
      <w:pPr>
        <w:ind w:right="7660" w:firstLine="8"/>
        <w:spacing w:after="0" w:line="53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DERIVATIVE FINANCIAL INSTRUMENTS </w:t>
      </w:r>
      <w:r>
        <w:rPr>
          <w:rFonts w:ascii="Times New Roman" w:cs="Times New Roman" w:eastAsia="Times New Roman" w:hAnsi="Times New Roman"/>
          <w:sz w:val="18"/>
          <w:szCs w:val="18"/>
          <w:u w:val="single" w:color="auto"/>
          <w:color w:val="auto"/>
        </w:rPr>
        <w:t>Cash Flow Hedges</w:t>
      </w:r>
    </w:p>
    <w:p>
      <w:pPr>
        <w:spacing w:after="0" w:line="266" w:lineRule="auto"/>
        <w:rPr>
          <w:sz w:val="20"/>
          <w:szCs w:val="20"/>
          <w:color w:val="auto"/>
        </w:rPr>
      </w:pPr>
      <w:r>
        <w:rPr>
          <w:rFonts w:ascii="Times New Roman" w:cs="Times New Roman" w:eastAsia="Times New Roman" w:hAnsi="Times New Roman"/>
          <w:sz w:val="18"/>
          <w:szCs w:val="18"/>
          <w:color w:val="auto"/>
        </w:rPr>
        <w:t>The Company has exposure to changes in foreign currency exchange rates related to anticipated cash flows associated with inventory purchases made by its foreign subsidiaries in a currency other than their functional currency. The Company uses foreign currency forward contracts to hedge against a portion of this exposure.</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records the foreign currency forward contracts at fair value in its Consolidated Balance Sheets and does not net the related assets and liabilities. The foreign currency forward contracts associated with certain international inventory purchases are designated as effective hedging instruments (“cash flow hedges”). As such, the changes in the fair value of the cash flow hedges are recorded in equity as a component of accumulated other comprehensive loss (“AOCL”). No amounts were excluded from effectiveness testing.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Company has exposure to changes in foreign currency exchange rates related to the value of its investments in foreign subsidiaries denominated in a currency other than the United States dollar. To hedge against a portion of this exposure, the Company uses both non-derivative instruments (the par value of certain of its foreign-denominated debt) and derivative instruments (cross-currency swap contracts), which it designates as net investment hedges.</w:t>
      </w:r>
    </w:p>
    <w:p>
      <w:pPr>
        <w:spacing w:after="0" w:line="1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designated (i) the par value of its €600.0 million principal amount of 3 1/8% senior notes due 2027 and (ii) the par value of its €525.0 million principal amount of 4 1/8% senior notes due 2029 (collectively, “foreign currency borrowings”), that were issued by PVH Corp., a U.S.-based entity, as net investment hedges of its investments in certain of its foreign subsidiaries that use the euro as their functional currency. Please see Note 7, “Debt,” for further discussion of the Company’s foreign currency borrowings.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records the foreign currency borrowings at carrying value in its Consolidated Balance Sheets. The carrying value of the foreign currency borrowings is remeasured at the end of each reporting period to reflect changes in the foreign currency exchange spot rate. During the period in which the foreign currency borrowings are designated as net investment hedges, such remeasurement is recorded in equity as a component of AOCL. The fair value and the carrying value of the foreign currency borrowings designated as net investment hedges were $1,326.0 million and $1,313.3 million, respectively, as of May 3, 2026, $1,357.8 million and $1,327.3 million, respectively, as of February 1, 2026 and $1,278.7 million and $1,263.8 million, respectively, as of May 4, 2025. The Company evaluates the effectiveness of its non-derivative instrument net investment hedges at inception and each quarter thereafter. No amounts were excluded from effectiveness testing.</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2023, the Company entered into multiple fixed-to-fixed cross-currency swap contracts, which, in aggregate, economically converted the Company’s $500.0 million principal amount of 4 5/8% senior notes due July 2025 from a United States dollar-denominated obligation to a euro-denominated obligation of €457.2 million. As part of these swap contracts, the Company received fixed-rate United States dollar-denominated interest at contracted rates and paid fixed-rate euro-denominated interest at a rate of 0%.</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2025, the Company completed a transaction to effectively blend and extend the cross-currency swaps maturing in July 2025 with new fixed-to-fixed cross-currency swap contracts maturing in July 2027 and July 2028 with notional amounts of $300.0 million and $200.0 million, respectively. As part of these swap contracts, the Company will receive fixed-rate United States dollar-denominated interest at contracted rates and will pay fixed-rate euro-denominated interest at a rate of 0%.</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The Company designates its cross-currency swap contracts as net investment hedges of its investments in certain of its foreign subsidiaries that use the euro as their functional currency. The Company records the cross-currency swap contracts at fair value in its Consolidated Balance Sheets and does not net the related assets and liabilities. Changes in the fair value of the cross-currency swap contracts are recorded in equity as a component of AOCL. The Company evaluates the effectiveness of its derivative instrument net investment hedges at inception and each quarter thereafter. The interest components of the cross-currency swaps are excluded from the assessment of hedge effectiveness and are initially recorded in equity as a component of AOCL. Such amounts are recognized ratably over the term of the cross-currency swap contracts as a credit to interest expense in the Company’s Consolidated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Undesignated Contracts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records immediately in earnings changes in the fair value of hedges that are not designated in qualifying hedge relationships (“undesignated contracts”), which primarily include foreign currency forward contracts related to (i) third party transactions; (ii) intercompany transactions; and (iii) intercompany loans that are not of a long-term investment nature. Any gains and losses that are immediately recognized in earnings on such contracts are largely offset by the remeasurement of the underlying balances.</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does not use derivative or non-derivative financial instruments for trading or speculative purposes. The cash flows from the Company’s hedges are presented in the same category in the Company’s Consolidated Statements of Cash Flows as the items being hedged.</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counterparties to such contracts will fail to meet their contractual obligations. To mitigate this counterparty credit risk, the Company only enters into contracts with carefully selected financial institutions based upon an evaluation of their credit ratings and certain other financial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of the Company’s derivative financial instruments in its Consolidated Balance Sheets: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5/3/26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5/4/25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5/3/26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color w:val="auto"/>
              </w:rPr>
              <w:t>5/4/25</w:t>
            </w: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56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Accrued</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Accrued</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Accrued</w:t>
            </w:r>
          </w:p>
        </w:tc>
        <w:tc>
          <w:tcPr>
            <w:tcW w:w="140" w:type="dxa"/>
            <w:vAlign w:val="bottom"/>
          </w:tcPr>
          <w:p>
            <w:pPr>
              <w:spacing w:after="0"/>
              <w:rPr>
                <w:sz w:val="12"/>
                <w:szCs w:val="12"/>
                <w:color w:val="auto"/>
              </w:rPr>
            </w:pP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4"/>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Current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Current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Current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Assets</w:t>
            </w:r>
          </w:p>
        </w:tc>
        <w:tc>
          <w:tcPr>
            <w:tcW w:w="14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7"/>
                <w:szCs w:val="17"/>
                <w:color w:val="auto"/>
              </w:rPr>
            </w:pPr>
          </w:p>
        </w:tc>
        <w:tc>
          <w:tcPr>
            <w:tcW w:w="5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Assets</w:t>
            </w:r>
          </w:p>
        </w:tc>
        <w:tc>
          <w:tcPr>
            <w:tcW w:w="14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Liabilities</w:t>
            </w:r>
          </w:p>
        </w:tc>
        <w:tc>
          <w:tcPr>
            <w:tcW w:w="0" w:type="dxa"/>
            <w:vAlign w:val="bottom"/>
          </w:tcPr>
          <w:p>
            <w:pPr>
              <w:spacing w:after="0"/>
              <w:rPr>
                <w:sz w:val="1"/>
                <w:szCs w:val="1"/>
                <w:color w:val="auto"/>
              </w:rPr>
            </w:pPr>
          </w:p>
        </w:tc>
      </w:tr>
      <w:tr>
        <w:trPr>
          <w:trHeight w:val="126"/>
        </w:trPr>
        <w:tc>
          <w:tcPr>
            <w:tcW w:w="16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Contracts designated as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cash flow and net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hedges: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Foreign currency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forward contracts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purchases)</w:t>
            </w:r>
          </w:p>
        </w:tc>
        <w:tc>
          <w:tcPr>
            <w:tcW w:w="1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contracts (net investment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hedges)</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Undesignated contracts: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contracts</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notional amount outstanding of foreign currency forward contracts was $1,264.2 million at May 3, 2026. Such contracts expire principally between May 2026 and June 2027.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tables summarize the effect of the Company’s hedges designated as cash flow and net investment hedging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Gain (Loss) Recognized in Other</w:t>
            </w:r>
          </w:p>
        </w:tc>
      </w:t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Comprehensive Income (Loss)</w:t>
            </w: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Thirteen Weeks Ended</w:t>
            </w:r>
          </w:p>
        </w:tc>
        <w:tc>
          <w:tcPr>
            <w:tcW w:w="140" w:type="dxa"/>
            <w:vAlign w:val="bottom"/>
          </w:tcPr>
          <w:p>
            <w:pPr>
              <w:spacing w:after="0"/>
              <w:rPr>
                <w:sz w:val="22"/>
                <w:szCs w:val="22"/>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5/3/26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5/4/25</w:t>
            </w:r>
          </w:p>
        </w:tc>
      </w:tr>
      <w:tr>
        <w:trPr>
          <w:trHeight w:val="223"/>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(inventory purchases)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borrowings (net investment hedges)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 contracts (net investment hedges)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1"/>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60" w:type="dxa"/>
            <w:vAlign w:val="bottom"/>
            <w:gridSpan w:val="12"/>
          </w:tcPr>
          <w:p>
            <w:pPr>
              <w:jc w:val="right"/>
              <w:ind w:right="90"/>
              <w:spacing w:after="0"/>
              <w:rPr>
                <w:sz w:val="20"/>
                <w:szCs w:val="20"/>
                <w:color w:val="auto"/>
              </w:rPr>
            </w:pPr>
            <w:r>
              <w:rPr>
                <w:rFonts w:ascii="Times New Roman" w:cs="Times New Roman" w:eastAsia="Times New Roman" w:hAnsi="Times New Roman"/>
                <w:sz w:val="18"/>
                <w:szCs w:val="18"/>
                <w:color w:val="auto"/>
              </w:rPr>
              <w:t>Amount of (Loss) Gain Reclassified from AOCL into Income, Consolidated Statements of Operations</w:t>
            </w:r>
          </w:p>
        </w:tc>
      </w:tr>
      <w:tr>
        <w:trPr>
          <w:trHeight w:val="237"/>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12"/>
          </w:tcPr>
          <w:p>
            <w:pPr>
              <w:jc w:val="right"/>
              <w:ind w:right="850"/>
              <w:spacing w:after="0"/>
              <w:rPr>
                <w:sz w:val="20"/>
                <w:szCs w:val="20"/>
                <w:color w:val="auto"/>
              </w:rPr>
            </w:pPr>
            <w:r>
              <w:rPr>
                <w:rFonts w:ascii="Times New Roman" w:cs="Times New Roman" w:eastAsia="Times New Roman" w:hAnsi="Times New Roman"/>
                <w:sz w:val="18"/>
                <w:szCs w:val="18"/>
                <w:color w:val="auto"/>
              </w:rPr>
              <w:t>Location, and Total Amount of Consolidated Statements of Operations Line Item</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19"/>
                <w:szCs w:val="19"/>
                <w:color w:val="auto"/>
              </w:rPr>
            </w:pPr>
          </w:p>
        </w:tc>
        <w:tc>
          <w:tcPr>
            <w:tcW w:w="2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Amount Reclassified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Location</w:t>
            </w:r>
          </w:p>
        </w:tc>
        <w:tc>
          <w:tcPr>
            <w:tcW w:w="120" w:type="dxa"/>
            <w:vAlign w:val="bottom"/>
          </w:tcPr>
          <w:p>
            <w:pPr>
              <w:spacing w:after="0"/>
              <w:rPr>
                <w:sz w:val="19"/>
                <w:szCs w:val="19"/>
                <w:color w:val="auto"/>
              </w:rPr>
            </w:pPr>
          </w:p>
        </w:tc>
        <w:tc>
          <w:tcPr>
            <w:tcW w:w="30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 Statements of Operations Amount</w:t>
            </w:r>
          </w:p>
        </w:tc>
      </w:tr>
      <w:tr>
        <w:trPr>
          <w:trHeight w:val="223"/>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Thirteen Weeks Ended</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5/4/25</w:t>
            </w:r>
          </w:p>
        </w:tc>
      </w:tr>
      <w:tr>
        <w:trPr>
          <w:trHeight w:val="169"/>
        </w:trPr>
        <w:tc>
          <w:tcPr>
            <w:tcW w:w="34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 contracts (inventory</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176"/>
        </w:trPr>
        <w:tc>
          <w:tcPr>
            <w:tcW w:w="3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Cross-currency swap contracts (net investment</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net loss in AOCL on foreign currency forward contracts at May 3, 2026 of $10.1 million is estimated to be reclassified in the next 12 months in the Company’s Consolidated Statement of Operations to cost of goods sold as the underlying inventory hedged by such forward contracts is sold. Amounts recognized in AOCL for foreign currency borrowings and the effective portion of the Company’s net investment hedges would be recognized in earnings only upon the sale or substantially complete liquidation of the hedged net investment.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the Company’s undesignated contracts recognized in SG&amp;A expenses in its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Gain (Loss) Recognized in SG&amp;A</w:t>
            </w:r>
          </w:p>
        </w:tc>
      </w:tr>
      <w:tr>
        <w:trPr>
          <w:trHeight w:val="23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Pr>
          <w:p>
            <w:pPr>
              <w:spacing w:after="0"/>
              <w:rPr>
                <w:sz w:val="20"/>
                <w:szCs w:val="20"/>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Pr>
          <w:p>
            <w:pPr>
              <w:spacing w:after="0"/>
              <w:rPr>
                <w:sz w:val="20"/>
                <w:szCs w:val="20"/>
                <w:color w:val="auto"/>
              </w:rPr>
            </w:pPr>
          </w:p>
        </w:tc>
      </w:tr>
      <w:tr>
        <w:trPr>
          <w:trHeight w:val="223"/>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5/3/26</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5/4/25</w:t>
            </w:r>
          </w:p>
        </w:tc>
      </w:tr>
      <w:tr>
        <w:trPr>
          <w:trHeight w:val="30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forward contracts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37" w:lineRule="exact"/>
        <w:rPr>
          <w:sz w:val="20"/>
          <w:szCs w:val="20"/>
          <w:color w:val="auto"/>
        </w:rPr>
      </w:pPr>
    </w:p>
    <w:p>
      <w:pPr>
        <w:ind w:right="160" w:firstLine="8"/>
        <w:spacing w:after="0" w:line="491" w:lineRule="auto"/>
        <w:tabs>
          <w:tab w:leader="none" w:pos="18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Any gains and losses that are immediately recognized in earnings on such contracts are largely offset by the remeasurement of the underlying balances. The Company had no derivative financial instruments with credit risk-related contingent features underlying the related contracts as of May 3, 2026.</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10. FAIR VALUE MEASUREMENTS</w:t>
      </w:r>
    </w:p>
    <w:p>
      <w:pPr>
        <w:spacing w:after="0" w:line="252"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In accordance with U.S. GAAP,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67" w:lineRule="exact"/>
        <w:rPr>
          <w:sz w:val="20"/>
          <w:szCs w:val="20"/>
          <w:color w:val="auto"/>
        </w:rPr>
      </w:pPr>
    </w:p>
    <w:p>
      <w:pPr>
        <w:ind w:left="500" w:right="700" w:hanging="305"/>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89" w:lineRule="exact"/>
        <w:rPr>
          <w:sz w:val="20"/>
          <w:szCs w:val="20"/>
          <w:color w:val="auto"/>
        </w:rPr>
      </w:pPr>
    </w:p>
    <w:p>
      <w:pPr>
        <w:ind w:left="500" w:right="540" w:hanging="305"/>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prices that are observable for the asset or liability and inputs derived principally from or corroborated by observable market data.</w:t>
      </w:r>
    </w:p>
    <w:p>
      <w:pPr>
        <w:spacing w:after="0" w:line="252" w:lineRule="exact"/>
        <w:rPr>
          <w:sz w:val="20"/>
          <w:szCs w:val="20"/>
          <w:color w:val="auto"/>
        </w:rPr>
      </w:pPr>
    </w:p>
    <w:p>
      <w:pPr>
        <w:ind w:left="500" w:right="340" w:hanging="305"/>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about the inputs that market participants would use in pricing the asset or liability based on the best information available.</w:t>
      </w:r>
    </w:p>
    <w:p>
      <w:pPr>
        <w:spacing w:after="0" w:line="18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the Company’s financial assets and liabilities that are required to be remeasured at fair value on a recurring basis: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5/3/26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8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2</w:t>
            </w:r>
          </w:p>
        </w:tc>
        <w:tc>
          <w:tcPr>
            <w:tcW w:w="7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3</w:t>
            </w: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Level 3</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Level 2</w:t>
            </w:r>
          </w:p>
        </w:tc>
        <w:tc>
          <w:tcPr>
            <w:tcW w:w="7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3</w:t>
            </w: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6"/>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8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Foreign currency forward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contracts</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contracts (net investment</w:t>
            </w:r>
          </w:p>
        </w:tc>
        <w:tc>
          <w:tcPr>
            <w:tcW w:w="1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Rabbi trust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Foreign currency forward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contracts</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contracts (net investment</w:t>
            </w:r>
          </w:p>
        </w:tc>
        <w:tc>
          <w:tcPr>
            <w:tcW w:w="1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96"/>
        </w:trPr>
        <w:tc>
          <w:tcPr>
            <w:tcW w:w="1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foreign currency forward contracts is measured as the total amount of currency to be purchased, multiplied by the difference between</w:t>
      </w:r>
    </w:p>
    <w:p>
      <w:pPr>
        <w:spacing w:after="0" w:line="27" w:lineRule="exact"/>
        <w:rPr>
          <w:sz w:val="20"/>
          <w:szCs w:val="20"/>
          <w:color w:val="auto"/>
        </w:rPr>
      </w:pPr>
    </w:p>
    <w:p>
      <w:pPr>
        <w:jc w:val="both"/>
        <w:ind w:right="60" w:firstLine="8"/>
        <w:spacing w:after="0" w:line="253"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currency forward rate as of the period end and (ii) the settlement rate specified in each contract. The fair value of the cross-currency swap contracts is measured using the discounted cash flows of the contracts, which are determined based on observable inputs, including the foreign currency forward rates and discount rates, as of the period end. The fair value of the rabbi trust assets, which consist of investments in mutual funds, is valued at the net asset value of the funds, as determined by the closing price in the active market in which the individual fund is traded.</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established a rabbi trust that holds investments related to the Company’s supplemental savings plan. The rabbi trust is considered a variable interest entity and it is consolidated in the Company’s financial statements because the Company is considered the primary beneficiary of the rabbi trust. The rabbi trust assets generally mirror the investment elections made by eligible plan participants and are included as follows in the Company’s Consolidated Balance Sheets: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60" w:type="dxa"/>
            <w:vAlign w:val="bottom"/>
            <w:tcBorders>
              <w:bottom w:val="single" w:sz="8" w:color="auto"/>
            </w:tcBorders>
          </w:tcPr>
          <w:p>
            <w:pPr>
              <w:spacing w:after="0"/>
              <w:rPr>
                <w:sz w:val="20"/>
                <w:szCs w:val="20"/>
                <w:color w:val="auto"/>
              </w:rPr>
            </w:pP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Other Assets</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corresponding deferred compensation liability is included in accrued expenses and other liabilities in the Company’s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(losses) recognized on the rabbi trust investments were immaterial during the thirteen weeks ended May 3, 2026 and May 4,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property, plant and equipment, and operating lease right-of-use assets, are not required to be measured at fair value on a recurring basis, and instead are reported at their carrying amount. However, on a periodic basis whenever events or changes in circumstances indicate that their carrying amount may not be fully recoverable (and at least annually for goodwill and indefinite-lived intangible assets), non-financial assets are assessed for impairment. The Company determines the fair values of these assets based on Level 3 measurements. If the fair value is determined to be lower than the carrying amount, an impairment charge is recorded to write down the asset to its fair value.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non-financial assets that were required to be remeasured at fair value on a non-recurring basis during the thirteen weeks ended May 4, 2025, and the total impairments recorded as a result of the remeasurement process: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4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color w:val="auto"/>
                <w:w w:val="98"/>
              </w:rPr>
              <w:t>Fair Value Measurement Using</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Fair Value As Of</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5/4/25</w:t>
            </w:r>
          </w:p>
        </w:tc>
        <w:tc>
          <w:tcPr>
            <w:tcW w:w="200" w:type="dxa"/>
            <w:vAlign w:val="bottom"/>
          </w:tcPr>
          <w:p>
            <w:pPr>
              <w:spacing w:after="0"/>
              <w:rPr>
                <w:sz w:val="21"/>
                <w:szCs w:val="21"/>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Level 1</w:t>
            </w:r>
          </w:p>
        </w:tc>
        <w:tc>
          <w:tcPr>
            <w:tcW w:w="178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Level 2</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1"/>
                <w:szCs w:val="21"/>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Impairment Date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Impairments</w:t>
            </w:r>
          </w:p>
        </w:tc>
        <w:tc>
          <w:tcPr>
            <w:tcW w:w="0" w:type="dxa"/>
            <w:vAlign w:val="bottom"/>
          </w:tcPr>
          <w:p>
            <w:pPr>
              <w:spacing w:after="0"/>
              <w:rPr>
                <w:sz w:val="1"/>
                <w:szCs w:val="1"/>
                <w:color w:val="auto"/>
              </w:rPr>
            </w:pPr>
          </w:p>
        </w:tc>
      </w:tr>
      <w:tr>
        <w:trPr>
          <w:trHeight w:val="228"/>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2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24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with a carrying amount of $190.8 million were written down to a fair value of $137.3 million during the thirteen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2025. In addition, the Company recorded $426.0 million of goodwill impairment charges during the thirteen weeks ended May 4, 2025. Please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“Goodwill and Other Intangible Assets,” for further discussion.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the fair values of the Company’s cash and cash equivalents, short-term borrowings and long-term debt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980" w:type="dxa"/>
            <w:vAlign w:val="bottom"/>
            <w:tcBorders>
              <w:bottom w:val="single" w:sz="8" w:color="auto"/>
            </w:tcBorders>
          </w:tcPr>
          <w:p>
            <w:pPr>
              <w:spacing w:after="0"/>
              <w:rPr>
                <w:sz w:val="20"/>
                <w:szCs w:val="20"/>
                <w:color w:val="auto"/>
              </w:rPr>
            </w:pPr>
          </w:p>
        </w:tc>
      </w:tr>
      <w:tr>
        <w:trPr>
          <w:trHeight w:val="169"/>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88"/>
        </w:trPr>
        <w:tc>
          <w:tcPr>
            <w:tcW w:w="37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debt (including portion classified as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w:t>
            </w: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cash and cash equivalents and short-term borrowings approximate their carrying amounts due to the short-term nature of these instruments. The Company estimates the fair value of its long-term debt using quoted market prices as of the last business day of the applicable quarter. The Company classifies the measurement of its long-term debt as a Level 1 measurement. The carrying amounts of long-term debt reflect the unamortized portions of debt issuance costs and the original issue discounts.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Stock Incentive Plan (the “Plan”). Awards that may be granted under the Plan include, but are not limited to (i) service-based restricted stock units (“RSUs”); (ii) contingently issuable performance share units (“PSUs”); and (iii) service-based non-qualified stock options (“stock options”). Please see Note 13, “Stock-Based Compensation,” in the Notes to Consolidated Financial Statements included in Item 8 of the Company’s Annual Report on Form 10-K for the fiscal year ended February 1, 2026 for a detailed description of the Company’s stock-based compensation awards, including information relating to vesting terms and service, performance and market conditions, and additional information.</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thirteen weeks ended May 3, 2026 and May 4, 2025 included $12.0 million and $12.1 million, respectively, of pre-tax expense related to stock-based compensation, with related recognized income tax benefits of $1.4 million and $1.5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RSUs</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RSUs is equal to the closing price of the Company’s common stock on the date of grant and is expensed over the RSUs’ requisite service periods.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activity for the thirteen weeks ended May 3, 2026 was as follows: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3"/>
        </w:trPr>
        <w:tc>
          <w:tcPr>
            <w:tcW w:w="4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7"/>
              </w:rPr>
              <w:t>Weighted Average Grant</w:t>
            </w:r>
          </w:p>
        </w:tc>
      </w:tr>
      <w:tr>
        <w:trPr>
          <w:trHeight w:val="243"/>
        </w:trPr>
        <w:tc>
          <w:tcPr>
            <w:tcW w:w="4000" w:type="dxa"/>
            <w:vAlign w:val="bottom"/>
          </w:tcPr>
          <w:p>
            <w:pPr>
              <w:spacing w:after="0"/>
              <w:rPr>
                <w:sz w:val="21"/>
                <w:szCs w:val="21"/>
                <w:color w:val="auto"/>
              </w:rPr>
            </w:pPr>
          </w:p>
        </w:tc>
        <w:tc>
          <w:tcPr>
            <w:tcW w:w="15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RSUs</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Date Fair Value Per RSU</w:t>
            </w:r>
          </w:p>
        </w:tc>
      </w:tr>
      <w:tr>
        <w:trPr>
          <w:trHeight w:val="223"/>
        </w:trPr>
        <w:tc>
          <w:tcPr>
            <w:tcW w:w="4000" w:type="dxa"/>
            <w:vAlign w:val="bottom"/>
          </w:tcPr>
          <w:p>
            <w:pPr>
              <w:spacing w:after="0"/>
              <w:rPr>
                <w:sz w:val="19"/>
                <w:szCs w:val="19"/>
                <w:color w:val="auto"/>
              </w:rPr>
            </w:pPr>
          </w:p>
        </w:tc>
        <w:tc>
          <w:tcPr>
            <w:tcW w:w="15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(in thousands)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February 1,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29"/>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29"/>
        </w:trPr>
        <w:tc>
          <w:tcPr>
            <w:tcW w:w="5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30"/>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r>
      <w:tr>
        <w:trPr>
          <w:trHeight w:val="24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3,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1,439</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PSUs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PSU awards currently outstanding have a three-year service period. Each award is subject to performance and market conditions, with (i) 50% based on the Company’s average return on invested capital (“ROIC”) during a fiscal three-year performance period and (ii) 50% based on the Company’s total shareholder return (“TSR”) relative to a pre-established group of industry peers during a three-year period from the grant date. The final number of shares to be earned, if any, is contingent upon the Company’s achievement of goals for the applicable performance period.</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awards granted in 2023, the Company achieved performance between target and maximum levels for the ROIC portion of the award and between threshold and target levels for the TSR portion of the award, resulting in the holders of the awards earning an aggregate of 82,000 shares.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expense ratably over the three-year service period, with expense determined as follows: (i) TSR-based portion of the awards is based on the grant date fair value regardless of whether the market condition is satisfied because the awards are subject to market conditions and (ii) ROIC-based portion of the awards is based on the grant date fair value per share and the Company’s current expectations of the probable number of shares that will ultimately be issued.</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awards is established as follows: (i) TSR-based portion of the awards uses a Monte Carlo simulation model and (ii) ROIC-based portion of the awards is based on the closing price of the Company’s common stock reduced for the present value of any dividends expected to be paid on such common stock during the three-year service period, as these contingently issuable PSUs do not accrue dividends.</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following summarizes the assumptions used to estimate the fair value of PSUs subject to market conditions that were granted during the thirteen weeks ended May 3, 2026 and the resulting weighted average grant date fair value:</w:t>
      </w:r>
    </w:p>
    <w:p>
      <w:pPr>
        <w:spacing w:after="0" w:line="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5/3/26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6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Company volatility</w:t>
            </w:r>
          </w:p>
        </w:tc>
        <w:tc>
          <w:tcPr>
            <w:tcW w:w="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44.11 %</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dividends per share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PSU</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125.02</w:t>
            </w:r>
          </w:p>
        </w:tc>
      </w:tr>
    </w:tbl>
    <w:p>
      <w:pPr>
        <w:spacing w:after="0" w:line="3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of the awards granted, the after-tax portion of the award is subject to a holding period of one year after the vesting date. For these awards, the grant date fair value was discounted 4.90% for the restriction of liquidity, which was calculated using the Finnerty model.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PSU activity for the thirteen weeks ended May 3, 2026 was as follows: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3"/>
        </w:trPr>
        <w:tc>
          <w:tcPr>
            <w:tcW w:w="5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43"/>
        </w:trPr>
        <w:tc>
          <w:tcPr>
            <w:tcW w:w="5820" w:type="dxa"/>
            <w:vAlign w:val="bottom"/>
          </w:tcPr>
          <w:p>
            <w:pPr>
              <w:spacing w:after="0"/>
              <w:rPr>
                <w:sz w:val="21"/>
                <w:szCs w:val="21"/>
                <w:color w:val="auto"/>
              </w:rPr>
            </w:pPr>
          </w:p>
        </w:tc>
        <w:tc>
          <w:tcPr>
            <w:tcW w:w="15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PSUs</w:t>
            </w:r>
          </w:p>
        </w:tc>
        <w:tc>
          <w:tcPr>
            <w:tcW w:w="4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Date Fair Value Per PSU</w:t>
            </w:r>
          </w:p>
        </w:tc>
      </w:tr>
      <w:tr>
        <w:trPr>
          <w:trHeight w:val="223"/>
        </w:trPr>
        <w:tc>
          <w:tcPr>
            <w:tcW w:w="5820" w:type="dxa"/>
            <w:vAlign w:val="bottom"/>
          </w:tcPr>
          <w:p>
            <w:pPr>
              <w:spacing w:after="0"/>
              <w:rPr>
                <w:sz w:val="19"/>
                <w:szCs w:val="19"/>
                <w:color w:val="auto"/>
              </w:rPr>
            </w:pPr>
          </w:p>
        </w:tc>
        <w:tc>
          <w:tcPr>
            <w:tcW w:w="1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February 1, 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r>
      <w:tr>
        <w:trPr>
          <w:trHeight w:val="230"/>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r>
      <w:tr>
        <w:trPr>
          <w:trHeight w:val="229"/>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due to market conditions achieved above target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r>
      <w:tr>
        <w:trPr>
          <w:trHeight w:val="229"/>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Reduction due to performance conditions achieved below target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r>
      <w:tr>
        <w:trPr>
          <w:trHeight w:val="230"/>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r>
      <w:tr>
        <w:trPr>
          <w:trHeight w:val="229"/>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r>
      <w:tr>
        <w:trPr>
          <w:trHeight w:val="24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3, 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at the date of grant using the Black-Scholes-Merton model. The estimated fair value of the stock options granted is expensed over the stock options’ requisite service periods. There were no stock options granted during the thirteen weeks ended May 3,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activity for the thirteen weeks ended May 3, 2026 was as follows: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03"/>
        </w:trPr>
        <w:tc>
          <w:tcPr>
            <w:tcW w:w="5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Weighted Average</w:t>
            </w:r>
          </w:p>
        </w:tc>
      </w:tr>
      <w:tr>
        <w:trPr>
          <w:trHeight w:val="175"/>
        </w:trPr>
        <w:tc>
          <w:tcPr>
            <w:tcW w:w="5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Exercise Price</w:t>
            </w:r>
          </w:p>
        </w:tc>
      </w:tr>
      <w:tr>
        <w:trPr>
          <w:trHeight w:val="243"/>
        </w:trPr>
        <w:tc>
          <w:tcPr>
            <w:tcW w:w="5820" w:type="dxa"/>
            <w:vAlign w:val="bottom"/>
          </w:tcPr>
          <w:p>
            <w:pPr>
              <w:spacing w:after="0"/>
              <w:rPr>
                <w:sz w:val="21"/>
                <w:szCs w:val="21"/>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Per Stock Option</w:t>
            </w:r>
          </w:p>
        </w:tc>
      </w:tr>
      <w:tr>
        <w:trPr>
          <w:trHeight w:val="223"/>
        </w:trPr>
        <w:tc>
          <w:tcPr>
            <w:tcW w:w="5820" w:type="dxa"/>
            <w:vAlign w:val="bottom"/>
          </w:tcPr>
          <w:p>
            <w:pPr>
              <w:spacing w:after="0"/>
              <w:rPr>
                <w:sz w:val="19"/>
                <w:szCs w:val="19"/>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1, 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r>
      <w:tr>
        <w:trPr>
          <w:trHeight w:val="230"/>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 / Expired</w:t>
            </w: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r>
      <w:tr>
        <w:trPr>
          <w:trHeight w:val="24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May 3, 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12. ACCUMULATED OTHER COMPREHENSIVE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AOCL, net of related taxes, by component for the thirteen weeks ended May 3, 2026 and May 4,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Foreign currency</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Net unrealized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2"/>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realized (loss) gain on</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600" w:type="dxa"/>
            <w:vAlign w:val="bottom"/>
          </w:tcPr>
          <w:p>
            <w:pPr>
              <w:spacing w:after="0"/>
              <w:rPr>
                <w:sz w:val="21"/>
                <w:szCs w:val="21"/>
                <w:color w:val="auto"/>
              </w:rPr>
            </w:pPr>
          </w:p>
        </w:tc>
        <w:tc>
          <w:tcPr>
            <w:tcW w:w="2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effective cash flow hedges</w:t>
            </w: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1, 2026</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6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155"/>
        </w:trPr>
        <w:tc>
          <w:tcPr>
            <w:tcW w:w="38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Amounts reclassified from AOCL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 2026</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Foreign currency</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Net unrealized and</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2"/>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realized gain (loss) on</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600" w:type="dxa"/>
            <w:vAlign w:val="bottom"/>
          </w:tcPr>
          <w:p>
            <w:pPr>
              <w:spacing w:after="0"/>
              <w:rPr>
                <w:sz w:val="21"/>
                <w:szCs w:val="21"/>
                <w:color w:val="auto"/>
              </w:rPr>
            </w:pPr>
          </w:p>
        </w:tc>
        <w:tc>
          <w:tcPr>
            <w:tcW w:w="2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effective cash flow hedges</w:t>
            </w: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 2025</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6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0" w:type="dxa"/>
            <w:vAlign w:val="bottom"/>
          </w:tcPr>
          <w:p>
            <w:pPr>
              <w:spacing w:after="0"/>
              <w:rPr>
                <w:sz w:val="1"/>
                <w:szCs w:val="1"/>
                <w:color w:val="auto"/>
              </w:rPr>
            </w:pPr>
          </w:p>
        </w:tc>
      </w:tr>
      <w:tr>
        <w:trPr>
          <w:trHeight w:val="156"/>
        </w:trPr>
        <w:tc>
          <w:tcPr>
            <w:tcW w:w="38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4, 2025</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60" w:right="280" w:hanging="252"/>
        <w:spacing w:after="0" w:line="242" w:lineRule="auto"/>
        <w:tabs>
          <w:tab w:leader="none" w:pos="18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Foreign currency translation adjustments included a net gain (loss) on net investment hedges of $18.2 million and $(109.0) million during the thirteen weeks ended May 3, 2026 and May 4, 2025, respectively.</w:t>
      </w:r>
    </w:p>
    <w:p>
      <w:pPr>
        <w:spacing w:after="0" w:line="204"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Favorable foreign currency translation adjustments were principally driven by a weakening of the United States dollar against the euro.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from AOCL to earnings for the thirteen weeks ended May 3, 2026 and May 4,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Affected Line Item in the Company’s</w:t>
            </w:r>
          </w:p>
        </w:tc>
      </w:tr>
      <w:tr>
        <w:trPr>
          <w:trHeight w:val="234"/>
        </w:trPr>
        <w:tc>
          <w:tcPr>
            <w:tcW w:w="5340" w:type="dxa"/>
            <w:vAlign w:val="bottom"/>
          </w:tcPr>
          <w:p>
            <w:pPr>
              <w:spacing w:after="0"/>
              <w:rPr>
                <w:sz w:val="20"/>
                <w:szCs w:val="20"/>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Amount Reclassified from AOCL</w:t>
            </w:r>
          </w:p>
        </w:tc>
        <w:tc>
          <w:tcPr>
            <w:tcW w:w="280" w:type="dxa"/>
            <w:vAlign w:val="bottom"/>
          </w:tcPr>
          <w:p>
            <w:pPr>
              <w:spacing w:after="0"/>
              <w:rPr>
                <w:sz w:val="20"/>
                <w:szCs w:val="20"/>
                <w:color w:val="auto"/>
              </w:rPr>
            </w:pPr>
          </w:p>
        </w:tc>
        <w:tc>
          <w:tcPr>
            <w:tcW w:w="3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Statements of Operations</w:t>
            </w:r>
          </w:p>
        </w:tc>
      </w:tr>
      <w:tr>
        <w:trPr>
          <w:trHeight w:val="223"/>
        </w:trPr>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5/3/26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5/4/25</w:t>
            </w:r>
          </w:p>
        </w:tc>
        <w:tc>
          <w:tcPr>
            <w:tcW w:w="2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effective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r>
      <w:tr>
        <w:trPr>
          <w:trHeight w:val="229"/>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 (inventory purchases)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(0.3)</w:t>
            </w:r>
          </w:p>
        </w:tc>
        <w:tc>
          <w:tcPr>
            <w:tcW w:w="28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23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Tax effect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(0.1)</w:t>
            </w:r>
          </w:p>
        </w:tc>
        <w:tc>
          <w:tcPr>
            <w:tcW w:w="28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of tax</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(0.2)</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 contracts (net investment hedges)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Tax effect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of tax</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13. STOCKHOLDERS’ EQUITY</w:t>
      </w:r>
    </w:p>
    <w:p>
      <w:pPr>
        <w:spacing w:after="0" w:line="2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the Company deems appropriate. Purchases are made based on a variety of factors, such as price, corporate requirements and overall market conditions, applicable legal requirements and limitations, trading restrictions under the Company’s insider trading policy and other relevant factors. The program may be modified by the Board of Directors, including to increase or decrease the repurchase limitation or extend, suspend or terminate the program at any time, without prior notice. The Company’s share repurchases in excess of issuances are subject to a 1% excise tax enacted by the Inflation Reduction Act of 2022.</w:t>
      </w:r>
    </w:p>
    <w:p>
      <w:pPr>
        <w:spacing w:after="0" w:line="21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April 1, 2025, the Company entered into accelerated share repurchase (“ASR”) agreements with financial institutions to repurchase an aggregate of $500.0 million of the Company’s shares of common stock under the Company’s existing $5.0 billion stock repurchase authorization. The Company paid $500.0 million to the financial institutions and received initial deliveries of an aggregate of approximately 4.6 million shares of the Company’s common stock at a price of $76.43 per share, the closing share price of the Company’s common stock on April 1, 2025. The value of the initial shares delivered represented approximately 70% of the aggregate purchase price. The ASR agreements were funded with cash on hand and $115.0 million of short-term borrowings. During the third quarter of 2025, the ASR agreements were settled, and the Company received an aggregate of approximately 2.3 million of additional shares of the Company’s common stock. The total number of shares purchased by the Company under the ASR agreements was approximately 6.9 million shares at a price paid per share of $72.44, which was based on the daily volume-weighted average price of the Company’s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the Company’s common stock.</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thirteen weeks ended May 4, 2025, the Company additionally purchased 0.8 million shares (all prior to the execution of the ASR agreements) of its common stock under the program in open market transactions for $60.8 million. Excise taxes of $4.0 million were excluded from the share repurchases for the thirteen weeks ended May 4, 2025, including in respect of the initial deliveries of the shares repurchased under the ASR agreements. The Company did not purchase any of its common stock under the program during the thirteen weeks ended May 3, 2026. As of May 3, 2026, the repurchased shares were held as treasury stock and $1.212 billion of the authorization remained available for future share repurchases, excluding excise taxes, as the excise taxes do not reduce the authorized amount remaining.</w:t>
      </w:r>
    </w:p>
    <w:p>
      <w:pPr>
        <w:spacing w:after="0" w:line="21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Treasury stock activity also includes shares that were withheld in conjunction with the settlement of RSUs and PSUs to satisfy tax withholding requirements.</w:t>
      </w:r>
    </w:p>
    <w:p>
      <w:pPr>
        <w:spacing w:after="0" w:line="189" w:lineRule="exact"/>
        <w:rPr>
          <w:sz w:val="20"/>
          <w:szCs w:val="20"/>
          <w:color w:val="auto"/>
        </w:rPr>
      </w:pPr>
    </w:p>
    <w:p>
      <w:pPr>
        <w:ind w:right="9040" w:firstLine="8"/>
        <w:spacing w:after="0" w:line="563" w:lineRule="auto"/>
        <w:tabs>
          <w:tab w:leader="none" w:pos="27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EXIT ACTIVITY COSTS </w:t>
      </w:r>
      <w:r>
        <w:rPr>
          <w:rFonts w:ascii="Times New Roman" w:cs="Times New Roman" w:eastAsia="Times New Roman" w:hAnsi="Times New Roman"/>
          <w:sz w:val="17"/>
          <w:szCs w:val="17"/>
          <w:u w:val="single" w:color="auto"/>
          <w:color w:val="auto"/>
        </w:rPr>
        <w:t>Growth Driver 5 Actions</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line with the fifth growth driver of the PVH+ Plan – drive efficiencies and invest in growth – the Company embarked on a multiyear initiative beginning in 2024 to simplify its operating model by centralizing certain processes and improving systems and automation to drive more efficient and cost-effective ways of working across the organization, through four main pillars: (i) delivering a single global technology stack, (ii) redesigning the Company’s global distribution network, (iii) reengineering the operating model in Europe, and (iv) streamlining and optimizing the Company’s support functions globally (referred to as “Growth Driver 5 Actions”).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this initiative, the Company recorded pre-tax net costs as shown in the following table. While the actions to support this initiative were largely completed by the end of 2025, there have been certain actions taken and additional actions that the Company plans to take under this initiative, on a limited basis, during 2026. Such actions include the sale of the Company’s owned warehouse and distribution center located in Jonesville, NC, as further discussed in Note 4, “Assets Held for Sale.” The net impact of these remaining actions cannot be quantified at this time.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Costs Incurred</w:t>
            </w:r>
          </w:p>
        </w:tc>
        <w:tc>
          <w:tcPr>
            <w:tcW w:w="18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Costs Incurred</w:t>
            </w:r>
          </w:p>
        </w:tc>
        <w:tc>
          <w:tcPr>
            <w:tcW w:w="140" w:type="dxa"/>
            <w:vAlign w:val="bottom"/>
          </w:tcPr>
          <w:p>
            <w:pPr>
              <w:spacing w:after="0"/>
              <w:rPr>
                <w:sz w:val="17"/>
                <w:szCs w:val="17"/>
                <w:color w:val="auto"/>
              </w:rPr>
            </w:pPr>
          </w:p>
        </w:tc>
        <w:tc>
          <w:tcPr>
            <w:tcW w:w="1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Cumulative Net</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72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During the Thirteen</w:t>
            </w:r>
          </w:p>
        </w:tc>
        <w:tc>
          <w:tcPr>
            <w:tcW w:w="172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During the Thirteen</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Weeks Ended 5/4/25</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Weeks Ended 5/3/26</w:t>
            </w:r>
          </w:p>
        </w:tc>
        <w:tc>
          <w:tcPr>
            <w:tcW w:w="1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Costs Incurred</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termination benefits and other employee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depreciation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Long-lived asset impairments and disposals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sale of warehouse and distribution center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80" w:right="620" w:hanging="172"/>
        <w:spacing w:after="0" w:line="229" w:lineRule="auto"/>
        <w:tabs>
          <w:tab w:leader="none" w:pos="19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accelerated depreciation expense and long-lived asset impairments and disposals, which were primarily related to legacy technology assets that will be or have been decommissioned as the Company moves to a single global technology stack.</w:t>
      </w:r>
    </w:p>
    <w:p>
      <w:pPr>
        <w:spacing w:after="0" w:line="225" w:lineRule="exact"/>
        <w:rPr>
          <w:rFonts w:ascii="Times New Roman" w:cs="Times New Roman" w:eastAsia="Times New Roman" w:hAnsi="Times New Roman"/>
          <w:sz w:val="23"/>
          <w:szCs w:val="23"/>
          <w:color w:val="auto"/>
          <w:vertAlign w:val="superscript"/>
        </w:rPr>
      </w:pPr>
    </w:p>
    <w:p>
      <w:pPr>
        <w:ind w:left="180" w:right="200" w:hanging="172"/>
        <w:spacing w:after="0" w:line="235" w:lineRule="auto"/>
        <w:tabs>
          <w:tab w:leader="none" w:pos="19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sold a warehouse and distribution center during the third quarter of 2024, resulting in a pre-tax gain of $9.5 million that was recorded during the third quarter of 2024. Such amount represents the consideration received, less costs to sell. The warehouse and distribution center assets had no remaining carrying value at the time of the sale.</w:t>
      </w:r>
    </w:p>
    <w:p>
      <w:pPr>
        <w:spacing w:after="0" w:line="22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severance, termination benefits and other employee costs, accelerated depreciation expense and long-lived asset impairments and disposals were recorded in SG&amp;A expenses and the gain on the sale of warehouse and distribution center was included in other gain in the Company’s Consolidated Statements of Operations for the respective periods. These pre-tax net costs are included in restructuring and other items for segment data reporting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liabilities related to these costs were principally recorded in accrued expenses in the Company’s Consolidated Balance Sheets and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Costs Incurred During the</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Costs Paid During the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Thirteen Weeks Ended</w:t>
            </w:r>
          </w:p>
        </w:tc>
        <w:tc>
          <w:tcPr>
            <w:tcW w:w="18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Thirteen Weeks Ended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1"/>
                <w:szCs w:val="21"/>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Liability at 2/1/26</w:t>
            </w:r>
          </w:p>
        </w:tc>
        <w:tc>
          <w:tcPr>
            <w:tcW w:w="1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5/3/26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5/3/26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Liability at 5/3/26</w:t>
            </w:r>
          </w:p>
        </w:tc>
      </w:tr>
      <w:tr>
        <w:trPr>
          <w:trHeight w:val="155"/>
        </w:trPr>
        <w:tc>
          <w:tcPr>
            <w:tcW w:w="39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Severance, termination benefits and other employee</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4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54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15. NET INCOME (LOSS) PER COMMON SHARE</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computed its basic and diluted net income (loss) per common share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5/3/26</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5/4/25</w:t>
            </w:r>
          </w:p>
        </w:tc>
      </w:tr>
      <w:tr>
        <w:trPr>
          <w:trHeight w:val="88"/>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338"/>
        </w:trPr>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for basic net income (loss) per common share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impact of dilutive securities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shares for diluted net income (loss) per common share</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4"/>
        </w:trPr>
        <w:tc>
          <w:tcPr>
            <w:tcW w:w="3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5"/>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Potentially dilutive securities excluded from the calculation of diluted net income (loss) per common share as the effect would be anti-dilutive were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5/4/25</w:t>
            </w:r>
          </w:p>
        </w:tc>
      </w:tr>
      <w:tr>
        <w:trPr>
          <w:trHeight w:val="318"/>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potentially dilutive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18"/>
          <w:szCs w:val="18"/>
          <w:color w:val="auto"/>
        </w:rPr>
        <w:t>Diluted net loss per common share for the thirteen weeks ended May 4, 2025 excluded all potentially dilutive securities because there was a net loss for the period and, as such, the inclusion of these securities would have been anti-dilutive.</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Shares underlying contingently issuable awards that have not met the necessary conditions as of the end of a reporting period are not included in the calculation of diluted net income (loss) per common share for that period. The Company had contingently issuable PSU awards outstanding that did not meet the performance conditions as of May 3, 2026 and, therefore, were excluded from the calculation of diluted net income (loss) per common share for the thirteen weeks ended May 3, 2026. The maximum number of potentially dilutive shares that could be issued upon vesting for such awards was 0.5 million and 0.4 million as of May 3, 2026 and May 4, 2025, respectively. These amounts were also excluded from the computation of weighted average potentially dilutive securities in the table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SEGMENT DATA</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reflect the way the Company is currently being managed and for which separate financial information is available and evaluated regularly by the Company’s Chief Executive Officer, who is the chief operating decision maker (“CODM”) in deciding how to allocate resources and assess performance. The Company’s reportable segments are: (i) Europe, the Middle East and Africa (“EMEA”), (ii) Americas, (iii) Asia-Pacific (“APAC”), and (iv) Licensing.</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EMEA, Americas, and APAC segments derive revenue principally from the sale of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branded apparel, accessories and related products. These segments encompass the marketing of these products at wholesale primarily to department and specialty stores (including their digital commerce operations), pure play digital commerce retailers, distributors and franchisees (primarily for EMEA and APAC), and warehouse clubs and off-price retailers (primarily for Americas). Within these segments the Company also operates retail stores (which, for Americas, are primarily located in premium outlet centers and, to a lesser extent, in full price and other channels), concession locations (for EMEA and APAC), and digital commerce sites, which sell these products. These segments also include the Company’s proportionate share of the net income or loss of its investments in its unconsolidated affiliates that operate in such regions.</w:t>
      </w:r>
    </w:p>
    <w:p>
      <w:pPr>
        <w:spacing w:after="0" w:line="21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revenue in the Licensing segment principally from licensing and similar arrangements relating to the use by third parties of the </w:t>
      </w:r>
      <w:r>
        <w:rPr>
          <w:rFonts w:ascii="Times New Roman" w:cs="Times New Roman" w:eastAsia="Times New Roman" w:hAnsi="Times New Roman"/>
          <w:sz w:val="18"/>
          <w:szCs w:val="18"/>
          <w:i w:val="1"/>
          <w:iCs w:val="1"/>
          <w:color w:val="auto"/>
        </w:rPr>
        <w:t xml:space="preserve">TOMMY HILFIGER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Calvin Klein </w:t>
      </w:r>
      <w:r>
        <w:rPr>
          <w:rFonts w:ascii="Times New Roman" w:cs="Times New Roman" w:eastAsia="Times New Roman" w:hAnsi="Times New Roman"/>
          <w:sz w:val="18"/>
          <w:szCs w:val="18"/>
          <w:color w:val="auto"/>
        </w:rPr>
        <w:t>brand names for a broad range of product categories, as well as for certain territories.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CODM uses segment income (loss) before interest and taxes as the profit measure to evaluate segment performance and allocate resources to the segments. The CODM considers variances of actual and forecasted performance to prior year when making decisions.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Data</w:t>
      </w:r>
    </w:p>
    <w:p>
      <w:pPr>
        <w:spacing w:after="0" w:line="25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The Company’s revenue, significant expenses, and income before interest and taxes by segment, which include the impact of changes in foreign currency exchanges rates,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Thirteen Weeks Ended</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5/3/2026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Licensing</w:t>
            </w:r>
          </w:p>
        </w:tc>
        <w:tc>
          <w:tcPr>
            <w:tcW w:w="220" w:type="dxa"/>
            <w:vAlign w:val="bottom"/>
          </w:tcPr>
          <w:p>
            <w:pPr>
              <w:spacing w:after="0"/>
              <w:rPr>
                <w:sz w:val="19"/>
                <w:szCs w:val="19"/>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340" w:type="dxa"/>
            <w:vAlign w:val="bottom"/>
            <w:tcBorders>
              <w:top w:val="single" w:sz="8" w:color="CCEEFF"/>
            </w:tcBorders>
            <w:shd w:val="clear" w:color="auto" w:fill="CCEEFF"/>
          </w:tcPr>
          <w:p>
            <w:pPr>
              <w:spacing w:after="0"/>
              <w:rPr>
                <w:sz w:val="19"/>
                <w:szCs w:val="19"/>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340" w:type="dxa"/>
            <w:vAlign w:val="bottom"/>
          </w:tcPr>
          <w:p>
            <w:pPr>
              <w:spacing w:after="0"/>
              <w:rPr>
                <w:sz w:val="19"/>
                <w:szCs w:val="19"/>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Marketing expenses (excluding an additional $43.0 included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r>
      <w:tr>
        <w:trPr>
          <w:trHeight w:val="243"/>
        </w:trPr>
        <w:tc>
          <w:tcPr>
            <w:tcW w:w="44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 Corporate and other)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shd w:val="clear" w:color="auto" w:fill="CCEEFF"/>
          </w:tcPr>
          <w:p>
            <w:pPr>
              <w:spacing w:after="0"/>
              <w:rPr>
                <w:sz w:val="21"/>
                <w:szCs w:val="21"/>
                <w:color w:val="auto"/>
              </w:rPr>
            </w:pPr>
          </w:p>
        </w:tc>
      </w:tr>
      <w:tr>
        <w:trPr>
          <w:trHeight w:val="230"/>
        </w:trPr>
        <w:tc>
          <w:tcPr>
            <w:tcW w:w="4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340" w:type="dxa"/>
            <w:vAlign w:val="bottom"/>
            <w:tcBorders>
              <w:bottom w:val="single" w:sz="8" w:color="CCEEFF"/>
            </w:tcBorders>
          </w:tcPr>
          <w:p>
            <w:pPr>
              <w:spacing w:after="0"/>
              <w:rPr>
                <w:sz w:val="19"/>
                <w:szCs w:val="19"/>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before interest and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40" w:type="dxa"/>
            <w:vAlign w:val="bottom"/>
            <w:shd w:val="clear" w:color="auto" w:fill="CCEEFF"/>
          </w:tcPr>
          <w:p>
            <w:pPr>
              <w:spacing w:after="0"/>
              <w:rPr>
                <w:sz w:val="19"/>
                <w:szCs w:val="19"/>
                <w:color w:val="auto"/>
              </w:rPr>
            </w:pPr>
          </w:p>
        </w:tc>
      </w:tr>
      <w:tr>
        <w:trPr>
          <w:trHeight w:val="176"/>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and other (including $43.0 of marketing</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r>
      <w:tr>
        <w:trPr>
          <w:trHeight w:val="243"/>
        </w:trPr>
        <w:tc>
          <w:tcPr>
            <w:tcW w:w="4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40" w:type="dxa"/>
            <w:vAlign w:val="bottom"/>
          </w:tcPr>
          <w:p>
            <w:pPr>
              <w:spacing w:after="0"/>
              <w:rPr>
                <w:sz w:val="21"/>
                <w:szCs w:val="2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items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interest and taxes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5/4/2025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APAC</w:t>
            </w:r>
          </w:p>
        </w:tc>
        <w:tc>
          <w:tcPr>
            <w:tcW w:w="18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Licensing</w:t>
            </w:r>
          </w:p>
        </w:tc>
        <w:tc>
          <w:tcPr>
            <w:tcW w:w="260" w:type="dxa"/>
            <w:vAlign w:val="bottom"/>
          </w:tcPr>
          <w:p>
            <w:pPr>
              <w:spacing w:after="0"/>
              <w:rPr>
                <w:sz w:val="19"/>
                <w:szCs w:val="19"/>
                <w:color w:val="auto"/>
              </w:rPr>
            </w:pPr>
          </w:p>
        </w:tc>
        <w:tc>
          <w:tcPr>
            <w:tcW w:w="9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340" w:type="dxa"/>
            <w:vAlign w:val="bottom"/>
            <w:tcBorders>
              <w:top w:val="single" w:sz="8" w:color="CCEEFF"/>
            </w:tcBorders>
            <w:shd w:val="clear" w:color="auto" w:fill="CCEEFF"/>
          </w:tcPr>
          <w:p>
            <w:pPr>
              <w:spacing w:after="0"/>
              <w:rPr>
                <w:sz w:val="19"/>
                <w:szCs w:val="19"/>
                <w:color w:val="auto"/>
              </w:rPr>
            </w:pPr>
          </w:p>
        </w:tc>
      </w:tr>
      <w:tr>
        <w:trPr>
          <w:trHeight w:val="229"/>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340" w:type="dxa"/>
            <w:vAlign w:val="bottom"/>
          </w:tcPr>
          <w:p>
            <w:pPr>
              <w:spacing w:after="0"/>
              <w:rPr>
                <w:sz w:val="19"/>
                <w:szCs w:val="19"/>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Marketing expenses (excluding an additional $37.8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r>
      <w:tr>
        <w:trPr>
          <w:trHeight w:val="243"/>
        </w:trPr>
        <w:tc>
          <w:tcPr>
            <w:tcW w:w="4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included in Corporate and other)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40" w:type="dxa"/>
            <w:vAlign w:val="bottom"/>
            <w:shd w:val="clear" w:color="auto" w:fill="CCEEFF"/>
          </w:tcPr>
          <w:p>
            <w:pPr>
              <w:spacing w:after="0"/>
              <w:rPr>
                <w:sz w:val="21"/>
                <w:szCs w:val="21"/>
                <w:color w:val="auto"/>
              </w:rPr>
            </w:pPr>
          </w:p>
        </w:tc>
      </w:tr>
      <w:tr>
        <w:trPr>
          <w:trHeight w:val="230"/>
        </w:trPr>
        <w:tc>
          <w:tcPr>
            <w:tcW w:w="4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34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before interest and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340" w:type="dxa"/>
            <w:vAlign w:val="bottom"/>
            <w:shd w:val="clear" w:color="auto" w:fill="CCEEFF"/>
          </w:tcPr>
          <w:p>
            <w:pPr>
              <w:spacing w:after="0"/>
              <w:rPr>
                <w:sz w:val="19"/>
                <w:szCs w:val="19"/>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and other (including $37.8 of marketing</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40" w:type="dxa"/>
            <w:vAlign w:val="bottom"/>
          </w:tcPr>
          <w:p>
            <w:pPr>
              <w:spacing w:after="0"/>
              <w:rPr>
                <w:sz w:val="21"/>
                <w:szCs w:val="21"/>
                <w:color w:val="auto"/>
              </w:rPr>
            </w:pP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items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340" w:type="dxa"/>
            <w:vAlign w:val="bottom"/>
            <w:shd w:val="clear" w:color="auto" w:fill="CCEEFF"/>
          </w:tcPr>
          <w:p>
            <w:pPr>
              <w:spacing w:after="0"/>
              <w:rPr>
                <w:sz w:val="19"/>
                <w:szCs w:val="19"/>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interest and taxes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340" w:type="dxa"/>
            <w:vAlign w:val="bottom"/>
          </w:tcPr>
          <w:p>
            <w:pPr>
              <w:spacing w:after="0"/>
              <w:rPr>
                <w:sz w:val="19"/>
                <w:szCs w:val="19"/>
                <w:color w:val="auto"/>
              </w:rPr>
            </w:pPr>
          </w:p>
        </w:tc>
      </w:tr>
      <w:tr>
        <w:trPr>
          <w:trHeight w:val="21"/>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62"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CODM.</w:t>
      </w:r>
    </w:p>
    <w:p>
      <w:pPr>
        <w:spacing w:after="0" w:line="224" w:lineRule="exact"/>
        <w:rPr>
          <w:rFonts w:ascii="Times New Roman" w:cs="Times New Roman" w:eastAsia="Times New Roman" w:hAnsi="Times New Roman"/>
          <w:sz w:val="23"/>
          <w:szCs w:val="23"/>
          <w:color w:val="auto"/>
          <w:vertAlign w:val="superscript"/>
        </w:rPr>
      </w:pPr>
    </w:p>
    <w:p>
      <w:pPr>
        <w:ind w:left="260" w:right="140" w:hanging="252"/>
        <w:spacing w:after="0" w:line="239" w:lineRule="auto"/>
        <w:tabs>
          <w:tab w:leader="none" w:pos="27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addition to the marketing expenses incurred by the Company’s reportable segments, there was $43.0 million and $37.8 million of global brand marketing expense, including marketing expenses benefiting the Company’s licensees, recorded in Corporate and other for the thirteen weeks ended May 3, 2026 and May 4, 2025, respectively. Total marketing expenses incurred by the Company for the thirteen weeks ended May 3, 2026 and May 4, 2025 were $115.0 million and $98.9 million, respectively.</w:t>
      </w:r>
    </w:p>
    <w:p>
      <w:pPr>
        <w:spacing w:after="0" w:line="225" w:lineRule="exact"/>
        <w:rPr>
          <w:rFonts w:ascii="Times New Roman" w:cs="Times New Roman" w:eastAsia="Times New Roman" w:hAnsi="Times New Roman"/>
          <w:sz w:val="23"/>
          <w:szCs w:val="23"/>
          <w:color w:val="auto"/>
          <w:vertAlign w:val="superscript"/>
        </w:rPr>
      </w:pPr>
    </w:p>
    <w:p>
      <w:pPr>
        <w:ind w:left="260" w:right="300" w:hanging="252"/>
        <w:spacing w:after="0" w:line="235" w:lineRule="auto"/>
        <w:tabs>
          <w:tab w:leader="none" w:pos="27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(i) all other segment SG&amp;A expenses other than marketing expense, including direct and indirect costs to operate the segment’s retail store, digital commerce, licensing and wholesale businesses, warehousing and distribution costs, depreciation and amortization, and other costs, and (ii) equity in net income of unconsolidated affiliates.</w:t>
      </w:r>
    </w:p>
    <w:p>
      <w:pPr>
        <w:spacing w:after="0" w:line="226" w:lineRule="exact"/>
        <w:rPr>
          <w:rFonts w:ascii="Times New Roman" w:cs="Times New Roman" w:eastAsia="Times New Roman" w:hAnsi="Times New Roman"/>
          <w:sz w:val="23"/>
          <w:szCs w:val="23"/>
          <w:color w:val="auto"/>
          <w:vertAlign w:val="superscript"/>
        </w:rPr>
      </w:pPr>
    </w:p>
    <w:p>
      <w:pPr>
        <w:jc w:val="both"/>
        <w:ind w:left="260" w:hanging="252"/>
        <w:spacing w:after="0" w:line="239" w:lineRule="auto"/>
        <w:tabs>
          <w:tab w:leader="none" w:pos="27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25" w:lineRule="exact"/>
        <w:rPr>
          <w:rFonts w:ascii="Times New Roman" w:cs="Times New Roman" w:eastAsia="Times New Roman" w:hAnsi="Times New Roman"/>
          <w:sz w:val="23"/>
          <w:szCs w:val="23"/>
          <w:color w:val="auto"/>
          <w:vertAlign w:val="superscript"/>
        </w:rPr>
      </w:pPr>
    </w:p>
    <w:p>
      <w:pPr>
        <w:ind w:left="260" w:right="280" w:hanging="252"/>
        <w:spacing w:after="0" w:line="229" w:lineRule="auto"/>
        <w:tabs>
          <w:tab w:leader="none" w:pos="299"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and other items for the thirteen weeks ended May 3, 2026 related to the Growth Driver 5 Actions described in Note 14, “Exit Activity Costs,” consisting principally of severance.</w:t>
      </w:r>
    </w:p>
    <w:p>
      <w:pPr>
        <w:spacing w:after="0" w:line="225" w:lineRule="exact"/>
        <w:rPr>
          <w:rFonts w:ascii="Times New Roman" w:cs="Times New Roman" w:eastAsia="Times New Roman" w:hAnsi="Times New Roman"/>
          <w:sz w:val="23"/>
          <w:szCs w:val="23"/>
          <w:color w:val="auto"/>
          <w:vertAlign w:val="superscript"/>
        </w:rPr>
      </w:pPr>
    </w:p>
    <w:p>
      <w:pPr>
        <w:ind w:left="260" w:right="100" w:hanging="252"/>
        <w:spacing w:after="0" w:line="235" w:lineRule="auto"/>
        <w:tabs>
          <w:tab w:leader="none" w:pos="27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and other items for the thirteen weeks ended May 4, 2025 included (i) noncash impairment charges of $479.5 million related to goodwill and other intangible assets discussed further in Note 5, “Goodwill and Other Intangible Assets,” and (ii) costs of $13.2 million incurred related to the Growth Driver 5 Actions described in Note 14, “Exit Activity Costs,” consisting principally of severance.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reportable segment information for the Company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23"/>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5/3/26</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5/4/25</w:t>
            </w: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42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2"/>
                <w:szCs w:val="12"/>
                <w:color w:val="auto"/>
                <w:w w:val="99"/>
              </w:rPr>
              <w:t>(1)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0" w:right="500" w:hanging="252"/>
        <w:spacing w:after="0" w:line="229" w:lineRule="auto"/>
        <w:tabs>
          <w:tab w:leader="none" w:pos="27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and other items for the thirteen weeks ended May 3, 2026 included accelerated depreciation related to the Growth Driver 5 Actions described in Note 14, “Exit Activity Costs.”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color w:val="auto"/>
              </w:rPr>
              <w:t>Thirteen Weeks Ended</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44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5/3/26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43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44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0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5/3/26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5/4/25</w:t>
            </w:r>
          </w:p>
        </w:tc>
      </w:tr>
      <w:tr>
        <w:trPr>
          <w:trHeight w:val="210"/>
        </w:trPr>
        <w:tc>
          <w:tcPr>
            <w:tcW w:w="4420" w:type="dxa"/>
            <w:vAlign w:val="bottom"/>
            <w:tcBorders>
              <w:top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Inventories, net </w:t>
            </w:r>
            <w:r>
              <w:rPr>
                <w:rFonts w:ascii="Times New Roman" w:cs="Times New Roman" w:eastAsia="Times New Roman" w:hAnsi="Times New Roman"/>
                <w:sz w:val="23"/>
                <w:szCs w:val="23"/>
                <w:color w:val="auto"/>
                <w:vertAlign w:val="superscript"/>
              </w:rPr>
              <w:t>(1)</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3"/>
        </w:trPr>
        <w:tc>
          <w:tcPr>
            <w:tcW w:w="42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gridSpan w:val="3"/>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0" w:type="dxa"/>
            <w:vAlign w:val="bottom"/>
          </w:tcPr>
          <w:p>
            <w:pPr>
              <w:spacing w:after="0"/>
              <w:rPr>
                <w:sz w:val="19"/>
                <w:szCs w:val="19"/>
                <w:color w:val="auto"/>
              </w:rPr>
            </w:pP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30"/>
        </w:trPr>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r>
      <w:tr>
        <w:trPr>
          <w:trHeight w:val="229"/>
        </w:trPr>
        <w:tc>
          <w:tcPr>
            <w:tcW w:w="4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3"/>
        </w:trPr>
        <w:tc>
          <w:tcPr>
            <w:tcW w:w="44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r>
      <w:tr>
        <w:trPr>
          <w:trHeight w:val="229"/>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9,076.4</w:t>
            </w:r>
          </w:p>
        </w:tc>
      </w:tr>
      <w:tr>
        <w:trPr>
          <w:trHeight w:val="243"/>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880" w:firstLine="8"/>
        <w:spacing w:after="0" w:line="325" w:lineRule="auto"/>
        <w:tabs>
          <w:tab w:leader="none" w:pos="231"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Inventories, net includes the impact of changes in foreign currency exchange rates. Intersegment transactions, which primarily consist of transfers of inventory, were not material.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Brand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by brand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Thirteen Weeks Ended</w:t>
            </w: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44"/>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12"/>
                <w:szCs w:val="12"/>
                <w:color w:val="auto"/>
              </w:rPr>
            </w:pPr>
          </w:p>
        </w:tc>
        <w:tc>
          <w:tcPr>
            <w:tcW w:w="12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5/3/26</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320" w:type="dxa"/>
            <w:vAlign w:val="bottom"/>
          </w:tcPr>
          <w:p>
            <w:pPr>
              <w:spacing w:after="0"/>
              <w:rPr>
                <w:sz w:val="12"/>
                <w:szCs w:val="12"/>
                <w:color w:val="auto"/>
              </w:rPr>
            </w:pPr>
          </w:p>
        </w:tc>
        <w:tc>
          <w:tcPr>
            <w:tcW w:w="12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5/4/25</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64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Tommy Hilfiger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Calvin Klein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Heritage Brands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2"/>
        <w:spacing w:after="0" w:line="229" w:lineRule="auto"/>
        <w:tabs>
          <w:tab w:leader="none" w:pos="27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was impacted by fluctuations of the United States dollar against foreign currencies in which the Company transacts significant levels of business.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Distribution Channel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by distribution channel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Thirteen Weeks Ended</w:t>
            </w: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44"/>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12"/>
                <w:szCs w:val="12"/>
                <w:color w:val="auto"/>
              </w:rPr>
            </w:pPr>
          </w:p>
        </w:tc>
        <w:tc>
          <w:tcPr>
            <w:tcW w:w="12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5/3/26</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320" w:type="dxa"/>
            <w:vAlign w:val="bottom"/>
          </w:tcPr>
          <w:p>
            <w:pPr>
              <w:spacing w:after="0"/>
              <w:rPr>
                <w:sz w:val="12"/>
                <w:szCs w:val="12"/>
                <w:color w:val="auto"/>
              </w:rPr>
            </w:pPr>
          </w:p>
        </w:tc>
        <w:tc>
          <w:tcPr>
            <w:tcW w:w="12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5/4/25</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64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 and operated retail stores</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Owned and operated digital commerce sites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Licensing revenue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2"/>
        <w:spacing w:after="0" w:line="229" w:lineRule="auto"/>
        <w:tabs>
          <w:tab w:leader="none" w:pos="27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was impacted by fluctuations of the United States dollar against foreign currencies in which the Company transacts significant levels of business.</w:t>
      </w:r>
    </w:p>
    <w:p>
      <w:pPr>
        <w:sectPr>
          <w:pgSz w:w="11900" w:h="16838" w:orient="portrait"/>
          <w:cols w:equalWidth="0" w:num="1">
            <w:col w:w="10700"/>
          </w:cols>
          <w:pgMar w:left="320" w:top="93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931" w:right="879" w:bottom="1440" w:gutter="0" w:footer="0" w:header="0"/>
          <w:type w:val="continuous"/>
        </w:sectPr>
      </w:pPr>
    </w:p>
    <w:bookmarkStart w:id="28" w:name="page29"/>
    <w:bookmarkEnd w:id="28"/>
    <w:p>
      <w:pPr>
        <w:ind w:right="7980" w:firstLine="8"/>
        <w:spacing w:after="0" w:line="532" w:lineRule="auto"/>
        <w:tabs>
          <w:tab w:leader="none" w:pos="2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RECENT ACCOUNTING GUIDANCE </w:t>
      </w:r>
      <w:r>
        <w:rPr>
          <w:rFonts w:ascii="Times New Roman" w:cs="Times New Roman" w:eastAsia="Times New Roman" w:hAnsi="Times New Roman"/>
          <w:sz w:val="18"/>
          <w:szCs w:val="18"/>
          <w:u w:val="single" w:color="auto"/>
          <w:color w:val="auto"/>
        </w:rPr>
        <w:t>Recently Adopted Accounting Guidance</w:t>
      </w: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Financial Accounting Standards Board issued in July 2025 ASU 2025-05, Financial Instruments—Credit Losses (Topic 326): Measurement of Credit Losses for Accounts Receivable and Contract Assets. The guidance provides a practical expedient that can be elected to be applied to accounts receivable and contract assets, which allows entities to assume that current conditions as of the balance sheet date do not change for the remaining life of the assets when estimating expected credit losses for such assets. The Company adopted the guidance prospectively and elected the practical expedient beginning with its first quarter 2026 consolidated financial statements. The adoption of the update did not have a material impact on the Company’s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OTHER COMMENTS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Investigation by China’s Ministry of Commerce</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2024, China’s Ministry of Commerce (“MOFCOM”) announced that it had initiated an investigation into the Company’s business under the Provisions of the List of Unreliable Entities (“UEL Provisions”) upon the suspicion that the Company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the Company submitted a written response to MOFCOM and, in December 2024, the Company submitted a supplemental response. </w:t>
      </w:r>
      <w:r>
        <w:rPr>
          <w:rFonts w:ascii="Times New Roman" w:cs="Times New Roman" w:eastAsia="Times New Roman" w:hAnsi="Times New Roman"/>
          <w:sz w:val="18"/>
          <w:szCs w:val="18"/>
          <w:color w:val="212121"/>
        </w:rPr>
        <w:t>In January 2025, MOFCOM issued a preliminary finding that PVH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Corp. had violated normal market trading principles and in February 2025, it announced its determination and placed PVH Corp. on the </w:t>
      </w:r>
      <w:r>
        <w:rPr>
          <w:rFonts w:ascii="Times New Roman" w:cs="Times New Roman" w:eastAsia="Times New Roman" w:hAnsi="Times New Roman"/>
          <w:sz w:val="18"/>
          <w:szCs w:val="18"/>
          <w:color w:val="000000"/>
        </w:rPr>
        <w:t>List of Unreliable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Entities</w:t>
      </w:r>
      <w:r>
        <w:rPr>
          <w:rFonts w:ascii="Times New Roman" w:cs="Times New Roman" w:eastAsia="Times New Roman" w:hAnsi="Times New Roman"/>
          <w:sz w:val="18"/>
          <w:szCs w:val="18"/>
          <w:color w:val="212121"/>
        </w:rPr>
        <w:t>. The Company does not know if or when MOFCOM will implement any measures as a result of the listing or what they will be if any are imposed.</w:t>
      </w:r>
      <w:r>
        <w:rPr>
          <w:rFonts w:ascii="Times New Roman" w:cs="Times New Roman" w:eastAsia="Times New Roman" w:hAnsi="Times New Roman"/>
          <w:sz w:val="18"/>
          <w:szCs w:val="18"/>
          <w:color w:val="000000"/>
        </w:rPr>
        <w:t xml:space="preserve"> According to the UEL Provisions, potential measures could include monetary fines, restrictions or prohibitions on engaging in import and export activities related to China or making investments in China, entry denial of the Company’s relevant personnel into China, restrictions or revocation of work permits, stay or residence status of the Company’s relevant personnel in China, or other measures. No measures have been imposed on the Company at this time. The practical impact of any such restrictions or prohibitions could include the Company’s inability to produce goods in China for sale elsewhere, the Company’s inability to sell goods on a wholesale or retail basis in China, or the Company’s inability to make investments in China.</w:t>
      </w:r>
    </w:p>
    <w:p>
      <w:pPr>
        <w:spacing w:after="0" w:line="2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cannot currently predict the duration or impact of any measures that may ultimately be imposed. The imposition and enforcement of measures against the Company could have a material adverse effect on its revenue and results of operations. Furthermore, if, as a result of any such measures, it is necessary for the Company to cease certain or all operations in China, it may result in charges related to excess inventory and difficulty collecting trade receivables, among other things. The Company may also incur material non-cash impairment charges if it is unable to recover the carrying value of its indefinite-lived intangible assets and long-lived assets. Additionally, if the production of the Company’s products in China ceases, its business could be impacted more broadly and the Company may need or decide to shift production to other jurisdictions.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Warehouse and Distribution Expenses</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records warehousing and distribution expenses, which are subject to exchange rate fluctuations, as a component of SG&amp;A expenses in its Consolidated Statements of Operations. Warehousing and distribution expenses incurred in the thirteen weeks ended May 3, 2026 and May 4, 2025 totaled $84.7 million and $83.4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is exposed to credit losses primarily through trade receivables from its customers and licensees. The Company records an allowance for credit losses as a reduction to its trade receivables for amounts that the Company does not expect to recover. An allowance for credit losses is determined through an analysis of the aging of accounts receivable and assessments of collectibility based on historical trends, the financial condition of the Company’s customers and licensees, including any known or anticipated bankruptcies, and an evaluation of current economic conditions. The Company writes off uncollectible trade receivables once collection efforts have been exhausted and third parties confirm the balance is not recoverable. The allowance for credit losses on trade receivables was $22.8 million, $23.7 million and $27.0 million as of May 3, 2026, February 1, 2026 and May 4, 2025,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Supply Chain Finance Program</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 voluntary supply chain finance program (the “SCF program”) administered through a third party platform that provides the Company’s inventory suppliers with the opportunity to sell their receivables due from the Company to participating financial institutions in advance of the invoice due date, at the sole discretion of both the suppliers and the financial institutions. The Company is not a party to the agreements between the suppliers and the financial institutions and has no economic interest in a supplier’s decision to sell a receivable. The Company’s payment obligations, including the amounts due and payment terms, which generally do not exceed 90 days, are not impacted by suppliers’ participation in the SCF program.</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Accordingly, amounts due to suppliers that elected to participate in the SCF program are included in accounts payable in the Company’s Consolidated Balance Sheets and the corresponding payments are reflected in cash flows from operating activities in the Company’s Consolidated Statements of Cash Flows. Suppliers had elected to sell $301.7 million, $426.9 million and $385.2 million of the Company’s payment obligations that were outstanding as of May 3, 2026, February 1, 2026 and May 4, 2025, respectively, to financial institutions and $452.8 million and $494.8 million had been settled through the program during the thirteen weeks ended May 3, 2026 and May 4, 2025,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guaranteed the payment of amounts on behalf of certain parties. There have been no significant changes to the amounts guaranteed by the Company from those discussed in Note 21, “Guarantees,” in the Notes to Consolidated Financial Statements included in Item 8 of the Company’s Annual Report on Form 10-K for the fiscal year ended February 1,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98030" cy="874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74395"/>
                    </a:xfrm>
                    <a:prstGeom prst="rect">
                      <a:avLst/>
                    </a:prstGeom>
                    <a:noFill/>
                  </pic:spPr>
                </pic:pic>
              </a:graphicData>
            </a:graphic>
          </wp:anchor>
        </w:drawing>
      </w:r>
    </w:p>
    <w:p>
      <w:pPr>
        <w:spacing w:after="0" w:line="300" w:lineRule="exact"/>
        <w:rPr>
          <w:sz w:val="20"/>
          <w:szCs w:val="20"/>
          <w:color w:val="auto"/>
        </w:rPr>
      </w:pPr>
    </w:p>
    <w:p>
      <w:pPr>
        <w:ind w:left="40" w:right="160"/>
        <w:spacing w:after="0" w:line="256" w:lineRule="auto"/>
        <w:rPr>
          <w:sz w:val="20"/>
          <w:szCs w:val="20"/>
          <w:color w:val="auto"/>
        </w:rPr>
      </w:pPr>
      <w:r>
        <w:rPr>
          <w:rFonts w:ascii="Times New Roman" w:cs="Times New Roman" w:eastAsia="Times New Roman" w:hAnsi="Times New Roman"/>
          <w:sz w:val="18"/>
          <w:szCs w:val="18"/>
          <w:color w:val="auto"/>
        </w:rPr>
        <w:t xml:space="preserve">We operate our business through the following reportable segments: (i) Europe, the Middle East and Africa (“EMEA”), (ii) Americas, (iii) Asia-Pacific (“APAC”), and (iv) Licensing. Our reportable segments include the brand businesses we operate under our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trademarks, which we own, and </w:t>
      </w:r>
      <w:r>
        <w:rPr>
          <w:rFonts w:ascii="Times New Roman" w:cs="Times New Roman" w:eastAsia="Times New Roman" w:hAnsi="Times New Roman"/>
          <w:sz w:val="18"/>
          <w:szCs w:val="18"/>
          <w:i w:val="1"/>
          <w:iCs w:val="1"/>
          <w:color w:val="auto"/>
        </w:rPr>
        <w:t>Van Heusen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Nike</w:t>
      </w:r>
      <w:r>
        <w:rPr>
          <w:rFonts w:ascii="Times New Roman" w:cs="Times New Roman" w:eastAsia="Times New Roman" w:hAnsi="Times New Roman"/>
          <w:sz w:val="18"/>
          <w:szCs w:val="18"/>
          <w:color w:val="auto"/>
        </w:rPr>
        <w:t xml:space="preserve"> and other trademarks, which we license for certain product categories. References to brand names are to registered and common law trademarks owned by us or licensed to us by third parties and identified by italicizing the brand name. Please see Note 16, “Segment Data,” in the Notes to Consolidated Financial Statements included in Part I, Item 1 of this report for further discussion of our reportable segments.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is intended to help you understand us, our operations and our financial performance. It should be read in conjunction with our consolidated financial statements and the accompanying notes, which are included elsewhere in this report.</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one of the largest global apparel companies in the world, with a history going back over 140 years. We have been listed on the New York Stock Exchange for over 100 years.</w:t>
      </w:r>
    </w:p>
    <w:p>
      <w:pPr>
        <w:spacing w:after="0" w:line="187"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Our revenue was $9.0 billion in 2025, of which over 70% was generated outside of the United States. Our global iconic lifestyle brands, </w:t>
      </w:r>
      <w:r>
        <w:rPr>
          <w:rFonts w:ascii="Times New Roman" w:cs="Times New Roman" w:eastAsia="Times New Roman" w:hAnsi="Times New Roman"/>
          <w:sz w:val="18"/>
          <w:szCs w:val="18"/>
          <w:i w:val="1"/>
          <w:iCs w:val="1"/>
          <w:color w:val="auto"/>
        </w:rPr>
        <w:t>TOMMY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HILFIGER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Calvin Klein</w:t>
      </w:r>
      <w:r>
        <w:rPr>
          <w:rFonts w:ascii="Times New Roman" w:cs="Times New Roman" w:eastAsia="Times New Roman" w:hAnsi="Times New Roman"/>
          <w:sz w:val="18"/>
          <w:szCs w:val="18"/>
          <w:color w:val="auto"/>
        </w:rPr>
        <w:t>, together generated over 95% of our revenue.</w:t>
      </w:r>
    </w:p>
    <w:p>
      <w:pPr>
        <w:spacing w:after="0" w:line="18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brands, which are owned, we also license the </w:t>
      </w:r>
      <w:r>
        <w:rPr>
          <w:rFonts w:ascii="Times New Roman" w:cs="Times New Roman" w:eastAsia="Times New Roman" w:hAnsi="Times New Roman"/>
          <w:sz w:val="18"/>
          <w:szCs w:val="18"/>
          <w:i w:val="1"/>
          <w:iCs w:val="1"/>
          <w:color w:val="auto"/>
        </w:rPr>
        <w:t>Van Heusen, Nike</w:t>
      </w:r>
      <w:r>
        <w:rPr>
          <w:rFonts w:ascii="Times New Roman" w:cs="Times New Roman" w:eastAsia="Times New Roman" w:hAnsi="Times New Roman"/>
          <w:sz w:val="18"/>
          <w:szCs w:val="18"/>
          <w:color w:val="auto"/>
        </w:rPr>
        <w:t xml:space="preserve"> and other brands for certain product categories.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PVH+ Plan</w:t>
      </w:r>
    </w:p>
    <w:p>
      <w:pPr>
        <w:spacing w:after="0" w:line="25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PVH+ Plan is our multiyear, strategic plan to build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into the most desirable lifestyle brands in the world and make PVH the leading brand building group in our sector. Please refer to Item 1 of our Annual Report on Form 10-K for the fiscal year ended February 1, 2026 under the heading “Our Business Strategy” for a description of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Environment</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Inflation and other macroeconomic pressures, such as tariffs and the Middle East conflict (discussed further below), elevated interest rates and the risk of recession, continue to create a complex and challenging retail environment globally. Macroeconomic factors are having, and may continue to have, a negative impact on consumer demand for apparel and related products globally.</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conflict in the Middle East, which began in March 2026, has resulted in disruption and instability in global supply chains, increased fuel and oil costs, foreign currency volatility, particularly in the euro, and continued volatility and uncertainty in global markets. These and other factors have had, and may continue to have, broader macroeconomic implications that could have a significant impact on our business, including a decline in consumer spending and inventory availability. We are already seeing a broader impact from the conflict on consumer purchasing behavior in Turkey and the greater European region, including the effect of increased fuel prices, which is causing a decline in consumer traffic to stores and a more promotional environment. We have also started to experience an impact to wholesale demand in the direct Middle East region (excluding Turkey). Approximately 1% and 7% of our revenue and income before interest and taxes (excluding goodwill and other intangible asset impairment charges), respectively, were generated in the direct Middle East region (excluding Turkey) in 2025. The length, scope and intensity of the conflict remain uncertain. As a result, there continues to be significant uncertainty regarding the extent to which the conflict and its broader macroeconomic implications will impact our business, financial condition and results of operations for the remainder of 2026. Our 2026 outlook currently assumes estimated negative prolonged effects from the conflict in the Middle East and its broader macroeconomic pressures.</w:t>
      </w: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2025, the United States government announced additional tariffs on goods imported into the United States primarily under the International Emergency Economic Powers Act (“IEEPA”), with incremental tariffs on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ind w:right="300"/>
        <w:spacing w:after="0" w:line="261" w:lineRule="auto"/>
        <w:rPr>
          <w:sz w:val="20"/>
          <w:szCs w:val="20"/>
          <w:color w:val="auto"/>
        </w:rPr>
      </w:pPr>
      <w:r>
        <w:rPr>
          <w:rFonts w:ascii="Times New Roman" w:cs="Times New Roman" w:eastAsia="Times New Roman" w:hAnsi="Times New Roman"/>
          <w:sz w:val="18"/>
          <w:szCs w:val="18"/>
          <w:color w:val="auto"/>
        </w:rPr>
        <w:t>products imported from most countries and economic unions, and the potential for further increases and revisions or terminations to existing trade agreements. In response, some countries and economic unions announced retaliatory tariffs on United States exports and other trade restrictions. In February 2026, the U.S. Supreme Court ruled that the IEEPA tariffs imposed were unconstitutional. In response to that decision, an executive order was issued imposing tariffs pursuant to Section 122 of the Trade Act of 1974 for 150 days, effective on February 24, 2026.</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March 2026, the U.S. Court of International Trade directed U.S. Customs and Border Protection (“CBP”) to refund IEEPA tariffs that were previously collected, including applicable interest. CBP launched a tariff refund program in April 2026 to facilitate the refunds, and we submitted claims for IEEPA tariffs that have been previously paid. We elected to apply a gain contingency model in accordance with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to account for potential recoveries of previously paid tariffs under which a gain will not be recognized until realized or realizable. As of May 3, 2026, we did not record a receivable related to potential tariff refunds as the amount and timing of any recoveries was uncertain. As of the date of this report, we have received $27 million in cash payments, plus interest, subsequent to the end of the quarter.</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trade policy actions are unclear, including whether additional tariffs or other actions may be imposed, modified, or suspended. The Office of the U.S. Trade Representative has conducted and is conducting investigations under Section 301 of the Trade Act of 1974 that are expected to result in new tariffs being implemented in the second or third quarter of 2026. These factors have led to significant volatility and uncertainty in global markets. We continue to analyze the impact of incremental tariffs on our business and are taking steps to mitigate our tariff exposure to the extent possible. Mitigation strategies have included, and may continue to more significantly include, further sourcing optimization, negotiations with our vendors, internal efficiencies to drive cost savings, optimizing our discount strategies and pricing actions.</w:t>
      </w:r>
    </w:p>
    <w:p>
      <w:pPr>
        <w:spacing w:after="0" w:line="21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Our outlook assumes that the current U.S. tariff rates on goods coming into the U.S. will continue through July 2026 and then rates will increase to an average that approximates the levels that were in place prior to the U.S. Supreme Court ruling. We currently expect an estimated net negative impact on our full year 2026 gross profit related to the negative impact of tariffs on goods coming into the United States including a gross impact of approximately $195 million and a partially offsetting impact from planned mitigation actions. However, the duration, magnitude and scope of any additional tariffs are difficult to predict, along with the extent (if any) to which we will be able to offset the impact through our mitigation efforts. Our full year outlook also reflects an expected benefit to cost of goods sold of approximately $100 million related to tariff refunds, which are currently expected to be recorded in the second quarter of 2026. The amount and timing of recovery remains uncertain and dependent on regulatory and administrative processes outside of our control.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 Uncertainty</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with respect to the conflict in the Middle East, global trade policies (including tariffs) and the related impacts of each on the broader global macroeconomic environment, as well as the impact of inflation and other macroeconomic factors, and foreign currency volatility. Our revenue, earnings and cash flows from operations in 2026 may be subject to material change as a result of these and other macroeconomic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Overview</w:t>
      </w:r>
    </w:p>
    <w:p>
      <w:pPr>
        <w:spacing w:after="0" w:line="25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We generate net sales from (i) the wholesale distribution to traditional retailers (both for stores and digital operations), pure play digital commerce retailers, franchisees, licensees and distributors of branded sportswear (casual apparel), jeanswear, performance apparel, intimate apparel, underwear, swimwear, dress shirts, handbags, accessories, footwear and other related products under owned and licensed trademarks, and (ii) the sale of certain of these products through (a) approximately 1,350 Company-operated free-standing store locations worldwide under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w:t>
      </w:r>
    </w:p>
    <w:p>
      <w:pPr>
        <w:spacing w:after="0" w:line="3"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approximately 1,450 Company-operated shop-in-shop/concession locations worldwide under our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trademarks, and</w:t>
      </w:r>
    </w:p>
    <w:p>
      <w:pPr>
        <w:spacing w:after="0" w:line="9" w:lineRule="exact"/>
        <w:rPr>
          <w:rFonts w:ascii="Times New Roman" w:cs="Times New Roman" w:eastAsia="Times New Roman" w:hAnsi="Times New Roman"/>
          <w:sz w:val="18"/>
          <w:szCs w:val="18"/>
          <w:color w:val="auto"/>
        </w:rPr>
      </w:pPr>
    </w:p>
    <w:p>
      <w:pPr>
        <w:ind w:right="600" w:firstLine="8"/>
        <w:spacing w:after="0" w:line="260"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digital commerce sites worldwide, under our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trademarks. Additionally, we generate revenue from fees for licensing the use of our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trademarks.</w:t>
      </w:r>
    </w:p>
    <w:p>
      <w:pPr>
        <w:spacing w:after="0" w:line="2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actions, transactions and events have impacted or will impact our results of operations and the comparability among the periods, including our full year 2026 expectations as compared to the full year 2025, as discussed below:</w:t>
      </w:r>
    </w:p>
    <w:p>
      <w:pPr>
        <w:spacing w:after="0" w:line="189" w:lineRule="exact"/>
        <w:rPr>
          <w:sz w:val="20"/>
          <w:szCs w:val="20"/>
          <w:color w:val="auto"/>
        </w:rPr>
      </w:pPr>
    </w:p>
    <w:p>
      <w:pPr>
        <w:ind w:left="660" w:right="10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owned warehouse and distribution center located in Jonesville, NC on May 11, 2026, for net proceeds of $38 million. We will record a pre-tax gain of $25 million in the second quarter of 2026 in connection with the closing of the transaction, which represents the excess of the net proceeds over the carrying value of the assets on the date of the sale. Please see Note 4, “Assets Held for Sale,” in the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included in Part I, Item I of this report for further discussion.</w:t>
      </w:r>
    </w:p>
    <w:p>
      <w:pPr>
        <w:spacing w:after="0" w:line="27" w:lineRule="exact"/>
        <w:rPr>
          <w:sz w:val="20"/>
          <w:szCs w:val="20"/>
          <w:color w:val="auto"/>
        </w:rPr>
      </w:pPr>
    </w:p>
    <w:p>
      <w:pPr>
        <w:ind w:left="660" w:right="8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embarked on a multi-year initiative beginning in 2024 to simplify our operating model by centralizing certain processes and improving systems and automation to drive more efficient and cost-effective ways of working across the organization (the “Growth Driver 5 Actions”). The initiative has resulted in annualized cost savings of over $200 million, while continuing to make targeted investments to drive our strategic initiatives. While the actions to support this initiative were largely completed by the end of 2025, there have been certain actions taken and additional actions that we plan to take under this initiative, on a limited basis, during 2026. Such actions include the sale of our owned warehouse and distribution center located in Jonesville, NC, as discussed above. We recorded pre-tax costs of $7 million during the first quarter of 2026 in connection with this initiative consisting principally of severance. We recorded pre-tax costs of $93 million during 2025 in connection with this initiative consisting principally of severance. We expect additional actions in 2026, however the net impact of these remaining actions cannot be quantified at this time. Please see Note 14, “Exit Activity Costs,” in the Notes to Consolidated Financial Statements included in Part I, Item 1 of this report for further discussion.</w:t>
      </w:r>
    </w:p>
    <w:p>
      <w:pPr>
        <w:spacing w:after="0" w:line="3" w:lineRule="exact"/>
        <w:rPr>
          <w:rFonts w:ascii="Times New Roman" w:cs="Times New Roman" w:eastAsia="Times New Roman" w:hAnsi="Times New Roman"/>
          <w:sz w:val="18"/>
          <w:szCs w:val="18"/>
          <w:color w:val="auto"/>
        </w:rPr>
      </w:pPr>
    </w:p>
    <w:p>
      <w:pPr>
        <w:ind w:left="660" w:right="280" w:hanging="328"/>
        <w:spacing w:after="0" w:line="25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pre-tax noncash goodwill and other intangible impairment charges of $480 million in the first quarter of 2025 in conjunction with interim goodwill and other intangible assets impairment tests. The impairments were primarily due to a significant increase in discount rates. Please see Note 5, “Goodwill and Other Intangible Assets,” in the Notes to Consolidated Financial Statements included in Part I, Item I of this report for further discussion.</w:t>
      </w:r>
    </w:p>
    <w:p>
      <w:pPr>
        <w:spacing w:after="0" w:line="2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extended in 2022 most of our licensing agreements with G-III Apparel Group, Ltd. for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in the United States and Canada, largely pertaining to the women’s apparel product categories sold at wholesale in North America. These agreements now have staggered expirations through 2026, the first of which occurred at the end of calendar 2023. We have been directly operating a significant portion of the businesses for the previously licensed product categories, and we intend to continue to directly operate a significant portion of these businesses as the license agreements expire, with the remainder re-licensed to other third parties. The expiration of these licenses and the transition of previously licensed women’s product categories in house resulted in a 1% net increase to our revenue and an approximately 50 basis point decline in our gross margin in 2025. In 2026, the transition of previously licensed product categories is expected to result in a less than 1% net increase to our revenue and an approximately 50 basis point decline in our gross margin.</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Tommy Hilfiger and Calvin Klein businesses each have substantial international components that expose us to significant foreign exchange risk. Our results of operations in local foreign currencies are translated into United States dollars using an average exchange rate over the representative period. Accordingly, our results of operations are unfavorably impacted during times of a strengthening United States dollar against the foreign currencies in which we generate significant revenue and earnings and favorably impacted during times of a weakening United States dollar against those currencies. Over 70% of our 2025 revenue was subject to foreign currency translation. We currently expect our 2026 revenue and net income to increase by approximately $125 million and $20 million, respectively, as compared to 2025 due to the impact of foreign currency translation.</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also is a transactional impact of foreign exchange because we have foreign subsidiaries that purchase inventory in a currency other than their functional currency. We use foreign currency forward contracts to hedge against a portion of the exposure related to this transactional impact. We enter into these contracts up to 15 months in advance for a portion of the projected inventory purchases and may enter into incremental contracts leading up to the time the inventory purchases occur. The impact of foreign currency fluctuations on the cost of inventory purchases covered by these contracts is then realized in our results of operations as the underlying inventory hedged by the contracts is sold. The transactional impact of foreign currency on our 2026 gross margin as compared to 2025 is expected to be favorable by approximately 50 basis points.</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have exposure to changes in foreign currency exchange rates related to our €1.125 billion aggregate principal amount of senior notes that are held in the United States. The strengthening of the United States dollar against the euro would require us to use a lower amount of our cash flows from operations to pay interest and make long-term debt repayments, whereas the weakening of the United States dollar against the euro would require us to use a greater amount of our cash flows from operations to pay interest and make long-term debt repayments. We designated the par value of these senior notes issued by PVH Corp., a U.S.-based entity, as net investment hedges of our investments in certain of our foreign subsidiaries that use the euro as their functional currency. In addition, we entered into multiple fixed-to-fixed cross-currency swap contracts in 2023, with a maturity date of July 2025, which, in aggregate, economically converted our $500 million principal amount of 4 5/8% senior notes due July 2025 from a United States dollar-denominated obligation to a euro-denominated obligation of €457 million. In July 2025, we completed a transaction to effectively blend and extend those cross-currency swaps with new fixed-to-fixed cross-currency swap contracts maturing in July 2027 and July 2028. We also designated these cross-currency swap contracts as net investment hedges of our investments in certain of our foreign subsidiaries that use the euro as their functional currency. As a result, the remeasurement of these foreign currency borrowings and cross-currency swaps at the end of each</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right="280"/>
        <w:spacing w:after="0" w:line="282" w:lineRule="auto"/>
        <w:rPr>
          <w:sz w:val="20"/>
          <w:szCs w:val="20"/>
          <w:color w:val="auto"/>
        </w:rPr>
      </w:pPr>
      <w:r>
        <w:rPr>
          <w:rFonts w:ascii="Times New Roman" w:cs="Times New Roman" w:eastAsia="Times New Roman" w:hAnsi="Times New Roman"/>
          <w:sz w:val="18"/>
          <w:szCs w:val="18"/>
          <w:color w:val="auto"/>
        </w:rPr>
        <w:t>period is recorded in equity. Please see Note 9, “Derivative Financial Instruments,” in the Notes to Consolidated Financial Statements included in Part I, Item 1 of this report for further discussion.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by China’s Ministry of Commerce</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121"/>
        </w:rPr>
        <w:t>In September 2024, China’s Ministry of Commerce (“MOFCOM”) announced that it had initiated an investigation into our business under the Provisions of the List of Unreliable Entities (“UEL Provisions”). In October 2024, we submitted a written response to MOFCOM and, in December 2024, we submitted a supplemental response. In January 2025, MOFCOM issued a preliminary finding that PVH Corp. had violated normal market trading principles and in February 2025, it announced its determination and placed PVH Corp. on the List of Unreliable Entities (“UEL”). We do not know if or when MOFCOM will implement any measures as a result of the listing or what they will be if any are imposed. Approximately 6% and 20% of our revenue and income before interest and taxes (excluding goodwill and other intangible asset impairment charges), respectively, were generated in China in 2025. 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Please see our risk factor “</w:t>
      </w:r>
      <w:r>
        <w:rPr>
          <w:rFonts w:ascii="Times New Roman" w:cs="Times New Roman" w:eastAsia="Times New Roman" w:hAnsi="Times New Roman"/>
          <w:sz w:val="18"/>
          <w:szCs w:val="18"/>
          <w:i w:val="1"/>
          <w:iCs w:val="1"/>
          <w:color w:val="212121"/>
        </w:rPr>
        <w:t>China’s Ministry of Commerce (“MOFCOM”)</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 xml:space="preserve">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 </w:t>
      </w:r>
      <w:r>
        <w:rPr>
          <w:rFonts w:ascii="Times New Roman" w:cs="Times New Roman" w:eastAsia="Times New Roman" w:hAnsi="Times New Roman"/>
          <w:sz w:val="18"/>
          <w:szCs w:val="18"/>
          <w:color w:val="000000"/>
        </w:rPr>
        <w:t>i</w:t>
      </w:r>
      <w:r>
        <w:rPr>
          <w:rFonts w:ascii="Times New Roman" w:cs="Times New Roman" w:eastAsia="Times New Roman" w:hAnsi="Times New Roman"/>
          <w:sz w:val="18"/>
          <w:szCs w:val="18"/>
          <w:color w:val="212121"/>
        </w:rPr>
        <w:t>n Part I, Item</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1A. Risk Factors of our Annual Report on Form 10-K for the fiscal year ended February 1, 2026 for 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SEASONALITY</w:t>
      </w:r>
    </w:p>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We expect this seasonal pattern will generally continue. Working capital requirements vary throughout the year to support these seasonal patterns and business trends.</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Due to the above seasonal factors, our results of operations for the thirteen weeks ended May 3, 2026 are not necessarily indicative of those for a full fiscal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Thirteen Weeks Ended May 3, 2026 Compared With Thirteen Weeks Ended May 4,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first quarter of 2026 compared to the prior year period:</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May 3,</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May 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 bps</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58.6 %</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bps</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impairments</w:t>
            </w:r>
          </w:p>
        </w:tc>
        <w:tc>
          <w:tcPr>
            <w:tcW w:w="30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postretirement cost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interest and taxes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18.9 %</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87.2 %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Revenue</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revenue in the first quarter of 2026 was $2.025 billion compared to $1.984 billion in the first quarter of the prior year. The overall increase in revenue of $42 million, or 2%, included a positive impact of $87 million, or 4%, related to foreign currency translation.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Segment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right="8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EMEA – </w:t>
      </w:r>
      <w:r>
        <w:rPr>
          <w:rFonts w:ascii="Times New Roman" w:cs="Times New Roman" w:eastAsia="Times New Roman" w:hAnsi="Times New Roman"/>
          <w:sz w:val="18"/>
          <w:szCs w:val="18"/>
          <w:color w:val="auto"/>
        </w:rPr>
        <w:t>Revenue increased $18 million, or 2%, compared to the prior year period, including a positive impact of $67 million, or 7%,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translation. Excluding the impact of foreign currency translation, the decrease in revenue was driven by declines in both the direct-to-consumer and wholesale businesses, including softer consumer demand due to the prolonged effects from the conflict in the Middle East and its broader macroeconomic pressures.</w:t>
      </w:r>
    </w:p>
    <w:p>
      <w:pPr>
        <w:spacing w:after="0" w:line="206"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Americas – </w:t>
      </w:r>
      <w:r>
        <w:rPr>
          <w:rFonts w:ascii="Times New Roman" w:cs="Times New Roman" w:eastAsia="Times New Roman" w:hAnsi="Times New Roman"/>
          <w:sz w:val="18"/>
          <w:szCs w:val="18"/>
          <w:color w:val="auto"/>
        </w:rPr>
        <w:t>Revenue decreased $6 million, or 1%, compared to the prior year period, including a positive impact of $5 million, or 1%,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translation, as growth in the direct-to-consumer business was more than offset by a decrease in the wholesale business. The decrease in wholesale revenue included (i) a decrease in the first quarter related to the overall impact of a shift in the timing of wholesale shipments from the first half of the year to the second half as compared to the prior year period, partially offset by (ii) an increase driven by the transition of previously licensed women’s product categories in house.</w:t>
      </w:r>
    </w:p>
    <w:p>
      <w:pPr>
        <w:spacing w:after="0" w:line="210"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APAC – </w:t>
      </w:r>
      <w:r>
        <w:rPr>
          <w:rFonts w:ascii="Times New Roman" w:cs="Times New Roman" w:eastAsia="Times New Roman" w:hAnsi="Times New Roman"/>
          <w:sz w:val="18"/>
          <w:szCs w:val="18"/>
          <w:color w:val="auto"/>
        </w:rPr>
        <w:t>Revenue increased $35 million, or 10%, compared to the prior year period, including a positive impact of $15 million, or 4%,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translation. Excluding the impact of foreign currency translation, the increase in revenue included an approximately 4% favorable impact from the timing of Lunar New Year, which occurred in the first quarter of 2026 but did not occur in the first quarter of 2025. An increase in revenue in the direct-to-consumer business was partially offset by a decrease in wholesale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 </w:t>
      </w:r>
      <w:r>
        <w:rPr>
          <w:rFonts w:ascii="Times New Roman" w:cs="Times New Roman" w:eastAsia="Times New Roman" w:hAnsi="Times New Roman"/>
          <w:sz w:val="18"/>
          <w:szCs w:val="18"/>
          <w:color w:val="auto"/>
        </w:rPr>
        <w:t>Revenue decreased $7 million, or 7%, compared to the prior year period, primarily due to the license transitions in North America.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Brand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Tommy Hilfiger – </w:t>
      </w:r>
      <w:r>
        <w:rPr>
          <w:rFonts w:ascii="Times New Roman" w:cs="Times New Roman" w:eastAsia="Times New Roman" w:hAnsi="Times New Roman"/>
          <w:sz w:val="18"/>
          <w:szCs w:val="18"/>
          <w:color w:val="auto"/>
        </w:rPr>
        <w:t>Revenue increased 3% compared to the prior year period including a 5% positive foreign currency impact.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Calvin Klein – </w:t>
      </w:r>
      <w:r>
        <w:rPr>
          <w:rFonts w:ascii="Times New Roman" w:cs="Times New Roman" w:eastAsia="Times New Roman" w:hAnsi="Times New Roman"/>
          <w:sz w:val="18"/>
          <w:szCs w:val="18"/>
          <w:color w:val="auto"/>
        </w:rPr>
        <w:t>Revenue increased 1% compared to the prior year period, including a 4% positive foreign currency impact.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Channel:</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Direct-to-consumer – </w:t>
      </w:r>
      <w:r>
        <w:rPr>
          <w:rFonts w:ascii="Times New Roman" w:cs="Times New Roman" w:eastAsia="Times New Roman" w:hAnsi="Times New Roman"/>
          <w:sz w:val="18"/>
          <w:szCs w:val="18"/>
          <w:color w:val="auto"/>
        </w:rPr>
        <w:t>Revenue increased 6% compared to the prior year period including a 4% positive foreign currency impact.</w:t>
      </w:r>
    </w:p>
    <w:p>
      <w:pPr>
        <w:spacing w:after="0" w:line="29"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Owned and operated retail stores – </w:t>
      </w:r>
      <w:r>
        <w:rPr>
          <w:rFonts w:ascii="Times New Roman" w:cs="Times New Roman" w:eastAsia="Times New Roman" w:hAnsi="Times New Roman"/>
          <w:sz w:val="18"/>
          <w:szCs w:val="18"/>
          <w:color w:val="auto"/>
        </w:rPr>
        <w:t>Revenue increased 5% compared to the prior year period, including a 4% positive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Excluding the impact of foreign currency translation, revenue growth in Americas and APAC was partially offset by a decline in EMEA.</w:t>
      </w:r>
    </w:p>
    <w:p>
      <w:pPr>
        <w:spacing w:after="0" w:line="1" w:lineRule="exact"/>
        <w:rPr>
          <w:rFonts w:ascii="Times New Roman" w:cs="Times New Roman" w:eastAsia="Times New Roman" w:hAnsi="Times New Roman"/>
          <w:sz w:val="18"/>
          <w:szCs w:val="18"/>
          <w:color w:val="auto"/>
        </w:rPr>
      </w:pPr>
    </w:p>
    <w:p>
      <w:pPr>
        <w:ind w:left="1300" w:right="420" w:hanging="320"/>
        <w:spacing w:after="0" w:line="260"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Owned and operated digital commerce – </w:t>
      </w:r>
      <w:r>
        <w:rPr>
          <w:rFonts w:ascii="Times New Roman" w:cs="Times New Roman" w:eastAsia="Times New Roman" w:hAnsi="Times New Roman"/>
          <w:sz w:val="18"/>
          <w:szCs w:val="18"/>
          <w:color w:val="auto"/>
        </w:rPr>
        <w:t>Revenue increased 11% compared to the prior year period, including a 4% positive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impact, with revenue increasing across all regions.</w:t>
      </w:r>
    </w:p>
    <w:p>
      <w:pPr>
        <w:spacing w:after="0" w:line="206"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Wholesale – </w:t>
      </w:r>
      <w:r>
        <w:rPr>
          <w:rFonts w:ascii="Times New Roman" w:cs="Times New Roman" w:eastAsia="Times New Roman" w:hAnsi="Times New Roman"/>
          <w:sz w:val="18"/>
          <w:szCs w:val="18"/>
          <w:color w:val="auto"/>
        </w:rPr>
        <w:t>Revenue was flat compared to the prior year period, including a 5% positive foreign currency impact.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translation, revenue decreased in all regions.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currently expect revenue for the full year 2026 to be approximately flat compared to 2025. Excluding the impact of foreign currency translation, we currently expect revenue for the full year 2026 to decrease slightly.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Gross profit is calculated as total revenue less cost of goods sold and gross margin is calculated as gross profit divided by total revenue. Included as cost of goods sold are costs associated with the production and procurement of product, such as inbound freight costs, purchasing and receiving costs, inspection costs and tariffs and other import costs. Also included as cost of goods sold are the amounts recognized on foreign currency forward contracts as the underlying inventory hedged by such forward exchange contracts is sold. Warehousing and distribution expenses are included in selling, general and administrative (“SG&amp;A”) expenses. Revenue from licensing the use of our trademarks is included in gross profit because there is no cost of goods sold associated with such revenue. As a result, our gross profit may not be comparable to that of other entities.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Gross profit in the first quarter of 2026 was $1.186 billion, or 58.6% of total revenue, compared to $1.162 billion, or 58.6% of total revenue, in the first quarter of the prior year. Gross profit as a percentage of revenue was flat compared to the prior year period and included (i) a negative impact of the tariffs on goods coming into the United States, (ii) an increase in promotional selling as compared to the prior year period, and (iii) a decline due to the transition of previously licensed product categories into our directly operated wholesale business, as revenue through our wholesale distribution channel carries lower gross margins. These declines were offset by the favorable impacts of (i) tariff mitigation actions, (ii) lower product costs, including the favorable transactional impact of foreign exchange on our international businesses, particularly our European business and (iii) a change in the revenue mix between our direct-to-consumer distribution channel and our wholesale distribution channel, as our direct-to-consumer distribution channel was a larger proportion of total revenue and carries higher gross margins.</w:t>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We currently expect that gross margin for the full year 2026 will increase by approximately 100 basis points compared to 2025, with increases particularly impacting the second quarter despite (i) the assumed approximately 215 basis point gross negative impact in 2026 of the tariffs on goods coming into the United States, compared to the approximately 80 basis point gross negative impact in 2025, (ii) the approximately 50 basis point decline expected in connection with the above-mentioned transition of previously licensed product categories into our directly operated wholesale business, and (iii) an increase in promotional selling as compared to the prior year. These decreases are expected to be more than offset by (i) an approximately 100 basis point impact related to the IEEPA tariff refunds, which are expected to be recorded in the second quarter of 2026, (ii) the impact of planned mitigation actions to address the impacts of tariff costs, (iii) lower product costs, including the approximately 50 basis point favorable transactional impact of foreign exchange on our international businesses as discussed above, and (iv) the absence of higher freight costs and incremental discounts provided to customers to address the impact of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product delivery delays in 2025.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SG&amp;A Expenses</w:t>
      </w:r>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SG&amp;A expenses in the first quarter of 2026 were $1.074 billion, or 53.1% of total revenue, compared to $1.024 billion, or 51.6% of total revenue, in the first quarter of the prior year. The 150 basis point increase was primarily driven by (i) an increase in strategic investments to fuel growth, including increased marketing, (ii) a change in the revenue mix between our direct-to-consumer distribution channel and our wholesale distribution channel, as our direct-to-consumer distribution channel was a larger proportion of total revenue and carries higher SG&amp;A expenses as a percentage of revenue and (iii) the impact from the deleveraging of expenses partially offset by (i) cost savings resulting from the Growth Driver 5 Actions and (ii) a net decrease in restructuring costs incurred in the first quarter of 2026 in connection with the Growth Driver 5 Actions compared to the prior year period.</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expect that SG&amp;A expenses as a percentage of revenue for the full year 2026 will be relatively flat compared to 2025 with increases in SG&amp;A expenses as a percentage of revenue more significantly impacting the first half of 2026, including higher marketing spend. SG&amp;A expenses as a percentage of revenue for the full year are expected to include an approximately 100 basis point decrease resulting from a decrease in restructuring costs incurred in 2026 as compared to 2025 in connection with the Growth Driver 5 actions. This decrease is expected to be offset by the net impact of an increase in strategic investments to fuel growth, including increased marketing, and the impact from the deleveraging of expenses partially offset by the cost savings resulting from the Growth Driver 5 actions. Our expectation for 2026 includes the restructuring costs incurred in the first quarter of 2026 in connection with the Growth Driver 5 actions but does not include any further restructuring costs beyond the first quarter. We expect additional actions in 2026, however the impact of these remaining actions cannot be quantified at this time.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Other Intangible Asset Impairments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recorded noncash impairment charges of $480 million during the first quarter of 2025 in conjunction with interim goodwill and other intangible assets impairment tests, including $426 million related to goodwill and $54 million related to our Australia reacquired perpetual license rights, which were primarily due to a significant increase in discount rates. Please see Note 5, “Goodwill and Other Intangible Assets,” in the Notes to Consolidated Financial Statements included in Part I, Item 1 of this report for further discussion of these impairments.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Pension and Postretirement Cost</w:t>
      </w:r>
    </w:p>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Non-service related pension and postretirement cost was $1 million in each of the first quarters of 2026 and 2025. Please see Note 6, “Retirement and Benefit Plans,” in the Notes to Consolidated Financial Statements included in Part I, Item 1 of this report for further discussion.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Non-service related pension and postretirement cost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earnings, generally in the fourth quarter of the year, which can create volatility in our results of operations. We currently expect that non-service related pension and postretirement income for the full year 2026 will be approximately $3 million. However, our expectation of 2026 non-service related pension and postretirement income does not include the impact of an actuarial gain or loss. As a result of the volatility in the financial markets, there is significant uncertainty with respect to the actuarial gain or loss we may record on our retirement plans in 2026. We may record a significant actuarial gain or loss in 2026 if there is a significant increase or decrease in discount rates, respectively, or if there is a difference between the actual and expected return on plan assets. As such, our actual 2026 non-service related pension and postretirement income may be significantly different than our projections.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Income of Unconsolidated Affiliates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equity in net income of unconsolidated affiliates was $13 million in the first quarter of 2026 compared to $10 million in the first quarter of the prior year. These amounts relate to our share of income (loss) from (i) our joint venture for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brands and certain licensed trademarks in Mexico, (ii) our joint venture for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brands in India, (iii) our joint venture for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brand in Brazil and (iv) our PVH Legwear LLC joint venture for the </w:t>
      </w:r>
      <w:r>
        <w:rPr>
          <w:rFonts w:ascii="Times New Roman" w:cs="Times New Roman" w:eastAsia="Times New Roman" w:hAnsi="Times New Roman"/>
          <w:sz w:val="18"/>
          <w:szCs w:val="18"/>
          <w:i w:val="1"/>
          <w:iCs w:val="1"/>
          <w:color w:val="auto"/>
        </w:rPr>
        <w:t>TOMMY HILFIGER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Calvin Klein</w:t>
      </w:r>
      <w:r>
        <w:rPr>
          <w:rFonts w:ascii="Times New Roman" w:cs="Times New Roman" w:eastAsia="Times New Roman" w:hAnsi="Times New Roman"/>
          <w:sz w:val="18"/>
          <w:szCs w:val="18"/>
          <w:color w:val="auto"/>
        </w:rPr>
        <w:t xml:space="preserve"> brands and certain licensed trademarks in the United States and Canada. The equity in net income of unconsolidated affiliates for the first quarter of 2026 increased as</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compared to the prior year period primarily due to an increase in income attributable to our joint venture in Mexico and our PVH Legwear LLC joint venture. Our investments in the joint ventures are being accounted for under the equity method of accounting.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We currently expect that our equity in net income of unconsolidated affiliates for full year 2026 will be relatively flat as compared to $45 million in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(Loss) Before Interest and Taxes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(loss) before interest and taxes in the first quarter of 2026 was $124 million, or 6.1%, of total revenue, compared to $(332) million, or (16.7)% of total revenue, in the first quarter of the prior year, and included changes in our segments’ income (loss) before interest and taxes and other reconciling items as follows:</w:t>
      </w:r>
    </w:p>
    <w:p>
      <w:pPr>
        <w:spacing w:after="0" w:line="201" w:lineRule="exact"/>
        <w:rPr>
          <w:sz w:val="20"/>
          <w:szCs w:val="20"/>
          <w:color w:val="auto"/>
        </w:rPr>
      </w:pPr>
    </w:p>
    <w:p>
      <w:pPr>
        <w:ind w:left="660" w:right="8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EMEA – </w:t>
      </w:r>
      <w:r>
        <w:rPr>
          <w:rFonts w:ascii="Times New Roman" w:cs="Times New Roman" w:eastAsia="Times New Roman" w:hAnsi="Times New Roman"/>
          <w:sz w:val="18"/>
          <w:szCs w:val="18"/>
          <w:color w:val="auto"/>
        </w:rPr>
        <w:t>Income before interest and taxes in the first quarter of 2026 was $152 million, or 16.1% of total revenue, compared to $149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of total revenue in the first quarter of the prior year. A 30 basis point increase in gross margin was offset by a 30 basis point increase in SG&amp;A expenses as a percentage of revenue. The increase in SG&amp;A expenses as a percentage of revenue includes (i) an increase in marketing and (ii) a deleveraging of expenses resulting from the decrease in revenue excluding the impact of foreign currency translation partially offset by (iii) savings resulting from Growth Driver 5 Actions.</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Americas – </w:t>
      </w:r>
      <w:r>
        <w:rPr>
          <w:rFonts w:ascii="Times New Roman" w:cs="Times New Roman" w:eastAsia="Times New Roman" w:hAnsi="Times New Roman"/>
          <w:sz w:val="18"/>
          <w:szCs w:val="18"/>
          <w:color w:val="auto"/>
        </w:rPr>
        <w:t>Income before interest and taxes in the first quarter of 2026 was $51 million, or 8.4% of total revenue, compared to $61 million, or</w:t>
      </w:r>
    </w:p>
    <w:p>
      <w:pPr>
        <w:spacing w:after="0" w:line="29" w:lineRule="exact"/>
        <w:rPr>
          <w:rFonts w:ascii="Times New Roman" w:cs="Times New Roman" w:eastAsia="Times New Roman" w:hAnsi="Times New Roman"/>
          <w:sz w:val="18"/>
          <w:szCs w:val="18"/>
          <w:color w:val="auto"/>
        </w:rPr>
      </w:pPr>
    </w:p>
    <w:p>
      <w:pPr>
        <w:ind w:left="6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total revenue in the first quarter of the prior year. The 160 basis point decrease was primarily driven by a 190 basis point gross margin decline, inclusive of the negative impact of the increase in tariffs on goods coming into the United States partially offset by tariff mitigation actions. SG&amp;A expenses as a percentage of revenue decreased 40 basis points due to savings resulting from the Growth Driver 5 Actions partially offset by an increase in marketing.</w:t>
      </w:r>
    </w:p>
    <w:p>
      <w:pPr>
        <w:spacing w:after="0" w:line="2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APAC – </w:t>
      </w:r>
      <w:r>
        <w:rPr>
          <w:rFonts w:ascii="Times New Roman" w:cs="Times New Roman" w:eastAsia="Times New Roman" w:hAnsi="Times New Roman"/>
          <w:sz w:val="18"/>
          <w:szCs w:val="18"/>
          <w:color w:val="auto"/>
        </w:rPr>
        <w:t>Income before interest and taxes in the first quarter of 2026 was $89 million, or 23.1% of total revenue, compared to $79 million, or</w:t>
      </w:r>
    </w:p>
    <w:p>
      <w:pPr>
        <w:spacing w:after="0" w:line="29" w:lineRule="exact"/>
        <w:rPr>
          <w:rFonts w:ascii="Times New Roman" w:cs="Times New Roman" w:eastAsia="Times New Roman" w:hAnsi="Times New Roman"/>
          <w:sz w:val="18"/>
          <w:szCs w:val="18"/>
          <w:color w:val="auto"/>
        </w:rPr>
      </w:pP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of total revenue in the first quarter of the prior year. The 60 basis point increase was primarily driven by a 160 basis point increase in gross margin partially offset by a 100 basis point increase in SG&amp;A expenses as a percentage of revenue, including an increase in marketing.</w:t>
      </w:r>
    </w:p>
    <w:p>
      <w:pPr>
        <w:spacing w:after="0" w:line="206"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 </w:t>
      </w:r>
      <w:r>
        <w:rPr>
          <w:rFonts w:ascii="Times New Roman" w:cs="Times New Roman" w:eastAsia="Times New Roman" w:hAnsi="Times New Roman"/>
          <w:sz w:val="18"/>
          <w:szCs w:val="18"/>
          <w:color w:val="auto"/>
        </w:rPr>
        <w:t>Income before interest and taxes in the first quarter of 2026 was $75 million, a 7% decrease compared to $81 million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primarily due to the license transitions in North America.</w:t>
      </w:r>
    </w:p>
    <w:p>
      <w:pPr>
        <w:spacing w:after="0" w:line="185" w:lineRule="exact"/>
        <w:rPr>
          <w:rFonts w:ascii="Times New Roman" w:cs="Times New Roman" w:eastAsia="Times New Roman" w:hAnsi="Times New Roman"/>
          <w:sz w:val="18"/>
          <w:szCs w:val="18"/>
          <w:color w:val="auto"/>
        </w:rPr>
      </w:pPr>
    </w:p>
    <w:p>
      <w:pPr>
        <w:ind w:left="660" w:right="180" w:hanging="328"/>
        <w:spacing w:after="0" w:line="277"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Corporate and other </w:t>
      </w:r>
      <w:r>
        <w:rPr>
          <w:rFonts w:ascii="Times New Roman" w:cs="Times New Roman" w:eastAsia="Times New Roman" w:hAnsi="Times New Roman"/>
          <w:sz w:val="17"/>
          <w:szCs w:val="17"/>
          <w:color w:val="auto"/>
        </w:rPr>
        <w:t>costs were $236 million in the first quarter of 2026, an increase of $27 million compared to $209 million in the prior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primarily due to (i) an increase in marketing and other brand-building investments and (ii) an increase in centrally managed information technology and support costs resulting from the actions taken in conjunction with the Growth Driver 5 initiative to move to a single global technology stack and streamline and optimize our support functions globally. Overall, the Growth Driver 5 initiative drove significant savings in the first quarter with savings in the regional segments more than offsetting the increase in Corporate information technology and support costs.</w:t>
      </w:r>
    </w:p>
    <w:p>
      <w:pPr>
        <w:spacing w:after="0" w:line="194" w:lineRule="exact"/>
        <w:rPr>
          <w:rFonts w:ascii="Times New Roman" w:cs="Times New Roman" w:eastAsia="Times New Roman" w:hAnsi="Times New Roman"/>
          <w:sz w:val="17"/>
          <w:szCs w:val="17"/>
          <w:color w:val="auto"/>
        </w:rPr>
      </w:pPr>
    </w:p>
    <w:p>
      <w:pPr>
        <w:ind w:left="660" w:right="14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Restructuring and other items </w:t>
      </w:r>
      <w:r>
        <w:rPr>
          <w:rFonts w:ascii="Times New Roman" w:cs="Times New Roman" w:eastAsia="Times New Roman" w:hAnsi="Times New Roman"/>
          <w:sz w:val="18"/>
          <w:szCs w:val="18"/>
          <w:color w:val="auto"/>
        </w:rPr>
        <w:t>included $7 million of restructuring costs in the first quarter of 2026 in connection with the Growth Driver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consisting principally of severance. Restructuring and other items included $493 million of expenses in the first quarter of the prior year including (i) $480 million of noncash goodwill and other intangible asset impairment charges and (ii) $13 million of restructuring costs in connection with the Growth Driver 5 Actions, consisting principally of severance.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decreased to $16 million in the first quarter of 2026 from $17 million in the first quarter of the prior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for the full year 2026 is currently expected to be approximately $75 million as compared to $79 million in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income tax rate for the first quarter of 2026 was 18.9% compared to 87.2% in the first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ind w:right="3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first quarter of 2026 reflected a $21 million income tax expense recorded on $109 million of pre-tax income. The effective income tax rate for the first quarter of 2025 reflected a $(305) million income tax benefit recorded on $(350) million of pre-tax losses.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first quarter of 2026 was lower than the prior year period primarily due to the impact of the $480 million pre-tax noncash goodwill and other intangible asset impairment charges in the prior year period, which were non-deductible for tax purposes and factored into our annualized effective income tax rate in 2025, and resulted in a 70.5% increase to our effective income tax rate for the first quarter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expect that our effective income tax rate for the full year 2026 will be in a range of 22% to 23%.</w:t>
      </w:r>
    </w:p>
    <w:p>
      <w:pPr>
        <w:spacing w:after="0" w:line="2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file income tax returns in more than 40 international jurisdictions each year. Our tax rate is influenced by several factors, including the mix of international and domestic pre-tax earnings, specific discrete transactions and events, new regulations, audits by tax authorities, and new information received. These elements may lead to adjustments in both our estimate for uncertain tax positions and the overall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 and Trends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and cash equivalents at May 3, 2026 was $593 million, a decrease of $109 million from $701 million at February 1, 2026. We ended the first quarter of 2026 with approximately $1.4 billion of borrowing capacity available under our various debt facilities. The seasonality of our business results in significant fluctuations in our cash balance during our fiscal year due, in part, to the timing of inventory purchases and peak sales periods.</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Cash flow for the full year 2026 will be impacted by various factors, including, as discussed further below in this “Liquidity and Capital Resources” section, (i) expected common stock repurchases under the stock repurchase program of at least $300 million, (ii) projected capital expenditures of approximately $250 million, (iii) net proceeds of $38 million received in the second quarter of 2026 in connection with the sale of the Jonesville, NC warehouse and distribution center, (iv) mandatory long-term debt repayments on our term loan under our 2022 senior unsecured credit facilities of approximately $13 million, subject to exchange rate fluctuations, and (v) offsetting impacts from cash inflows of approximately $100 million for refunds related to IEEPA tariffs previously paid and an expected reduction in cash due to the prolonged effects from the conflict in the Middle East.</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May 3, 2026, $267 million of cash and cash equivalents was held by international subsidiaries. Our intent is to reinvest indefinitely substantially all of our historical earnings in foreign subsidiaries outside of the United States in jurisdictions which we would expect to incur material tax costs upon the distribution of such amounts. It is not practicable to estimate the amount of tax that might be payable if these earnings were repatriated due to the complexities associated with the hypothetical calculation.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used by operating activities was $46 million in the first quarter of 2026 compared to $71 million in the first quarter of 2025. The decrease in cash used by operating activities as compared to the prior year period was primarily driven by changes in our working capital, including changes in inventories net of the related change in payables and a decrease in trade receivables in the current year period as compared to an increase in trade receivables in the prior year period, primarily driven by a shift in the timing of our wholesale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voluntary supply chain finance program (the “SCF program”) administered through a third party platform that provides our inventory suppliers with the opportunity to sell their receivables due from us to participating financial institutions in advance of the invoice due date, at the sole discretion of both the suppliers and the financial institutions. We are not a party to the agreements between the suppliers and the financial institutions and have no economic interest in a supplier’s decision to sell a receivable. Our payment obligations, including the amounts due and payment terms, which generally do not exceed 90 days, are not impacted by suppliers’ participation in the SCF program. Please see Note 18, “Other Comments,” in the Notes to Consolidated Financial Statements included in Part I, Item 1 of this report for further discussion of our SCF program.</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received dividends of $25 million and $26 million from our investments in unconsolidated affiliates during the first quarters of 2026 and 2025, respectively. These dividends are included in our net cash used by operating activities in our Consolidated Statements of Cash Flows for the respective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Warehouse and Distribution Center</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the sale of our owned warehouse and distribution center located in Jonesville, NC during the second quarter of 2026, for net proceeds of $38 million. Please see Note 4, “Assets Held for Sale,” in the Notes to Consolidated Financial Statements included in Part I, Item 1 of this report for further discussion.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capital expenditures in the first quarter of 2026 were $40 million compared to $27 million in the first quarter of 2025. We currently expect that capital expenditures for the full year 2026 will be approximately $250 million as compared to $142 million in 2025 and will primarily consist of (i) investments in new stores and store renovations and (ii) investments, upgrades and enhancements in our information technology platforms, systems and infrastructure worldwide.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paid on our common stock totaled $2 million in each of the first quarters of 2026 and 2025.</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we declared a $0.0375 per share dividend on our common stock in the first quarter of 2026 to be paid in the second quarter of 2026. We currently project that cash dividends paid on our common stock in 2026 will be approximately $7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Treasury Shares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of Directors has authorized over time beginning in 2015 an aggregate $5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Our share repurchases in excess of issuances are subject to a 1% excise tax enacted by the Inflation Reduction Act of 2022.</w:t>
      </w:r>
    </w:p>
    <w:p>
      <w:pPr>
        <w:spacing w:after="0" w:line="2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April 1, 2025, we entered into accelerated share repurchase (“ASR”) agreements with financial institutions to repurchase an aggregate of $500 million of our shares of common stock under our existing $5 billion stock repurchase authorization. We paid $500 million to the financial institutions and received initial deliveries of an aggregate of approximately 4.6 million shares of our common stock at a price of $76.43 per share, the closing share price of our common stock on April 1, 2025. The value of the initial shares delivered represented approximately 70% of the aggregate purchase price. The ASR agreements were funded with cash on hand and $115 million of short-term borrowings. During the third quarter of 2025, the ASR agreements were settled, and we received an aggregate of approximately 2.3 million of additional shares of our common stock. The total number of shares purchased under the ASR agreements was approximately 6.9 million shares at a price paid per share of $72.44, which was based on the daily volume-weighted average price of our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our common stock.</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we additionally purchased 0.8 million shares (all prior to the execution of the ASR agreements) of our common stock under the program in open market transactions for $61 million. Excise taxes of $4 million were excluded from the share repurchases for the first quarter of 2025, including in respect of the initial deliveries of the shares repurchased under the ASR agreements. We did not purchase any of our common stock under the program during the first quarter of 2026. As of May 3, 2026, the repurchased shares were held as treasury stock and $1.212 billion of the authorization remained available for future share repurchases, excluding excise taxes, as the excise taxes do not reduce the authorized amount remaining.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Treasury stock activity also includes shares that were withheld in conjunction with the settlement of restricted stock units and performance share units to satisfy tax withholding requirements.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Our capital structure was as follows: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5/3/26</w:t>
            </w: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5/4/25</w:t>
            </w:r>
          </w:p>
        </w:tc>
      </w:tr>
      <w:tr>
        <w:trPr>
          <w:trHeight w:val="25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bl>
    <w:p>
      <w:pPr>
        <w:spacing w:after="0" w:line="3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we had $593 million, $701 million and $191 million of cash and cash equivalents as of May 3, 2026, February 1, 2026 and May 4,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Borrowings</w:t>
      </w:r>
    </w:p>
    <w:p>
      <w:pPr>
        <w:spacing w:after="0" w:line="25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have the ability to draw revolving borrowings under the senior unsecured credit facilities discussed below in the section entitled “2022 Senior Unsecured Credit Facilities.” We had no revolving borrowings outstanding under these facilities as of May 3, 2026.</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we have the ability to borrow under short-term lines of credit, overdraft facilities and short-term revolving credit facilities denominated in various foreign currencies. These facilities provided for borrowing capacity of up to $236 million based on exchange rates in effect on May 3, 2026 and are utilized primarily to fund working capital needs. We had no borrowings outstanding under these facilities as of May 3,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the ability to issue unsecured commercial paper notes with maturities that vary but do not exceed 397 days from the date of issuance primarily to fund working capital needs. We had no borrowings outstanding under the commercial paper note program as of May 3,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Finance Lease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payments for finance lease liabilities totaled $1 million in each of the first quarters of 2026 and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Senior Unsecured Credit Facilities</w:t>
      </w:r>
    </w:p>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9, 2022, we entered into senior unsecured credit facilities (the “2022 facilities”). The 2022 facilities consist of (a) a €441 million euro-denominated Term Loan A facility, (b) a $1.150 billion United States dollar-denominated multicurrency revolving credit facility, which is available in (i) United States dollars, (ii) Australian dollars (limited to A$50 million), (iii) Canadian dollars (limited to C$70 million), or (iv) euros, yen, pounds sterling, Swiss francs or other agreed foreign currencies (limited to €250 million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(c) a $50 million United States dollar-denominated revolving credit facility available in United States dollars or Hong Kong dollars. The 2022 facilities are due on December 9, 2027.</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made payments of $3 million on our term loan under the 2022 facilities in each of the first quarters of 2026 and 2025. We currently expect to make total long-term debt repayments of approximately $13 million, subject to exchange rate fluctuations, for the full year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5/8% Senior Notes Due 2025</w:t>
      </w:r>
    </w:p>
    <w:p>
      <w:pPr>
        <w:spacing w:after="0" w:line="25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had outstanding $500 million principal amount of 4 5/8% senior notes due July 10, 2025. We repaid these notes upon maturity utilizing the net proceeds from the issuance of the $500 million principal amount of 5 1/2% senior notes due June 13, 2030 together with other available funds, as discussed below.</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3 1/8% Euro Senior Notes Due 2027</w:t>
      </w:r>
    </w:p>
    <w:p>
      <w:pPr>
        <w:spacing w:after="0" w:line="25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outstanding €600.0 million principal amount of 3 1/8% senior notes due December 15, 2027. We may redeem some or all of these notes at any time prior to September 15, 2027 by paying a “make whole” premium plus any accrued and unpaid interest. In addition, in advance of maturity, we may redeem the remaining outstanding notes beginning on September 15, 2027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1/8% Euro Senior Notes Due 2029</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outstanding €525 million principal amount of 4 1/8% senior notes due July 16, 2029. We may redeem some or all of these notes at any time prior to April 16, 2029 by paying a “make whole” premium, plus any accrued and unpaid interest. In addition, in advance of maturity, we may redeem the remaining outstanding notes beginning on April 16, 2029, or all of these notes at any time in the event of certain developments affecting taxation, at their principal amount plus any accrued and unpaid interest.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 1/2% Senior Notes Due 2030</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issued on June 13, 2025, $500 million principal amount of 5 1/2% senior notes due June 13, 2030. We paid $6 million of fees in connection with the issuance of the notes, which are being amortized over the term of the notes.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utilized the net proceeds of the offering, together with other available funds, to repay the $500 million principal amount of 4 5/8% senior notes due July 10, 2025, as discussed above.</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redeem some or all of these notes at any time prior to May 13, 2030 by paying a “make whole” premium, plus any accrued and unpaid interest. In addition, in advance of maturity, we may redeem the remaining outstanding notes beginning on May 13, 2030 at their principal amount plus any accrued and unpaid interest.</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financing arrangements contain financial and non-financial covenants and customary events of default. As of May 3, 2026, we were in compliance with all applicable financial and non-financial covenants under our financing arrangements.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May 3, 2026, our issuer credit was rated BBB by Standard &amp; Poor’s with a stable outlook and our corporate credit was rated Baa3 by Moody’s with a stable outlook, and our commercial paper was rated A-2 by Standard &amp; Poor’s and P-3 by Moody’s. In assessing our credit strength, we believe that both Standard &amp; Poor’s and Moody’s considered, among other things, our capital structure and financial policies, our consolidated balance sheet, our historical acquisition activity and other financial information, including our revenue growth and operating margin, as well as industry and other qualitative factors.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see Note 7, “Debt,” in the Notes to Consolidated Financial Statements included in Part I, Item 1 of this report for a schedule of mandatory long-term debt repayments for the remainder of 2026 through 2031.</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Please see Note 8, “Debt,” in the Notes to Consolidated Financial Statements included in Item 8 of our Annual Report on Form 10-K for the fiscal year ended February 1, 2026 for further discussion of our debt.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based on the selection and application of significant accounting policies, which require management to make significant estimates and assumptions. Our significant accounting policies are outlined in Note 1, “Summary of Significant Accounting Policies,” in the Notes to Consolidated Financial Statements included in Item 8 of our Annual Report on Form 10-K for the fiscal year ended February 1, 2026. During the thirteen weeks ended May 3, 2026, there were no significant changes to our critical accounting policies from those described in our Annual Report on Form 10-K for the fiscal year ended February 1, 2026.</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Financial instruments held by us primarily include cash and cash equivalents, short-term borrowings (when facilities are drawn or commercial paper is issued), long-term debt, foreign currency forward contracts and cross-currency swap contracts. Note 10, “Fair Value Measurements,” in the Notes to Consolidated Financial Statements included in Part I, Item 1 of this report outlines the fair value of our financial instruments as of May 3, 2026. Cash and cash equivalents held by us are affected by short-term interest rates. Given our balance of cash and cash equivalents at May 3, 2026, the effect of a 10 basis point change in short-term interest rates on our interest income would be approximately $0.6 million annually. Borrowings under our senior unsecured term loan facility bear interest at a rate equal to an applicable margin plus a variable rate. As such, our senior unsecured term loan facility exposes us to market risk for changes in interest rates. As of May 3, 2026, approximately 80% of our long-term debt was at a fixed interest rate, with the remaining (euro-denominated) balance at a variable interest rate. Interest on the euro-denominated debt is subject to change based on fluctuations in the one-month euro interbank offered rate (“EURIBOR”). The effect of a 10 basis point change in the current one-month EURIBOR on our variable interest expense would be approximately $0.5 million annually. Please see “Liquidity and Capital Resources” in the Management’s Discussion and Analysis section included in Part I, Item 2 of this report for further discussion of our credit facilities.</w:t>
      </w: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Tommy Hilfiger and Calvin Klein businesses each have substantial international components that expose us to significant foreign exchange risk. Over 70% of our $9.0 billion of revenue in 2025 was generated outside of the United States. Changes in exchange rates between the United States dollar and other currencies can impact our financial results in two ways: a translational impact and a transactional impact.</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translational impact refers to the impact that changes in exchange rates can have on our results of operations and financial position. The functional currencies of our foreign subsidiaries are generally the applicable local currencies. Our consolidated financial statements are presented in United States dollars. The results of operations of our foreign subsidiaries are translated into United States dollars using an average exchange rate over the representative period and the assets and liabilities of our foreign subsidiaries are translated into United States dollars using the closing exchange rate at the balance sheet date. Foreign exchange differences that arise from the translation of our foreign subsidiaries’ assets and liabilities into United States dollars are recorded as foreign currency translation adjustments in other comprehensive income (loss). Accordingly, our results of operations and other comprehensive income (loss) will be unfavorably impacted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w:t>
      </w:r>
    </w:p>
    <w:p>
      <w:pPr>
        <w:spacing w:after="0" w:line="2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currently expect our 2026 revenue and net income to increase by approximately $125 million and $20 million, respectively, as compared to 2025 due to the impact of foreign currency translation.</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thirteen weeks ended May 3, 2026, we recognized unfavorable foreign currency translation adjustments of $13 million within other comprehensive income (loss) principally driven by a strengthening of the United States dollar since February 1, 2026 against the euro of 1%, partially offset by a weakening of the United States dollar against certain currencies in the Asia-Pacific region (primarily the weakening of the United States dollar against the Australian dollar of 3% and the Chinese yuan of 2% since February 1, 2026). Our foreign currency translation adjustments recorded in other comprehensive income (loss) are significantly impacted by the substantial amount of goodwill and other intangible assets denominated in the euro, which represented 46% of our $5.1 billion total goodwill and other intangible assets as of May 3, 2026. This translational impact of the euro was partially mitigated by the change in the fair value of our net investment hedges discussed below.</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also is a transactional impact of foreign exchange because we have foreign subsidiaries that purchase inventory in a currency other than their functional currency. We also have exposure to changes in foreign currency rates related to certain intercompany transactions and SG&amp;A expenses. We currently use and plan to continue to use foreign currency forward contracts or other derivative instruments to mitigate the cash flow or market value risks associated with these inventory and intercompany transactions, but we are unable to entirely eliminate these risks. We enter into foreign currency forward contracts pertaining to these inventory transactions up to 15 months in advance of payment for a portion of the projected purchases and may enter into incremental contracts leading up to the time the payments occur.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transactional impact of foreign currency on our 2026 gross margin as compared to 2025 is expected to be favorable by approximately 50 basis points.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Given our foreign currency forward contracts outstanding at May 3, 2026, the effect of a 10% change in foreign currency exchange rates against the United States dollar would result in a change in the fair value of these contracts of approximately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$110 million. Any change in the fair value of these contracts would be substantially offset by a change in the fair value of the underlying hedged items.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mitigate a portion of our exposure to changes in foreign currency exchange rates related to the value of our investments in foreign subsidiaries denominated in the euro, we use both non-derivative instruments (the par value of certain of our foreign-denominated debt) and derivative instruments (cross-currency swap contracts), which we designate as net investment hedges. We designated the par value of our €1.125 billion aggregate principal amount of senior notes issued by PVH Corp., a U.S.-based entity, as net investment hedges of our investments in certain of our foreign subsidiaries that use the euro as their functional currency. In addition, we entered into multiple receive fixed-rate United States dollar-denominated interest and pay fixed-rate euro-denominated interest cross-currency swap contracts in 2023, with a maturity date of July 2025. In July 2025, we completed a transaction to effectively blend and extend those cross-currency swaps with new receive fixed-rate United States dollar-denominated interest and pay fixed-rate euro-denominated interest cross-currency swap contracts maturing in July 2027 and July 2028. We also designated these cross-currency swap contracts as net investment hedges of our investments in certain of our foreign subsidiaries that use the euro as their functional currency. Please see Note 9, “Derivative Financial Instruments,” in the Notes to Consolidated Financial Statements included in Part I, Item 1 of this report for further discussion.</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effect of a 10% change in the euro against the United States dollar would result in a change in the fair value of the net investment hedges of approximately $185 million. Any change in the fair value of the net investment hedges would be more than offset by a change in the value of our investments in certain of our European subsidiaries. Additionally, during times of a strengthening United States dollar against the euro, we would be required to use a lower amount of our cash flows from operations to pay interest and make long-term debt repayments on our euro-denominated senior notes and to settle our cross-currency swap contracts, whereas during times of a weakening United States dollar against the euro, we would be required to use a greater amount of our cash flows from operations to pay interest and make long-term debt repayments on these notes and to settle our cross-currency swap contracts.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Included in the calculations of expense and liabilities for our pension plans are various assumptions, including return on assets, discount rates and mortality rates. Actual results could differ from these assumptions, which would require adjustments to our balance sheet and could result in volatility in our future pension expense. Holding all other assumptions constant, a 1% change in the assumed rate of return on assets would result in a change to 2026 net benefit cost related to the pension plans of approximately $4 million. Likewise, a 0.25% change in the assumed discount rate would result in a change to 2026 net benefit cost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Interim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Based upon that evaluation, our Chief Executive Officer and Interim Chief Financial Officer concluded that our disclosure controls and procedures were effective as of the end of the period covered by this report.</w:t>
      </w: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period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 LEGAL PROCEEDINGS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by China’s Ministry of Commerce</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2024, MOFCOM announced that it had initiated an investigation into our business under the UEL Provisions upon the suspicion that we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we submitted a written response to MOFCOM and, in December 2024, we submitted a supplemental response. </w:t>
      </w:r>
      <w:r>
        <w:rPr>
          <w:rFonts w:ascii="Times New Roman" w:cs="Times New Roman" w:eastAsia="Times New Roman" w:hAnsi="Times New Roman"/>
          <w:sz w:val="18"/>
          <w:szCs w:val="18"/>
          <w:color w:val="212121"/>
        </w:rPr>
        <w:t>In January 2025, MOFCOM issued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w:t>
      </w:r>
      <w:r>
        <w:rPr>
          <w:rFonts w:ascii="Times New Roman" w:cs="Times New Roman" w:eastAsia="Times New Roman" w:hAnsi="Times New Roman"/>
          <w:sz w:val="18"/>
          <w:szCs w:val="18"/>
          <w:color w:val="000000"/>
        </w:rPr>
        <w:t>According to the UEL Provisions, potential measures could include 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 Please see our risk factor “</w:t>
      </w:r>
      <w:r>
        <w:rPr>
          <w:rFonts w:ascii="Times New Roman" w:cs="Times New Roman" w:eastAsia="Times New Roman" w:hAnsi="Times New Roman"/>
          <w:sz w:val="18"/>
          <w:szCs w:val="18"/>
          <w:i w:val="1"/>
          <w:iCs w:val="1"/>
          <w:color w:val="000000"/>
        </w:rPr>
        <w:t>China’s Ministry of Commerce (“MOFCOM”) conducted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investigation into our business which resulted in PVH Corp. being placed on the List of Unreliable Entities (“UEL”) and could result in fines or restrictions on our ability to do business in China, which could have a material adverse effect on our revenue and results of operations” </w:t>
      </w:r>
      <w:r>
        <w:rPr>
          <w:rFonts w:ascii="Times New Roman" w:cs="Times New Roman" w:eastAsia="Times New Roman" w:hAnsi="Times New Roman"/>
          <w:sz w:val="18"/>
          <w:szCs w:val="18"/>
          <w:color w:val="000000"/>
        </w:rPr>
        <w:t>in Item 1A. Risk</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Factors in our Annual Report on Form 10-K for the fiscal year ended February 1, 2026 for additional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a party to certain litigations which, in management’s judgment based, in part, on the opinions of legal counsel, will not have a material adverse effect on our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 RISK FACTORS</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Please refer to Item 1A. Risk Factors in our Annual Report on Form 10-K for the fiscal year ended February 1, 2026 for a description of certain significant risks and uncertainties to which our business, financial condition and results of operations are subject. There have been no material changes to these risk factors as of May 3, 2026.</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2 - UNREGISTERED SALES OF EQUITY SECURITIES AND USE OF PROCEEDS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320" w:type="dxa"/>
            <w:vAlign w:val="bottom"/>
          </w:tcPr>
          <w:p>
            <w:pPr>
              <w:spacing w:after="0"/>
              <w:rPr>
                <w:sz w:val="24"/>
                <w:szCs w:val="24"/>
                <w:color w:val="auto"/>
              </w:rPr>
            </w:pPr>
          </w:p>
        </w:tc>
        <w:tc>
          <w:tcPr>
            <w:tcW w:w="564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(c) Total Number of</w:t>
            </w:r>
          </w:p>
        </w:tc>
        <w:tc>
          <w:tcPr>
            <w:tcW w:w="120" w:type="dxa"/>
            <w:vAlign w:val="bottom"/>
          </w:tcPr>
          <w:p>
            <w:pPr>
              <w:spacing w:after="0"/>
              <w:rPr>
                <w:sz w:val="17"/>
                <w:szCs w:val="17"/>
                <w:color w:val="auto"/>
              </w:rPr>
            </w:pPr>
          </w:p>
        </w:tc>
        <w:tc>
          <w:tcPr>
            <w:tcW w:w="21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(d) Maximum Number (or</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20" w:type="dxa"/>
            <w:vAlign w:val="bottom"/>
          </w:tcPr>
          <w:p>
            <w:pPr>
              <w:spacing w:after="0"/>
              <w:rPr>
                <w:sz w:val="16"/>
                <w:szCs w:val="16"/>
                <w:color w:val="auto"/>
              </w:rPr>
            </w:pPr>
          </w:p>
        </w:tc>
        <w:tc>
          <w:tcPr>
            <w:tcW w:w="1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(b) Average Price Paid</w:t>
            </w:r>
          </w:p>
        </w:tc>
        <w:tc>
          <w:tcPr>
            <w:tcW w:w="19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(or Units)</w:t>
            </w:r>
          </w:p>
        </w:tc>
        <w:tc>
          <w:tcPr>
            <w:tcW w:w="22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Approximate Dollar Value) of</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196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20" w:type="dxa"/>
            <w:vAlign w:val="bottom"/>
          </w:tcPr>
          <w:p>
            <w:pPr>
              <w:spacing w:after="0"/>
              <w:rPr>
                <w:sz w:val="10"/>
                <w:szCs w:val="10"/>
                <w:color w:val="auto"/>
              </w:rPr>
            </w:pPr>
          </w:p>
        </w:tc>
        <w:tc>
          <w:tcPr>
            <w:tcW w:w="2100" w:type="dxa"/>
            <w:vAlign w:val="bottom"/>
            <w:vMerge w:val="restart"/>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Shares (or Units) that May</w:t>
            </w:r>
          </w:p>
        </w:tc>
        <w:tc>
          <w:tcPr>
            <w:tcW w:w="0" w:type="dxa"/>
            <w:vAlign w:val="bottom"/>
          </w:tcPr>
          <w:p>
            <w:pPr>
              <w:spacing w:after="0"/>
              <w:rPr>
                <w:sz w:val="1"/>
                <w:szCs w:val="1"/>
                <w:color w:val="auto"/>
              </w:rPr>
            </w:pPr>
          </w:p>
        </w:tc>
      </w:tr>
      <w:tr>
        <w:trPr>
          <w:trHeight w:val="59"/>
        </w:trPr>
        <w:tc>
          <w:tcPr>
            <w:tcW w:w="3320" w:type="dxa"/>
            <w:vAlign w:val="bottom"/>
          </w:tcPr>
          <w:p>
            <w:pPr>
              <w:spacing w:after="0"/>
              <w:rPr>
                <w:sz w:val="5"/>
                <w:szCs w:val="5"/>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 (or Units)</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9"/>
              </w:rPr>
              <w:t>per Share</w:t>
            </w: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Publicly Announced</w:t>
            </w:r>
          </w:p>
        </w:tc>
        <w:tc>
          <w:tcPr>
            <w:tcW w:w="22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Yet Be Purchased Under the</w:t>
            </w:r>
          </w:p>
        </w:tc>
        <w:tc>
          <w:tcPr>
            <w:tcW w:w="0" w:type="dxa"/>
            <w:vAlign w:val="bottom"/>
          </w:tcPr>
          <w:p>
            <w:pPr>
              <w:spacing w:after="0"/>
              <w:rPr>
                <w:sz w:val="1"/>
                <w:szCs w:val="1"/>
                <w:color w:val="auto"/>
              </w:rPr>
            </w:pPr>
          </w:p>
        </w:tc>
      </w:tr>
      <w:tr>
        <w:trPr>
          <w:trHeight w:val="243"/>
        </w:trPr>
        <w:tc>
          <w:tcPr>
            <w:tcW w:w="3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5"/>
              </w:rPr>
              <w:t>Purchased</w:t>
            </w:r>
            <w:r>
              <w:rPr>
                <w:rFonts w:ascii="Times New Roman" w:cs="Times New Roman" w:eastAsia="Times New Roman" w:hAnsi="Times New Roman"/>
                <w:sz w:val="23"/>
                <w:szCs w:val="23"/>
                <w:color w:val="auto"/>
                <w:w w:val="95"/>
                <w:vertAlign w:val="superscript"/>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18"/>
                <w:szCs w:val="18"/>
                <w:color w:val="auto"/>
              </w:rPr>
              <w:t>(or Unit)</w:t>
            </w:r>
            <w:r>
              <w:rPr>
                <w:rFonts w:ascii="Times New Roman" w:cs="Times New Roman" w:eastAsia="Times New Roman" w:hAnsi="Times New Roman"/>
                <w:sz w:val="23"/>
                <w:szCs w:val="23"/>
                <w:color w:val="auto"/>
                <w:vertAlign w:val="superscript"/>
              </w:rPr>
              <w:t>(1)</w:t>
            </w:r>
          </w:p>
        </w:tc>
        <w:tc>
          <w:tcPr>
            <w:tcW w:w="19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7"/>
              </w:rPr>
              <w:t>Plans or Programs</w:t>
            </w:r>
            <w:r>
              <w:rPr>
                <w:rFonts w:ascii="Times New Roman" w:cs="Times New Roman" w:eastAsia="Times New Roman" w:hAnsi="Times New Roman"/>
                <w:sz w:val="23"/>
                <w:szCs w:val="23"/>
                <w:color w:val="auto"/>
                <w:w w:val="97"/>
                <w:vertAlign w:val="superscript"/>
              </w:rPr>
              <w:t>(2)</w:t>
            </w:r>
          </w:p>
        </w:tc>
        <w:tc>
          <w:tcPr>
            <w:tcW w:w="120" w:type="dxa"/>
            <w:vAlign w:val="bottom"/>
          </w:tcPr>
          <w:p>
            <w:pPr>
              <w:spacing w:after="0"/>
              <w:rPr>
                <w:sz w:val="21"/>
                <w:szCs w:val="21"/>
                <w:color w:val="auto"/>
              </w:rPr>
            </w:pPr>
          </w:p>
        </w:tc>
        <w:tc>
          <w:tcPr>
            <w:tcW w:w="2100" w:type="dxa"/>
            <w:vAlign w:val="bottom"/>
          </w:tcPr>
          <w:p>
            <w:pPr>
              <w:jc w:val="center"/>
              <w:ind w:right="30"/>
              <w:spacing w:after="0" w:line="243" w:lineRule="exact"/>
              <w:rPr>
                <w:sz w:val="20"/>
                <w:szCs w:val="20"/>
                <w:color w:val="auto"/>
              </w:rPr>
            </w:pPr>
            <w:r>
              <w:rPr>
                <w:rFonts w:ascii="Times New Roman" w:cs="Times New Roman" w:eastAsia="Times New Roman" w:hAnsi="Times New Roman"/>
                <w:sz w:val="18"/>
                <w:szCs w:val="18"/>
                <w:color w:val="auto"/>
                <w:w w:val="97"/>
              </w:rPr>
              <w:t>Plans or Programs</w:t>
            </w:r>
            <w:r>
              <w:rPr>
                <w:rFonts w:ascii="Times New Roman" w:cs="Times New Roman" w:eastAsia="Times New Roman" w:hAnsi="Times New Roman"/>
                <w:sz w:val="23"/>
                <w:szCs w:val="23"/>
                <w:color w:val="auto"/>
                <w:w w:val="97"/>
                <w:vertAlign w:val="superscript"/>
              </w:rPr>
              <w:t>(2)</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2026 - March 1, 2026</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1,211,808,469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2026 - April 5,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1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1,211,808,469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6, 2026 - May 3, 2026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1,211,808,469</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1,211,808,469</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firstLine="8"/>
        <w:spacing w:after="0" w:line="280" w:lineRule="auto"/>
        <w:tabs>
          <w:tab w:leader="none" w:pos="165"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Our Stock Incentive Plan provides us with the right to deduct or withhold, or require employees to remit to us, an amount sufficient to satisfy any applicable tax withholding requirements applicable to stock-based compensation awards. To the extent permitted, employees may elect to satisfy all or part of such withholding requirements by tendering previously owned shares or by having us withhold shares having a fair market value equal to the minimum statutory tax withholding rate that could be imposed on the transaction. Included in this table are shares withheld during the first quarter of 2026 in connection with the settlement of restricted stock units and performance share units to satisfy tax withholding requirements.</w:t>
      </w:r>
    </w:p>
    <w:p>
      <w:pPr>
        <w:spacing w:after="0" w:line="196" w:lineRule="exact"/>
        <w:rPr>
          <w:rFonts w:ascii="Times New Roman" w:cs="Times New Roman" w:eastAsia="Times New Roman" w:hAnsi="Times New Roman"/>
          <w:sz w:val="20"/>
          <w:szCs w:val="20"/>
          <w:color w:val="auto"/>
          <w:vertAlign w:val="superscript"/>
        </w:rPr>
      </w:pPr>
    </w:p>
    <w:p>
      <w:pPr>
        <w:ind w:right="120" w:firstLine="8"/>
        <w:spacing w:after="0" w:line="280" w:lineRule="auto"/>
        <w:tabs>
          <w:tab w:leader="none" w:pos="165"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Excise taxes do not reduce the authorized amount remaining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TRADING PLANS OF DIRECTORS AND OFFICERS</w:t>
      </w:r>
    </w:p>
    <w:p>
      <w:pPr>
        <w:spacing w:after="0" w:line="25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During the quarterly period ended May 3, 2026, no director or officer (as defined in Rule 16a-1(f) under the Exchange Act)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891"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exhibits are included herein:</w:t>
      </w:r>
    </w:p>
    <w:p>
      <w:pPr>
        <w:spacing w:after="0" w:line="279" w:lineRule="exact"/>
        <w:rPr>
          <w:sz w:val="20"/>
          <w:szCs w:val="20"/>
          <w:color w:val="auto"/>
        </w:rPr>
      </w:pPr>
    </w:p>
    <w:p>
      <w:pPr>
        <w:ind w:left="1680" w:right="100" w:hanging="462"/>
        <w:spacing w:after="0" w:line="21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1">
        <w:r>
          <w:rPr>
            <w:rFonts w:ascii="Times New Roman" w:cs="Times New Roman" w:eastAsia="Times New Roman" w:hAnsi="Times New Roman"/>
            <w:sz w:val="18"/>
            <w:szCs w:val="18"/>
            <w:u w:val="single" w:color="auto"/>
            <w:color w:val="0000FF"/>
          </w:rPr>
          <w:t>Amended and Restated Certificate of Incorporation of PVH Corp. (incorporated by reference to Exhibit 3.1 to our Current Report</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on Form 8-K, filed June 21,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Certificate of Amendment to the Amended and Restated Certificate of Incorporation of PVH</w:t>
        </w:r>
      </w:hyperlink>
      <w:r>
        <w:rPr>
          <w:rFonts w:ascii="Times New Roman" w:cs="Times New Roman" w:eastAsia="Times New Roman" w:hAnsi="Times New Roman"/>
          <w:sz w:val="18"/>
          <w:szCs w:val="18"/>
          <w:color w:val="0000FF"/>
        </w:rPr>
        <w:t xml:space="preserve"> </w:t>
      </w:r>
      <w:hyperlink r:id="rId62">
        <w:r>
          <w:rPr>
            <w:rFonts w:ascii="Times New Roman" w:cs="Times New Roman" w:eastAsia="Times New Roman" w:hAnsi="Times New Roman"/>
            <w:sz w:val="18"/>
            <w:szCs w:val="18"/>
            <w:u w:val="single" w:color="auto"/>
            <w:color w:val="0000FF"/>
          </w:rPr>
          <w:t>Corp., filed on June 22, 2023 (incorporated by reference to Exhibit 3.2 to our Quarterly Report on Form 10-Q for the period ended</w:t>
        </w:r>
      </w:hyperlink>
    </w:p>
    <w:p>
      <w:pPr>
        <w:spacing w:after="0" w:line="1" w:lineRule="exact"/>
        <w:rPr>
          <w:rFonts w:ascii="Times New Roman" w:cs="Times New Roman" w:eastAsia="Times New Roman" w:hAnsi="Times New Roman"/>
          <w:sz w:val="18"/>
          <w:szCs w:val="18"/>
          <w:u w:val="single" w:color="auto"/>
          <w:color w:val="0000FF"/>
        </w:rPr>
      </w:pPr>
    </w:p>
    <w:p>
      <w:pPr>
        <w:ind w:left="168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July 30, 2023).</w:t>
        </w:r>
      </w:hyperlink>
    </w:p>
    <w:p>
      <w:pPr>
        <w:spacing w:after="0" w:line="259" w:lineRule="exact"/>
        <w:rPr>
          <w:rFonts w:ascii="Times New Roman" w:cs="Times New Roman" w:eastAsia="Times New Roman" w:hAnsi="Times New Roman"/>
          <w:sz w:val="18"/>
          <w:szCs w:val="18"/>
          <w:u w:val="single" w:color="auto"/>
          <w:color w:val="0000FF"/>
        </w:rPr>
      </w:pPr>
    </w:p>
    <w:p>
      <w:pPr>
        <w:ind w:left="1680" w:right="240" w:hanging="462"/>
        <w:spacing w:after="0" w:line="237"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3">
        <w:r>
          <w:rPr>
            <w:rFonts w:ascii="Times New Roman" w:cs="Times New Roman" w:eastAsia="Times New Roman" w:hAnsi="Times New Roman"/>
            <w:sz w:val="18"/>
            <w:szCs w:val="18"/>
            <w:u w:val="single" w:color="auto"/>
            <w:color w:val="0000FF"/>
          </w:rPr>
          <w:t>By-Laws of PVH Corp., as amended through March 20, 2026 (incorporated by reference to Exhibit 3.1 to our Current Report on</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Form 8-K, filed on March 20, 2026).</w:t>
        </w:r>
      </w:hyperlink>
    </w:p>
    <w:p>
      <w:pPr>
        <w:spacing w:after="0" w:line="266" w:lineRule="exact"/>
        <w:rPr>
          <w:sz w:val="20"/>
          <w:szCs w:val="20"/>
          <w:color w:val="auto"/>
        </w:rPr>
      </w:pPr>
    </w:p>
    <w:p>
      <w:pPr>
        <w:ind w:left="1680" w:right="340" w:hanging="462"/>
        <w:spacing w:after="0" w:line="237"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64">
        <w:r>
          <w:rPr>
            <w:rFonts w:ascii="Times New Roman" w:cs="Times New Roman" w:eastAsia="Times New Roman" w:hAnsi="Times New Roman"/>
            <w:sz w:val="18"/>
            <w:szCs w:val="18"/>
            <w:u w:val="single" w:color="auto"/>
            <w:color w:val="0000FF"/>
          </w:rPr>
          <w:t>Specimen of Common Stock certificate (incorporated by reference to Exhibit 4.1 to our Quarterly Report on Form 10-Q for the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period ended July 31, 2011).</w:t>
        </w:r>
      </w:hyperlink>
    </w:p>
    <w:p>
      <w:pPr>
        <w:spacing w:after="0" w:line="266" w:lineRule="exact"/>
        <w:rPr>
          <w:sz w:val="20"/>
          <w:szCs w:val="20"/>
          <w:color w:val="auto"/>
        </w:rPr>
      </w:pPr>
    </w:p>
    <w:p>
      <w:pPr>
        <w:ind w:left="1680" w:right="160" w:hanging="462"/>
        <w:spacing w:after="0" w:line="22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65">
        <w:r>
          <w:rPr>
            <w:rFonts w:ascii="Times New Roman" w:cs="Times New Roman" w:eastAsia="Times New Roman" w:hAnsi="Times New Roman"/>
            <w:sz w:val="18"/>
            <w:szCs w:val="18"/>
            <w:u w:val="single" w:color="auto"/>
            <w:color w:val="0000FF"/>
          </w:rPr>
          <w:t>Indenture, dated as of June 20, 2016, between PVH Corp., U.S. Bank National Association, as Trustee, Elavon Financial Services</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Limited, UK Branch, as Paying Agent and Authenticating Agent, and Elavon Financial Services Limited, as Transfer Agent and</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Registrar (incorporated by reference to Exhibit 4.1 to our Current Report on Form 8-K, filed on June 20, 2016).</w:t>
        </w:r>
      </w:hyperlink>
    </w:p>
    <w:p>
      <w:pPr>
        <w:spacing w:after="0" w:line="266" w:lineRule="exact"/>
        <w:rPr>
          <w:rFonts w:ascii="Times New Roman" w:cs="Times New Roman" w:eastAsia="Times New Roman" w:hAnsi="Times New Roman"/>
          <w:sz w:val="18"/>
          <w:szCs w:val="18"/>
          <w:u w:val="single" w:color="auto"/>
          <w:color w:val="0000FF"/>
        </w:rPr>
      </w:pPr>
    </w:p>
    <w:p>
      <w:pPr>
        <w:ind w:left="1680" w:hanging="462"/>
        <w:spacing w:after="0" w:line="22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66">
        <w:r>
          <w:rPr>
            <w:rFonts w:ascii="Times New Roman" w:cs="Times New Roman" w:eastAsia="Times New Roman" w:hAnsi="Times New Roman"/>
            <w:sz w:val="18"/>
            <w:szCs w:val="18"/>
            <w:u w:val="single" w:color="auto"/>
            <w:color w:val="0000FF"/>
          </w:rPr>
          <w:t>Indenture, dated as of December 21, 2017, between PVH Corp., U.S. Bank National Association, as Trustee, Elavon Financial</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Services DAC, UK Branch, as Paying Agent and Authenticating Agent, and Elavon Financial Services DAC, as Transfer Agent and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Registrar (incorporated by reference to Exhibit 4.1 to our Current Report on Form 8-K, filed on December 21, 2017).</w:t>
        </w:r>
      </w:hyperlink>
    </w:p>
    <w:p>
      <w:pPr>
        <w:spacing w:after="0" w:line="266" w:lineRule="exact"/>
        <w:rPr>
          <w:rFonts w:ascii="Times New Roman" w:cs="Times New Roman" w:eastAsia="Times New Roman" w:hAnsi="Times New Roman"/>
          <w:sz w:val="18"/>
          <w:szCs w:val="18"/>
          <w:u w:val="single" w:color="auto"/>
          <w:color w:val="0000FF"/>
        </w:rPr>
      </w:pPr>
    </w:p>
    <w:p>
      <w:pPr>
        <w:ind w:left="1680" w:right="380" w:hanging="462"/>
        <w:spacing w:after="0" w:line="229" w:lineRule="auto"/>
        <w:tabs>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67">
        <w:r>
          <w:rPr>
            <w:rFonts w:ascii="Times New Roman" w:cs="Times New Roman" w:eastAsia="Times New Roman" w:hAnsi="Times New Roman"/>
            <w:sz w:val="17"/>
            <w:szCs w:val="17"/>
            <w:u w:val="single" w:color="auto"/>
            <w:color w:val="0000FF"/>
          </w:rPr>
          <w:t>Indenture, dated as of July 10, 2020, between PVH Corp. and U.S. Bank National Association, as Trustee (incorporated by</w:t>
        </w:r>
      </w:hyperlink>
      <w:r>
        <w:rPr>
          <w:rFonts w:ascii="Times New Roman" w:cs="Times New Roman" w:eastAsia="Times New Roman" w:hAnsi="Times New Roman"/>
          <w:sz w:val="17"/>
          <w:szCs w:val="17"/>
          <w:u w:val="single" w:color="auto"/>
          <w:color w:val="0000FF"/>
        </w:rPr>
        <w:t xml:space="preserve"> </w:t>
      </w:r>
      <w:hyperlink r:id="rId67">
        <w:r>
          <w:rPr>
            <w:rFonts w:ascii="Times New Roman" w:cs="Times New Roman" w:eastAsia="Times New Roman" w:hAnsi="Times New Roman"/>
            <w:sz w:val="17"/>
            <w:szCs w:val="17"/>
            <w:u w:val="single" w:color="auto"/>
            <w:color w:val="0000FF"/>
          </w:rPr>
          <w:t>reference to Exhibit 4.1 to our Current Report on Form 8-K, filed on July 10, 2020) and Form of 4 5/8% Senior Note due 2025</w:t>
        </w:r>
      </w:hyperlink>
      <w:r>
        <w:rPr>
          <w:rFonts w:ascii="Times New Roman" w:cs="Times New Roman" w:eastAsia="Times New Roman" w:hAnsi="Times New Roman"/>
          <w:sz w:val="17"/>
          <w:szCs w:val="17"/>
          <w:u w:val="single" w:color="auto"/>
          <w:color w:val="0000FF"/>
        </w:rPr>
        <w:t xml:space="preserve"> </w:t>
      </w:r>
      <w:hyperlink r:id="rId67">
        <w:r>
          <w:rPr>
            <w:rFonts w:ascii="Times New Roman" w:cs="Times New Roman" w:eastAsia="Times New Roman" w:hAnsi="Times New Roman"/>
            <w:sz w:val="17"/>
            <w:szCs w:val="17"/>
            <w:u w:val="single" w:color="auto"/>
            <w:color w:val="0000FF"/>
          </w:rPr>
          <w:t>(incorporated by reference to Exhibit 4.2 and Appendix A to Exhibit 4.1 to our Current Report on Form 8-K, filed on July 10,</w:t>
        </w:r>
      </w:hyperlink>
    </w:p>
    <w:p>
      <w:pPr>
        <w:ind w:left="168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2020).</w:t>
        </w:r>
      </w:hyperlink>
    </w:p>
    <w:p>
      <w:pPr>
        <w:spacing w:after="0" w:line="273" w:lineRule="exact"/>
        <w:rPr>
          <w:rFonts w:ascii="Times New Roman" w:cs="Times New Roman" w:eastAsia="Times New Roman" w:hAnsi="Times New Roman"/>
          <w:sz w:val="17"/>
          <w:szCs w:val="17"/>
          <w:u w:val="single" w:color="auto"/>
          <w:color w:val="0000FF"/>
        </w:rPr>
      </w:pPr>
    </w:p>
    <w:p>
      <w:pPr>
        <w:ind w:left="1680" w:right="620" w:hanging="462"/>
        <w:spacing w:after="0" w:line="237" w:lineRule="auto"/>
        <w:tabs>
          <w:tab w:leader="none" w:pos="16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4.5</w:t>
      </w:r>
      <w:r>
        <w:rPr>
          <w:sz w:val="20"/>
          <w:szCs w:val="20"/>
          <w:color w:val="auto"/>
        </w:rPr>
        <w:tab/>
      </w:r>
      <w:hyperlink r:id="rId68">
        <w:r>
          <w:rPr>
            <w:rFonts w:ascii="Times New Roman" w:cs="Times New Roman" w:eastAsia="Times New Roman" w:hAnsi="Times New Roman"/>
            <w:sz w:val="18"/>
            <w:szCs w:val="18"/>
            <w:u w:val="single" w:color="auto"/>
            <w:color w:val="0000FF"/>
          </w:rPr>
          <w:t>Indenture, dated as of April 15, 2024, between PVH Corp. and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(incorporated by reference to Exhibit 4.1 to our Current Report on Form 8-K, filed on April 15, 2024)</w:t>
        </w:r>
        <w:r>
          <w:rPr>
            <w:rFonts w:ascii="Times New Roman" w:cs="Times New Roman" w:eastAsia="Times New Roman" w:hAnsi="Times New Roman"/>
            <w:sz w:val="18"/>
            <w:szCs w:val="18"/>
            <w:color w:val="000000"/>
          </w:rPr>
          <w:t>.</w:t>
        </w:r>
      </w:hyperlink>
    </w:p>
    <w:p>
      <w:pPr>
        <w:spacing w:after="0" w:line="280" w:lineRule="exact"/>
        <w:rPr>
          <w:sz w:val="20"/>
          <w:szCs w:val="20"/>
          <w:color w:val="auto"/>
        </w:rPr>
      </w:pPr>
    </w:p>
    <w:p>
      <w:pPr>
        <w:ind w:left="1680" w:right="40" w:hanging="462"/>
        <w:spacing w:after="0" w:line="21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69">
        <w:r>
          <w:rPr>
            <w:rFonts w:ascii="Times New Roman" w:cs="Times New Roman" w:eastAsia="Times New Roman" w:hAnsi="Times New Roman"/>
            <w:sz w:val="18"/>
            <w:szCs w:val="18"/>
            <w:u w:val="single" w:color="auto"/>
            <w:color w:val="0000FF"/>
          </w:rPr>
          <w:t>Supplemental Indenture No. 1, dated as of April 15, 2024, between PVH Corp. and U.S. Bank Trust Company, National</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Association, as Trustee (incorporated by reference to Exhibit 4.2 to our Current Report on Form 8-K, filed on April 15, 2024) and</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Form of 4.125% Senior Notes due 2029 (incorporated by reference to Exhibit 4.3 and Annex 1 to Exhibit 4.2 to our Current Report</w:t>
        </w:r>
      </w:hyperlink>
    </w:p>
    <w:p>
      <w:pPr>
        <w:spacing w:after="0" w:line="1" w:lineRule="exact"/>
        <w:rPr>
          <w:rFonts w:ascii="Times New Roman" w:cs="Times New Roman" w:eastAsia="Times New Roman" w:hAnsi="Times New Roman"/>
          <w:sz w:val="18"/>
          <w:szCs w:val="18"/>
          <w:u w:val="single" w:color="auto"/>
          <w:color w:val="0000FF"/>
        </w:rPr>
      </w:pPr>
    </w:p>
    <w:p>
      <w:pPr>
        <w:ind w:left="1680"/>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on Form 8-K, filed on April 15, 2024).</w:t>
        </w:r>
      </w:hyperlink>
    </w:p>
    <w:p>
      <w:pPr>
        <w:spacing w:after="0" w:line="273" w:lineRule="exact"/>
        <w:rPr>
          <w:rFonts w:ascii="Times New Roman" w:cs="Times New Roman" w:eastAsia="Times New Roman" w:hAnsi="Times New Roman"/>
          <w:sz w:val="18"/>
          <w:szCs w:val="18"/>
          <w:u w:val="single" w:color="auto"/>
          <w:color w:val="0000FF"/>
        </w:rPr>
      </w:pPr>
    </w:p>
    <w:p>
      <w:pPr>
        <w:ind w:left="1680" w:right="40" w:hanging="462"/>
        <w:spacing w:after="0" w:line="21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70">
        <w:r>
          <w:rPr>
            <w:rFonts w:ascii="Times New Roman" w:cs="Times New Roman" w:eastAsia="Times New Roman" w:hAnsi="Times New Roman"/>
            <w:sz w:val="18"/>
            <w:szCs w:val="18"/>
            <w:u w:val="single" w:color="auto"/>
            <w:color w:val="0000FF"/>
          </w:rPr>
          <w:t>Supplemental Indenture No. 2, dated as of June 13, 2025, between PVH Corp. and U.S. Bank Trust Company, National</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Association, as Trustee (incorporated by reference to Exhibit 4.2 to our Current Report on Form 8-K, filed on June 13, 2025) and</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Form of 5.500% Senior Notes due 2030 (incorporated by reference to Exhibit 4.3 and Annex 1 to Exhibit 4.2 to our Current Report</w:t>
        </w:r>
      </w:hyperlink>
    </w:p>
    <w:p>
      <w:pPr>
        <w:spacing w:after="0" w:line="1" w:lineRule="exact"/>
        <w:rPr>
          <w:rFonts w:ascii="Times New Roman" w:cs="Times New Roman" w:eastAsia="Times New Roman" w:hAnsi="Times New Roman"/>
          <w:sz w:val="18"/>
          <w:szCs w:val="18"/>
          <w:u w:val="single" w:color="auto"/>
          <w:color w:val="0000FF"/>
        </w:rPr>
      </w:pPr>
    </w:p>
    <w:p>
      <w:pPr>
        <w:ind w:left="168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on Form 8-K, filed on June 13, 2025).</w:t>
        </w:r>
      </w:hyperlink>
    </w:p>
    <w:p>
      <w:pPr>
        <w:spacing w:after="0" w:line="273" w:lineRule="exact"/>
        <w:rPr>
          <w:rFonts w:ascii="Times New Roman" w:cs="Times New Roman" w:eastAsia="Times New Roman" w:hAnsi="Times New Roman"/>
          <w:sz w:val="18"/>
          <w:szCs w:val="18"/>
          <w:u w:val="single" w:color="auto"/>
          <w:color w:val="0000FF"/>
        </w:rPr>
      </w:pPr>
    </w:p>
    <w:p>
      <w:pPr>
        <w:ind w:left="1040"/>
        <w:spacing w:after="0"/>
        <w:tabs>
          <w:tab w:leader="none" w:pos="1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Form of Restricted Stock Unit Agreement for Associates under the PVH Corp. Stock Incentive Plan.</w:t>
      </w:r>
    </w:p>
    <w:p>
      <w:pPr>
        <w:spacing w:after="0" w:line="293" w:lineRule="exact"/>
        <w:rPr>
          <w:rFonts w:ascii="Times New Roman" w:cs="Times New Roman" w:eastAsia="Times New Roman" w:hAnsi="Times New Roman"/>
          <w:sz w:val="18"/>
          <w:szCs w:val="18"/>
          <w:u w:val="single" w:color="auto"/>
          <w:color w:val="0000FF"/>
        </w:rPr>
      </w:pPr>
    </w:p>
    <w:p>
      <w:pPr>
        <w:jc w:val="center"/>
        <w:ind w:right="-99"/>
        <w:spacing w:after="0"/>
        <w:tabs>
          <w:tab w:leader="none" w:pos="2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Stefan Larsson, Chief Executive Officer, pursuant to Section 302 of the Sarbanes – Oxley Act of 2002.</w:t>
      </w:r>
    </w:p>
    <w:p>
      <w:pPr>
        <w:spacing w:after="0" w:line="279" w:lineRule="exact"/>
        <w:rPr>
          <w:rFonts w:ascii="Times New Roman" w:cs="Times New Roman" w:eastAsia="Times New Roman" w:hAnsi="Times New Roman"/>
          <w:sz w:val="18"/>
          <w:szCs w:val="18"/>
          <w:u w:val="single" w:color="auto"/>
          <w:color w:val="0000FF"/>
        </w:rPr>
      </w:pPr>
    </w:p>
    <w:p>
      <w:pPr>
        <w:ind w:left="1680" w:right="660" w:hanging="654"/>
        <w:spacing w:after="0" w:line="237" w:lineRule="auto"/>
        <w:tabs>
          <w:tab w:leader="none" w:pos="16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Melissa Stone, Interim Chief Financial Officer and Executive Vice President, Global Financial Planning &amp; Analysis, pursuant to Section 302 of the Sarbanes – Oxley Act of 2002.</w:t>
      </w:r>
    </w:p>
    <w:p>
      <w:pPr>
        <w:spacing w:after="0" w:line="255" w:lineRule="exact"/>
        <w:rPr>
          <w:rFonts w:ascii="Times New Roman" w:cs="Times New Roman" w:eastAsia="Times New Roman" w:hAnsi="Times New Roman"/>
          <w:sz w:val="18"/>
          <w:szCs w:val="18"/>
          <w:u w:val="single" w:color="auto"/>
          <w:color w:val="0000FF"/>
        </w:rPr>
      </w:pPr>
    </w:p>
    <w:p>
      <w:pPr>
        <w:ind w:left="900"/>
        <w:spacing w:after="0"/>
        <w:tabs>
          <w:tab w:leader="none" w:pos="16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Stefan Larsson, Chief Executive Officer, pursuant to Section 906 of the Sarbanes – Oxley Act of 2002, 18 U.S.C.</w:t>
      </w:r>
    </w:p>
    <w:p>
      <w:pPr>
        <w:ind w:left="1680"/>
        <w:spacing w:after="0"/>
        <w:rPr>
          <w:sz w:val="20"/>
          <w:szCs w:val="20"/>
          <w:color w:val="auto"/>
        </w:rPr>
      </w:pPr>
      <w:r>
        <w:rPr>
          <w:rFonts w:ascii="Times New Roman" w:cs="Times New Roman" w:eastAsia="Times New Roman" w:hAnsi="Times New Roman"/>
          <w:sz w:val="18"/>
          <w:szCs w:val="18"/>
          <w:u w:val="single" w:color="auto"/>
          <w:color w:val="0000FF"/>
        </w:rPr>
        <w:t>Section 1350.</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49" w:name="page50"/>
    <w:bookmarkEnd w:id="49"/>
    <w:tbl>
      <w:tblPr>
        <w:tblLayout w:type="fixed"/>
        <w:tblInd w:w="680" w:type="dxa"/>
        <w:tblCellMar>
          <w:top w:w="0" w:type="dxa"/>
          <w:left w:w="0" w:type="dxa"/>
          <w:bottom w:w="0" w:type="dxa"/>
          <w:right w:w="0" w:type="dxa"/>
        </w:tblCellMar>
      </w:tblPr>
      <w:tr>
        <w:trPr>
          <w:trHeight w:val="207"/>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*,+32.2</w:t>
            </w:r>
          </w:p>
        </w:tc>
        <w:tc>
          <w:tcPr>
            <w:tcW w:w="8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Melissa Stone, Interim Chief Financial Officer and Executive Vice President, Global Financial Planning &amp;</w:t>
            </w:r>
          </w:p>
        </w:tc>
        <w:tc>
          <w:tcPr>
            <w:tcW w:w="400" w:type="dxa"/>
            <w:vAlign w:val="bottom"/>
          </w:tcPr>
          <w:p>
            <w:pPr>
              <w:spacing w:after="0"/>
              <w:rPr>
                <w:sz w:val="17"/>
                <w:szCs w:val="17"/>
                <w:color w:val="auto"/>
              </w:rPr>
            </w:pPr>
          </w:p>
        </w:tc>
      </w:tr>
      <w:tr>
        <w:trPr>
          <w:trHeight w:val="156"/>
        </w:trPr>
        <w:tc>
          <w:tcPr>
            <w:tcW w:w="1000" w:type="dxa"/>
            <w:vAlign w:val="bottom"/>
          </w:tcPr>
          <w:p>
            <w:pPr>
              <w:spacing w:after="0"/>
              <w:rPr>
                <w:sz w:val="13"/>
                <w:szCs w:val="13"/>
                <w:color w:val="auto"/>
              </w:rPr>
            </w:pPr>
          </w:p>
        </w:tc>
        <w:tc>
          <w:tcPr>
            <w:tcW w:w="92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Analysis, pursuant to Section 906 of the Sarbanes – Oxley Act of 2002, 18 U.S.C. Section 1350.</w:t>
            </w:r>
          </w:p>
        </w:tc>
      </w:tr>
      <w:tr>
        <w:trPr>
          <w:trHeight w:val="20"/>
        </w:trPr>
        <w:tc>
          <w:tcPr>
            <w:tcW w:w="1000" w:type="dxa"/>
            <w:vAlign w:val="bottom"/>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426"/>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+101.INS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1000" w:type="dxa"/>
            <w:vAlign w:val="bottom"/>
          </w:tcPr>
          <w:p>
            <w:pPr>
              <w:spacing w:after="0"/>
              <w:rPr>
                <w:sz w:val="20"/>
                <w:szCs w:val="20"/>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1"/>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6"/>
              </w:rPr>
              <w:t>+101.SCH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+101.CAL</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+101.LAB</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120" w:right="3000" w:firstLine="1004"/>
        <w:spacing w:after="0" w:line="485" w:lineRule="auto"/>
        <w:tabs>
          <w:tab w:leader="none" w:pos="16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or furnished herewith.</w:t>
      </w:r>
    </w:p>
    <w:p>
      <w:pPr>
        <w:spacing w:after="0" w:line="108"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5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PVH CORP.</w:t>
            </w:r>
          </w:p>
        </w:tc>
      </w:tr>
      <w:tr>
        <w:trPr>
          <w:trHeight w:val="228"/>
        </w:trPr>
        <w:tc>
          <w:tcPr>
            <w:tcW w:w="44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8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40" w:type="dxa"/>
            <w:vAlign w:val="bottom"/>
          </w:tcPr>
          <w:p>
            <w:pPr>
              <w:spacing w:after="0"/>
              <w:rPr>
                <w:sz w:val="24"/>
                <w:szCs w:val="24"/>
                <w:color w:val="auto"/>
              </w:rPr>
            </w:pP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ERIK W. GRAF</w:t>
            </w:r>
          </w:p>
        </w:tc>
      </w:tr>
      <w:tr>
        <w:trPr>
          <w:trHeight w:val="218"/>
        </w:trPr>
        <w:tc>
          <w:tcPr>
            <w:tcW w:w="4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W. Graf</w:t>
            </w:r>
          </w:p>
        </w:tc>
      </w:tr>
      <w:tr>
        <w:trPr>
          <w:trHeight w:val="180"/>
        </w:trPr>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Corporate Controller (Principal Accounting</w:t>
            </w:r>
          </w:p>
        </w:tc>
      </w:tr>
      <w:tr>
        <w:trPr>
          <w:trHeight w:val="234"/>
        </w:trPr>
        <w:tc>
          <w:tcPr>
            <w:tcW w:w="4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891" w:right="3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PVH CORP.</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STOCK INCENTIVE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RESTRICTED STOCK UNIT AWARD AGREEMENT</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color w:val="auto"/>
        </w:rPr>
        <w:t>(Employee)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RESTRICTED STOCK UNIT AWARD</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PVH Corp. (“PVH” and, together with its affiliates and subsidiaries, the “Company”) grants to the Grantee named below, in accordance with the terms of the PVH Corp. Stock Incentive Plan, as amended (the “Plan”), and this restricted stock unit agreement (this “Agreement”), the number of restricted stock units (the “Restricted Stock Units” or the “Award”) provided as follows:</w:t>
      </w:r>
    </w:p>
    <w:p>
      <w:pPr>
        <w:sectPr>
          <w:pgSz w:w="11900" w:h="16838" w:orient="portrait"/>
          <w:cols w:equalWidth="0" w:num="1">
            <w:col w:w="11240"/>
          </w:cols>
          <w:pgMar w:left="320" w:top="122"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GRANTEE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9"/>
          <w:szCs w:val="19"/>
          <w:color w:val="auto"/>
        </w:rPr>
        <w:t>/$ParticipantName$/</w:t>
      </w:r>
    </w:p>
    <w:p>
      <w:pPr>
        <w:spacing w:after="0" w:line="65" w:lineRule="exact"/>
        <w:rPr>
          <w:sz w:val="20"/>
          <w:szCs w:val="20"/>
          <w:color w:val="auto"/>
        </w:rPr>
      </w:pPr>
    </w:p>
    <w:p>
      <w:pPr>
        <w:sectPr>
          <w:pgSz w:w="11900" w:h="16838" w:orient="portrait"/>
          <w:cols w:equalWidth="0" w:num="2">
            <w:col w:w="4440" w:space="720"/>
            <w:col w:w="6080"/>
          </w:cols>
          <w:pgMar w:left="320" w:top="122"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/$AwardsGranted$/</w:t>
      </w:r>
    </w:p>
    <w:p>
      <w:pPr>
        <w:spacing w:after="0" w:line="78" w:lineRule="exact"/>
        <w:rPr>
          <w:sz w:val="20"/>
          <w:szCs w:val="20"/>
          <w:color w:val="auto"/>
        </w:rPr>
      </w:pPr>
    </w:p>
    <w:p>
      <w:pPr>
        <w:sectPr>
          <w:pgSz w:w="11900" w:h="16838" w:orient="portrait"/>
          <w:cols w:equalWidth="0" w:num="2">
            <w:col w:w="4400" w:space="720"/>
            <w:col w:w="6120"/>
          </w:cols>
          <w:pgMar w:left="320" w:top="12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/$GrantDate$/</w:t>
      </w:r>
    </w:p>
    <w:p>
      <w:pPr>
        <w:spacing w:after="0" w:line="40" w:lineRule="exact"/>
        <w:rPr>
          <w:sz w:val="20"/>
          <w:szCs w:val="20"/>
          <w:color w:val="auto"/>
        </w:rPr>
      </w:pPr>
    </w:p>
    <w:p>
      <w:pPr>
        <w:sectPr>
          <w:pgSz w:w="11900" w:h="16838" w:orient="portrait"/>
          <w:cols w:equalWidth="0" w:num="2">
            <w:col w:w="4400" w:space="720"/>
            <w:col w:w="6120"/>
          </w:cols>
          <w:pgMar w:left="320" w:top="12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ind w:right="860"/>
        <w:spacing w:after="0" w:line="251" w:lineRule="auto"/>
        <w:rPr>
          <w:sz w:val="20"/>
          <w:szCs w:val="20"/>
          <w:color w:val="auto"/>
        </w:rPr>
      </w:pPr>
      <w:r>
        <w:rPr>
          <w:rFonts w:ascii="Times New Roman" w:cs="Times New Roman" w:eastAsia="Times New Roman" w:hAnsi="Times New Roman"/>
          <w:sz w:val="17"/>
          <w:szCs w:val="17"/>
          <w:color w:val="auto"/>
        </w:rPr>
        <w:t>Restricted Stock Units will vest /Textual Description of Vesting/, subject to the Grantee being employed by the Company on [each] such date:</w:t>
      </w:r>
    </w:p>
    <w:p>
      <w:pPr>
        <w:spacing w:after="0" w:line="1" w:lineRule="exact"/>
        <w:rPr>
          <w:sz w:val="20"/>
          <w:szCs w:val="20"/>
          <w:color w:val="auto"/>
        </w:rPr>
      </w:pPr>
    </w:p>
    <w:p>
      <w:pPr>
        <w:sectPr>
          <w:pgSz w:w="11900" w:h="16838" w:orient="portrait"/>
          <w:cols w:equalWidth="0" w:num="2">
            <w:col w:w="4440" w:space="720"/>
            <w:col w:w="6080"/>
          </w:cols>
          <w:pgMar w:left="320" w:top="122" w:right="339"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21"/>
          <w:szCs w:val="21"/>
          <w:color w:val="auto"/>
        </w:rPr>
        <w:t>/$VestingSchedule$/</w:t>
      </w:r>
    </w:p>
    <w:p>
      <w:pPr>
        <w:sectPr>
          <w:pgSz w:w="11900" w:h="16838" w:orient="portrait"/>
          <w:cols w:equalWidth="0" w:num="1">
            <w:col w:w="11240"/>
          </w:cols>
          <w:pgMar w:left="320" w:top="122" w:right="339" w:bottom="1440" w:gutter="0" w:footer="0" w:header="0"/>
          <w:type w:val="continuous"/>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61" w:lineRule="exact"/>
        <w:rPr>
          <w:sz w:val="20"/>
          <w:szCs w:val="20"/>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Grantee the Restricted Stock Units, subject to the terms, definitions and provisions of the Plan and this Agreement. All terms, provisions, and conditions applicable to the Restricted Stock Units set forth in the Plan and not set forth herein are incorporated by reference. To the extent any provision hereof is inconsistent with a provision of the Plan, the provision of the Plan will govern. All capitalized terms that are used in this Agreement and not otherwise defined herein shall have the meanings ascribed to them in the Plan.</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Settlement of Award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300" w:hanging="320"/>
        <w:spacing w:after="0" w:line="261"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Award</w:t>
      </w:r>
      <w:r>
        <w:rPr>
          <w:rFonts w:ascii="Times New Roman" w:cs="Times New Roman" w:eastAsia="Times New Roman" w:hAnsi="Times New Roman"/>
          <w:sz w:val="18"/>
          <w:szCs w:val="18"/>
          <w:color w:val="auto"/>
        </w:rPr>
        <w:t>. This Award shall vest in accordance with the vesting schedule set forth above (the “Vesting Schedule”) and with the applicable provisions of the Plan and this Agreement.</w:t>
      </w:r>
    </w:p>
    <w:p>
      <w:pPr>
        <w:jc w:val="both"/>
        <w:ind w:left="1300" w:hanging="320"/>
        <w:spacing w:after="0" w:line="255"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Award</w:t>
      </w:r>
      <w:r>
        <w:rPr>
          <w:rFonts w:ascii="Times New Roman" w:cs="Times New Roman" w:eastAsia="Times New Roman" w:hAnsi="Times New Roman"/>
          <w:sz w:val="18"/>
          <w:szCs w:val="18"/>
          <w:color w:val="auto"/>
        </w:rPr>
        <w:t>. Except as otherwise provided in Section 3, the vested portion of this Award shall be settled as soon as practicable following the vesting date set forth in the Vesting Schedule, but in no event later than March 15 of the year following the year in which the Award vests.</w:t>
      </w:r>
    </w:p>
    <w:p>
      <w:pPr>
        <w:spacing w:after="0" w:line="212" w:lineRule="exact"/>
        <w:rPr>
          <w:rFonts w:ascii="Times New Roman" w:cs="Times New Roman" w:eastAsia="Times New Roman" w:hAnsi="Times New Roman"/>
          <w:sz w:val="18"/>
          <w:szCs w:val="18"/>
          <w:color w:val="auto"/>
        </w:rPr>
      </w:pPr>
    </w:p>
    <w:p>
      <w:pPr>
        <w:jc w:val="both"/>
        <w:ind w:left="13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the Grantee to furnish or execute such documents as the Company shall reasonably deem necessary (i) to evidence such settlement and (ii) to comply with or satisfy the requirements of the Securities Act of 1933, as amended, the Exchange Act or any Applicable Laws.</w:t>
      </w:r>
    </w:p>
    <w:p>
      <w:pPr>
        <w:spacing w:after="0" w:line="202"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Settlement</w:t>
      </w:r>
      <w:r>
        <w:rPr>
          <w:rFonts w:ascii="Times New Roman" w:cs="Times New Roman" w:eastAsia="Times New Roman" w:hAnsi="Times New Roman"/>
          <w:sz w:val="18"/>
          <w:szCs w:val="18"/>
          <w:color w:val="auto"/>
        </w:rPr>
        <w:t>. The Company shall deliver to the Grantee one Share for each vested Restricted Stock Unit, less any Shares withheld in accordance with Paragraph 2(e) of this Agreement. Share certificates shall be issued in the name of the Grantee (or of the person or persons to whom such Restricted Stock Units were transferred in accordance with Paragraph 4 of this Agreement).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a cash Dividend is declared on the Shares, the Grantee shall be credited with a Dividend Equivalent in an amount of cash equal to the number of Restricted Stock Units held by the Grantee as of the dividend record date, multiplied by the amount of the cash dividend paid per Share. Such Dividend Equivalent shall be paid if and when the underlying Restricted Stock Units are settled. If a Share Dividend is declared on the Shares, the Grantee shall be credited with a Dividend Equivalent in an amount of Shares equal to the number of Restricted Stock Units held by the Grantee as of the dividend record date, multiplied by the amount of the Share dividend distributed per Share. Such</w:t>
      </w:r>
    </w:p>
    <w:p>
      <w:pPr>
        <w:sectPr>
          <w:pgSz w:w="11900" w:h="16838" w:orient="portrait"/>
          <w:cols w:equalWidth="0" w:num="1">
            <w:col w:w="11240"/>
          </w:cols>
          <w:pgMar w:left="320" w:top="122" w:right="339" w:bottom="1440" w:gutter="0" w:footer="0" w:header="0"/>
          <w:type w:val="continuous"/>
        </w:sectPr>
      </w:pPr>
    </w:p>
    <w:bookmarkStart w:id="52" w:name="page53"/>
    <w:bookmarkEnd w:id="52"/>
    <w:p>
      <w:pPr>
        <w:ind w:left="968"/>
        <w:spacing w:after="0" w:line="282" w:lineRule="auto"/>
        <w:rPr>
          <w:sz w:val="20"/>
          <w:szCs w:val="20"/>
          <w:color w:val="auto"/>
        </w:rPr>
      </w:pPr>
      <w:r>
        <w:rPr>
          <w:rFonts w:ascii="Times New Roman" w:cs="Times New Roman" w:eastAsia="Times New Roman" w:hAnsi="Times New Roman"/>
          <w:sz w:val="18"/>
          <w:szCs w:val="18"/>
          <w:color w:val="auto"/>
        </w:rPr>
        <w:t>Dividend Equivalent shall be settled if and when the underlying Restricted Stock Units are settled, rounded down to the nearest whole share. Dividend Equivalents shall not accrue interest prior to the date of payment or settlement, as applicable.</w:t>
      </w:r>
    </w:p>
    <w:p>
      <w:pPr>
        <w:spacing w:after="0" w:line="189" w:lineRule="exact"/>
        <w:rPr>
          <w:sz w:val="20"/>
          <w:szCs w:val="20"/>
          <w:color w:val="auto"/>
        </w:rPr>
      </w:pPr>
    </w:p>
    <w:p>
      <w:pPr>
        <w:jc w:val="both"/>
        <w:ind w:left="968" w:hanging="320"/>
        <w:spacing w:after="0" w:line="254" w:lineRule="auto"/>
        <w:tabs>
          <w:tab w:leader="none" w:pos="9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Pursuant to Section 14 of the Plan, the Company shall have the power and the right to deduct or withhold, or require the Grantee to remit to the Company, an amount sufficient to satisfy any applicable tax withholding requirements applicable to this Award. The Company may condition the delivery of Shares upon the Grantee’s satisfaction of such withholding obligations. To the extent permitted by the Committee, the Grantee may elect to satisfy all or part of such withholding requirement by tendering previously-owned Shares or by having the Company withhold Shares having a Fair Market Value equal to the minimum statutory tax withholding rate that could be imposed on the transaction (or such other rate that will not result in a negative accounting impact). Such election shall be irrevocable, made in writing, signed by the Grantee, and shall be subject to any restrictions or limitations that the Committee, in its sole discretion, deems appropriate.</w:t>
      </w:r>
    </w:p>
    <w:p>
      <w:pPr>
        <w:spacing w:after="0" w:line="218"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In the event the Grantee’s employment with the Company is terminated prior to the vesting date(s) set forth in the Vesting Schedule due to the Grantee’s (i) Retirement, (ii) death, (iii) Disability (as defined below), or (iv) Qualifying Termination (as defined below) during the two year period following the occurrence of a Change in Control, the Award shall become 100% vested on the date of such termination of employment or death and shall be settled (x) within five business days after the Grantee’s separation from service by reason of a Qualifying Termination during the two year period following the occurrence of a Change in Control or Retirement or Disability, provided that if such five business day period spans two calendar years, then the vested portion shall be settled no earlier than the first business day of the second calendar year, or (y) on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following the date of the Grantee’s death, as the case may be, or as soon as practicable after such fifth business day or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as applicable, but in no event later than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calendar year in which such fifth business day or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Award shall be forfeited immediately if the Grantee retires prior to December 31 of the year in which this Award was granted.</w:t>
      </w:r>
    </w:p>
    <w:p>
      <w:pPr>
        <w:spacing w:after="0" w:line="227"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Grantee’s employment with the Company terminates (except when due to Retirement, death, Disability or a Qualifying Termination during the two year period following the occurrence of a Change in Control), this Award shall be forfeited immediately with respect to the number of Restricted Stock Units for which the Award is not yet vested. If the Grantee dies after termination of employment, but before the settlement of the Award, all or part of this Award may be settled by payment to the personal representative of the Grantee or by any person who has acquired this Award directly from the Grantee but only to the extent that the Award was vested upon termination of the Grantee’s employment.</w:t>
      </w:r>
    </w:p>
    <w:p>
      <w:pPr>
        <w:spacing w:after="0" w:line="210" w:lineRule="exact"/>
        <w:rPr>
          <w:rFonts w:ascii="Times New Roman" w:cs="Times New Roman" w:eastAsia="Times New Roman" w:hAnsi="Times New Roman"/>
          <w:sz w:val="18"/>
          <w:szCs w:val="18"/>
          <w:color w:val="auto"/>
        </w:rPr>
      </w:pPr>
    </w:p>
    <w:p>
      <w:pPr>
        <w:jc w:val="both"/>
        <w:ind w:left="32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the term “Disability” means the inability of the Grantee to perform each of the essential duties of the Grantee’s position by reason of a medically determinable physical or mental impairment which is potentially permanent in character or which can be expected to last for a continuous period of not less than 12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Grantee has an employment agreement with the Company which has a definition of “Disability,” the definition contained therein shall govern. For purposes of this Agreement, a “Qualifying Termination” means the Grantee’s termination of employment with the Company without Cause or, if the Grantee has an employment agreement with the Company which has a definition of “good reason,” for good reason (as defined in the Grantee’s employment agreement with the Company).</w:t>
      </w: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093" w:right="339" w:bottom="1440" w:gutter="0" w:footer="0" w:header="0"/>
        </w:sectPr>
      </w:pPr>
    </w:p>
    <w:bookmarkStart w:id="53" w:name="page54"/>
    <w:bookmarkEnd w:id="53"/>
    <w:p>
      <w:pPr>
        <w:ind w:left="328" w:right="20"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w:t>
      </w:r>
      <w:r>
        <w:rPr>
          <w:rFonts w:ascii="Times New Roman" w:cs="Times New Roman" w:eastAsia="Times New Roman" w:hAnsi="Times New Roman"/>
          <w:sz w:val="18"/>
          <w:szCs w:val="18"/>
          <w:color w:val="auto"/>
        </w:rPr>
        <w:t>. Subject to any applicable law in any relevant jurisdiction (including any applicable law that may apply in respect of or upon the Grantee’s death), the Award may not be transferred, pledged, assigned, or otherwise disposed of, except following the Grantee’s death:</w:t>
      </w:r>
    </w:p>
    <w:p>
      <w:pPr>
        <w:spacing w:after="0" w:line="18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permitted or required by will or the laws of descent and distribution (or their equivalent in any relevant jurisdiction); or</w:t>
      </w:r>
    </w:p>
    <w:p>
      <w:pPr>
        <w:spacing w:after="0" w:line="252"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 consideration, subject to such rules and conditions as may be established by the Committee, to a member or members of the deceased Grantee’s Immediate Family.</w:t>
      </w:r>
    </w:p>
    <w:p>
      <w:pPr>
        <w:spacing w:after="0" w:line="189"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For purposes of this Agreement, the deceased Grantee’s “Immediate Family” means the Grantee’s children, stepchildren, grandchildren, parents, stepparents, grandparents, spouse, former spouse, siblings, nieces, nephews, mother-in-law, father-in-law, son-in-law, daughter-in-law, brother-in-law, or sister-in-law, including adoptive relationships or any person sharing the Grantee’s household (other than a tenant or employee).</w:t>
      </w:r>
    </w:p>
    <w:p>
      <w:pPr>
        <w:spacing w:after="0" w:line="203" w:lineRule="exact"/>
        <w:rPr>
          <w:sz w:val="20"/>
          <w:szCs w:val="20"/>
          <w:color w:val="auto"/>
        </w:rPr>
      </w:pPr>
    </w:p>
    <w:p>
      <w:pPr>
        <w:jc w:val="both"/>
        <w:ind w:left="328"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Grantee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includes additional terms and conditions that govern the grant of Restricted Stock Units and subsequent issuance of Shares to a Grantee pursuant to Paragraph 2(b) and under the Plan if the Grantee resides or is otherwise subject to tax in one of the countries or jurisdictions listed therein.</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Neither the Grantee nor the Grantee’s representative shall have any rights as a stockholder with respect to any Shares subject to this Award, except as provided in Paragraph 2(d), until the Award has vested and Share certificates, if any, have been issued to the Grantee, transferee or representative, as the case may be.</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 and Listing</w:t>
      </w:r>
      <w:r>
        <w:rPr>
          <w:rFonts w:ascii="Times New Roman" w:cs="Times New Roman" w:eastAsia="Times New Roman" w:hAnsi="Times New Roman"/>
          <w:sz w:val="18"/>
          <w:szCs w:val="18"/>
          <w:color w:val="auto"/>
        </w:rPr>
        <w:t>. The issuance or delivery of any certificates representing Shares issuable pursuant to this Agreement may be postponed by the Committee for such period as may be required to comply with any applicable requirements under the federal or state securities laws, any applicable listing requirements of the New York Stock Exchange, and any applicable requirements under any other Applicable Law, and the Company shall not be obligated to deliver any such Shares to the Grantee if either delivery thereof would constitute a violation of any provision of any law or of any regulation of any governmental authority or the New York Stock Exchange, or the Grantee shall not yet have complied fully with the provisions of Paragraph 2(e) hereof. The Company shall not be liable to the Grantee for any damages relating to any delays in issuing the certificates to the Grantee, any loss of the certificates, or any mistakes or errors in the issuance of the certificates or the certificates themselves.</w:t>
      </w:r>
    </w:p>
    <w:p>
      <w:pPr>
        <w:spacing w:after="0" w:line="218"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This Agreement may only be modified or amended by written agreement executed by the parties hereto; provided, however, that the adjustments permitted pursuant to Section 16 and Section 18(b) of the Plan may be made without such written agreement.</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shall be held illegal or invalid for any reason, the illegality or invalidity shall not affect the remaining provisions of this Agreement, and this Agreement shall be construed and enforced as if such illegal or invalid provision had not been included.</w:t>
      </w:r>
    </w:p>
    <w:p>
      <w:pPr>
        <w:spacing w:after="0" w:line="20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Plan</w:t>
      </w:r>
      <w:r>
        <w:rPr>
          <w:rFonts w:ascii="Times New Roman" w:cs="Times New Roman" w:eastAsia="Times New Roman" w:hAnsi="Times New Roman"/>
          <w:sz w:val="18"/>
          <w:szCs w:val="18"/>
          <w:color w:val="auto"/>
        </w:rPr>
        <w:t>. All references to the Plan shall be deemed references to the Plan as may be amended.</w:t>
      </w:r>
    </w:p>
    <w:p>
      <w:pPr>
        <w:spacing w:after="0" w:line="252"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used in this Agreement are inserted for convenience and shall not be deemed a part of this Award for construction or interpretation.</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093" w:right="339" w:bottom="1440" w:gutter="0" w:footer="0" w:header="0"/>
        </w:sectPr>
      </w:pPr>
    </w:p>
    <w:bookmarkStart w:id="54" w:name="page55"/>
    <w:bookmarkEnd w:id="54"/>
    <w:p>
      <w:pPr>
        <w:jc w:val="both"/>
        <w:ind w:left="320" w:hanging="320"/>
        <w:spacing w:after="0" w:line="261"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dispute regarding the interpretation of this Agreement shall be submitted by the Grantee or by the Company forthwith to the Board or the Committee, which shall review such dispute at its next regular meeting. The Grantee hereby agrees to accept as binding, conclusive and final all decisions or interpretations of the Board or the Committee upon any questions arising under the Plan or this Agreement, including, without limitation, the resolution of any disputes regarding the interpretation of this Agreement.</w:t>
      </w:r>
    </w:p>
    <w:p>
      <w:pPr>
        <w:spacing w:after="0" w:line="206" w:lineRule="exact"/>
        <w:rPr>
          <w:rFonts w:ascii="Times New Roman" w:cs="Times New Roman" w:eastAsia="Times New Roman" w:hAnsi="Times New Roman"/>
          <w:sz w:val="18"/>
          <w:szCs w:val="18"/>
          <w:color w:val="auto"/>
        </w:rPr>
      </w:pPr>
    </w:p>
    <w:p>
      <w:pPr>
        <w:jc w:val="both"/>
        <w:ind w:left="320" w:hanging="320"/>
        <w:spacing w:after="0" w:line="254" w:lineRule="auto"/>
        <w:tabs>
          <w:tab w:leader="none" w:pos="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The provisions of this Agreement and any payments made herein are intended to comply with, and should be interpreted consistent with, the requirements of Section 409A of the Code, and any related regulations or other effective guidance promulgated thereunder by the U.S. Department of the Treasury or the Internal Revenue Service. Notwithstanding the foregoing, in the event any settlement of the Award hereunder constitutes “deferred compensation” within the meaning of Section 409A of the Code, and the Grantee is a “specified employee” (as determined under the Company’s policy for identifying specified employees) on the date of the Grantee’s “separation from service” (within the meaning of Section 409A of the Code), the date for settlement shall be the earlier of (i) within 30 days following the date of the Grantee’s death or (ii) the later of (x) the date that settlement would otherwise be made hereunder or (y) the first business day following the end of the sixth-month period following the date of the Grantee’s separation from service.</w:t>
      </w:r>
    </w:p>
    <w:p>
      <w:pPr>
        <w:spacing w:after="0" w:line="215" w:lineRule="exact"/>
        <w:rPr>
          <w:rFonts w:ascii="Times New Roman" w:cs="Times New Roman" w:eastAsia="Times New Roman" w:hAnsi="Times New Roman"/>
          <w:sz w:val="18"/>
          <w:szCs w:val="18"/>
          <w:color w:val="auto"/>
        </w:rPr>
      </w:pPr>
    </w:p>
    <w:p>
      <w:pPr>
        <w:jc w:val="both"/>
        <w:ind w:left="320" w:hanging="320"/>
        <w:spacing w:after="0" w:line="256" w:lineRule="auto"/>
        <w:tabs>
          <w:tab w:leader="none" w:pos="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Representations.</w:t>
      </w:r>
      <w:r>
        <w:rPr>
          <w:rFonts w:ascii="Times New Roman" w:cs="Times New Roman" w:eastAsia="Times New Roman" w:hAnsi="Times New Roman"/>
          <w:sz w:val="18"/>
          <w:szCs w:val="18"/>
          <w:color w:val="auto"/>
        </w:rPr>
        <w:t xml:space="preserve"> The Grantee represents that the Grantee is familiar with the terms and provisions hereof, and hereby accepts this Agreement subject to all of the terms and provisions hereof. The Grantee also represents that the Grantee is aware that the Award granted hereunder may be subject to mandatory repayment pursuant to Section 19 of the Plan, in particular under any Company “clawback” or recoupment policy, whether being in force as of the date of this Agreement or being adopted thereafter. The Grantee has reviewed the Plan and this Agreement in their entirety, has had an opportunity to obtain the advice of counsel prior to executing this Agreement and fully understands all provisions of this Agreement.</w:t>
      </w:r>
    </w:p>
    <w:p>
      <w:pPr>
        <w:spacing w:after="0" w:line="214" w:lineRule="exact"/>
        <w:rPr>
          <w:rFonts w:ascii="Times New Roman" w:cs="Times New Roman" w:eastAsia="Times New Roman" w:hAnsi="Times New Roman"/>
          <w:sz w:val="18"/>
          <w:szCs w:val="18"/>
          <w:color w:val="auto"/>
        </w:rPr>
      </w:pPr>
    </w:p>
    <w:p>
      <w:pPr>
        <w:jc w:val="both"/>
        <w:ind w:left="320" w:hanging="320"/>
        <w:spacing w:after="0" w:line="254"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Consent to Electronic Delivery</w:t>
      </w:r>
      <w:r>
        <w:rPr>
          <w:rFonts w:ascii="Times New Roman" w:cs="Times New Roman" w:eastAsia="Times New Roman" w:hAnsi="Times New Roman"/>
          <w:sz w:val="18"/>
          <w:szCs w:val="18"/>
          <w:color w:val="auto"/>
        </w:rPr>
        <w:t>. The Grantee must accept this grant of Restricted Stock Units electronically pursuant to the online acceptance procedure established by the Company. By accepting this grant of Restricted Stock Units, the Grantee agrees to all of the terms and conditions described in this Agreement and in the Plan, a copy of which has been provided or made available to the Grantee. By accepting this grant of Restricted Stock Units, the Grantee consents to receive documents related to the Restricted Stock Units by electronic delivery (including e-mail or reference to a website or other URL) and, if requested, agrees to participate in the Plan through an on-line or electronic system established and maintained by the Company or another third party designated by the Company, and the Grantee’s consent shall remain in effect throughout the term of the Grantee’s employment with the Company and thereafter until the Grantee withdraws such consent in writing to the Company.</w:t>
      </w:r>
    </w:p>
    <w:p>
      <w:pPr>
        <w:spacing w:after="0" w:line="200" w:lineRule="exact"/>
        <w:rPr>
          <w:sz w:val="20"/>
          <w:szCs w:val="20"/>
          <w:color w:val="auto"/>
        </w:rPr>
      </w:pPr>
    </w:p>
    <w:p>
      <w:pPr>
        <w:spacing w:after="0" w:line="25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PVH CORP.</w:t>
      </w: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/s/ Mark 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wp:posOffset>
            </wp:positionV>
            <wp:extent cx="12312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Mark D. Fischer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7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1300" w:top="133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Larsson, certify that:</w:t>
      </w:r>
    </w:p>
    <w:p>
      <w:pPr>
        <w:spacing w:after="0" w:line="25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PVH Corp.;</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Times New Roman" w:cs="Times New Roman" w:eastAsia="Times New Roman" w:hAnsi="Times New Roman"/>
          <w:sz w:val="17"/>
          <w:szCs w:val="17"/>
          <w:color w:val="auto"/>
        </w:rPr>
      </w:pPr>
    </w:p>
    <w:p>
      <w:pPr>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160" w:hanging="320"/>
        <w:spacing w:after="0" w:line="312" w:lineRule="auto"/>
        <w:tabs>
          <w:tab w:leader="none" w:pos="129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STEFAN LARSSON</w:t>
            </w:r>
          </w:p>
        </w:tc>
      </w:tr>
      <w:tr>
        <w:trPr>
          <w:trHeight w:val="218"/>
        </w:trPr>
        <w:tc>
          <w:tcPr>
            <w:tcW w:w="55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 Larsson</w:t>
            </w:r>
          </w:p>
        </w:tc>
      </w:tr>
      <w:tr>
        <w:trPr>
          <w:trHeight w:val="234"/>
        </w:trPr>
        <w:tc>
          <w:tcPr>
            <w:tcW w:w="550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Stone, certify that:</w:t>
      </w:r>
    </w:p>
    <w:p>
      <w:pPr>
        <w:spacing w:after="0" w:line="2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PVH Corp.;</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Times New Roman" w:cs="Times New Roman" w:eastAsia="Times New Roman" w:hAnsi="Times New Roman"/>
          <w:sz w:val="17"/>
          <w:szCs w:val="17"/>
          <w:color w:val="auto"/>
        </w:rPr>
      </w:pPr>
    </w:p>
    <w:p>
      <w:pPr>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160" w:hanging="320"/>
        <w:spacing w:after="0" w:line="312" w:lineRule="auto"/>
        <w:tabs>
          <w:tab w:leader="none" w:pos="129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MELISSA STONE</w:t>
            </w:r>
          </w:p>
        </w:tc>
      </w:tr>
      <w:tr>
        <w:trPr>
          <w:trHeight w:val="218"/>
        </w:trPr>
        <w:tc>
          <w:tcPr>
            <w:tcW w:w="550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Stone</w:t>
            </w:r>
          </w:p>
        </w:tc>
      </w:tr>
      <w:tr>
        <w:trPr>
          <w:trHeight w:val="180"/>
        </w:trPr>
        <w:tc>
          <w:tcPr>
            <w:tcW w:w="5500" w:type="dxa"/>
            <w:vAlign w:val="bottom"/>
          </w:tcPr>
          <w:p>
            <w:pPr>
              <w:spacing w:after="0"/>
              <w:rPr>
                <w:sz w:val="15"/>
                <w:szCs w:val="15"/>
                <w:color w:val="auto"/>
              </w:rPr>
            </w:pPr>
          </w:p>
        </w:tc>
        <w:tc>
          <w:tcPr>
            <w:tcW w:w="4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Chief Financial Officer and</w:t>
            </w:r>
          </w:p>
        </w:tc>
      </w:tr>
      <w:tr>
        <w:trPr>
          <w:trHeight w:val="184"/>
        </w:trPr>
        <w:tc>
          <w:tcPr>
            <w:tcW w:w="5500" w:type="dxa"/>
            <w:vAlign w:val="bottom"/>
          </w:tcPr>
          <w:p>
            <w:pPr>
              <w:spacing w:after="0"/>
              <w:rPr>
                <w:sz w:val="16"/>
                <w:szCs w:val="16"/>
                <w:color w:val="auto"/>
              </w:rPr>
            </w:pPr>
          </w:p>
        </w:tc>
        <w:tc>
          <w:tcPr>
            <w:tcW w:w="4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Global Financial Planning &amp;</w:t>
            </w:r>
          </w:p>
        </w:tc>
      </w:tr>
      <w:tr>
        <w:trPr>
          <w:trHeight w:val="234"/>
        </w:trPr>
        <w:tc>
          <w:tcPr>
            <w:tcW w:w="550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Analysis</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PVH Corp. (the "Company”) for the quarterly period ended May 3, 2026 as filed with the Securities and Exchange Commission on the date hereof (the “Report”), I, Stefan Larsson, Chief Executive Officer of the Company, certify, pursuant to section 906 of the Sarbanes-Oxley Act of 2002, 18 U.S.C. Section 1350, that:</w:t>
      </w:r>
    </w:p>
    <w:p>
      <w:pPr>
        <w:spacing w:after="0" w:line="20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3940" w:type="dxa"/>
            <w:vAlign w:val="bottom"/>
          </w:tcPr>
          <w:p>
            <w:pPr>
              <w:spacing w:after="0"/>
              <w:rPr>
                <w:sz w:val="19"/>
                <w:szCs w:val="19"/>
                <w:color w:val="auto"/>
              </w:rPr>
            </w:pPr>
          </w:p>
        </w:tc>
      </w:tr>
      <w:tr>
        <w:trPr>
          <w:trHeight w:val="234"/>
        </w:trPr>
        <w:tc>
          <w:tcPr>
            <w:tcW w:w="3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STEFAN LARSSON</w:t>
            </w:r>
          </w:p>
        </w:tc>
      </w:tr>
      <w:tr>
        <w:trPr>
          <w:trHeight w:val="218"/>
        </w:trPr>
        <w:tc>
          <w:tcPr>
            <w:tcW w:w="3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 Larsson</w:t>
            </w:r>
          </w:p>
        </w:tc>
      </w:tr>
      <w:tr>
        <w:trPr>
          <w:trHeight w:val="234"/>
        </w:trPr>
        <w:tc>
          <w:tcPr>
            <w:tcW w:w="388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1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3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PVH Corp. (the “Company”) for the quarterly period ended May 3, 2026 as filed with the Securities and Exchange Commission on the date hereof (the “Report”), I, Melissa Stone, Interim Chief Financial Officer and Executive Vice President, Global Financial Planning &amp; Analysis of the Company, certify, pursuant to section 906 of the Sarbanes-Oxley Act of 2002, 18 U.S.C. Section 1350, that:</w:t>
      </w:r>
    </w:p>
    <w:p>
      <w:pPr>
        <w:spacing w:after="0" w:line="18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4240" w:type="dxa"/>
            <w:vAlign w:val="bottom"/>
          </w:tcPr>
          <w:p>
            <w:pPr>
              <w:spacing w:after="0"/>
              <w:rPr>
                <w:sz w:val="19"/>
                <w:szCs w:val="19"/>
                <w:color w:val="auto"/>
              </w:rPr>
            </w:pPr>
          </w:p>
        </w:tc>
      </w:tr>
      <w:tr>
        <w:trPr>
          <w:trHeight w:val="234"/>
        </w:trPr>
        <w:tc>
          <w:tcPr>
            <w:tcW w:w="3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MELISSA STONE</w:t>
            </w:r>
          </w:p>
        </w:tc>
      </w:tr>
      <w:tr>
        <w:trPr>
          <w:trHeight w:val="218"/>
        </w:trPr>
        <w:tc>
          <w:tcPr>
            <w:tcW w:w="3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Stone</w:t>
            </w:r>
          </w:p>
        </w:tc>
      </w:tr>
      <w:tr>
        <w:trPr>
          <w:trHeight w:val="180"/>
        </w:trPr>
        <w:tc>
          <w:tcPr>
            <w:tcW w:w="388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Chief Financial Officer and</w:t>
            </w:r>
          </w:p>
        </w:tc>
      </w:tr>
      <w:tr>
        <w:trPr>
          <w:trHeight w:val="184"/>
        </w:trPr>
        <w:tc>
          <w:tcPr>
            <w:tcW w:w="3880" w:type="dxa"/>
            <w:vAlign w:val="bottom"/>
          </w:tcPr>
          <w:p>
            <w:pPr>
              <w:spacing w:after="0"/>
              <w:rPr>
                <w:sz w:val="16"/>
                <w:szCs w:val="16"/>
                <w:color w:val="auto"/>
              </w:rPr>
            </w:pPr>
          </w:p>
        </w:tc>
        <w:tc>
          <w:tcPr>
            <w:tcW w:w="4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Global Financial Planning &amp;</w:t>
            </w:r>
          </w:p>
        </w:tc>
      </w:tr>
      <w:tr>
        <w:trPr>
          <w:trHeight w:val="234"/>
        </w:trPr>
        <w:tc>
          <w:tcPr>
            <w:tcW w:w="38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Analysis</w:t>
            </w:r>
          </w:p>
        </w:tc>
      </w:tr>
    </w:tbl>
    <w:p>
      <w:pPr>
        <w:spacing w:after="0" w:line="31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Roman"/>
      <w:start w:val="1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9"/>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4"/>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7"/>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lvl w:ilvl="1">
      <w:lvlJc w:val="left"/>
      <w:lvlText w:val="%2"/>
      <w:numFmt w:val="decimal"/>
      <w:start w:val="104"/>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5"/>
    </w:lvl>
  </w:abstractNum>
  <w:abstractNum w:abstractNumId="30">
    <w:nsid w:val="419AC241"/>
    <w:multiLevelType w:val="hybridMultilevel"/>
    <w:lvl w:ilvl="0">
      <w:lvlJc w:val="left"/>
      <w:lvlText w:val="%1."/>
      <w:numFmt w:val="decimal"/>
      <w:start w:val="3"/>
    </w:lvl>
    <w:lvl w:ilvl="1">
      <w:lvlJc w:val="left"/>
      <w:lvlText w:val="%2"/>
      <w:numFmt w:val="lowerLetter"/>
      <w:start w:val="1"/>
    </w:lvl>
  </w:abstractNum>
  <w:abstractNum w:abstractNumId="31">
    <w:nsid w:val="5577F8E1"/>
    <w:multiLevelType w:val="hybridMultilevel"/>
    <w:lvl w:ilvl="0">
      <w:lvlJc w:val="left"/>
      <w:lvlText w:val="%1."/>
      <w:numFmt w:val="decimal"/>
      <w:start w:val="4"/>
    </w:lvl>
    <w:lvl w:ilvl="1">
      <w:lvlJc w:val="left"/>
      <w:lvlText w:val="%2."/>
      <w:numFmt w:val="lowerLetter"/>
      <w:start w:val="1"/>
    </w:lvl>
  </w:abstractNum>
  <w:abstractNum w:abstractNumId="32">
    <w:nsid w:val="440BADFC"/>
    <w:multiLevelType w:val="hybridMultilevel"/>
    <w:lvl w:ilvl="0">
      <w:lvlJc w:val="left"/>
      <w:lvlText w:val="%1."/>
      <w:numFmt w:val="decimal"/>
      <w:start w:val="5"/>
    </w:lvl>
    <w:lvl w:ilvl="1">
      <w:lvlJc w:val="left"/>
      <w:lvlText w:val="%2."/>
      <w:numFmt w:val="lowerLetter"/>
      <w:start w:val="1"/>
    </w:lvl>
  </w:abstractNum>
  <w:abstractNum w:abstractNumId="33">
    <w:nsid w:val="5072367"/>
    <w:multiLevelType w:val="hybridMultilevel"/>
    <w:lvl w:ilvl="0">
      <w:lvlJc w:val="left"/>
      <w:lvlText w:val="%1."/>
      <w:numFmt w:val="lowerLetter"/>
      <w:start w:val="8"/>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61" Type="http://schemas.openxmlformats.org/officeDocument/2006/relationships/hyperlink" Target="https://www.sec.gov/Archives/edgar/data/78239/000007823919000042/amendedcertofinc.htm" TargetMode="External"/><Relationship Id="rId62" Type="http://schemas.openxmlformats.org/officeDocument/2006/relationships/hyperlink" Target="https://www.sec.gov/Archives/edgar/data/78239/000007823923000117/ex3220232q10q.htm" TargetMode="External"/><Relationship Id="rId63" Type="http://schemas.openxmlformats.org/officeDocument/2006/relationships/hyperlink" Target="https://www.sec.gov/Archives/edgar/data/78239/000007823926000010/bylaws32026-draft3x11x26pm.htm" TargetMode="External"/><Relationship Id="rId64" Type="http://schemas.openxmlformats.org/officeDocument/2006/relationships/hyperlink" Target="https://www.sec.gov/Archives/edgar/data/78239/000007823911000054/ex4120112q10q.htm" TargetMode="External"/><Relationship Id="rId65" Type="http://schemas.openxmlformats.org/officeDocument/2006/relationships/hyperlink" Target="https://www.sec.gov/Archives/edgar/data/78239/000007823916000084/indenturewithusbank62016.htm" TargetMode="External"/><Relationship Id="rId66" Type="http://schemas.openxmlformats.org/officeDocument/2006/relationships/hyperlink" Target="https://www.sec.gov/Archives/edgar/data/78239/000007823917000048/ex41indenturedated122117.htm" TargetMode="External"/><Relationship Id="rId67" Type="http://schemas.openxmlformats.org/officeDocument/2006/relationships/hyperlink" Target="https://www.sec.gov/Archives/edgar/data/78239/000007823920000075/ex41seniornotesindenture.htm" TargetMode="External"/><Relationship Id="rId68" Type="http://schemas.openxmlformats.org/officeDocument/2006/relationships/hyperlink" Target="https://www.sec.gov/Archives/edgar/data/78239/000121390024032947/ea020361201ex4-1_pvh.htm" TargetMode="External"/><Relationship Id="rId69" Type="http://schemas.openxmlformats.org/officeDocument/2006/relationships/hyperlink" Target="https://www.sec.gov/Archives/edgar/data/78239/000121390024032947/ea020361201ex4-2_pvh.htm" TargetMode="External"/><Relationship Id="rId70" Type="http://schemas.openxmlformats.org/officeDocument/2006/relationships/hyperlink" Target="https://www.sec.gov/Archives/edgar/data/78239/000121390025054368/ea024539001ex4-2_pvh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2026-06-05T10:15:34Z</dcterms:created>
  <dcterms:modified xsi:type="dcterms:W3CDTF">2026-06-05T10:15:34Z</dcterms:modified>
</cp:coreProperties>
</file>