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Bhalla Ajay</w:t>
              </w:r>
            </w:hyperlink>
          </w:p>
        </w:tc>
        <w:tc>
          <w:tcPr>
            <w:tcW w:w="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PVH CORP.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PVH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PVH CORP.</w:t>
            </w:r>
          </w:p>
        </w:tc>
        <w:tc>
          <w:tcPr>
            <w:tcW w:w="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285 MADISON AVENUE</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8,908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The award vests in full on the earlier of the first anniversary of the grant and the date of the Issuer's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2,336 shares of Common Stock subject to awards of restricted stock units.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Bhalla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06/23/2026</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071"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2026-06-23T15:17:34Z</dcterms:created>
  <dcterms:modified xsi:type="dcterms:W3CDTF">2026-06-23T15:17:34Z</dcterms:modified>
</cp:coreProperties>
</file>