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93592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935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KLATSKY BRUCE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340"/>
        <w:spacing w:after="0" w:line="3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PHILLIPS-VAN HEUSEN CORPORATION 200 MADISON AVENUE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141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PHILLIPS VAN HEUSEN CORP /DE/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 w:line="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40" w:type="dxa"/>
            <w:vAlign w:val="bottom"/>
            <w:shd w:val="clear" w:color="auto" w:fill="0000EE"/>
          </w:tcPr>
          <w:p>
            <w:pPr>
              <w:spacing w:after="0"/>
              <w:rPr>
                <w:rFonts w:ascii="Arial" w:cs="Arial" w:eastAsia="Arial" w:hAnsi="Arial"/>
                <w:sz w:val="1"/>
                <w:szCs w:val="1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1"/>
                  <w:szCs w:val="1"/>
                  <w:color w:val="0000FF"/>
                </w:rPr>
                <w:t xml:space="preserve">PVH </w:t>
              </w:r>
              <w:r>
                <w:rPr>
                  <w:rFonts w:ascii="Arial" w:cs="Arial" w:eastAsia="Arial" w:hAnsi="Arial"/>
                  <w:sz w:val="1"/>
                  <w:szCs w:val="1"/>
                  <w:color w:val="000000"/>
                </w:rPr>
                <w:t>]</w:t>
              </w:r>
            </w:hyperlink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03/22/2005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8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left="4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229,100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22,500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206,600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3,200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203,400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198,300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193,200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189,400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1,900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187,500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7,200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180,300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11,400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168,900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154,500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12,000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27.59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142,500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124,200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24,300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99,900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98,800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90,500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3,800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86,700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86,500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86,100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85,500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82,900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27.69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82,500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1,200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27.7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81,300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27.71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80,300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78,300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73,200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27.74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72,100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1,300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70,800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59,600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5,700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27.77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53,900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$1</w:t>
            </w:r>
          </w:p>
        </w:tc>
        <w:tc>
          <w:tcPr>
            <w:tcW w:w="1720" w:type="dxa"/>
            <w:vAlign w:val="bottom"/>
          </w:tcPr>
          <w:p>
            <w:pPr>
              <w:jc w:val="center"/>
              <w:ind w:left="5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03/22/2005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1,500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27.78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52,400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80808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7299325</wp:posOffset>
            </wp:positionH>
            <wp:positionV relativeFrom="paragraph">
              <wp:posOffset>-20320</wp:posOffset>
            </wp:positionV>
            <wp:extent cx="15875" cy="108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75" cy="108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1829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1829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229,100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18.75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03/22/2005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229,100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04/11/2011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 $1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441,600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All options exercisable for shares of Issuer's Common Stock, $1 par value.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8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4"/>
              </w:rPr>
              <w:t>2. Options to acquire 70,000 shares became exercisable on 11/5/04 and options to acquire 158,400 shares became exercisable on 11/26/04.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Bruce J. Klatsky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03/22/2005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43758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2019-12-18T10:29:28Z</dcterms:created>
  <dcterms:modified xsi:type="dcterms:W3CDTF">2019-12-18T10:29:28Z</dcterms:modified>
</cp:coreProperties>
</file>