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 Melissa Ann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4"/>
        <w:spacing w:after="0"/>
        <w:rPr>
          <w:sz w:val="20"/>
          <w:szCs w:val="20"/>
          <w:color w:val="auto"/>
        </w:rPr>
      </w:pPr>
      <w:r>
        <w:rPr>
          <w:rFonts w:ascii="Times New Roman" w:cs="Times New Roman" w:eastAsia="Times New Roman" w:hAnsi="Times New Roman"/>
          <w:sz w:val="17"/>
          <w:szCs w:val="17"/>
          <w:color w:val="0000FF"/>
        </w:rPr>
        <w:t>EVP and Interim CFO</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1"/>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0.478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0.478</w:t>
            </w:r>
          </w:p>
        </w:tc>
        <w:tc>
          <w:tcPr>
            <w:tcW w:w="3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72.71</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927.5801</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6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$1 per</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"phantom" shares held in a supplemental savings plan account.</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employment with the Issuer. Each phantom share represents the right to receive the cash value of one share of Issuer's Common Stock. The reporting person generally may transfer the value of her phantom stock into an alternative investment at any time.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Ann Stone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06/26/2026</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191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2026-06-26T11:33:37Z</dcterms:created>
  <dcterms:modified xsi:type="dcterms:W3CDTF">2026-06-26T11:33:37Z</dcterms:modified>
</cp:coreProperties>
</file>