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Subrahmanyam Amba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38"/>
              <w:spacing w:after="0"/>
              <w:rPr>
                <w:sz w:val="20"/>
                <w:szCs w:val="20"/>
                <w:color w:val="auto"/>
              </w:rPr>
            </w:pPr>
            <w:r>
              <w:rPr>
                <w:rFonts w:ascii="Times New Roman" w:cs="Times New Roman" w:eastAsia="Times New Roman" w:hAnsi="Times New Roman"/>
                <w:sz w:val="17"/>
                <w:szCs w:val="17"/>
                <w:color w:val="0000FF"/>
                <w:w w:val="93"/>
              </w:rPr>
              <w:t>6,808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29,901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8"/>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581</w:t>
            </w:r>
            <w:r>
              <w:rPr>
                <w:rFonts w:ascii="Times New Roman" w:cs="Times New Roman" w:eastAsia="Times New Roman" w:hAnsi="Times New Roman"/>
                <w:sz w:val="11"/>
                <w:szCs w:val="11"/>
                <w:color w:val="008000"/>
                <w:w w:val="85"/>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80.83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29,320</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8"/>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537</w:t>
            </w:r>
            <w:r>
              <w:rPr>
                <w:rFonts w:ascii="Times New Roman" w:cs="Times New Roman" w:eastAsia="Times New Roman" w:hAnsi="Times New Roman"/>
                <w:sz w:val="11"/>
                <w:szCs w:val="11"/>
                <w:color w:val="008000"/>
                <w:w w:val="85"/>
              </w:rPr>
              <w:t>(5)</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80.83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28,783</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subject to an award of restricted stock units. Each unit represents a contingent right to receive one share of Issuer's Common Stock. The units vest 25% (1,702 shares) on each anniversary of grant. Vested shares are delivered as soon as practicable after they vest.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20,258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1,049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19,209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970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18,239 shares of Common Stock subject to unvested awards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Amba Subrahmanyam</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8973"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2026-04-08T13:54:57Z</dcterms:created>
  <dcterms:modified xsi:type="dcterms:W3CDTF">2026-04-08T13:54:57Z</dcterms:modified>
</cp:coreProperties>
</file>