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55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FORM SD</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9" w:lineRule="exact"/>
        <w:rPr>
          <w:sz w:val="24"/>
          <w:szCs w:val="24"/>
          <w:color w:val="auto"/>
        </w:rPr>
      </w:pPr>
    </w:p>
    <w:p>
      <w:pPr>
        <w:jc w:val="center"/>
        <w:ind w:left="2040"/>
        <w:spacing w:after="0"/>
        <w:rPr>
          <w:sz w:val="20"/>
          <w:szCs w:val="20"/>
          <w:color w:val="auto"/>
        </w:rPr>
      </w:pPr>
      <w:r>
        <w:rPr>
          <w:rFonts w:ascii="Times New Roman" w:cs="Times New Roman" w:eastAsia="Times New Roman" w:hAnsi="Times New Roman"/>
          <w:sz w:val="22"/>
          <w:szCs w:val="22"/>
          <w:color w:val="auto"/>
        </w:rPr>
        <w:t>PVH CORP.</w:t>
      </w:r>
    </w:p>
    <w:p>
      <w:pPr>
        <w:spacing w:after="0" w:line="1" w:lineRule="exact"/>
        <w:rPr>
          <w:sz w:val="24"/>
          <w:szCs w:val="24"/>
          <w:color w:val="auto"/>
        </w:rPr>
      </w:pPr>
    </w:p>
    <w:p>
      <w:pPr>
        <w:jc w:val="center"/>
        <w:ind w:left="204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0" w:lineRule="exact"/>
        <w:rPr>
          <w:sz w:val="24"/>
          <w:szCs w:val="24"/>
          <w:color w:val="auto"/>
        </w:rPr>
      </w:pPr>
    </w:p>
    <w:p>
      <w:pPr>
        <w:spacing w:after="0" w:line="306" w:lineRule="exact"/>
        <w:rPr>
          <w:sz w:val="24"/>
          <w:szCs w:val="24"/>
          <w:color w:val="auto"/>
        </w:rPr>
      </w:pPr>
    </w:p>
    <w:tbl>
      <w:tblPr>
        <w:tblLayout w:type="fixed"/>
        <w:tblInd w:w="480" w:type="dxa"/>
        <w:tblCellMar>
          <w:top w:w="0" w:type="dxa"/>
          <w:left w:w="0" w:type="dxa"/>
          <w:bottom w:w="0" w:type="dxa"/>
          <w:right w:w="0" w:type="dxa"/>
        </w:tblCellMar>
      </w:tblPr>
      <w:tr>
        <w:trPr>
          <w:trHeight w:val="282"/>
        </w:trPr>
        <w:tc>
          <w:tcPr>
            <w:tcW w:w="4280" w:type="dxa"/>
            <w:vAlign w:val="bottom"/>
          </w:tcPr>
          <w:p>
            <w:pPr>
              <w:jc w:val="center"/>
              <w:ind w:right="352"/>
              <w:spacing w:after="0"/>
              <w:rPr>
                <w:sz w:val="20"/>
                <w:szCs w:val="20"/>
                <w:color w:val="auto"/>
              </w:rPr>
            </w:pPr>
            <w:r>
              <w:rPr>
                <w:rFonts w:ascii="Times New Roman" w:cs="Times New Roman" w:eastAsia="Times New Roman" w:hAnsi="Times New Roman"/>
                <w:sz w:val="22"/>
                <w:szCs w:val="22"/>
                <w:color w:val="auto"/>
                <w:w w:val="97"/>
              </w:rPr>
              <w:t>Delaware</w:t>
            </w:r>
          </w:p>
        </w:tc>
        <w:tc>
          <w:tcPr>
            <w:tcW w:w="30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001-07572</w:t>
            </w:r>
          </w:p>
        </w:tc>
        <w:tc>
          <w:tcPr>
            <w:tcW w:w="340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13-1166910</w:t>
            </w:r>
          </w:p>
        </w:tc>
      </w:tr>
      <w:tr>
        <w:trPr>
          <w:trHeight w:val="297"/>
        </w:trPr>
        <w:tc>
          <w:tcPr>
            <w:tcW w:w="4280" w:type="dxa"/>
            <w:vAlign w:val="bottom"/>
          </w:tcPr>
          <w:p>
            <w:pPr>
              <w:jc w:val="center"/>
              <w:ind w:right="372"/>
              <w:spacing w:after="0"/>
              <w:rPr>
                <w:sz w:val="20"/>
                <w:szCs w:val="20"/>
                <w:color w:val="auto"/>
              </w:rPr>
            </w:pPr>
            <w:r>
              <w:rPr>
                <w:rFonts w:ascii="Times New Roman" w:cs="Times New Roman" w:eastAsia="Times New Roman" w:hAnsi="Times New Roman"/>
                <w:sz w:val="22"/>
                <w:szCs w:val="22"/>
                <w:color w:val="auto"/>
                <w:w w:val="98"/>
              </w:rPr>
              <w:t>(State or other jurisdiction of incorporation)</w:t>
            </w:r>
          </w:p>
        </w:tc>
        <w:tc>
          <w:tcPr>
            <w:tcW w:w="302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7"/>
              </w:rPr>
              <w:t>(Commission file number)</w:t>
            </w:r>
          </w:p>
        </w:tc>
        <w:tc>
          <w:tcPr>
            <w:tcW w:w="340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7"/>
              </w:rPr>
              <w:t>(I.R.S. Employer Identification No.)</w:t>
            </w:r>
          </w:p>
        </w:tc>
      </w:tr>
      <w:tr>
        <w:trPr>
          <w:trHeight w:val="567"/>
        </w:trPr>
        <w:tc>
          <w:tcPr>
            <w:tcW w:w="4280" w:type="dxa"/>
            <w:vAlign w:val="bottom"/>
          </w:tcPr>
          <w:p>
            <w:pPr>
              <w:jc w:val="center"/>
              <w:ind w:right="352"/>
              <w:spacing w:after="0"/>
              <w:rPr>
                <w:sz w:val="20"/>
                <w:szCs w:val="20"/>
                <w:color w:val="auto"/>
              </w:rPr>
            </w:pPr>
            <w:r>
              <w:rPr>
                <w:rFonts w:ascii="Times New Roman" w:cs="Times New Roman" w:eastAsia="Times New Roman" w:hAnsi="Times New Roman"/>
                <w:sz w:val="22"/>
                <w:szCs w:val="22"/>
                <w:color w:val="auto"/>
                <w:w w:val="96"/>
              </w:rPr>
              <w:t>285 Madison Avenue New York, New York</w:t>
            </w:r>
          </w:p>
        </w:tc>
        <w:tc>
          <w:tcPr>
            <w:tcW w:w="3020" w:type="dxa"/>
            <w:vAlign w:val="bottom"/>
          </w:tcPr>
          <w:p>
            <w:pPr>
              <w:spacing w:after="0"/>
              <w:rPr>
                <w:sz w:val="24"/>
                <w:szCs w:val="24"/>
                <w:color w:val="auto"/>
              </w:rPr>
            </w:pPr>
          </w:p>
        </w:tc>
        <w:tc>
          <w:tcPr>
            <w:tcW w:w="340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10017</w:t>
            </w:r>
          </w:p>
        </w:tc>
      </w:tr>
      <w:tr>
        <w:trPr>
          <w:trHeight w:val="297"/>
        </w:trPr>
        <w:tc>
          <w:tcPr>
            <w:tcW w:w="4280" w:type="dxa"/>
            <w:vAlign w:val="bottom"/>
          </w:tcPr>
          <w:p>
            <w:pPr>
              <w:jc w:val="center"/>
              <w:ind w:right="352"/>
              <w:spacing w:after="0"/>
              <w:rPr>
                <w:sz w:val="20"/>
                <w:szCs w:val="20"/>
                <w:color w:val="auto"/>
              </w:rPr>
            </w:pPr>
            <w:r>
              <w:rPr>
                <w:rFonts w:ascii="Times New Roman" w:cs="Times New Roman" w:eastAsia="Times New Roman" w:hAnsi="Times New Roman"/>
                <w:sz w:val="22"/>
                <w:szCs w:val="22"/>
                <w:color w:val="auto"/>
                <w:w w:val="97"/>
              </w:rPr>
              <w:t>(Address of principal executive offices)</w:t>
            </w:r>
          </w:p>
        </w:tc>
        <w:tc>
          <w:tcPr>
            <w:tcW w:w="3020" w:type="dxa"/>
            <w:vAlign w:val="bottom"/>
          </w:tcPr>
          <w:p>
            <w:pPr>
              <w:spacing w:after="0"/>
              <w:rPr>
                <w:sz w:val="24"/>
                <w:szCs w:val="24"/>
                <w:color w:val="auto"/>
              </w:rPr>
            </w:pPr>
          </w:p>
        </w:tc>
        <w:tc>
          <w:tcPr>
            <w:tcW w:w="3400" w:type="dxa"/>
            <w:vAlign w:val="bottom"/>
          </w:tcPr>
          <w:p>
            <w:pPr>
              <w:jc w:val="center"/>
              <w:ind w:left="172"/>
              <w:spacing w:after="0"/>
              <w:rPr>
                <w:sz w:val="20"/>
                <w:szCs w:val="20"/>
                <w:color w:val="auto"/>
              </w:rPr>
            </w:pPr>
            <w:r>
              <w:rPr>
                <w:rFonts w:ascii="Times New Roman" w:cs="Times New Roman" w:eastAsia="Times New Roman" w:hAnsi="Times New Roman"/>
                <w:sz w:val="22"/>
                <w:szCs w:val="22"/>
                <w:color w:val="auto"/>
                <w:w w:val="99"/>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6700"/>
        <w:spacing w:after="0"/>
        <w:rPr>
          <w:sz w:val="20"/>
          <w:szCs w:val="20"/>
          <w:color w:val="auto"/>
        </w:rPr>
      </w:pPr>
      <w:r>
        <w:rPr>
          <w:rFonts w:ascii="Times New Roman" w:cs="Times New Roman" w:eastAsia="Times New Roman" w:hAnsi="Times New Roman"/>
          <w:sz w:val="22"/>
          <w:szCs w:val="22"/>
          <w:color w:val="auto"/>
        </w:rPr>
        <w:t>Mark D. Fischer</w:t>
      </w:r>
    </w:p>
    <w:p>
      <w:pPr>
        <w:spacing w:after="0" w:line="4" w:lineRule="exact"/>
        <w:rPr>
          <w:sz w:val="24"/>
          <w:szCs w:val="24"/>
          <w:color w:val="auto"/>
        </w:rPr>
      </w:pPr>
    </w:p>
    <w:p>
      <w:pPr>
        <w:ind w:left="6800"/>
        <w:spacing w:after="0"/>
        <w:rPr>
          <w:sz w:val="20"/>
          <w:szCs w:val="20"/>
          <w:color w:val="auto"/>
        </w:rPr>
      </w:pPr>
      <w:r>
        <w:rPr>
          <w:rFonts w:ascii="Times New Roman" w:cs="Times New Roman" w:eastAsia="Times New Roman" w:hAnsi="Times New Roman"/>
          <w:sz w:val="22"/>
          <w:szCs w:val="22"/>
          <w:color w:val="auto"/>
        </w:rPr>
        <w:t>212-381-3500</w:t>
      </w:r>
    </w:p>
    <w:p>
      <w:pPr>
        <w:ind w:left="4060"/>
        <w:spacing w:after="0" w:line="230" w:lineRule="auto"/>
        <w:rPr>
          <w:sz w:val="20"/>
          <w:szCs w:val="20"/>
          <w:color w:val="auto"/>
        </w:rPr>
      </w:pPr>
      <w:r>
        <w:rPr>
          <w:rFonts w:ascii="Times New Roman" w:cs="Times New Roman" w:eastAsia="Times New Roman" w:hAnsi="Times New Roman"/>
          <w:sz w:val="22"/>
          <w:szCs w:val="22"/>
          <w:color w:val="auto"/>
        </w:rPr>
        <w:t>(Name and telephone number, including area code, of the</w:t>
      </w:r>
    </w:p>
    <w:p>
      <w:pPr>
        <w:spacing w:after="0" w:line="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person to contact in connection with this report.)</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indicate the rule pursuant to which this form is being filed:</w:t>
      </w:r>
    </w:p>
    <w:p>
      <w:pPr>
        <w:spacing w:after="0" w:line="206" w:lineRule="exact"/>
        <w:rPr>
          <w:sz w:val="24"/>
          <w:szCs w:val="24"/>
          <w:color w:val="auto"/>
        </w:rPr>
      </w:pPr>
    </w:p>
    <w:p>
      <w:pPr>
        <w:ind w:right="180" w:firstLine="8"/>
        <w:spacing w:after="0" w:line="217" w:lineRule="auto"/>
        <w:tabs>
          <w:tab w:leader="none" w:pos="249"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13p-1 under the Securities Exchange Act (17 CFR 240.13p-1) for the reporting period from January 1 to December 31, 2025.</w:t>
      </w:r>
    </w:p>
    <w:p>
      <w:pPr>
        <w:spacing w:after="0" w:line="285" w:lineRule="exact"/>
        <w:rPr>
          <w:sz w:val="24"/>
          <w:szCs w:val="24"/>
          <w:color w:val="auto"/>
        </w:rPr>
      </w:pPr>
    </w:p>
    <w:p>
      <w:pPr>
        <w:spacing w:after="0"/>
        <w:rPr>
          <w:sz w:val="20"/>
          <w:szCs w:val="20"/>
          <w:color w:val="auto"/>
        </w:rPr>
      </w:pPr>
      <w:r>
        <w:rPr>
          <w:rFonts w:ascii="Wingdings" w:cs="Wingdings" w:eastAsia="Wingdings" w:hAnsi="Wingdings"/>
          <w:sz w:val="22"/>
          <w:szCs w:val="22"/>
          <w:b w:val="1"/>
          <w:bCs w:val="1"/>
          <w:color w:val="auto"/>
        </w:rPr>
        <w:t>o</w:t>
      </w:r>
      <w:r>
        <w:rPr>
          <w:rFonts w:ascii="Times New Roman" w:cs="Times New Roman" w:eastAsia="Times New Roman" w:hAnsi="Times New Roman"/>
          <w:sz w:val="22"/>
          <w:szCs w:val="22"/>
          <w:color w:val="auto"/>
        </w:rPr>
        <w:t>Rule 13q-1 under the Securities Exchange Act (17 CFR 240.13q-1) for the fiscal year ended .</w:t>
      </w:r>
    </w:p>
    <w:p>
      <w:pPr>
        <w:sectPr>
          <w:pgSz w:w="11900" w:h="16838" w:orient="portrait"/>
          <w:cols w:equalWidth="0" w:num="1">
            <w:col w:w="11180"/>
          </w:cols>
          <w:pgMar w:left="320" w:top="1440" w:right="399" w:bottom="1440" w:gutter="0" w:footer="0" w:header="0"/>
        </w:sectPr>
      </w:pPr>
    </w:p>
    <w:bookmarkStart w:id="1" w:name="page2"/>
    <w:bookmarkEnd w:id="1"/>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Section 1—Conflict Minerals Disclosure</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 Conflict Minerals Report is attached as an exhibit to this Form SD and is available on our corporate website, PVH.com, as permitted by Rule 13p-1 under the Securities Exchange Act of 1934, as amended, and Form SD. The information contained on our website is not incorporated by reference into this Form SD or our Conflict Minerals Report and should not be considered part of this Form SD or the Conflict Minerals Report.</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Item 1.02 Exhibit</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The Conflict Minerals Report provided for in Item 1.01 is filed as Exhibit 1.01 to this Form SD.</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Section 2—Resource Extraction Issuer Disclosure</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Item 2.01 Resource Extraction Issuer Disclosure and Report</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Section 3—Exhibits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Item 3.01 Exhibits</w:t>
      </w:r>
    </w:p>
    <w:p>
      <w:pPr>
        <w:spacing w:after="0" w:line="89"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22"/>
          <w:szCs w:val="22"/>
          <w:color w:val="auto"/>
        </w:rPr>
        <w:t>Exhibit 1.01 –</w:t>
      </w:r>
      <w:r>
        <w:rPr>
          <w:sz w:val="20"/>
          <w:szCs w:val="20"/>
          <w:color w:val="auto"/>
        </w:rPr>
        <w:tab/>
      </w:r>
      <w:r>
        <w:rPr>
          <w:rFonts w:ascii="Times New Roman" w:cs="Times New Roman" w:eastAsia="Times New Roman" w:hAnsi="Times New Roman"/>
          <w:sz w:val="21"/>
          <w:szCs w:val="21"/>
          <w:u w:val="single" w:color="auto"/>
          <w:color w:val="0000FF"/>
        </w:rPr>
        <w:t>Conflict Minerals Report for the calendar year that ended December 31, 2025</w:t>
      </w:r>
    </w:p>
    <w:p>
      <w:pPr>
        <w:sectPr>
          <w:pgSz w:w="11900" w:h="16838" w:orient="portrait"/>
          <w:cols w:equalWidth="0" w:num="1">
            <w:col w:w="11160"/>
          </w:cols>
          <w:pgMar w:left="400" w:top="1440" w:right="339" w:bottom="1440" w:gutter="0" w:footer="0" w:header="0"/>
        </w:sectPr>
      </w:pPr>
    </w:p>
    <w:bookmarkStart w:id="2" w:name="page3"/>
    <w:bookmarkEnd w:id="2"/>
    <w:p>
      <w:pPr>
        <w:spacing w:after="0" w:line="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8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PVH CORP.</w:t>
            </w:r>
          </w:p>
        </w:tc>
        <w:tc>
          <w:tcPr>
            <w:tcW w:w="1800" w:type="dxa"/>
            <w:vAlign w:val="bottom"/>
          </w:tcPr>
          <w:p>
            <w:pPr>
              <w:spacing w:after="0"/>
              <w:rPr>
                <w:sz w:val="24"/>
                <w:szCs w:val="24"/>
                <w:color w:val="auto"/>
              </w:rPr>
            </w:pPr>
          </w:p>
        </w:tc>
      </w:tr>
      <w:tr>
        <w:trPr>
          <w:trHeight w:val="636"/>
        </w:trPr>
        <w:tc>
          <w:tcPr>
            <w:tcW w:w="28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Mark D. Fischer</w:t>
            </w:r>
          </w:p>
        </w:tc>
        <w:tc>
          <w:tcPr>
            <w:tcW w:w="1800" w:type="dxa"/>
            <w:vAlign w:val="bottom"/>
          </w:tcPr>
          <w:p>
            <w:pPr>
              <w:ind w:left="600"/>
              <w:spacing w:after="0"/>
              <w:rPr>
                <w:sz w:val="20"/>
                <w:szCs w:val="20"/>
                <w:color w:val="auto"/>
              </w:rPr>
            </w:pPr>
            <w:r>
              <w:rPr>
                <w:rFonts w:ascii="Times New Roman" w:cs="Times New Roman" w:eastAsia="Times New Roman" w:hAnsi="Times New Roman"/>
                <w:sz w:val="22"/>
                <w:szCs w:val="22"/>
                <w:color w:val="auto"/>
                <w:w w:val="96"/>
              </w:rPr>
              <w:t>May 27, 2026</w:t>
            </w:r>
          </w:p>
        </w:tc>
      </w:tr>
      <w:tr>
        <w:trPr>
          <w:trHeight w:val="20"/>
        </w:trPr>
        <w:tc>
          <w:tcPr>
            <w:tcW w:w="3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63"/>
        </w:trPr>
        <w:tc>
          <w:tcPr>
            <w:tcW w:w="28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Mark D. Fischer</w:t>
            </w:r>
          </w:p>
        </w:tc>
        <w:tc>
          <w:tcPr>
            <w:tcW w:w="1800" w:type="dxa"/>
            <w:vAlign w:val="bottom"/>
          </w:tcPr>
          <w:p>
            <w:pPr>
              <w:spacing w:after="0"/>
              <w:rPr>
                <w:sz w:val="22"/>
                <w:szCs w:val="22"/>
                <w:color w:val="auto"/>
              </w:rPr>
            </w:pPr>
          </w:p>
        </w:tc>
      </w:tr>
      <w:tr>
        <w:trPr>
          <w:trHeight w:val="282"/>
        </w:trPr>
        <w:tc>
          <w:tcPr>
            <w:tcW w:w="28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Executive Vice President</w:t>
            </w:r>
          </w:p>
        </w:tc>
        <w:tc>
          <w:tcPr>
            <w:tcW w:w="180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PVH Corp. (together with its subsidiaries, “PVH,” the “Company,” “we,” “us” or “our”) has included this Conflict Minerals Report (the “Report”) as an exhibit to its Form SD for 2025, as permitted under Rule 13p-1 under the Securities Exchange Act of 1934, as amended (the “Exchange Act”), and Form SD (together, the “Rule”). Both the Form SD and the Report are being filed electronically with the Securities and Exchange Commission (the “SEC”) on May 27, 2026.</w:t>
      </w:r>
    </w:p>
    <w:p>
      <w:pPr>
        <w:spacing w:after="0" w:line="19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used herein and consistent with the Rule, “Conflict Minerals” or “3TG” are columbite- tantalite (coltan), cassiterite, gold, wolframite, and three specified derivatives: tantalum, tin, and tungsten. 3TG that are necessary to the functionality or production of our products are referred to herein as “Necessary 3TG.” Our products that contain Necessary 3TG are referred to herein as “In-scope Products.” The terms “adjoining country” and “armed group,” as used in this Report, have the meanings contained in the Rule.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Summary</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3TG were not necessary to the functionality or production of the vast majority of our products. Therefore, those products are not subject to disclosure under the Rule. For the small number of our products that contained 3TG, 3TG usually constituted a small portion of the content.</w:t>
      </w:r>
    </w:p>
    <w:p>
      <w:pPr>
        <w:spacing w:after="0" w:line="20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Typically, we are many levels removed from the market participants that source 3TG used in the components of our products and our supply chain is constantly evolving and geographically diverse. As a result, we were unable to determine the origin of all of the Necessary 3TG contained in our In-scope Products. However, we have no knowledge that even the small amounts of Necessary 3TG in our In-scope Products originated in the Democratic Republic of the Congo, or any adjoining countries (collectively, the “Covered Countries”).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Report discusses the steps we have taken to ensure that our and our suppliers’ sourcing practices are consistent with our commitment to maintaining the highest moral and ethical standards and our Conflict Minerals Policy (the “Policy”), which is described below.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Applicability of the Conflict Minerals Rule to Our Company</w:t>
      </w:r>
    </w:p>
    <w:p>
      <w:pPr>
        <w:spacing w:after="0" w:line="233" w:lineRule="exact"/>
        <w:rPr>
          <w:sz w:val="20"/>
          <w:szCs w:val="20"/>
          <w:color w:val="auto"/>
        </w:rPr>
      </w:pPr>
    </w:p>
    <w:p>
      <w:pPr>
        <w:ind w:right="900"/>
        <w:spacing w:after="0" w:line="262" w:lineRule="auto"/>
        <w:rPr>
          <w:sz w:val="20"/>
          <w:szCs w:val="20"/>
          <w:color w:val="auto"/>
        </w:rPr>
      </w:pPr>
      <w:r>
        <w:rPr>
          <w:rFonts w:ascii="Times New Roman" w:cs="Times New Roman" w:eastAsia="Times New Roman" w:hAnsi="Times New Roman"/>
          <w:sz w:val="22"/>
          <w:szCs w:val="22"/>
          <w:color w:val="auto"/>
        </w:rPr>
        <w:t xml:space="preserve">PVH is one of the largest global apparel companies in the world, driven by our iconic brands </w:t>
      </w:r>
      <w:r>
        <w:rPr>
          <w:rFonts w:ascii="Times New Roman" w:cs="Times New Roman" w:eastAsia="Times New Roman" w:hAnsi="Times New Roman"/>
          <w:sz w:val="22"/>
          <w:szCs w:val="22"/>
          <w:i w:val="1"/>
          <w:iCs w:val="1"/>
          <w:color w:val="auto"/>
        </w:rPr>
        <w:t>Calvin Klein</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TOMMY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HILFIGER. </w:t>
      </w:r>
      <w:r>
        <w:rPr>
          <w:rFonts w:ascii="Times New Roman" w:cs="Times New Roman" w:eastAsia="Times New Roman" w:hAnsi="Times New Roman"/>
          <w:sz w:val="22"/>
          <w:szCs w:val="22"/>
          <w:color w:val="auto"/>
        </w:rPr>
        <w:t>We have approximately 28,000 associates and operate in more than 40 countries.</w:t>
      </w:r>
    </w:p>
    <w:p>
      <w:pPr>
        <w:spacing w:after="0" w:line="18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are subject to the Rule because we are a public company with securities registered pursuant to Section 12(g) of the Exchange Act. While we do not have direct manufacturing operations that use 3TG, we are required to file a Form SD because we contract to manufacture certain products that contain Necessary 3TG.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Conflict Minerals Policy</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PVH has long been committed to maintaining high moral and ethical standards in every aspect of our business activities. In furtherance thereof, and for the purposes of the Rule, PVH has adopted the Policy as part of our larger efforts to encourage our suppliers to respect human rights and not contribute to conflict.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68" w:right="339" w:bottom="1440" w:gutter="0" w:footer="0" w:header="0"/>
        </w:sectPr>
      </w:pPr>
    </w:p>
    <w:bookmarkStart w:id="4" w:name="page5"/>
    <w:bookmarkEnd w:id="4"/>
    <w:p>
      <w:pPr>
        <w:ind w:right="20"/>
        <w:spacing w:after="0" w:line="258" w:lineRule="auto"/>
        <w:rPr>
          <w:sz w:val="20"/>
          <w:szCs w:val="20"/>
          <w:color w:val="auto"/>
        </w:rPr>
      </w:pPr>
      <w:r>
        <w:rPr>
          <w:rFonts w:ascii="Times New Roman" w:cs="Times New Roman" w:eastAsia="Times New Roman" w:hAnsi="Times New Roman"/>
          <w:sz w:val="22"/>
          <w:szCs w:val="22"/>
          <w:color w:val="auto"/>
        </w:rPr>
        <w:t>The Policy states clearly that we expect suppliers who supply or manufacture components, parts or products for PVH that contain 3TG to:</w:t>
      </w:r>
    </w:p>
    <w:p>
      <w:pPr>
        <w:spacing w:after="0" w:line="185" w:lineRule="exact"/>
        <w:rPr>
          <w:sz w:val="20"/>
          <w:szCs w:val="20"/>
          <w:color w:val="auto"/>
        </w:rPr>
      </w:pPr>
    </w:p>
    <w:p>
      <w:pPr>
        <w:jc w:val="both"/>
        <w:ind w:left="660" w:right="20" w:hanging="328"/>
        <w:spacing w:after="0" w:line="244"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those minerals from socially and environmentally responsible sources that do not directly or indirectly contribute to conflict or human rights abuses, including sourcing 3TG only from sources that do not directly or indirectly finance or benefit armed groups;</w:t>
      </w:r>
    </w:p>
    <w:p>
      <w:pPr>
        <w:spacing w:after="0" w:line="20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implement and communicate to their employees practices and policies that are consistent with the Policy;</w:t>
      </w:r>
    </w:p>
    <w:p>
      <w:pPr>
        <w:spacing w:after="0" w:line="233" w:lineRule="exact"/>
        <w:rPr>
          <w:rFonts w:ascii="Times New Roman" w:cs="Times New Roman" w:eastAsia="Times New Roman" w:hAnsi="Times New Roman"/>
          <w:sz w:val="22"/>
          <w:szCs w:val="22"/>
          <w:color w:val="auto"/>
        </w:rPr>
      </w:pPr>
    </w:p>
    <w:p>
      <w:pPr>
        <w:ind w:left="660" w:hanging="328"/>
        <w:spacing w:after="0" w:line="258"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familiarize themselves with the Rule and the OECD Due Diligence Guidance for Responsible Supply Chains of Minerals from Conflict-Affected and High-Risk Areas (the “Guidance”);</w:t>
      </w:r>
    </w:p>
    <w:p>
      <w:pPr>
        <w:spacing w:after="0" w:line="18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put in place procedures for the traceability of 3TG, working with their suppliers as appropriate;</w:t>
      </w:r>
    </w:p>
    <w:p>
      <w:pPr>
        <w:spacing w:after="0" w:line="219" w:lineRule="exact"/>
        <w:rPr>
          <w:rFonts w:ascii="Times New Roman" w:cs="Times New Roman" w:eastAsia="Times New Roman" w:hAnsi="Times New Roman"/>
          <w:sz w:val="22"/>
          <w:szCs w:val="22"/>
          <w:color w:val="auto"/>
        </w:rPr>
      </w:pPr>
    </w:p>
    <w:p>
      <w:pPr>
        <w:ind w:left="660" w:hanging="328"/>
        <w:spacing w:after="0" w:line="258"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possible, source 3TG from smelters and refiners validated by independent third parties as being conflict-free or the equivalent;</w:t>
      </w:r>
    </w:p>
    <w:p>
      <w:pPr>
        <w:spacing w:after="0" w:line="18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reviewable business records supporting the source of 3TG;</w:t>
      </w:r>
    </w:p>
    <w:p>
      <w:pPr>
        <w:spacing w:after="0" w:line="233" w:lineRule="exact"/>
        <w:rPr>
          <w:rFonts w:ascii="Times New Roman" w:cs="Times New Roman" w:eastAsia="Times New Roman" w:hAnsi="Times New Roman"/>
          <w:sz w:val="22"/>
          <w:szCs w:val="22"/>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time to time, at our request, provide to us written certifications and other information concerning the origin of 3TG included in products, components and parts supplied to us, and the supplier’s compliance with the Policy generally;</w:t>
      </w:r>
    </w:p>
    <w:p>
      <w:pPr>
        <w:spacing w:after="0" w:line="161"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a risk management strategy with respect to identified risks in the supply chain that is consistent with the Policy;</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otherwise establish policies, due diligence procedures and management systems that are consistent with the Guidance; and</w:t>
      </w:r>
    </w:p>
    <w:p>
      <w:pPr>
        <w:spacing w:after="0" w:line="244" w:lineRule="exact"/>
        <w:rPr>
          <w:rFonts w:ascii="Times New Roman" w:cs="Times New Roman" w:eastAsia="Times New Roman" w:hAnsi="Times New Roman"/>
          <w:sz w:val="21"/>
          <w:szCs w:val="21"/>
          <w:color w:val="auto"/>
        </w:rPr>
      </w:pPr>
    </w:p>
    <w:p>
      <w:pPr>
        <w:ind w:left="660" w:hanging="328"/>
        <w:spacing w:after="0" w:line="258" w:lineRule="auto"/>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their direct and indirect suppliers to adopt policies and procedures that are consistent with those contained in the Policy.</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The Policy also encourages suppliers to support industry efforts to enhance traceability and responsible practices in the global minerals supply chain.</w:t>
      </w:r>
    </w:p>
    <w:p>
      <w:pPr>
        <w:spacing w:after="0" w:line="19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Additionally, the Policy provides that, upon learning of a violation, we may require a supplier to commit to and implement a corrective action plan within a reasonable timeframe. Finally, the Policy provides that continued failure to adhere to the Policy, or refusal to address issues of concern, may lead us to terminate our business relationship with the supplier.</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Neither the Policy nor PVH condones a general embargo on 3TG sourced from conflict-affected and other high-risk areas, and we encourage our suppliers to continue to source from these areas, to the extent they can do so responsibly.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14" w:right="339" w:bottom="1440" w:gutter="0" w:footer="0" w:header="0"/>
        </w:sectPr>
      </w:pPr>
    </w:p>
    <w:bookmarkStart w:id="5" w:name="page6"/>
    <w:bookmarkEnd w:id="5"/>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Product Scoping; Reasonable Country of Origin Inquiry Information</w:t>
      </w:r>
    </w:p>
    <w:p>
      <w:pPr>
        <w:spacing w:after="0" w:line="2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As required by the Rule, for 2025, we conducted a “reasonable country of origin inquiry” (“RCOI”). Our RCOI was reasonably designed to determine in good faith whether any of the 3TG in our In-scope Products originated in a Covered Country or from recycled or scrap sources. For our RCOI, we utilized the management systems contemplated by Step One of the Guidance, including the Supplement on Tin, Tantalum and Tungsten and the Supplement on Gold, and the supplier engagement process contemplated by Step Two of the Guidance. These steps and the related activities are discussed below under “Due Diligence Measures.”</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Our product scoping process included an internal review to determine which of our product categories contain, are likely to contain, or may contain any of the 3TG, and which active suppliers manufactured those products for our Company (“Covered Suppliers”).</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To collect information for our RCOI, we sent the Conflict Minerals Reporting Template (the “CMRT”) developed by the Responsible Minerals Initiative (the “RMI”) to the 513 Covered Suppliers identified in our internal review. We also provided these Covered Suppliers with a cover email and materials explaining the requirements of the Conflict Minerals Rule and our expectations for compliance with the Rule and our Policy. Upon request, we also provided our Covered Suppliers with training materials on the Rule and our Policy. Our review of the Covered Suppliers’ responses is discussed under “Due Diligence Measures.”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received completed CMRTs from 100% of our active Covered Suppliers.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Pursuant to the Rule, based on the results of our RCOI, we conducted due diligence as discussed below.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Due Diligence Measures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our 2025 due diligence, we followed the criteria set forth in the Guidance.</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Guidance provides for a five-step framework for due diligence as a basis for responsible global supply chain management of minerals from conflict-affected and high-risk areas. Selected elements of our due diligence program are discussed below. The headings below conform to the headings used in the Guidance for each of the five steps of the framework.</w:t>
      </w:r>
    </w:p>
    <w:p>
      <w:pPr>
        <w:spacing w:after="0" w:line="19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Step One: Establish strong company management systems</w:t>
      </w:r>
    </w:p>
    <w:p>
      <w:pPr>
        <w:spacing w:after="0" w:line="237"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288"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maintain the Policy. We communicate the Policy internally and externally by posting it on our corporate website, PVH.com, and by distributing it to all of our suppliers and licensees.</w:t>
      </w:r>
    </w:p>
    <w:p>
      <w:pPr>
        <w:spacing w:after="0" w:line="185" w:lineRule="exact"/>
        <w:rPr>
          <w:rFonts w:ascii="Times New Roman" w:cs="Times New Roman" w:eastAsia="Times New Roman" w:hAnsi="Times New Roman"/>
          <w:sz w:val="22"/>
          <w:szCs w:val="22"/>
          <w:color w:val="auto"/>
        </w:rPr>
      </w:pPr>
    </w:p>
    <w:p>
      <w:pPr>
        <w:jc w:val="both"/>
        <w:ind w:left="1300" w:hanging="320"/>
        <w:spacing w:after="0" w:line="234" w:lineRule="auto"/>
        <w:tabs>
          <w:tab w:leader="none" w:pos="130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have a Conflict Minerals working group of senior associates, led by our Vice President &amp; Associate General Counsel, Global Compliance, who work on our Conflict Minerals compliance strategy. This working group includes representatives from the PVH Legal and Supply teams. Working group members are educated on the Rule, the Guidance, our compliance plan and the procedures for reviewing and validating supplier responses to our inquiries. We have in prior compliance periods provided training to our supply chain leads, to enable them to better explain our</w:t>
      </w:r>
    </w:p>
    <w:p>
      <w:pPr>
        <w:spacing w:after="0" w:line="200" w:lineRule="exact"/>
        <w:rPr>
          <w:sz w:val="20"/>
          <w:szCs w:val="20"/>
          <w:color w:val="auto"/>
        </w:rPr>
      </w:pPr>
    </w:p>
    <w:p>
      <w:pPr>
        <w:spacing w:after="0" w:line="30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ind w:left="1220"/>
        <w:spacing w:after="0" w:line="258" w:lineRule="auto"/>
        <w:rPr>
          <w:sz w:val="20"/>
          <w:szCs w:val="20"/>
          <w:color w:val="auto"/>
        </w:rPr>
      </w:pPr>
      <w:r>
        <w:rPr>
          <w:rFonts w:ascii="Times New Roman" w:cs="Times New Roman" w:eastAsia="Times New Roman" w:hAnsi="Times New Roman"/>
          <w:sz w:val="22"/>
          <w:szCs w:val="22"/>
          <w:color w:val="auto"/>
        </w:rPr>
        <w:t>requirements to Covered Suppliers. We also use outside counsel with expertise on compliance and reporting under the Rule to assist us with our compliance efforts.</w:t>
      </w:r>
    </w:p>
    <w:p>
      <w:pPr>
        <w:spacing w:after="0" w:line="185" w:lineRule="exact"/>
        <w:rPr>
          <w:sz w:val="20"/>
          <w:szCs w:val="20"/>
          <w:color w:val="auto"/>
        </w:rPr>
      </w:pPr>
    </w:p>
    <w:p>
      <w:pPr>
        <w:jc w:val="both"/>
        <w:ind w:left="1220" w:hanging="320"/>
        <w:spacing w:after="0" w:line="244" w:lineRule="auto"/>
        <w:tabs>
          <w:tab w:leader="none" w:pos="1208"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use the CMRT developed by the RMI to gather supply chain information. We maintain business records relating to our 3TG due diligence, including responses to the CMRT, findings and resulting decisions, for at least five years.</w:t>
      </w:r>
    </w:p>
    <w:p>
      <w:pPr>
        <w:spacing w:after="0" w:line="200" w:lineRule="exact"/>
        <w:rPr>
          <w:rFonts w:ascii="Times New Roman" w:cs="Times New Roman" w:eastAsia="Times New Roman" w:hAnsi="Times New Roman"/>
          <w:sz w:val="22"/>
          <w:szCs w:val="22"/>
          <w:color w:val="auto"/>
        </w:rPr>
      </w:pPr>
    </w:p>
    <w:p>
      <w:pPr>
        <w:ind w:left="1220" w:hanging="320"/>
        <w:spacing w:after="0"/>
        <w:tabs>
          <w:tab w:leader="none" w:pos="122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Our supplier and licensee agreements require compliance with various of our policies, including the Policy.</w:t>
      </w:r>
    </w:p>
    <w:p>
      <w:pPr>
        <w:spacing w:after="0" w:line="233" w:lineRule="exact"/>
        <w:rPr>
          <w:rFonts w:ascii="Times New Roman" w:cs="Times New Roman" w:eastAsia="Times New Roman" w:hAnsi="Times New Roman"/>
          <w:sz w:val="20"/>
          <w:szCs w:val="20"/>
          <w:color w:val="auto"/>
        </w:rPr>
      </w:pPr>
    </w:p>
    <w:p>
      <w:pPr>
        <w:jc w:val="both"/>
        <w:ind w:left="1220" w:hanging="320"/>
        <w:spacing w:after="0" w:line="236" w:lineRule="auto"/>
        <w:tabs>
          <w:tab w:leader="none" w:pos="1209"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Associates, suppliers and other interested third parties can report potential violations of the Policy through internal and external channels, including our Tell PVH hotline and website. Reports may be made anonymously (except as prohibited by law) online or via the telephone in any of 21 languages and are kept confidential to the extent possible.</w:t>
      </w:r>
    </w:p>
    <w:p>
      <w:pPr>
        <w:spacing w:after="0" w:line="202" w:lineRule="exact"/>
        <w:rPr>
          <w:rFonts w:ascii="Times New Roman" w:cs="Times New Roman" w:eastAsia="Times New Roman" w:hAnsi="Times New Roman"/>
          <w:sz w:val="20"/>
          <w:szCs w:val="20"/>
          <w:color w:val="auto"/>
        </w:rPr>
      </w:pPr>
    </w:p>
    <w:p>
      <w:pPr>
        <w:ind w:left="580" w:hanging="328"/>
        <w:spacing w:after="0"/>
        <w:tabs>
          <w:tab w:leader="none" w:pos="5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Step Two: Identify and assess risk in the supply chain</w:t>
      </w:r>
    </w:p>
    <w:p>
      <w:pPr>
        <w:spacing w:after="0" w:line="237" w:lineRule="exact"/>
        <w:rPr>
          <w:rFonts w:ascii="Times New Roman" w:cs="Times New Roman" w:eastAsia="Times New Roman" w:hAnsi="Times New Roman"/>
          <w:sz w:val="22"/>
          <w:szCs w:val="22"/>
          <w:color w:val="auto"/>
        </w:rPr>
      </w:pPr>
    </w:p>
    <w:p>
      <w:pPr>
        <w:jc w:val="both"/>
        <w:ind w:left="1220" w:hanging="320"/>
        <w:spacing w:after="0" w:line="255" w:lineRule="auto"/>
        <w:tabs>
          <w:tab w:leader="none" w:pos="1208"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Covered Suppliers were asked to provide us with information, through the completion of the CMRT, concerning the usage and source of 3TG in the products that they manufacture for us. For 2025, we sent emails to each of our 513 Covered Suppliers explaining our obligations under the Rule and the Policy and requesting that they complete the CMRT. We followed up by email with all Covered Suppliers that did not respond within a specified timeframe.</w:t>
      </w:r>
    </w:p>
    <w:p>
      <w:pPr>
        <w:spacing w:after="0" w:line="188" w:lineRule="exact"/>
        <w:rPr>
          <w:rFonts w:ascii="Times New Roman" w:cs="Times New Roman" w:eastAsia="Times New Roman" w:hAnsi="Times New Roman"/>
          <w:sz w:val="21"/>
          <w:szCs w:val="21"/>
          <w:color w:val="auto"/>
        </w:rPr>
      </w:pPr>
    </w:p>
    <w:p>
      <w:pPr>
        <w:jc w:val="both"/>
        <w:ind w:left="1220" w:hanging="320"/>
        <w:spacing w:after="0" w:line="244" w:lineRule="auto"/>
        <w:tabs>
          <w:tab w:leader="none" w:pos="12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reviewed the Covered Suppliers’ completed CMRTs and followed up on any response that appeared to be inaccurate or incomplete. In each case, we requested a revised or more detailed response and continued to follow up as appropriate.</w:t>
      </w:r>
    </w:p>
    <w:p>
      <w:pPr>
        <w:spacing w:after="0" w:line="200" w:lineRule="exact"/>
        <w:rPr>
          <w:rFonts w:ascii="Times New Roman" w:cs="Times New Roman" w:eastAsia="Times New Roman" w:hAnsi="Times New Roman"/>
          <w:sz w:val="22"/>
          <w:szCs w:val="22"/>
          <w:color w:val="auto"/>
        </w:rPr>
      </w:pPr>
    </w:p>
    <w:p>
      <w:pPr>
        <w:jc w:val="both"/>
        <w:ind w:left="1220" w:hanging="320"/>
        <w:spacing w:after="0" w:line="236" w:lineRule="auto"/>
        <w:tabs>
          <w:tab w:leader="none" w:pos="1208"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and our outside counsel with expertise in supply chain compliance separately reviewed the smelter and refiner information provided by the Covered Suppliers against the CMRT’s Smelter Look-up tab list. Smelter and refiner information was also reviewed against the lists of “conformant” and “active” smelters and refiners published by the RMI.</w:t>
      </w:r>
    </w:p>
    <w:p>
      <w:pPr>
        <w:spacing w:after="0" w:line="206" w:lineRule="exact"/>
        <w:rPr>
          <w:rFonts w:ascii="Times New Roman" w:cs="Times New Roman" w:eastAsia="Times New Roman" w:hAnsi="Times New Roman"/>
          <w:sz w:val="22"/>
          <w:szCs w:val="22"/>
          <w:color w:val="auto"/>
        </w:rPr>
      </w:pPr>
    </w:p>
    <w:p>
      <w:pPr>
        <w:jc w:val="both"/>
        <w:ind w:left="1220" w:hanging="320"/>
        <w:spacing w:after="0" w:line="235" w:lineRule="auto"/>
        <w:tabs>
          <w:tab w:leader="none" w:pos="122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To the extent that a smelter or refiner identified by a Covered Supplier was not listed as “active” or “conformant” by the RMI, we followed up with the Covered Supplier regarding whether the smelter or refiner was in our supply chain. Based on the information received from the Covered Suppliers, it is inconclusive whether any of the identified smelters and refiners not listed as “active” or “conformant” processed Necessary 3TG contained in our In-scope Products. For 2025, 86% of the smelters and refiners identified by our Covered Suppliers as a potential source of Necessary 3TG were listed as “conformant.” The remaining 14% have not to our knowledge been determined to directly or indirectly finance armed groups in a Covered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60"/>
          </w:cols>
          <w:pgMar w:left="400" w:top="1314" w:right="339" w:bottom="1440" w:gutter="0" w:footer="0" w:header="0"/>
        </w:sectPr>
      </w:pPr>
    </w:p>
    <w:bookmarkStart w:id="7" w:name="page8"/>
    <w:bookmarkEnd w:id="7"/>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Step Three: Design and implement a strategy to respond to identified risks</w:t>
      </w:r>
    </w:p>
    <w:p>
      <w:pPr>
        <w:spacing w:after="0" w:line="237" w:lineRule="exact"/>
        <w:rPr>
          <w:rFonts w:ascii="Times New Roman" w:cs="Times New Roman" w:eastAsia="Times New Roman" w:hAnsi="Times New Roman"/>
          <w:sz w:val="22"/>
          <w:szCs w:val="22"/>
          <w:color w:val="auto"/>
        </w:rPr>
      </w:pPr>
    </w:p>
    <w:p>
      <w:pPr>
        <w:ind w:left="1300" w:hanging="320"/>
        <w:spacing w:after="0" w:line="258" w:lineRule="auto"/>
        <w:tabs>
          <w:tab w:leader="none" w:pos="1289"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Our Vice President &amp; Associate General Counsel, Global Compliance, reported the findings of our Conflict Minerals supply chain risk assessment to our General Counsel and our Chief Sustainability Officer.</w:t>
      </w:r>
    </w:p>
    <w:p>
      <w:pPr>
        <w:spacing w:after="0" w:line="185" w:lineRule="exact"/>
        <w:rPr>
          <w:rFonts w:ascii="Times New Roman" w:cs="Times New Roman" w:eastAsia="Times New Roman" w:hAnsi="Times New Roman"/>
          <w:sz w:val="20"/>
          <w:szCs w:val="20"/>
          <w:color w:val="auto"/>
        </w:rPr>
      </w:pPr>
    </w:p>
    <w:p>
      <w:pPr>
        <w:ind w:left="1300" w:hanging="320"/>
        <w:spacing w:after="0" w:line="258" w:lineRule="auto"/>
        <w:tabs>
          <w:tab w:leader="none" w:pos="130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We would address any identified risks on a case-by-case basis. This flexible approach enables us to tailor the response to the risks identified.</w:t>
      </w:r>
    </w:p>
    <w:p>
      <w:pPr>
        <w:spacing w:after="0" w:line="18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Step Four: Carry out independent third-party audits of supply chain due diligence at identified points in the supply chain</w:t>
      </w:r>
    </w:p>
    <w:p>
      <w:pPr>
        <w:spacing w:after="0" w:line="248" w:lineRule="exact"/>
        <w:rPr>
          <w:rFonts w:ascii="Times New Roman" w:cs="Times New Roman" w:eastAsia="Times New Roman" w:hAnsi="Times New Roman"/>
          <w:sz w:val="21"/>
          <w:szCs w:val="21"/>
          <w:color w:val="auto"/>
        </w:rPr>
      </w:pPr>
    </w:p>
    <w:p>
      <w:pPr>
        <w:jc w:val="both"/>
        <w:ind w:left="1300" w:hanging="320"/>
        <w:spacing w:after="0" w:line="244" w:lineRule="auto"/>
        <w:tabs>
          <w:tab w:leader="none" w:pos="1288"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and our outside counsel with expertise in supply chain compliance utilize information made available by the RMI concerning independent third-party audits of smelters and refiners to assess the compliance practices of identified smelters and refiners.</w:t>
      </w:r>
    </w:p>
    <w:p>
      <w:pPr>
        <w:spacing w:after="0" w:line="182" w:lineRule="exact"/>
        <w:rPr>
          <w:rFonts w:ascii="Times New Roman" w:cs="Times New Roman" w:eastAsia="Times New Roman" w:hAnsi="Times New Roman"/>
          <w:sz w:val="22"/>
          <w:szCs w:val="22"/>
          <w:color w:val="auto"/>
        </w:rPr>
      </w:pPr>
    </w:p>
    <w:p>
      <w:pPr>
        <w:ind w:left="540" w:hanging="208"/>
        <w:spacing w:after="0"/>
        <w:tabs>
          <w:tab w:leader="none" w:pos="540" w:val="left"/>
        </w:tabs>
        <w:numPr>
          <w:ilvl w:val="0"/>
          <w:numId w:val="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Step 5: Report on supply chain due diligence</w:t>
      </w:r>
    </w:p>
    <w:p>
      <w:pPr>
        <w:spacing w:after="0" w:line="237" w:lineRule="exact"/>
        <w:rPr>
          <w:rFonts w:ascii="Times New Roman" w:cs="Times New Roman" w:eastAsia="Times New Roman" w:hAnsi="Times New Roman"/>
          <w:sz w:val="22"/>
          <w:szCs w:val="22"/>
          <w:i w:val="1"/>
          <w:iCs w:val="1"/>
          <w:color w:val="auto"/>
        </w:rPr>
      </w:pPr>
    </w:p>
    <w:p>
      <w:pPr>
        <w:ind w:left="1300" w:right="100" w:hanging="320"/>
        <w:spacing w:after="0" w:line="258" w:lineRule="auto"/>
        <w:tabs>
          <w:tab w:leader="none" w:pos="1288"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file a Form SD and a Conflict Minerals Report with the SEC. These filings are also available on our corporate website, PVH.com.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Product Information</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do not contract to manufacture many products that contain Necessary 3TG. Indeed, the majority of our products - consisting primarily of apparel - do not contain any 3TG at all.</w:t>
      </w:r>
    </w:p>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Our Covered Suppliers identified a total of 162 smelters and refiners that potentially sourced 3TG for our In-Scope Products. Of these 162 smelters and refiners, 64 were tin smelters and 98 were gold refiners. As of March 27, 2026, 139 of these smelters and refiners were listed as “conformant” by the RMI, 48, or 75%, of the tin smelters and 91, or 93%, of the gold refiners were listed as “conformant.” None of the tin smelters or gold refiners that were not listed by the RMI as conformant have to our knowledge been determined to directly or indirectly finance armed groups in a Covered Country.</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Covered Suppliers generally provided information at a company level and not a product level. As a result, we were largely unable to determine the smelters and refiners specific to the Necessary 3TG in our In-scope Products or the related country of origin.</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For a further discussion of our products, see our Annual Report on Form 10-K for the fiscal year that ended February 1, 2026. The information contained in our Form 10-K is not incorporated by reference into this Report or our Form SD and should not be considered part of this Report or our Form SD.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Risk Mitigation Efforts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order to mitigate further the risk that the Necessary 3TG contained in our In-scope Products finance or benefit armed groups in conflict-affected or high-risk areas, for 2026, in addition to the due diligence explained above, we plan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10" w:right="339" w:bottom="1440" w:gutter="0" w:footer="0" w:header="0"/>
        </w:sectPr>
      </w:pPr>
    </w:p>
    <w:bookmarkStart w:id="8" w:name="page9"/>
    <w:bookmarkEnd w:id="8"/>
    <w:p>
      <w:pPr>
        <w:ind w:left="580" w:hanging="328"/>
        <w:spacing w:after="0" w:line="258" w:lineRule="auto"/>
        <w:tabs>
          <w:tab w:leader="none" w:pos="5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certain cases, request the completion of a CMRT as part of the exiting process of Covered Suppliers, to ensure that we receive 3TG origin information from inactive, as well as active, suppliers;</w:t>
      </w:r>
    </w:p>
    <w:p>
      <w:pPr>
        <w:spacing w:after="0" w:line="185" w:lineRule="exact"/>
        <w:rPr>
          <w:rFonts w:ascii="Times New Roman" w:cs="Times New Roman" w:eastAsia="Times New Roman" w:hAnsi="Times New Roman"/>
          <w:sz w:val="22"/>
          <w:szCs w:val="22"/>
          <w:color w:val="auto"/>
        </w:rPr>
      </w:pPr>
    </w:p>
    <w:p>
      <w:pPr>
        <w:ind w:left="580" w:hanging="328"/>
        <w:spacing w:after="0" w:line="258" w:lineRule="auto"/>
        <w:tabs>
          <w:tab w:leader="none" w:pos="5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Offer training on the Rule and our Policy for all Covered Suppliers that reported using 3TG in products manufactured for us in 2025, and provide training to any other supplier that requests additional instruction;</w:t>
      </w:r>
    </w:p>
    <w:p>
      <w:pPr>
        <w:spacing w:after="0" w:line="185" w:lineRule="exact"/>
        <w:rPr>
          <w:rFonts w:ascii="Times New Roman" w:cs="Times New Roman" w:eastAsia="Times New Roman" w:hAnsi="Times New Roman"/>
          <w:sz w:val="22"/>
          <w:szCs w:val="22"/>
          <w:color w:val="auto"/>
        </w:rPr>
      </w:pPr>
    </w:p>
    <w:p>
      <w:pPr>
        <w:ind w:left="580" w:hanging="328"/>
        <w:spacing w:after="0"/>
        <w:tabs>
          <w:tab w:leader="none" w:pos="5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additional training to select PVH supply chain personnel; and</w:t>
      </w:r>
    </w:p>
    <w:p>
      <w:pPr>
        <w:spacing w:after="0" w:line="233" w:lineRule="exact"/>
        <w:rPr>
          <w:rFonts w:ascii="Times New Roman" w:cs="Times New Roman" w:eastAsia="Times New Roman" w:hAnsi="Times New Roman"/>
          <w:sz w:val="22"/>
          <w:szCs w:val="22"/>
          <w:color w:val="auto"/>
        </w:rPr>
      </w:pPr>
    </w:p>
    <w:p>
      <w:pPr>
        <w:ind w:left="580" w:hanging="328"/>
        <w:spacing w:after="0" w:line="258" w:lineRule="auto"/>
        <w:tabs>
          <w:tab w:leader="none" w:pos="5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Require all new PVH suppliers, and current suppliers upon renewal of their agreements, to sign the Company’s Global Supplier Agreement, which requires, among other things, adherence to the Policy.</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sectPr>
      <w:pgSz w:w="11900" w:h="16838" w:orient="portrait"/>
      <w:cols w:equalWidth="0" w:num="1">
        <w:col w:w="11160"/>
      </w:cols>
      <w:pgMar w:left="400" w:top="13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lvl w:ilvl="1">
      <w:lvlJc w:val="left"/>
      <w:lvlText w:val="%2."/>
      <w:numFmt w:val="lowerLetter"/>
      <w:start w:val="1"/>
    </w:lvl>
  </w:abstractNum>
  <w:abstractNum w:abstractNumId="3">
    <w:nsid w:val="3D1B58BA"/>
    <w:multiLevelType w:val="hybridMultilevel"/>
    <w:lvl w:ilvl="0">
      <w:lvlJc w:val="left"/>
      <w:lvlText w:val="%1"/>
      <w:numFmt w:val="decimal"/>
      <w:start w:val="1"/>
    </w:lvl>
    <w:lvl w:ilvl="1">
      <w:lvlJc w:val="left"/>
      <w:lvlText w:val="%2."/>
      <w:numFmt w:val="lowerLetter"/>
      <w:start w:val="3"/>
    </w:lvl>
  </w:abstractNum>
  <w:abstractNum w:abstractNumId="4">
    <w:nsid w:val="507ED7AB"/>
    <w:multiLevelType w:val="hybridMultilevel"/>
    <w:lvl w:ilvl="0">
      <w:lvlJc w:val="left"/>
      <w:lvlText w:val="%1."/>
      <w:numFmt w:val="decimal"/>
      <w:start w:val="2"/>
    </w:lvl>
    <w:lvl w:ilvl="1">
      <w:lvlJc w:val="left"/>
      <w:lvlText w:val="%2."/>
      <w:numFmt w:val="lowerLetter"/>
      <w:start w:val="1"/>
    </w:lvl>
  </w:abstractNum>
  <w:abstractNum w:abstractNumId="5">
    <w:nsid w:val="2EB141F2"/>
    <w:multiLevelType w:val="hybridMultilevel"/>
    <w:lvl w:ilvl="0">
      <w:lvlJc w:val="left"/>
      <w:lvlText w:val="%1."/>
      <w:numFmt w:val="decimal"/>
      <w:start w:val="3"/>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2026-05-27T13:20:39Z</dcterms:created>
  <dcterms:modified xsi:type="dcterms:W3CDTF">2026-05-27T13:20:39Z</dcterms:modified>
</cp:coreProperties>
</file>