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7"/>
              </w:rPr>
              <w:t>UNITED STATES</w:t>
            </w:r>
          </w:p>
        </w:tc>
      </w:tr>
      <w:tr>
        <w:trPr>
          <w:trHeight w:val="21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40" w:type="dxa"/>
            <w:vAlign w:val="bottom"/>
            <w:gridSpan w:val="3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SECURITIES AND EXCHANGE COMMISSION</w:t>
            </w:r>
          </w:p>
        </w:tc>
      </w:tr>
      <w:tr>
        <w:trPr>
          <w:trHeight w:val="238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Washington, D.C. 20549</w:t>
            </w:r>
          </w:p>
        </w:tc>
      </w:tr>
      <w:tr>
        <w:trPr>
          <w:trHeight w:val="22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46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SCHEDULE 14A</w:t>
            </w:r>
          </w:p>
        </w:tc>
      </w:tr>
      <w:tr>
        <w:trPr>
          <w:trHeight w:val="22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27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40" w:type="dxa"/>
            <w:vAlign w:val="bottom"/>
            <w:gridSpan w:val="3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Proxy Statement Pursuant to Section 14(a) of</w:t>
            </w:r>
          </w:p>
        </w:tc>
      </w:tr>
      <w:tr>
        <w:trPr>
          <w:trHeight w:val="234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jc w:val="center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the Securities Exchange Act of 1934</w:t>
            </w:r>
          </w:p>
        </w:tc>
      </w:tr>
      <w:tr>
        <w:trPr>
          <w:trHeight w:val="378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the Registrant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</w:tr>
      <w:tr>
        <w:trPr>
          <w:trHeight w:val="303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a Party other than the Registrant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40" w:type="dxa"/>
            <w:vAlign w:val="bottom"/>
            <w:gridSpan w:val="2"/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399"/>
        </w:trPr>
        <w:tc>
          <w:tcPr>
            <w:tcW w:w="3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§240.14a-12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PVH Corp.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896620</wp:posOffset>
            </wp:positionH>
            <wp:positionV relativeFrom="paragraph">
              <wp:posOffset>142875</wp:posOffset>
            </wp:positionV>
            <wp:extent cx="534924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24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the appropriate box):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72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626110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586105</wp:posOffset>
            </wp:positionV>
            <wp:extent cx="7132320" cy="93268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2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448945</wp:posOffset>
            </wp:positionV>
            <wp:extent cx="7132320" cy="93179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31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2026-05-08T11:45:15Z</dcterms:created>
  <dcterms:modified xsi:type="dcterms:W3CDTF">2026-05-08T11:45:15Z</dcterms:modified>
</cp:coreProperties>
</file>