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Savman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Global Brand President, CK</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12,372</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33,206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578</w:t>
            </w:r>
            <w:r>
              <w:rPr>
                <w:rFonts w:ascii="Times New Roman" w:cs="Times New Roman" w:eastAsia="Times New Roman" w:hAnsi="Times New Roman"/>
                <w:sz w:val="11"/>
                <w:szCs w:val="11"/>
                <w:color w:val="008000"/>
                <w:w w:val="81"/>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32,628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3,010</w:t>
            </w:r>
            <w:r>
              <w:rPr>
                <w:rFonts w:ascii="Times New Roman" w:cs="Times New Roman" w:eastAsia="Times New Roman" w:hAnsi="Times New Roman"/>
                <w:sz w:val="22"/>
                <w:szCs w:val="22"/>
                <w:color w:val="008000"/>
                <w:w w:val="93"/>
                <w:vertAlign w:val="superscript"/>
              </w:rPr>
              <w:t>(5)</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35,638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1,665</w:t>
            </w:r>
            <w:r>
              <w:rPr>
                <w:rFonts w:ascii="Times New Roman" w:cs="Times New Roman" w:eastAsia="Times New Roman" w:hAnsi="Times New Roman"/>
                <w:sz w:val="22"/>
                <w:szCs w:val="22"/>
                <w:color w:val="008000"/>
                <w:w w:val="93"/>
                <w:vertAlign w:val="superscript"/>
              </w:rPr>
              <w:t>(6)</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33,973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(3,093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30,139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1,045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29,094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upon vesting of a performance share unit award granted to the reporting person on April 6,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receipt of all shares described in Note (5)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Savman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04/08/2026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8804"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2026-04-08T11:42:25Z</dcterms:created>
  <dcterms:modified xsi:type="dcterms:W3CDTF">2026-04-08T11:42:25Z</dcterms:modified>
</cp:coreProperties>
</file>