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Coughlin Zachary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285 MADISON AVENUE</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PVH CORP.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PVH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05/02/2023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EVP, 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$1 par value</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2,888</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84.11</w:t>
            </w:r>
          </w:p>
        </w:tc>
        <w:tc>
          <w:tcPr>
            <w:tcW w:w="12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30,406.924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withheld to satisfy the Reporting Person's tax obligations in connection with the vesting of 5,282 restricted stock units. The restricted stock units were previously reported as directly owned shares.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24,967 shares of Common Stock subject to awards of restricted stock units.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Zachary Coughlin</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05/03/2023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2587"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2023-05-04T15:14:40Z</dcterms:created>
  <dcterms:modified xsi:type="dcterms:W3CDTF">2023-05-04T15:14:40Z</dcterms:modified>
</cp:coreProperties>
</file>