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HOOTKIN PAMELA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301" w:lineRule="auto"/>
        <w:rPr>
          <w:sz w:val="20"/>
          <w:szCs w:val="20"/>
          <w:color w:val="auto"/>
        </w:rPr>
      </w:pPr>
      <w:r>
        <w:rPr>
          <w:rFonts w:ascii="Arial" w:cs="Arial" w:eastAsia="Arial" w:hAnsi="Arial"/>
          <w:sz w:val="18"/>
          <w:szCs w:val="18"/>
          <w:color w:val="0000FF"/>
        </w:rPr>
        <w:t>C/O PHILLIPS-VAN HEUSEN CORPORATION 200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PHILLIPS VAN HEUSEN CORP /DE/</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PVH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VP, Treasurer &amp; Investor Relat</w:t>
      </w:r>
    </w:p>
    <w:p>
      <w:pPr>
        <w:spacing w:after="0" w:line="448" w:lineRule="exact"/>
        <w:rPr>
          <w:sz w:val="24"/>
          <w:szCs w:val="24"/>
          <w:color w:val="auto"/>
        </w:rPr>
      </w:pPr>
    </w:p>
    <w:p>
      <w:pPr>
        <w:sectPr>
          <w:pgSz w:w="11900" w:h="16838" w:orient="portrait"/>
          <w:cols w:equalWidth="0" w:num="3">
            <w:col w:w="3640" w:space="440"/>
            <w:col w:w="3520" w:space="45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140" w:type="dxa"/>
            <w:vAlign w:val="bottom"/>
            <w:gridSpan w:val="8"/>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360" w:type="dxa"/>
            <w:vAlign w:val="bottom"/>
            <w:gridSpan w:val="9"/>
          </w:tcPr>
          <w:p>
            <w:pPr>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10016</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restart"/>
          </w:tcPr>
          <w:p>
            <w:pPr>
              <w:ind w:left="42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7"/>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jc w:val="center"/>
              <w:ind w:left="2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3"/>
          </w:tcPr>
          <w:p>
            <w:pPr>
              <w:ind w:left="4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0000FF"/>
              </w:rPr>
              <w:t>By</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par value $1</w:t>
            </w:r>
          </w:p>
        </w:tc>
        <w:tc>
          <w:tcPr>
            <w:tcW w:w="2040" w:type="dxa"/>
            <w:vAlign w:val="bottom"/>
            <w:gridSpan w:val="3"/>
          </w:tcPr>
          <w:p>
            <w:pPr>
              <w:ind w:left="520"/>
              <w:spacing w:after="0"/>
              <w:rPr>
                <w:sz w:val="20"/>
                <w:szCs w:val="20"/>
                <w:color w:val="auto"/>
              </w:rPr>
            </w:pPr>
            <w:r>
              <w:rPr>
                <w:rFonts w:ascii="Arial" w:cs="Arial" w:eastAsia="Arial" w:hAnsi="Arial"/>
                <w:sz w:val="18"/>
                <w:szCs w:val="18"/>
                <w:color w:val="0000FF"/>
              </w:rPr>
              <w:t>03/28/2005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Arial" w:cs="Arial" w:eastAsia="Arial" w:hAnsi="Arial"/>
                <w:sz w:val="10"/>
                <w:szCs w:val="10"/>
                <w:color w:val="0000FF"/>
                <w:w w:val="70"/>
              </w:rPr>
              <w:t>I</w:t>
            </w:r>
          </w:p>
        </w:tc>
        <w:tc>
          <w:tcPr>
            <w:tcW w:w="560" w:type="dxa"/>
            <w:vAlign w:val="bottom"/>
          </w:tcPr>
          <w:p>
            <w:pPr>
              <w:spacing w:after="0"/>
              <w:rPr>
                <w:sz w:val="18"/>
                <w:szCs w:val="18"/>
                <w:color w:val="auto"/>
              </w:rPr>
            </w:pPr>
          </w:p>
        </w:tc>
        <w:tc>
          <w:tcPr>
            <w:tcW w:w="900" w:type="dxa"/>
            <w:vAlign w:val="bottom"/>
          </w:tcPr>
          <w:p>
            <w:pPr>
              <w:ind w:left="160"/>
              <w:spacing w:after="0" w:line="217" w:lineRule="exact"/>
              <w:rPr>
                <w:sz w:val="20"/>
                <w:szCs w:val="20"/>
                <w:color w:val="auto"/>
              </w:rPr>
            </w:pPr>
            <w:r>
              <w:rPr>
                <w:rFonts w:ascii="Arial" w:cs="Arial" w:eastAsia="Arial" w:hAnsi="Arial"/>
                <w:sz w:val="18"/>
                <w:szCs w:val="18"/>
                <w:color w:val="0000FF"/>
              </w:rPr>
              <w:t>2,176</w:t>
            </w:r>
            <w:r>
              <w:rPr>
                <w:rFonts w:ascii="Arial" w:cs="Arial" w:eastAsia="Arial" w:hAnsi="Arial"/>
                <w:sz w:val="22"/>
                <w:szCs w:val="22"/>
                <w:color w:val="008000"/>
                <w:vertAlign w:val="superscript"/>
              </w:rPr>
              <w:t>(1)</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26.53</w:t>
            </w:r>
            <w:r>
              <w:rPr>
                <w:rFonts w:ascii="Arial" w:cs="Arial" w:eastAsia="Arial" w:hAnsi="Arial"/>
                <w:sz w:val="22"/>
                <w:szCs w:val="22"/>
                <w:color w:val="008000"/>
                <w:w w:val="87"/>
                <w:vertAlign w:val="superscript"/>
              </w:rPr>
              <w:t>(1)</w:t>
            </w:r>
          </w:p>
        </w:tc>
        <w:tc>
          <w:tcPr>
            <w:tcW w:w="4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8"/>
                <w:szCs w:val="18"/>
                <w:color w:val="0000FF"/>
              </w:rPr>
              <w:t>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Supplemental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8"/>
              </w:rPr>
              <w:t>Savings 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8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transferred $57,719.95 out of a phantom stock fund included in Issuer's Supplemental Savings Plan. The phantom stock fund is unitized and not based on actual shares of Issuer's Common Stock. The Reporting Person disposed of approximately 2,176 shares of Issuer's Common Stock on the date of the transfer, based on the $26.53 average between the high and low trading price of the Common Stock on that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Pamela N. Hootkin</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03/28/2005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79332"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2019-12-16T20:26:57Z</dcterms:created>
  <dcterms:modified xsi:type="dcterms:W3CDTF">2019-12-16T20:26:57Z</dcterms:modified>
</cp:coreProperties>
</file>