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McPherson Amy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10400 FERNWOOD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PVH CORP. /DE/</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PVH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94"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BETHESDA</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20817</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$1 par value</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06/16/2022</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3,061</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11,511</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subject to an award of restricted stock units. The award vests in full on the earlier of the first anniversary of the grant and the date of the Issuer's next annual meeting of stockholders.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3,061 shares of Common Stock subject to awards of restricted stock units.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Amy McPherson</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06/17/2022</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64369" TargetMode="External"/><Relationship Id="rId13" Type="http://schemas.openxmlformats.org/officeDocument/2006/relationships/hyperlink" Target="http://www.sec.gov/cgi-bin/browse-edgar?action=getcompany&amp;CIK=00000782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2022-06-21T06:27:46Z</dcterms:created>
  <dcterms:modified xsi:type="dcterms:W3CDTF">2022-06-21T06:27:46Z</dcterms:modified>
</cp:coreProperties>
</file>