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9"/>
        <w:spacing w:after="0"/>
        <w:rPr>
          <w:sz w:val="20"/>
          <w:szCs w:val="20"/>
          <w:color w:val="auto"/>
        </w:rPr>
      </w:pPr>
      <w:r>
        <w:rPr>
          <w:rFonts w:ascii="Courier New" w:cs="Courier New" w:eastAsia="Courier New" w:hAnsi="Courier New"/>
          <w:sz w:val="18"/>
          <w:szCs w:val="18"/>
          <w:color w:val="auto"/>
        </w:rPr>
        <w:t>SECURITIES &amp;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420" w:right="2419" w:hanging="307"/>
        <w:spacing w:after="0" w:line="235"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UNDER SECTION 13 OR 15 (d) OF THE SECURITIES EXCHANGE ACT OF 1934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quarterly period ended October 30, 1994</w:t>
      </w:r>
    </w:p>
    <w:p>
      <w:pPr>
        <w:spacing w:after="0" w:line="200" w:lineRule="exact"/>
        <w:rPr>
          <w:sz w:val="24"/>
          <w:szCs w:val="24"/>
          <w:color w:val="auto"/>
        </w:rPr>
      </w:pPr>
    </w:p>
    <w:p>
      <w:pPr>
        <w:spacing w:after="0" w:line="204"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OR</w:t>
      </w:r>
    </w:p>
    <w:p>
      <w:pPr>
        <w:spacing w:after="0" w:line="200" w:lineRule="exact"/>
        <w:rPr>
          <w:sz w:val="24"/>
          <w:szCs w:val="24"/>
          <w:color w:val="auto"/>
        </w:rPr>
      </w:pPr>
    </w:p>
    <w:p>
      <w:pPr>
        <w:spacing w:after="0" w:line="209" w:lineRule="exact"/>
        <w:rPr>
          <w:sz w:val="24"/>
          <w:szCs w:val="24"/>
          <w:color w:val="auto"/>
        </w:rPr>
      </w:pPr>
    </w:p>
    <w:p>
      <w:pPr>
        <w:ind w:left="420" w:right="2619"/>
        <w:spacing w:after="0" w:line="235" w:lineRule="auto"/>
        <w:rPr>
          <w:sz w:val="20"/>
          <w:szCs w:val="20"/>
          <w:color w:val="auto"/>
        </w:rPr>
      </w:pPr>
      <w:r>
        <w:rPr>
          <w:rFonts w:ascii="Courier New" w:cs="Courier New" w:eastAsia="Courier New" w:hAnsi="Courier New"/>
          <w:sz w:val="18"/>
          <w:szCs w:val="18"/>
          <w:color w:val="auto"/>
        </w:rPr>
        <w:t>TRANSITION REPORT PURSUANT TO SECTION 13 OR 15 (d) OF THE SECURITIES EXCHANGE ACT OF 1934</w:t>
      </w:r>
    </w:p>
    <w:p>
      <w:pPr>
        <w:sectPr>
          <w:pgSz w:w="11900" w:h="16838" w:orient="portrait"/>
          <w:cols w:equalWidth="0" w:num="1">
            <w:col w:w="10219"/>
          </w:cols>
          <w:pgMar w:left="240" w:top="244" w:right="1440" w:bottom="0" w:gutter="0" w:footer="0" w:header="0"/>
        </w:sect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200" w:lineRule="exact"/>
        <w:rPr>
          <w:sz w:val="24"/>
          <w:szCs w:val="24"/>
          <w:color w:val="auto"/>
        </w:rPr>
      </w:pPr>
    </w:p>
    <w:p>
      <w:pPr>
        <w:sectPr>
          <w:pgSz w:w="11900" w:h="16838" w:orient="portrait"/>
          <w:cols w:equalWidth="0" w:num="2">
            <w:col w:w="4660" w:space="720"/>
            <w:col w:w="4839"/>
          </w:cols>
          <w:pgMar w:left="240" w:top="244" w:right="1440" w:bottom="0" w:gutter="0" w:footer="0" w:header="0"/>
          <w:type w:val="continuous"/>
        </w:sectPr>
      </w:pPr>
    </w:p>
    <w:p>
      <w:pPr>
        <w:spacing w:after="0" w:line="7" w:lineRule="exact"/>
        <w:rPr>
          <w:sz w:val="24"/>
          <w:szCs w:val="24"/>
          <w:color w:val="auto"/>
        </w:rPr>
      </w:pPr>
    </w:p>
    <w:p>
      <w:pPr>
        <w:ind w:left="2440"/>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1-724</w:t>
      </w:r>
    </w:p>
    <w:p>
      <w:pPr>
        <w:spacing w:after="0" w:line="200" w:lineRule="exact"/>
        <w:rPr>
          <w:sz w:val="24"/>
          <w:szCs w:val="24"/>
          <w:color w:val="auto"/>
        </w:rPr>
      </w:pPr>
    </w:p>
    <w:p>
      <w:pPr>
        <w:sectPr>
          <w:pgSz w:w="11900" w:h="16838" w:orient="portrait"/>
          <w:cols w:equalWidth="0" w:num="2">
            <w:col w:w="4740" w:space="420"/>
            <w:col w:w="5059"/>
          </w:cols>
          <w:pgMar w:left="240" w:top="244"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8"/>
          <w:szCs w:val="18"/>
          <w:color w:val="auto"/>
        </w:rPr>
        <w:t>PHILLIPS-VAN HEUSEN CORPORATION</w:t>
      </w:r>
    </w:p>
    <w:p>
      <w:pPr>
        <w:spacing w:after="0" w:line="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13-1166910</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980" w:space="720"/>
            <w:col w:w="4519"/>
          </w:cols>
          <w:pgMar w:left="240" w:top="244" w:right="1440" w:bottom="0" w:gutter="0" w:footer="0" w:header="0"/>
          <w:type w:val="continuous"/>
        </w:sectPr>
      </w:pPr>
    </w:p>
    <w:p>
      <w:pPr>
        <w:spacing w:after="0" w:line="226" w:lineRule="exact"/>
        <w:rPr>
          <w:sz w:val="24"/>
          <w:szCs w:val="24"/>
          <w:color w:val="auto"/>
        </w:rPr>
      </w:pPr>
    </w:p>
    <w:p>
      <w:pPr>
        <w:ind w:right="740"/>
        <w:spacing w:after="0" w:line="235" w:lineRule="auto"/>
        <w:rPr>
          <w:sz w:val="20"/>
          <w:szCs w:val="20"/>
          <w:color w:val="auto"/>
        </w:rPr>
      </w:pPr>
      <w:r>
        <w:rPr>
          <w:rFonts w:ascii="Courier New" w:cs="Courier New" w:eastAsia="Courier New" w:hAnsi="Courier New"/>
          <w:sz w:val="18"/>
          <w:szCs w:val="18"/>
          <w:color w:val="auto"/>
        </w:rPr>
        <w:t>1290 Avenue of the Americas New York, New York (Address of principal executive offices)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10104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5" w:lineRule="exact"/>
        <w:rPr>
          <w:sz w:val="24"/>
          <w:szCs w:val="24"/>
          <w:color w:val="auto"/>
        </w:rPr>
      </w:pPr>
    </w:p>
    <w:p>
      <w:pPr>
        <w:sectPr>
          <w:pgSz w:w="11900" w:h="16838" w:orient="portrait"/>
          <w:cols w:equalWidth="0" w:num="2">
            <w:col w:w="6020" w:space="720"/>
            <w:col w:w="3479"/>
          </w:cols>
          <w:pgMar w:left="240" w:top="244" w:right="1440" w:bottom="0" w:gutter="0" w:footer="0" w:header="0"/>
          <w:type w:val="continuous"/>
        </w:sect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(212) 541-5200</w:t>
      </w:r>
    </w:p>
    <w:p>
      <w:pPr>
        <w:spacing w:after="0" w:line="200" w:lineRule="exact"/>
        <w:rPr>
          <w:sz w:val="24"/>
          <w:szCs w:val="24"/>
          <w:color w:val="auto"/>
        </w:rPr>
      </w:pPr>
    </w:p>
    <w:p>
      <w:pPr>
        <w:sectPr>
          <w:pgSz w:w="11900" w:h="16838" w:orient="portrait"/>
          <w:cols w:equalWidth="0" w:num="2">
            <w:col w:w="4020" w:space="720"/>
            <w:col w:w="5479"/>
          </w:cols>
          <w:pgMar w:left="240" w:top="244" w:right="1440" w:bottom="0" w:gutter="0" w:footer="0" w:header="0"/>
          <w:type w:val="continuous"/>
        </w:sect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Indicate by check mark whether registrant (1) has filed all reports required</w:t>
      </w:r>
    </w:p>
    <w:p>
      <w:pPr>
        <w:spacing w:after="0" w:line="238" w:lineRule="auto"/>
        <w:rPr>
          <w:sz w:val="20"/>
          <w:szCs w:val="20"/>
          <w:color w:val="auto"/>
        </w:rPr>
      </w:pPr>
      <w:r>
        <w:rPr>
          <w:rFonts w:ascii="Courier New" w:cs="Courier New" w:eastAsia="Courier New" w:hAnsi="Courier New"/>
          <w:sz w:val="18"/>
          <w:szCs w:val="18"/>
          <w:color w:val="auto"/>
        </w:rPr>
        <w:t>to be filed by Section 13 or 15(d) of the Securities Exchange Act of 1934</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during the preceding 12 months (or for such shorter period that registrant was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required to file such reports), and (2) has been subject to such filing</w:t>
      </w:r>
    </w:p>
    <w:p>
      <w:pPr>
        <w:spacing w:after="0" w:line="238" w:lineRule="auto"/>
        <w:rPr>
          <w:sz w:val="20"/>
          <w:szCs w:val="20"/>
          <w:color w:val="auto"/>
        </w:rPr>
      </w:pPr>
      <w:r>
        <w:rPr>
          <w:rFonts w:ascii="Courier New" w:cs="Courier New" w:eastAsia="Courier New" w:hAnsi="Courier New"/>
          <w:sz w:val="18"/>
          <w:szCs w:val="18"/>
          <w:color w:val="auto"/>
        </w:rPr>
        <w:t>requirement for the past 90 days.</w:t>
      </w:r>
    </w:p>
    <w:p>
      <w:pPr>
        <w:spacing w:after="0"/>
        <w:tabs>
          <w:tab w:leader="none" w:pos="520" w:val="left"/>
          <w:tab w:leader="none" w:pos="840" w:val="left"/>
        </w:tabs>
        <w:rPr>
          <w:sz w:val="20"/>
          <w:szCs w:val="20"/>
          <w:color w:val="auto"/>
        </w:rPr>
      </w:pPr>
      <w:r>
        <w:rPr>
          <w:rFonts w:ascii="Courier New" w:cs="Courier New" w:eastAsia="Courier New" w:hAnsi="Courier New"/>
          <w:sz w:val="18"/>
          <w:szCs w:val="18"/>
          <w:color w:val="auto"/>
        </w:rPr>
        <w:t>Yes</w:t>
        <w:tab/>
        <w:t>X</w:t>
      </w:r>
      <w:r>
        <w:rPr>
          <w:sz w:val="20"/>
          <w:szCs w:val="20"/>
          <w:color w:val="auto"/>
        </w:rPr>
        <w:tab/>
      </w:r>
      <w:r>
        <w:rPr>
          <w:rFonts w:ascii="Courier New" w:cs="Courier New" w:eastAsia="Courier New" w:hAnsi="Courier New"/>
          <w:sz w:val="16"/>
          <w:szCs w:val="16"/>
          <w:color w:val="auto"/>
        </w:rPr>
        <w:t>No</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number of outstanding shares of common stock, par value $1.00 per</w:t>
      </w:r>
    </w:p>
    <w:p>
      <w:pPr>
        <w:spacing w:after="0" w:line="4"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share, of Phillips-Van Heusen Corporation as of November 28, 1994: 26,602,208 shares.</w:t>
      </w:r>
    </w:p>
    <w:p>
      <w:pPr>
        <w:spacing w:after="0" w:line="37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PHILLIPS-VAN HEUSEN CORPORATION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INDEX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 -- FINANCIAL INFORMATION</w:t>
      </w:r>
    </w:p>
    <w:p>
      <w:pPr>
        <w:spacing w:after="0" w:line="201" w:lineRule="exact"/>
        <w:rPr>
          <w:sz w:val="24"/>
          <w:szCs w:val="24"/>
          <w:color w:val="auto"/>
        </w:rPr>
      </w:pPr>
    </w:p>
    <w:p>
      <w:pPr>
        <w:spacing w:after="0"/>
        <w:tabs>
          <w:tab w:leader="dot" w:pos="7780" w:val="left"/>
        </w:tabs>
        <w:rPr>
          <w:sz w:val="20"/>
          <w:szCs w:val="20"/>
          <w:color w:val="auto"/>
        </w:rPr>
      </w:pPr>
      <w:r>
        <w:rPr>
          <w:rFonts w:ascii="Courier New" w:cs="Courier New" w:eastAsia="Courier New" w:hAnsi="Courier New"/>
          <w:sz w:val="18"/>
          <w:szCs w:val="18"/>
          <w:color w:val="auto"/>
        </w:rPr>
        <w:t>Independent Auditors Review Report</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Consolidated Balance Sheets as of October 30, 1994 and</w:t>
      </w:r>
    </w:p>
    <w:p>
      <w:pPr>
        <w:spacing w:after="0"/>
        <w:tabs>
          <w:tab w:leader="dot" w:pos="7780" w:val="left"/>
        </w:tabs>
        <w:rPr>
          <w:sz w:val="20"/>
          <w:szCs w:val="20"/>
          <w:color w:val="auto"/>
        </w:rPr>
      </w:pPr>
      <w:r>
        <w:rPr>
          <w:rFonts w:ascii="Courier New" w:cs="Courier New" w:eastAsia="Courier New" w:hAnsi="Courier New"/>
          <w:sz w:val="18"/>
          <w:szCs w:val="18"/>
          <w:color w:val="auto"/>
        </w:rPr>
        <w:t>January 30, 1994</w:t>
      </w:r>
      <w:r>
        <w:rPr>
          <w:sz w:val="20"/>
          <w:szCs w:val="20"/>
          <w:color w:val="auto"/>
        </w:rPr>
        <w:tab/>
      </w:r>
      <w:r>
        <w:rPr>
          <w:rFonts w:ascii="Courier New" w:cs="Courier New" w:eastAsia="Courier New" w:hAnsi="Courier New"/>
          <w:sz w:val="16"/>
          <w:szCs w:val="16"/>
          <w:color w:val="auto"/>
        </w:rPr>
        <w:t>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Consolidated Statements of Income for the thirteen weeks and</w:t>
      </w:r>
    </w:p>
    <w:p>
      <w:pPr>
        <w:spacing w:after="0"/>
        <w:tabs>
          <w:tab w:leader="dot" w:pos="7780" w:val="left"/>
        </w:tabs>
        <w:rPr>
          <w:sz w:val="20"/>
          <w:szCs w:val="20"/>
          <w:color w:val="auto"/>
        </w:rPr>
      </w:pPr>
      <w:r>
        <w:rPr>
          <w:rFonts w:ascii="Courier New" w:cs="Courier New" w:eastAsia="Courier New" w:hAnsi="Courier New"/>
          <w:sz w:val="18"/>
          <w:szCs w:val="18"/>
          <w:color w:val="auto"/>
        </w:rPr>
        <w:t>thirty-nine weeks ended October 30, 1994 and October 31, 1993</w:t>
      </w:r>
      <w:r>
        <w:rPr>
          <w:sz w:val="20"/>
          <w:szCs w:val="20"/>
          <w:color w:val="auto"/>
        </w:rPr>
        <w:tab/>
      </w:r>
      <w:r>
        <w:rPr>
          <w:rFonts w:ascii="Courier New" w:cs="Courier New" w:eastAsia="Courier New" w:hAnsi="Courier New"/>
          <w:sz w:val="16"/>
          <w:szCs w:val="16"/>
          <w:color w:val="auto"/>
        </w:rPr>
        <w:t>3</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Consolidated Statements of Cash Flows for the thirty-nine weeks</w:t>
      </w:r>
    </w:p>
    <w:p>
      <w:pPr>
        <w:spacing w:after="0"/>
        <w:tabs>
          <w:tab w:leader="dot" w:pos="7780" w:val="left"/>
        </w:tabs>
        <w:rPr>
          <w:sz w:val="20"/>
          <w:szCs w:val="20"/>
          <w:color w:val="auto"/>
        </w:rPr>
      </w:pPr>
      <w:r>
        <w:rPr>
          <w:rFonts w:ascii="Courier New" w:cs="Courier New" w:eastAsia="Courier New" w:hAnsi="Courier New"/>
          <w:sz w:val="18"/>
          <w:szCs w:val="18"/>
          <w:color w:val="auto"/>
        </w:rPr>
        <w:t>ended October 30, 1994 and October 31, 1993</w:t>
      </w:r>
      <w:r>
        <w:rPr>
          <w:sz w:val="20"/>
          <w:szCs w:val="20"/>
          <w:color w:val="auto"/>
        </w:rPr>
        <w:tab/>
      </w:r>
      <w:r>
        <w:rPr>
          <w:rFonts w:ascii="Courier New" w:cs="Courier New" w:eastAsia="Courier New" w:hAnsi="Courier New"/>
          <w:sz w:val="16"/>
          <w:szCs w:val="16"/>
          <w:color w:val="auto"/>
        </w:rPr>
        <w:t>4</w:t>
      </w:r>
    </w:p>
    <w:p>
      <w:pPr>
        <w:spacing w:after="0" w:line="202" w:lineRule="exact"/>
        <w:rPr>
          <w:sz w:val="24"/>
          <w:szCs w:val="24"/>
          <w:color w:val="auto"/>
        </w:rPr>
      </w:pPr>
    </w:p>
    <w:p>
      <w:pPr>
        <w:spacing w:after="0"/>
        <w:tabs>
          <w:tab w:leader="dot" w:pos="7680" w:val="left"/>
        </w:tabs>
        <w:rPr>
          <w:sz w:val="20"/>
          <w:szCs w:val="20"/>
          <w:color w:val="auto"/>
        </w:rPr>
      </w:pPr>
      <w:r>
        <w:rPr>
          <w:rFonts w:ascii="Courier New" w:cs="Courier New" w:eastAsia="Courier New" w:hAnsi="Courier New"/>
          <w:sz w:val="18"/>
          <w:szCs w:val="18"/>
          <w:color w:val="auto"/>
        </w:rPr>
        <w:t>Notes to Consolidated Financial Statements</w:t>
      </w:r>
      <w:r>
        <w:rPr>
          <w:sz w:val="20"/>
          <w:szCs w:val="20"/>
          <w:color w:val="auto"/>
        </w:rPr>
        <w:tab/>
      </w:r>
      <w:r>
        <w:rPr>
          <w:rFonts w:ascii="Courier New" w:cs="Courier New" w:eastAsia="Courier New" w:hAnsi="Courier New"/>
          <w:sz w:val="16"/>
          <w:szCs w:val="16"/>
          <w:color w:val="auto"/>
        </w:rPr>
        <w:t>5-6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Management's Discussion and Analysis of Results of Operations</w:t>
      </w:r>
    </w:p>
    <w:p>
      <w:pPr>
        <w:spacing w:after="0"/>
        <w:tabs>
          <w:tab w:leader="dot" w:pos="7580" w:val="left"/>
        </w:tabs>
        <w:rPr>
          <w:sz w:val="20"/>
          <w:szCs w:val="20"/>
          <w:color w:val="auto"/>
        </w:rPr>
      </w:pPr>
      <w:r>
        <w:rPr>
          <w:rFonts w:ascii="Courier New" w:cs="Courier New" w:eastAsia="Courier New" w:hAnsi="Courier New"/>
          <w:sz w:val="18"/>
          <w:szCs w:val="18"/>
          <w:color w:val="auto"/>
        </w:rPr>
        <w:t>and Financial Condition</w:t>
      </w:r>
      <w:r>
        <w:rPr>
          <w:sz w:val="20"/>
          <w:szCs w:val="20"/>
          <w:color w:val="auto"/>
        </w:rPr>
        <w:tab/>
      </w:r>
      <w:r>
        <w:rPr>
          <w:rFonts w:ascii="Courier New" w:cs="Courier New" w:eastAsia="Courier New" w:hAnsi="Courier New"/>
          <w:sz w:val="16"/>
          <w:szCs w:val="16"/>
          <w:color w:val="auto"/>
        </w:rPr>
        <w:t>7-10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II -- OTHER INFORMATION</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tabs>
          <w:tab w:leader="dot" w:pos="7580" w:val="left"/>
        </w:tabs>
        <w:rPr>
          <w:sz w:val="20"/>
          <w:szCs w:val="20"/>
          <w:color w:val="auto"/>
        </w:rPr>
      </w:pPr>
      <w:r>
        <w:rPr>
          <w:rFonts w:ascii="Courier New" w:cs="Courier New" w:eastAsia="Courier New" w:hAnsi="Courier New"/>
          <w:sz w:val="18"/>
          <w:szCs w:val="18"/>
          <w:color w:val="auto"/>
        </w:rPr>
        <w:t>ITEM 6 - Exhibits and Reports on Form 8-K</w:t>
      </w:r>
      <w:r>
        <w:rPr>
          <w:sz w:val="20"/>
          <w:szCs w:val="20"/>
          <w:color w:val="auto"/>
        </w:rPr>
        <w:tab/>
      </w:r>
      <w:r>
        <w:rPr>
          <w:rFonts w:ascii="Courier New" w:cs="Courier New" w:eastAsia="Courier New" w:hAnsi="Courier New"/>
          <w:sz w:val="16"/>
          <w:szCs w:val="16"/>
          <w:color w:val="auto"/>
        </w:rPr>
        <w:t>11-12</w:t>
      </w:r>
    </w:p>
    <w:p>
      <w:pPr>
        <w:spacing w:after="0" w:line="201" w:lineRule="exact"/>
        <w:rPr>
          <w:sz w:val="20"/>
          <w:szCs w:val="20"/>
          <w:color w:val="auto"/>
        </w:rPr>
      </w:pPr>
    </w:p>
    <w:p>
      <w:pPr>
        <w:spacing w:after="0"/>
        <w:tabs>
          <w:tab w:leader="dot" w:pos="7680" w:val="left"/>
        </w:tabs>
        <w:rPr>
          <w:sz w:val="20"/>
          <w:szCs w:val="20"/>
          <w:color w:val="auto"/>
        </w:rPr>
      </w:pPr>
      <w:r>
        <w:rPr>
          <w:rFonts w:ascii="Courier New" w:cs="Courier New" w:eastAsia="Courier New" w:hAnsi="Courier New"/>
          <w:sz w:val="18"/>
          <w:szCs w:val="18"/>
          <w:color w:val="auto"/>
        </w:rPr>
        <w:t>Signatures</w:t>
      </w:r>
      <w:r>
        <w:rPr>
          <w:sz w:val="20"/>
          <w:szCs w:val="20"/>
          <w:color w:val="auto"/>
        </w:rPr>
        <w:tab/>
      </w:r>
      <w:r>
        <w:rPr>
          <w:rFonts w:ascii="Courier New" w:cs="Courier New" w:eastAsia="Courier New" w:hAnsi="Courier New"/>
          <w:sz w:val="16"/>
          <w:szCs w:val="16"/>
          <w:color w:val="auto"/>
        </w:rPr>
        <w:t>13</w:t>
      </w:r>
    </w:p>
    <w:p>
      <w:pPr>
        <w:spacing w:after="0" w:line="201" w:lineRule="exact"/>
        <w:rPr>
          <w:sz w:val="20"/>
          <w:szCs w:val="20"/>
          <w:color w:val="auto"/>
        </w:rPr>
      </w:pPr>
    </w:p>
    <w:p>
      <w:pPr>
        <w:spacing w:after="0"/>
        <w:tabs>
          <w:tab w:leader="dot" w:pos="7680" w:val="left"/>
        </w:tabs>
        <w:rPr>
          <w:sz w:val="20"/>
          <w:szCs w:val="20"/>
          <w:color w:val="auto"/>
        </w:rPr>
      </w:pPr>
      <w:r>
        <w:rPr>
          <w:rFonts w:ascii="Courier New" w:cs="Courier New" w:eastAsia="Courier New" w:hAnsi="Courier New"/>
          <w:sz w:val="18"/>
          <w:szCs w:val="18"/>
          <w:color w:val="auto"/>
        </w:rPr>
        <w:t>Exhibit--Computation of Earnings per Share</w:t>
      </w:r>
      <w:r>
        <w:rPr>
          <w:sz w:val="20"/>
          <w:szCs w:val="20"/>
          <w:color w:val="auto"/>
        </w:rPr>
        <w:tab/>
      </w:r>
      <w:r>
        <w:rPr>
          <w:rFonts w:ascii="Courier New" w:cs="Courier New" w:eastAsia="Courier New" w:hAnsi="Courier New"/>
          <w:sz w:val="16"/>
          <w:szCs w:val="16"/>
          <w:color w:val="auto"/>
        </w:rPr>
        <w:t>14</w:t>
      </w:r>
    </w:p>
    <w:p>
      <w:pPr>
        <w:spacing w:after="0" w:line="201" w:lineRule="exact"/>
        <w:rPr>
          <w:sz w:val="20"/>
          <w:szCs w:val="20"/>
          <w:color w:val="auto"/>
        </w:rPr>
      </w:pPr>
    </w:p>
    <w:p>
      <w:pPr>
        <w:spacing w:after="0"/>
        <w:tabs>
          <w:tab w:leader="dot" w:pos="7680" w:val="left"/>
        </w:tabs>
        <w:rPr>
          <w:sz w:val="20"/>
          <w:szCs w:val="20"/>
          <w:color w:val="auto"/>
        </w:rPr>
      </w:pPr>
      <w:r>
        <w:rPr>
          <w:rFonts w:ascii="Courier New" w:cs="Courier New" w:eastAsia="Courier New" w:hAnsi="Courier New"/>
          <w:sz w:val="18"/>
          <w:szCs w:val="18"/>
          <w:color w:val="auto"/>
        </w:rPr>
        <w:t>Exhibit--Acknowledgment of Independent Auditors</w:t>
      </w:r>
      <w:r>
        <w:rPr>
          <w:sz w:val="20"/>
          <w:szCs w:val="20"/>
          <w:color w:val="auto"/>
        </w:rPr>
        <w:tab/>
      </w:r>
      <w:r>
        <w:rPr>
          <w:rFonts w:ascii="Courier New" w:cs="Courier New" w:eastAsia="Courier New" w:hAnsi="Courier New"/>
          <w:sz w:val="16"/>
          <w:szCs w:val="16"/>
          <w:color w:val="auto"/>
        </w:rPr>
        <w:t>15</w:t>
      </w:r>
    </w:p>
    <w:p>
      <w:pPr>
        <w:spacing w:after="0" w:line="201" w:lineRule="exact"/>
        <w:rPr>
          <w:sz w:val="20"/>
          <w:szCs w:val="20"/>
          <w:color w:val="auto"/>
        </w:rPr>
      </w:pPr>
    </w:p>
    <w:p>
      <w:pPr>
        <w:spacing w:after="0"/>
        <w:tabs>
          <w:tab w:leader="dot" w:pos="7680" w:val="left"/>
        </w:tabs>
        <w:rPr>
          <w:sz w:val="20"/>
          <w:szCs w:val="20"/>
          <w:color w:val="auto"/>
        </w:rPr>
      </w:pPr>
      <w:r>
        <w:rPr>
          <w:rFonts w:ascii="Courier New" w:cs="Courier New" w:eastAsia="Courier New" w:hAnsi="Courier New"/>
          <w:sz w:val="18"/>
          <w:szCs w:val="18"/>
          <w:color w:val="auto"/>
        </w:rPr>
        <w:t>Exhibit--Financial Data Schedule</w:t>
      </w:r>
      <w:r>
        <w:rPr>
          <w:sz w:val="20"/>
          <w:szCs w:val="20"/>
          <w:color w:val="auto"/>
        </w:rPr>
        <w:tab/>
      </w:r>
      <w:r>
        <w:rPr>
          <w:rFonts w:ascii="Courier New" w:cs="Courier New" w:eastAsia="Courier New" w:hAnsi="Courier New"/>
          <w:sz w:val="16"/>
          <w:szCs w:val="16"/>
          <w:color w:val="auto"/>
        </w:rPr>
        <w:t>16</w:t>
      </w:r>
    </w:p>
    <w:p>
      <w:pPr>
        <w:sectPr>
          <w:pgSz w:w="11900" w:h="16838" w:orient="portrait"/>
          <w:cols w:equalWidth="0" w:num="1">
            <w:col w:w="10219"/>
          </w:cols>
          <w:pgMar w:left="240" w:top="136" w:right="1440" w:bottom="1440" w:gutter="0" w:footer="0" w:header="0"/>
        </w:sectPr>
      </w:pPr>
    </w:p>
    <w:bookmarkStart w:id="2" w:name="page3"/>
    <w:bookmarkEnd w:id="2"/>
    <w:p>
      <w:pPr>
        <w:ind w:left="2320"/>
        <w:spacing w:after="0"/>
        <w:rPr>
          <w:sz w:val="20"/>
          <w:szCs w:val="20"/>
          <w:color w:val="auto"/>
        </w:rPr>
      </w:pPr>
      <w:r>
        <w:rPr>
          <w:rFonts w:ascii="Courier New" w:cs="Courier New" w:eastAsia="Courier New" w:hAnsi="Courier New"/>
          <w:sz w:val="18"/>
          <w:szCs w:val="18"/>
          <w:color w:val="auto"/>
        </w:rPr>
        <w:t>Independent Auditors Review Report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Stockholders and Board of Directors</w:t>
      </w:r>
    </w:p>
    <w:p>
      <w:pPr>
        <w:spacing w:after="0" w:line="238" w:lineRule="auto"/>
        <w:rPr>
          <w:sz w:val="20"/>
          <w:szCs w:val="20"/>
          <w:color w:val="auto"/>
        </w:rPr>
      </w:pPr>
      <w:r>
        <w:rPr>
          <w:rFonts w:ascii="Courier New" w:cs="Courier New" w:eastAsia="Courier New" w:hAnsi="Courier New"/>
          <w:sz w:val="18"/>
          <w:szCs w:val="18"/>
          <w:color w:val="auto"/>
        </w:rPr>
        <w:t>Phillips-Van Heusen Corporation</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We have reviewed the accompanying condensed consolidated balance sheet of Phillips-Van Heusen Corporation as of October 30, 1994, and the related condensed consolidated statements of income and cash flows for the 13 and 39 week periods ended October 30, 1994 and October 31, 1993. These financial statements are the responsibility of the Company's management.</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conducted our reviews in accordance with standards established by the American Institute of Certified Public Accountants. A review of interim financial information consists principally of applying analytical procedures to financial data, and making inquiries of persons responsible for financial and accounting matters. It is substantially less in scope than an audit conducted in accordance with generally accepted auditing standards, which will be performed for the full year with the objective of expressing an opinion regarding the financial statements taken as a whole. Accordingly, we do not express such an opinion.</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Based on our reviews, we are not aware of any material modifications that should be made to the accompanying condensed consolidated financial statements referred to above for them to be in conformity with generally accepted accounting principles.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have previously audited, in accordance with generally accepted auditing standards, the consolidated balance sheet of Phillips-Van Heusen Corporation as of January 30, 1994, and the related consolidated statements of income, stockholders' equity, and cash flows for the year then ended (not presented herein) and in our report dated March 17, 1994, we expressed an unqualified opinion on those consolidated financial statements. In our opinion, the information set forth in the accompanying condensed consolidated balance sheet as of January 30, 1994, is fairly stated, in all material respects, in relation to the consolidated balance sheet from which it has been derived.</w:t>
      </w:r>
    </w:p>
    <w:p>
      <w:pPr>
        <w:spacing w:after="0" w:line="208"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ERNST &amp; YOUNG LLP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38" w:lineRule="auto"/>
        <w:rPr>
          <w:sz w:val="20"/>
          <w:szCs w:val="20"/>
          <w:color w:val="auto"/>
        </w:rPr>
      </w:pPr>
      <w:r>
        <w:rPr>
          <w:rFonts w:ascii="Courier New" w:cs="Courier New" w:eastAsia="Courier New" w:hAnsi="Courier New"/>
          <w:sz w:val="18"/>
          <w:szCs w:val="18"/>
          <w:color w:val="auto"/>
        </w:rPr>
        <w:t>November 17,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14"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Phillips-Van Heusen Corporation</w:t>
      </w:r>
    </w:p>
    <w:p>
      <w:pPr>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rPr>
          <w:sz w:val="20"/>
          <w:szCs w:val="20"/>
          <w:color w:val="auto"/>
        </w:rPr>
      </w:pPr>
      <w:r>
        <w:rPr>
          <w:rFonts w:ascii="Courier New" w:cs="Courier New" w:eastAsia="Courier New" w:hAnsi="Courier New"/>
          <w:sz w:val="18"/>
          <w:szCs w:val="18"/>
          <w:color w:val="auto"/>
        </w:rPr>
        <w:t>(In thousands, except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4"/>
              </w:rPr>
              <w:t>UNAUDITED</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AUDITED</w:t>
            </w:r>
          </w:p>
        </w:tc>
      </w:tr>
      <w:tr>
        <w:trPr>
          <w:trHeight w:val="203"/>
        </w:trPr>
        <w:tc>
          <w:tcPr>
            <w:tcW w:w="6220" w:type="dxa"/>
            <w:vAlign w:val="bottom"/>
          </w:tcPr>
          <w:p>
            <w:pPr>
              <w:spacing w:after="0"/>
              <w:rPr>
                <w:sz w:val="17"/>
                <w:szCs w:val="17"/>
                <w:color w:val="auto"/>
              </w:rPr>
            </w:pPr>
          </w:p>
        </w:tc>
        <w:tc>
          <w:tcPr>
            <w:tcW w:w="13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October 30,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January 30,</w:t>
            </w:r>
          </w:p>
        </w:tc>
      </w:tr>
      <w:tr>
        <w:trPr>
          <w:trHeight w:val="203"/>
        </w:trPr>
        <w:tc>
          <w:tcPr>
            <w:tcW w:w="6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r>
      <w:tr>
        <w:trPr>
          <w:trHeight w:val="608"/>
        </w:trPr>
        <w:tc>
          <w:tcPr>
            <w:tcW w:w="622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6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Current Assets:</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including cash equivalents of $28,713 and $66,064</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32,271</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$ 68,070</w:t>
            </w: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receivables, less allowances of $1,433 and $2,171</w:t>
            </w:r>
          </w:p>
        </w:tc>
        <w:tc>
          <w:tcPr>
            <w:tcW w:w="2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101,024</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61,986</w:t>
            </w: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receivables</w:t>
            </w:r>
          </w:p>
        </w:tc>
        <w:tc>
          <w:tcPr>
            <w:tcW w:w="2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5,959</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3,847</w:t>
            </w: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2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290,372</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269,871</w:t>
            </w: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including deferred taxes of $5,727</w:t>
            </w:r>
          </w:p>
        </w:tc>
        <w:tc>
          <w:tcPr>
            <w:tcW w:w="2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17,964</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14,928</w:t>
            </w:r>
          </w:p>
        </w:tc>
      </w:tr>
      <w:tr>
        <w:trPr>
          <w:trHeight w:val="203"/>
        </w:trPr>
        <w:tc>
          <w:tcPr>
            <w:tcW w:w="6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447,590</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418,702</w:t>
            </w: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Property, Plant and Equipment</w:t>
            </w:r>
          </w:p>
        </w:tc>
        <w:tc>
          <w:tcPr>
            <w:tcW w:w="2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128,098</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109,506</w:t>
            </w: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Intangibles Applicable to Businesses Acquired</w:t>
            </w:r>
          </w:p>
        </w:tc>
        <w:tc>
          <w:tcPr>
            <w:tcW w:w="2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17,847</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18,189</w:t>
            </w: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Assets, including deferred taxes of $4,608</w:t>
            </w:r>
          </w:p>
        </w:tc>
        <w:tc>
          <w:tcPr>
            <w:tcW w:w="2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7,951</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8,374</w:t>
            </w:r>
          </w:p>
        </w:tc>
      </w:tr>
      <w:tr>
        <w:trPr>
          <w:trHeight w:val="203"/>
        </w:trPr>
        <w:tc>
          <w:tcPr>
            <w:tcW w:w="6220" w:type="dxa"/>
            <w:vAlign w:val="bottom"/>
          </w:tcPr>
          <w:p>
            <w:pPr>
              <w:spacing w:after="0"/>
              <w:rPr>
                <w:sz w:val="17"/>
                <w:szCs w:val="17"/>
                <w:color w:val="auto"/>
              </w:rPr>
            </w:pP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601,486</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$554,771</w:t>
            </w:r>
          </w:p>
        </w:tc>
      </w:tr>
      <w:tr>
        <w:trPr>
          <w:trHeight w:val="405"/>
        </w:trPr>
        <w:tc>
          <w:tcPr>
            <w:tcW w:w="622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6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51,673</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$ 42,188</w:t>
            </w: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w:t>
            </w:r>
          </w:p>
        </w:tc>
        <w:tc>
          <w:tcPr>
            <w:tcW w:w="2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71,600</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60,696</w:t>
            </w: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income taxes</w:t>
            </w:r>
          </w:p>
        </w:tc>
        <w:tc>
          <w:tcPr>
            <w:tcW w:w="2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9,941</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6,027</w:t>
            </w: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2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260</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245</w:t>
            </w:r>
          </w:p>
        </w:tc>
      </w:tr>
      <w:tr>
        <w:trPr>
          <w:trHeight w:val="203"/>
        </w:trPr>
        <w:tc>
          <w:tcPr>
            <w:tcW w:w="6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2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133,474</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109,156</w:t>
            </w:r>
          </w:p>
        </w:tc>
      </w:tr>
      <w:tr>
        <w:trPr>
          <w:trHeight w:val="203"/>
        </w:trPr>
        <w:tc>
          <w:tcPr>
            <w:tcW w:w="6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Long-Term Debt, less current portion</w:t>
            </w:r>
          </w:p>
        </w:tc>
        <w:tc>
          <w:tcPr>
            <w:tcW w:w="2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169,678</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169,934</w:t>
            </w:r>
          </w:p>
        </w:tc>
      </w:tr>
      <w:tr>
        <w:trPr>
          <w:trHeight w:val="203"/>
        </w:trPr>
        <w:tc>
          <w:tcPr>
            <w:tcW w:w="6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Liabilities</w:t>
            </w:r>
          </w:p>
        </w:tc>
        <w:tc>
          <w:tcPr>
            <w:tcW w:w="2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34,468</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28,882</w:t>
            </w:r>
          </w:p>
        </w:tc>
      </w:tr>
      <w:tr>
        <w:trPr>
          <w:trHeight w:val="203"/>
        </w:trPr>
        <w:tc>
          <w:tcPr>
            <w:tcW w:w="6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par value $100 per share; 150,000</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authorized, no shares outstanding</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Common Stock, par value $1 per share; 100,000,000 shares</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authorized; shares issued 26,601,908 and 33,190,750</w:t>
            </w:r>
          </w:p>
        </w:tc>
        <w:tc>
          <w:tcPr>
            <w:tcW w:w="2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26,602</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33,191</w:t>
            </w:r>
          </w:p>
        </w:tc>
      </w:tr>
      <w:tr>
        <w:trPr>
          <w:trHeight w:val="203"/>
        </w:trPr>
        <w:tc>
          <w:tcPr>
            <w:tcW w:w="6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Additional Capital</w:t>
            </w:r>
          </w:p>
        </w:tc>
        <w:tc>
          <w:tcPr>
            <w:tcW w:w="2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111,176</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118,360</w:t>
            </w:r>
          </w:p>
        </w:tc>
      </w:tr>
      <w:tr>
        <w:trPr>
          <w:trHeight w:val="203"/>
        </w:trPr>
        <w:tc>
          <w:tcPr>
            <w:tcW w:w="6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126,088</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269,055</w:t>
            </w:r>
          </w:p>
        </w:tc>
      </w:tr>
      <w:tr>
        <w:trPr>
          <w:trHeight w:val="203"/>
        </w:trPr>
        <w:tc>
          <w:tcPr>
            <w:tcW w:w="6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263,866</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420,606</w:t>
            </w:r>
          </w:p>
        </w:tc>
      </w:tr>
      <w:tr>
        <w:trPr>
          <w:trHeight w:val="405"/>
        </w:trPr>
        <w:tc>
          <w:tcPr>
            <w:tcW w:w="6220" w:type="dxa"/>
            <w:vAlign w:val="bottom"/>
          </w:tcPr>
          <w:p>
            <w:pPr>
              <w:ind w:left="120"/>
              <w:spacing w:after="0"/>
              <w:rPr>
                <w:sz w:val="20"/>
                <w:szCs w:val="20"/>
                <w:color w:val="auto"/>
              </w:rPr>
            </w:pPr>
            <w:r>
              <w:rPr>
                <w:rFonts w:ascii="Courier New" w:cs="Courier New" w:eastAsia="Courier New" w:hAnsi="Courier New"/>
                <w:sz w:val="18"/>
                <w:szCs w:val="18"/>
                <w:color w:val="auto"/>
              </w:rPr>
              <w:t>Less:  6,728,576 shares of common stock held</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6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 treasury as of January 30, 1994--at cost</w:t>
            </w:r>
          </w:p>
        </w:tc>
        <w:tc>
          <w:tcPr>
            <w:tcW w:w="2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(173,807)</w:t>
            </w:r>
          </w:p>
        </w:tc>
      </w:tr>
      <w:tr>
        <w:trPr>
          <w:trHeight w:val="203"/>
        </w:trPr>
        <w:tc>
          <w:tcPr>
            <w:tcW w:w="6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2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263,866</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246,799</w:t>
            </w:r>
          </w:p>
        </w:tc>
      </w:tr>
      <w:tr>
        <w:trPr>
          <w:trHeight w:val="203"/>
        </w:trPr>
        <w:tc>
          <w:tcPr>
            <w:tcW w:w="6220" w:type="dxa"/>
            <w:vAlign w:val="bottom"/>
          </w:tcPr>
          <w:p>
            <w:pPr>
              <w:spacing w:after="0"/>
              <w:rPr>
                <w:sz w:val="17"/>
                <w:szCs w:val="17"/>
                <w:color w:val="auto"/>
              </w:rPr>
            </w:pP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601,486</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$554,771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1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Phillips-Van Heusen Corporation</w:t>
      </w:r>
    </w:p>
    <w:p>
      <w:pPr>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spacing w:after="0"/>
        <w:rPr>
          <w:sz w:val="20"/>
          <w:szCs w:val="20"/>
          <w:color w:val="auto"/>
        </w:rPr>
      </w:pPr>
      <w:r>
        <w:rPr>
          <w:rFonts w:ascii="Courier New" w:cs="Courier New" w:eastAsia="Courier New" w:hAnsi="Courier New"/>
          <w:sz w:val="18"/>
          <w:szCs w:val="18"/>
          <w:color w:val="auto"/>
        </w:rPr>
        <w:t>Unaudited</w:t>
      </w:r>
    </w:p>
    <w:p>
      <w:pPr>
        <w:spacing w:after="0" w:line="237" w:lineRule="auto"/>
        <w:rPr>
          <w:sz w:val="20"/>
          <w:szCs w:val="20"/>
          <w:color w:val="auto"/>
        </w:rPr>
      </w:pPr>
      <w:r>
        <w:rPr>
          <w:rFonts w:ascii="Courier New" w:cs="Courier New" w:eastAsia="Courier New" w:hAnsi="Courier New"/>
          <w:sz w:val="18"/>
          <w:szCs w:val="18"/>
          <w:color w:val="auto"/>
        </w:rPr>
        <w:t>(In thousands, except per share amounts)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3"/>
          </w:tcPr>
          <w:p>
            <w:pPr>
              <w:jc w:val="right"/>
              <w:ind w:right="492"/>
              <w:spacing w:after="0"/>
              <w:rPr>
                <w:sz w:val="20"/>
                <w:szCs w:val="20"/>
                <w:color w:val="auto"/>
              </w:rPr>
            </w:pPr>
            <w:r>
              <w:rPr>
                <w:rFonts w:ascii="Courier New" w:cs="Courier New" w:eastAsia="Courier New" w:hAnsi="Courier New"/>
                <w:sz w:val="18"/>
                <w:szCs w:val="18"/>
                <w:color w:val="auto"/>
              </w:rPr>
              <w:t>Thirteen Weeks</w:t>
            </w:r>
          </w:p>
        </w:tc>
        <w:tc>
          <w:tcPr>
            <w:tcW w:w="38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Thirty-Nine</w:t>
            </w: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Weeks</w:t>
            </w:r>
          </w:p>
        </w:tc>
      </w:tr>
      <w:tr>
        <w:trPr>
          <w:trHeight w:val="203"/>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Ended</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Ended</w:t>
            </w:r>
          </w:p>
        </w:tc>
        <w:tc>
          <w:tcPr>
            <w:tcW w:w="96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2620" w:type="dxa"/>
            <w:vAlign w:val="bottom"/>
            <w:gridSpan w:val="4"/>
          </w:tcPr>
          <w:p>
            <w:pPr>
              <w:jc w:val="right"/>
              <w:ind w:right="52"/>
              <w:spacing w:after="0" w:line="203" w:lineRule="exact"/>
              <w:rPr>
                <w:sz w:val="20"/>
                <w:szCs w:val="20"/>
                <w:color w:val="auto"/>
              </w:rPr>
            </w:pPr>
            <w:r>
              <w:rPr>
                <w:rFonts w:ascii="Courier New" w:cs="Courier New" w:eastAsia="Courier New" w:hAnsi="Courier New"/>
                <w:sz w:val="18"/>
                <w:szCs w:val="18"/>
                <w:color w:val="auto"/>
                <w:w w:val="99"/>
              </w:rPr>
              <w:t>October 30, October 31,</w:t>
            </w:r>
          </w:p>
        </w:tc>
        <w:tc>
          <w:tcPr>
            <w:tcW w:w="26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October 30, October 31,</w:t>
            </w:r>
          </w:p>
        </w:tc>
      </w:tr>
      <w:tr>
        <w:trPr>
          <w:trHeight w:val="203"/>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1994</w:t>
            </w:r>
          </w:p>
        </w:tc>
        <w:tc>
          <w:tcPr>
            <w:tcW w:w="48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1993</w:t>
            </w:r>
          </w:p>
        </w:tc>
        <w:tc>
          <w:tcPr>
            <w:tcW w:w="38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1994</w:t>
            </w:r>
          </w:p>
        </w:tc>
        <w:tc>
          <w:tcPr>
            <w:tcW w:w="5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1993</w:t>
            </w:r>
          </w:p>
        </w:tc>
      </w:tr>
      <w:tr>
        <w:trPr>
          <w:trHeight w:val="608"/>
        </w:trPr>
        <w:tc>
          <w:tcPr>
            <w:tcW w:w="470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w w:val="95"/>
              </w:rPr>
              <w:t>379,406</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5"/>
              </w:rPr>
              <w:t>357,389</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902,074</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843,329</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Cost of goods sold</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w w:val="95"/>
              </w:rPr>
              <w:t>258,117</w:t>
            </w:r>
          </w:p>
        </w:tc>
        <w:tc>
          <w:tcPr>
            <w:tcW w:w="48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5"/>
              </w:rPr>
              <w:t>233,117</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606,862</w:t>
            </w:r>
          </w:p>
        </w:tc>
        <w:tc>
          <w:tcPr>
            <w:tcW w:w="52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548,146</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Gross profit</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w w:val="95"/>
              </w:rPr>
              <w:t>121,289</w:t>
            </w:r>
          </w:p>
        </w:tc>
        <w:tc>
          <w:tcPr>
            <w:tcW w:w="48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5"/>
              </w:rPr>
              <w:t>124,272</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295,212</w:t>
            </w:r>
          </w:p>
        </w:tc>
        <w:tc>
          <w:tcPr>
            <w:tcW w:w="52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295,183</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w w:val="98"/>
              </w:rPr>
              <w:t>Selling, general and administrative expenses</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91,484</w:t>
            </w:r>
          </w:p>
        </w:tc>
        <w:tc>
          <w:tcPr>
            <w:tcW w:w="48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83,674</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255,314</w:t>
            </w:r>
          </w:p>
        </w:tc>
        <w:tc>
          <w:tcPr>
            <w:tcW w:w="52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238,033</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Income before interest and taxes</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29,805</w:t>
            </w:r>
          </w:p>
        </w:tc>
        <w:tc>
          <w:tcPr>
            <w:tcW w:w="48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40,598</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39,898</w:t>
            </w:r>
          </w:p>
        </w:tc>
        <w:tc>
          <w:tcPr>
            <w:tcW w:w="52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57,150</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Interest expense, net</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3,377</w:t>
            </w:r>
          </w:p>
        </w:tc>
        <w:tc>
          <w:tcPr>
            <w:tcW w:w="48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4,613</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10,061</w:t>
            </w:r>
          </w:p>
        </w:tc>
        <w:tc>
          <w:tcPr>
            <w:tcW w:w="52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13,111</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Income before taxes</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26,428</w:t>
            </w:r>
          </w:p>
        </w:tc>
        <w:tc>
          <w:tcPr>
            <w:tcW w:w="48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35,985</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29,837</w:t>
            </w:r>
          </w:p>
        </w:tc>
        <w:tc>
          <w:tcPr>
            <w:tcW w:w="52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44,039</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Income taxes</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8,578</w:t>
            </w:r>
          </w:p>
        </w:tc>
        <w:tc>
          <w:tcPr>
            <w:tcW w:w="48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11,465</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9,783</w:t>
            </w:r>
          </w:p>
        </w:tc>
        <w:tc>
          <w:tcPr>
            <w:tcW w:w="52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13,970</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17,850</w:t>
            </w:r>
          </w:p>
        </w:tc>
        <w:tc>
          <w:tcPr>
            <w:tcW w:w="48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24,520</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20,054</w:t>
            </w:r>
          </w:p>
        </w:tc>
        <w:tc>
          <w:tcPr>
            <w:tcW w:w="52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30,069</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Net income per share</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0.66</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0.91</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0.74</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1.11</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Cash dividends per share</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0.0375</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0.0375</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0.1125</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0.1125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14"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Phillips-Van Heusen Corporation</w:t>
      </w:r>
    </w:p>
    <w:p>
      <w:pPr>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spacing w:after="0"/>
        <w:rPr>
          <w:sz w:val="20"/>
          <w:szCs w:val="20"/>
          <w:color w:val="auto"/>
        </w:rPr>
      </w:pPr>
      <w:r>
        <w:rPr>
          <w:rFonts w:ascii="Courier New" w:cs="Courier New" w:eastAsia="Courier New" w:hAnsi="Courier New"/>
          <w:sz w:val="18"/>
          <w:szCs w:val="18"/>
          <w:color w:val="auto"/>
        </w:rPr>
        <w:t>Unaudited</w:t>
      </w:r>
    </w:p>
    <w:p>
      <w:pPr>
        <w:spacing w:after="0" w:line="237" w:lineRule="auto"/>
        <w:rPr>
          <w:sz w:val="20"/>
          <w:szCs w:val="20"/>
          <w:color w:val="auto"/>
        </w:rPr>
      </w:pPr>
      <w:r>
        <w:rPr>
          <w:rFonts w:ascii="Courier New" w:cs="Courier New" w:eastAsia="Courier New" w:hAnsi="Courier New"/>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spacing w:after="0"/>
              <w:rPr>
                <w:sz w:val="17"/>
                <w:szCs w:val="17"/>
                <w:color w:val="auto"/>
              </w:rPr>
            </w:pPr>
          </w:p>
        </w:tc>
        <w:tc>
          <w:tcPr>
            <w:tcW w:w="2840" w:type="dxa"/>
            <w:vAlign w:val="bottom"/>
            <w:gridSpan w:val="3"/>
          </w:tcPr>
          <w:p>
            <w:pPr>
              <w:ind w:left="300"/>
              <w:spacing w:after="0"/>
              <w:rPr>
                <w:sz w:val="20"/>
                <w:szCs w:val="20"/>
                <w:color w:val="auto"/>
              </w:rPr>
            </w:pPr>
            <w:r>
              <w:rPr>
                <w:rFonts w:ascii="Courier New" w:cs="Courier New" w:eastAsia="Courier New" w:hAnsi="Courier New"/>
                <w:sz w:val="18"/>
                <w:szCs w:val="18"/>
                <w:color w:val="auto"/>
              </w:rPr>
              <w:t>Thirty-Nine Weeks Ended</w:t>
            </w:r>
          </w:p>
        </w:tc>
      </w:tr>
      <w:tr>
        <w:trPr>
          <w:trHeight w:val="203"/>
        </w:trPr>
        <w:tc>
          <w:tcPr>
            <w:tcW w:w="5600" w:type="dxa"/>
            <w:vAlign w:val="bottom"/>
          </w:tcPr>
          <w:p>
            <w:pPr>
              <w:spacing w:after="0"/>
              <w:rPr>
                <w:sz w:val="17"/>
                <w:szCs w:val="17"/>
                <w:color w:val="auto"/>
              </w:rPr>
            </w:pPr>
          </w:p>
        </w:tc>
        <w:tc>
          <w:tcPr>
            <w:tcW w:w="1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October 30,</w:t>
            </w:r>
          </w:p>
        </w:tc>
        <w:tc>
          <w:tcPr>
            <w:tcW w:w="1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5"/>
              </w:rPr>
              <w:t>October 31,</w:t>
            </w:r>
          </w:p>
        </w:tc>
      </w:tr>
      <w:tr>
        <w:trPr>
          <w:trHeight w:val="203"/>
        </w:trPr>
        <w:tc>
          <w:tcPr>
            <w:tcW w:w="5600" w:type="dxa"/>
            <w:vAlign w:val="bottom"/>
          </w:tcPr>
          <w:p>
            <w:pPr>
              <w:spacing w:after="0"/>
              <w:rPr>
                <w:sz w:val="17"/>
                <w:szCs w:val="17"/>
                <w:color w:val="auto"/>
              </w:rPr>
            </w:pPr>
          </w:p>
        </w:tc>
        <w:tc>
          <w:tcPr>
            <w:tcW w:w="15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1994</w:t>
            </w:r>
          </w:p>
        </w:tc>
        <w:tc>
          <w:tcPr>
            <w:tcW w:w="2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1993</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OPERATING ACTIVITIES:</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$20,054</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30,069</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 to net</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used by operating activities:</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17,273</w:t>
            </w:r>
          </w:p>
        </w:tc>
        <w:tc>
          <w:tcPr>
            <w:tcW w:w="2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13,608</w:t>
            </w:r>
          </w:p>
        </w:tc>
      </w:tr>
      <w:tr>
        <w:trPr>
          <w:trHeight w:val="203"/>
        </w:trPr>
        <w:tc>
          <w:tcPr>
            <w:tcW w:w="5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Other-net</w:t>
            </w:r>
          </w:p>
        </w:tc>
        <w:tc>
          <w:tcPr>
            <w:tcW w:w="15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(3,135)</w:t>
            </w:r>
          </w:p>
        </w:tc>
        <w:tc>
          <w:tcPr>
            <w:tcW w:w="2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(1,670)</w:t>
            </w:r>
          </w:p>
        </w:tc>
      </w:tr>
      <w:tr>
        <w:trPr>
          <w:trHeight w:val="405"/>
        </w:trPr>
        <w:tc>
          <w:tcPr>
            <w:tcW w:w="5600" w:type="dxa"/>
            <w:vAlign w:val="bottom"/>
          </w:tcPr>
          <w:p>
            <w:pPr>
              <w:ind w:left="220"/>
              <w:spacing w:after="0"/>
              <w:rPr>
                <w:sz w:val="20"/>
                <w:szCs w:val="20"/>
                <w:color w:val="auto"/>
              </w:rPr>
            </w:pPr>
            <w:r>
              <w:rPr>
                <w:rFonts w:ascii="Courier New" w:cs="Courier New" w:eastAsia="Courier New" w:hAnsi="Courier New"/>
                <w:sz w:val="18"/>
                <w:szCs w:val="18"/>
                <w:color w:val="auto"/>
              </w:rPr>
              <w:t>Changes in operating assets and liabilities:</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Receivables</w:t>
            </w:r>
          </w:p>
        </w:tc>
        <w:tc>
          <w:tcPr>
            <w:tcW w:w="15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(41,150)</w:t>
            </w:r>
          </w:p>
        </w:tc>
        <w:tc>
          <w:tcPr>
            <w:tcW w:w="2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(39,689)</w:t>
            </w:r>
          </w:p>
        </w:tc>
      </w:tr>
      <w:tr>
        <w:trPr>
          <w:trHeight w:val="203"/>
        </w:trPr>
        <w:tc>
          <w:tcPr>
            <w:tcW w:w="5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Inventories</w:t>
            </w:r>
          </w:p>
        </w:tc>
        <w:tc>
          <w:tcPr>
            <w:tcW w:w="15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(20,501)</w:t>
            </w:r>
          </w:p>
        </w:tc>
        <w:tc>
          <w:tcPr>
            <w:tcW w:w="2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(48,592)</w:t>
            </w:r>
          </w:p>
        </w:tc>
      </w:tr>
      <w:tr>
        <w:trPr>
          <w:trHeight w:val="203"/>
        </w:trPr>
        <w:tc>
          <w:tcPr>
            <w:tcW w:w="5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22,692</w:t>
            </w:r>
          </w:p>
        </w:tc>
        <w:tc>
          <w:tcPr>
            <w:tcW w:w="2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20,044</w:t>
            </w:r>
          </w:p>
        </w:tc>
      </w:tr>
      <w:tr>
        <w:trPr>
          <w:trHeight w:val="203"/>
        </w:trPr>
        <w:tc>
          <w:tcPr>
            <w:tcW w:w="5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Other-net</w:t>
            </w:r>
          </w:p>
        </w:tc>
        <w:tc>
          <w:tcPr>
            <w:tcW w:w="15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(3,036)</w:t>
            </w:r>
          </w:p>
        </w:tc>
        <w:tc>
          <w:tcPr>
            <w:tcW w:w="2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(581)</w:t>
            </w:r>
          </w:p>
        </w:tc>
      </w:tr>
      <w:tr>
        <w:trPr>
          <w:trHeight w:val="203"/>
        </w:trPr>
        <w:tc>
          <w:tcPr>
            <w:tcW w:w="5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Cash Used By Operating Activities</w:t>
            </w:r>
          </w:p>
        </w:tc>
        <w:tc>
          <w:tcPr>
            <w:tcW w:w="15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(7,803)</w:t>
            </w:r>
          </w:p>
        </w:tc>
        <w:tc>
          <w:tcPr>
            <w:tcW w:w="2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(26,811)</w:t>
            </w:r>
          </w:p>
        </w:tc>
      </w:tr>
      <w:tr>
        <w:trPr>
          <w:trHeight w:val="608"/>
        </w:trPr>
        <w:tc>
          <w:tcPr>
            <w:tcW w:w="5600" w:type="dxa"/>
            <w:vAlign w:val="bottom"/>
          </w:tcPr>
          <w:p>
            <w:pPr>
              <w:spacing w:after="0"/>
              <w:rPr>
                <w:sz w:val="20"/>
                <w:szCs w:val="20"/>
                <w:color w:val="auto"/>
              </w:rPr>
            </w:pPr>
            <w:r>
              <w:rPr>
                <w:rFonts w:ascii="Courier New" w:cs="Courier New" w:eastAsia="Courier New" w:hAnsi="Courier New"/>
                <w:sz w:val="18"/>
                <w:szCs w:val="18"/>
                <w:color w:val="auto"/>
              </w:rPr>
              <w:t>INVESTING ACTIVITIES:</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Plant and equipment acquired</w:t>
            </w:r>
          </w:p>
        </w:tc>
        <w:tc>
          <w:tcPr>
            <w:tcW w:w="15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(37,233)</w:t>
            </w:r>
          </w:p>
        </w:tc>
        <w:tc>
          <w:tcPr>
            <w:tcW w:w="2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(35,601)</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Contributions from landlords</w:t>
            </w: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10,561</w:t>
            </w:r>
          </w:p>
        </w:tc>
        <w:tc>
          <w:tcPr>
            <w:tcW w:w="2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7,683</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Other-net</w:t>
            </w: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1,908</w:t>
            </w:r>
          </w:p>
        </w:tc>
        <w:tc>
          <w:tcPr>
            <w:tcW w:w="2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3,040</w:t>
            </w:r>
          </w:p>
        </w:tc>
      </w:tr>
      <w:tr>
        <w:trPr>
          <w:trHeight w:val="203"/>
        </w:trPr>
        <w:tc>
          <w:tcPr>
            <w:tcW w:w="5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Cash Used By Investing Activities</w:t>
            </w:r>
          </w:p>
        </w:tc>
        <w:tc>
          <w:tcPr>
            <w:tcW w:w="15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(24,764)</w:t>
            </w:r>
          </w:p>
        </w:tc>
        <w:tc>
          <w:tcPr>
            <w:tcW w:w="2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(24,878)</w:t>
            </w:r>
          </w:p>
        </w:tc>
      </w:tr>
      <w:tr>
        <w:trPr>
          <w:trHeight w:val="608"/>
        </w:trPr>
        <w:tc>
          <w:tcPr>
            <w:tcW w:w="560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revolving line of credit and long-</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term borrowings</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41,600</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Payments on revolving line of credit and long-</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term borrowings</w:t>
            </w:r>
          </w:p>
        </w:tc>
        <w:tc>
          <w:tcPr>
            <w:tcW w:w="15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(245)</w:t>
            </w:r>
          </w:p>
        </w:tc>
        <w:tc>
          <w:tcPr>
            <w:tcW w:w="2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(43,347)</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Exercise of stock options</w:t>
            </w: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996</w:t>
            </w:r>
          </w:p>
        </w:tc>
        <w:tc>
          <w:tcPr>
            <w:tcW w:w="2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1,435</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of dividends</w:t>
            </w:r>
          </w:p>
        </w:tc>
        <w:tc>
          <w:tcPr>
            <w:tcW w:w="15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(3,983)</w:t>
            </w:r>
          </w:p>
        </w:tc>
        <w:tc>
          <w:tcPr>
            <w:tcW w:w="2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(3,912)</w:t>
            </w:r>
          </w:p>
        </w:tc>
      </w:tr>
      <w:tr>
        <w:trPr>
          <w:trHeight w:val="203"/>
        </w:trPr>
        <w:tc>
          <w:tcPr>
            <w:tcW w:w="5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Cash Used By Financing Activities</w:t>
            </w:r>
          </w:p>
        </w:tc>
        <w:tc>
          <w:tcPr>
            <w:tcW w:w="15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(3,232)</w:t>
            </w:r>
          </w:p>
        </w:tc>
        <w:tc>
          <w:tcPr>
            <w:tcW w:w="2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(4,224)</w:t>
            </w:r>
          </w:p>
        </w:tc>
      </w:tr>
      <w:tr>
        <w:trPr>
          <w:trHeight w:val="405"/>
        </w:trPr>
        <w:tc>
          <w:tcPr>
            <w:tcW w:w="5600" w:type="dxa"/>
            <w:vAlign w:val="bottom"/>
          </w:tcPr>
          <w:p>
            <w:pPr>
              <w:ind w:left="640"/>
              <w:spacing w:after="0"/>
              <w:rPr>
                <w:sz w:val="20"/>
                <w:szCs w:val="20"/>
                <w:color w:val="auto"/>
              </w:rPr>
            </w:pPr>
            <w:r>
              <w:rPr>
                <w:rFonts w:ascii="Courier New" w:cs="Courier New" w:eastAsia="Courier New" w:hAnsi="Courier New"/>
                <w:sz w:val="18"/>
                <w:szCs w:val="18"/>
                <w:color w:val="auto"/>
              </w:rPr>
              <w:t>DECREASE IN CASH</w:t>
            </w:r>
          </w:p>
        </w:tc>
        <w:tc>
          <w:tcPr>
            <w:tcW w:w="15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(35,799)</w:t>
            </w:r>
          </w:p>
        </w:tc>
        <w:tc>
          <w:tcPr>
            <w:tcW w:w="20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4"/>
              </w:rPr>
              <w:t>(55,913)</w:t>
            </w:r>
          </w:p>
        </w:tc>
      </w:tr>
      <w:tr>
        <w:trPr>
          <w:trHeight w:val="405"/>
        </w:trPr>
        <w:tc>
          <w:tcPr>
            <w:tcW w:w="5600" w:type="dxa"/>
            <w:vAlign w:val="bottom"/>
          </w:tcPr>
          <w:p>
            <w:pPr>
              <w:ind w:left="640"/>
              <w:spacing w:after="0"/>
              <w:rPr>
                <w:sz w:val="20"/>
                <w:szCs w:val="20"/>
                <w:color w:val="auto"/>
              </w:rPr>
            </w:pPr>
            <w:r>
              <w:rPr>
                <w:rFonts w:ascii="Courier New" w:cs="Courier New" w:eastAsia="Courier New" w:hAnsi="Courier New"/>
                <w:sz w:val="18"/>
                <w:szCs w:val="18"/>
                <w:color w:val="auto"/>
              </w:rPr>
              <w:t>Cash at beginning of period</w:t>
            </w: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68,070</w:t>
            </w:r>
          </w:p>
        </w:tc>
        <w:tc>
          <w:tcPr>
            <w:tcW w:w="20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77,063</w:t>
            </w:r>
          </w:p>
        </w:tc>
      </w:tr>
      <w:tr>
        <w:trPr>
          <w:trHeight w:val="405"/>
        </w:trPr>
        <w:tc>
          <w:tcPr>
            <w:tcW w:w="5600" w:type="dxa"/>
            <w:vAlign w:val="bottom"/>
          </w:tcPr>
          <w:p>
            <w:pPr>
              <w:ind w:left="640"/>
              <w:spacing w:after="0"/>
              <w:rPr>
                <w:sz w:val="20"/>
                <w:szCs w:val="20"/>
                <w:color w:val="auto"/>
              </w:rPr>
            </w:pPr>
            <w:r>
              <w:rPr>
                <w:rFonts w:ascii="Courier New" w:cs="Courier New" w:eastAsia="Courier New" w:hAnsi="Courier New"/>
                <w:sz w:val="18"/>
                <w:szCs w:val="18"/>
                <w:color w:val="auto"/>
              </w:rPr>
              <w:t>Cash at end of period</w:t>
            </w: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$32,271</w:t>
            </w:r>
          </w:p>
        </w:tc>
        <w:tc>
          <w:tcPr>
            <w:tcW w:w="200" w:type="dxa"/>
            <w:vAlign w:val="bottom"/>
          </w:tcPr>
          <w:p>
            <w:pPr>
              <w:ind w:left="100"/>
              <w:spacing w:after="0"/>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21,150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14"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Phillips-Van Heusen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Thousands)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The accompanying unaudited consolidated financial statements have been prepared in accordance with generally accepted accounting principles for interim financial information. Accordingly, they do not contain all disclosures required by generally accepted accounting principles for complete financial statements. Reference should be made to the annual financial statements, including the footnotes thereto, included in the Company's Annual Report to Stockholders for the year ended January 30, 1994.</w:t>
      </w:r>
    </w:p>
    <w:p>
      <w:pPr>
        <w:spacing w:after="0" w:line="18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results of operations for the thirteen and thirty-nine weeks ended October 30, 1994 and October 31, 1993 are not necessarily indicative of those for a full fiscal year because of seasonal factors. The data contained in these financial statements are unaudited and are subject to year-end adjustments; however, in the opinion of management, all known adjustments (which consist only of normal recurring accruals) have been made to present fairly the consolidated operating results for the unaudited periods.</w:t>
      </w:r>
    </w:p>
    <w:p>
      <w:pPr>
        <w:spacing w:after="0" w:line="21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Certain reclassifications have been made for the thirteen and thirty-nine weeks ended October 31, 1993 to present that information on a basis consistent with the thirteen and thirty-nine weeks ended October 30, 1994.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20"/>
                <w:szCs w:val="20"/>
                <w:color w:val="auto"/>
              </w:rPr>
            </w:pPr>
            <w:r>
              <w:rPr>
                <w:rFonts w:ascii="Courier New" w:cs="Courier New" w:eastAsia="Courier New" w:hAnsi="Courier New"/>
                <w:sz w:val="18"/>
                <w:szCs w:val="18"/>
                <w:color w:val="auto"/>
              </w:rPr>
              <w:t>INVENTORIES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w w:val="97"/>
              </w:rPr>
              <w:t>Inventories are summarized as follows: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05"/>
        </w:trPr>
        <w:tc>
          <w:tcPr>
            <w:tcW w:w="4020" w:type="dxa"/>
            <w:vAlign w:val="bottom"/>
          </w:tcPr>
          <w:p>
            <w:pPr>
              <w:spacing w:after="0"/>
              <w:rPr>
                <w:sz w:val="24"/>
                <w:szCs w:val="24"/>
                <w:color w:val="auto"/>
              </w:rPr>
            </w:pPr>
          </w:p>
        </w:tc>
        <w:tc>
          <w:tcPr>
            <w:tcW w:w="14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4"/>
              </w:rPr>
              <w:t>October 30,</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January 30,</w:t>
            </w:r>
          </w:p>
        </w:tc>
      </w:tr>
      <w:tr>
        <w:trPr>
          <w:trHeight w:val="203"/>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1994</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r>
        <w:trPr>
          <w:trHeight w:val="405"/>
        </w:trPr>
        <w:tc>
          <w:tcPr>
            <w:tcW w:w="4020" w:type="dxa"/>
            <w:vAlign w:val="bottom"/>
          </w:tcPr>
          <w:p>
            <w:pPr>
              <w:ind w:left="1160"/>
              <w:spacing w:after="0"/>
              <w:rPr>
                <w:sz w:val="20"/>
                <w:szCs w:val="20"/>
                <w:color w:val="auto"/>
              </w:rPr>
            </w:pPr>
            <w:r>
              <w:rPr>
                <w:rFonts w:ascii="Courier New" w:cs="Courier New" w:eastAsia="Courier New" w:hAnsi="Courier New"/>
                <w:sz w:val="18"/>
                <w:szCs w:val="18"/>
                <w:color w:val="auto"/>
              </w:rPr>
              <w:t>Raw materials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16,375</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$ 16,710</w:t>
            </w:r>
          </w:p>
        </w:tc>
      </w:tr>
      <w:tr>
        <w:trPr>
          <w:trHeight w:val="203"/>
        </w:trPr>
        <w:tc>
          <w:tcPr>
            <w:tcW w:w="40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Work in process</w:t>
            </w:r>
          </w:p>
        </w:tc>
        <w:tc>
          <w:tcPr>
            <w:tcW w:w="20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24,054</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13,941</w:t>
            </w:r>
          </w:p>
        </w:tc>
      </w:tr>
      <w:tr>
        <w:trPr>
          <w:trHeight w:val="203"/>
        </w:trPr>
        <w:tc>
          <w:tcPr>
            <w:tcW w:w="40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Finished goods</w:t>
            </w:r>
          </w:p>
        </w:tc>
        <w:tc>
          <w:tcPr>
            <w:tcW w:w="20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249,943</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239,220</w:t>
            </w:r>
          </w:p>
        </w:tc>
      </w:tr>
      <w:tr>
        <w:trPr>
          <w:trHeight w:val="405"/>
        </w:trPr>
        <w:tc>
          <w:tcPr>
            <w:tcW w:w="4020" w:type="dxa"/>
            <w:vAlign w:val="bottom"/>
          </w:tcPr>
          <w:p>
            <w:pPr>
              <w:ind w:left="1800"/>
              <w:spacing w:after="0"/>
              <w:rPr>
                <w:sz w:val="20"/>
                <w:szCs w:val="20"/>
                <w:color w:val="auto"/>
              </w:rPr>
            </w:pPr>
            <w:r>
              <w:rPr>
                <w:rFonts w:ascii="Courier New" w:cs="Courier New" w:eastAsia="Courier New" w:hAnsi="Courier New"/>
                <w:sz w:val="18"/>
                <w:szCs w:val="18"/>
                <w:color w:val="auto"/>
              </w:rPr>
              <w:t>Total</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5"/>
              </w:rPr>
              <w:t>290,372</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$269,871</w:t>
            </w:r>
          </w:p>
        </w:tc>
      </w:tr>
    </w:tbl>
    <w:p>
      <w:pPr>
        <w:spacing w:after="0" w:line="207"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Inventories are stated at the lower of cost or market. Cost for the apparel business is determined principally using the last-in first-out method (LIFO). Cost for the footwear business is determined using the first-in first-out method (FIFO). Inventories would have been $14,691 and $11,500 higher than reported at October 30, 1994 and January 30, 1994, respectively, if the FIFO method of inventory accounting had been used for the apparel business.</w:t>
      </w:r>
    </w:p>
    <w:p>
      <w:pPr>
        <w:spacing w:after="0" w:line="18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determination of cost of sales and inventories under the LIFO method can only be made at the end of each fiscal year based on inventory cost and quantities on hand. Interim LIFO determinations are based on management's estimates of expected year-end inventory levels and costs. Such estimates are subject to revision at the end of each quarter. Since estimates of future inventory levels and costs are subject to external factors, interim financial results are subject to year-end LIFO inventory adjustments.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14"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SEGMENT DATA</w:t>
      </w:r>
    </w:p>
    <w:p>
      <w:pPr>
        <w:spacing w:after="0" w:line="207"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The Company operates in two industry segments: (i) apparel - the manufacture, procurement for sale and marketing of a broad range of men's and women's apparel to traditional wholesale accounts as well as through Company-owned retail stores, and (ii) footwear - the manufacture, procurement for sale and marketing of a broad range of men's, women's and children's shoes to traditional wholesale accounts as well as through Company-owned retail stores.</w:t>
      </w:r>
    </w:p>
    <w:p>
      <w:pPr>
        <w:spacing w:after="0" w:line="186"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Operating income represents net sales less operating expenses. Excluded from operating results of the segments are interest expense, net, corporate expenses and income taxes.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Thirteen Weeks</w:t>
            </w:r>
          </w:p>
        </w:tc>
        <w:tc>
          <w:tcPr>
            <w:tcW w:w="27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Thirty-Nine Weeks</w:t>
            </w:r>
          </w:p>
        </w:tc>
      </w:tr>
      <w:tr>
        <w:trPr>
          <w:trHeight w:val="203"/>
        </w:trPr>
        <w:tc>
          <w:tcPr>
            <w:tcW w:w="2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Ended</w:t>
            </w:r>
          </w:p>
        </w:tc>
        <w:tc>
          <w:tcPr>
            <w:tcW w:w="1160" w:type="dxa"/>
            <w:vAlign w:val="bottom"/>
          </w:tcPr>
          <w:p>
            <w:pPr>
              <w:spacing w:after="0"/>
              <w:rPr>
                <w:sz w:val="17"/>
                <w:szCs w:val="17"/>
                <w:color w:val="auto"/>
              </w:rPr>
            </w:pPr>
          </w:p>
        </w:tc>
        <w:tc>
          <w:tcPr>
            <w:tcW w:w="274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2700" w:type="dxa"/>
            <w:vAlign w:val="bottom"/>
          </w:tcPr>
          <w:p>
            <w:pPr>
              <w:spacing w:after="0"/>
              <w:rPr>
                <w:sz w:val="17"/>
                <w:szCs w:val="17"/>
                <w:color w:val="auto"/>
              </w:rPr>
            </w:pP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October 30,</w:t>
            </w: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October 31,</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October 30,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October 31,</w:t>
            </w:r>
          </w:p>
        </w:tc>
      </w:tr>
      <w:tr>
        <w:trPr>
          <w:trHeight w:val="203"/>
        </w:trPr>
        <w:tc>
          <w:tcPr>
            <w:tcW w:w="2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1994</w:t>
            </w:r>
          </w:p>
        </w:tc>
        <w:tc>
          <w:tcPr>
            <w:tcW w:w="300" w:type="dxa"/>
            <w:vAlign w:val="bottom"/>
          </w:tcPr>
          <w:p>
            <w:pPr>
              <w:spacing w:after="0"/>
              <w:rPr>
                <w:sz w:val="17"/>
                <w:szCs w:val="17"/>
                <w:color w:val="auto"/>
              </w:rPr>
            </w:pPr>
          </w:p>
        </w:tc>
        <w:tc>
          <w:tcPr>
            <w:tcW w:w="11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1993</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1994</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1993</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Net sales-apparel</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271,524</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253,005</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$621,762</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$571,016</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Net sales-footwear</w:t>
            </w:r>
          </w:p>
        </w:tc>
        <w:tc>
          <w:tcPr>
            <w:tcW w:w="26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107,882</w:t>
            </w:r>
          </w:p>
        </w:tc>
        <w:tc>
          <w:tcPr>
            <w:tcW w:w="30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104,384</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280,312</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272,313</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Total net sales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379,406</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357,389</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$902,074</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$843,329</w:t>
            </w:r>
          </w:p>
        </w:tc>
      </w:tr>
      <w:tr>
        <w:trPr>
          <w:trHeight w:val="608"/>
        </w:trPr>
        <w:tc>
          <w:tcPr>
            <w:tcW w:w="2700" w:type="dxa"/>
            <w:vAlign w:val="bottom"/>
          </w:tcPr>
          <w:p>
            <w:pPr>
              <w:spacing w:after="0"/>
              <w:rPr>
                <w:sz w:val="20"/>
                <w:szCs w:val="20"/>
                <w:color w:val="auto"/>
              </w:rPr>
            </w:pPr>
            <w:r>
              <w:rPr>
                <w:rFonts w:ascii="Courier New" w:cs="Courier New" w:eastAsia="Courier New" w:hAnsi="Courier New"/>
                <w:sz w:val="18"/>
                <w:szCs w:val="18"/>
                <w:color w:val="auto"/>
              </w:rPr>
              <w:t>Operating income-apparel</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20,076</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30,369</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$ 22,379</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$ 36,164</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w w:val="99"/>
              </w:rPr>
              <w:t>Operating income-footwear</w:t>
            </w:r>
          </w:p>
        </w:tc>
        <w:tc>
          <w:tcPr>
            <w:tcW w:w="26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13,086</w:t>
            </w:r>
          </w:p>
        </w:tc>
        <w:tc>
          <w:tcPr>
            <w:tcW w:w="30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14,215</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25,441</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29,755</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Total operating income</w:t>
            </w:r>
          </w:p>
        </w:tc>
        <w:tc>
          <w:tcPr>
            <w:tcW w:w="26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33,162</w:t>
            </w:r>
          </w:p>
        </w:tc>
        <w:tc>
          <w:tcPr>
            <w:tcW w:w="30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44,584</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47,820</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65,919</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Corporate expenses</w:t>
            </w:r>
          </w:p>
        </w:tc>
        <w:tc>
          <w:tcPr>
            <w:tcW w:w="26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(3,357)</w:t>
            </w:r>
          </w:p>
        </w:tc>
        <w:tc>
          <w:tcPr>
            <w:tcW w:w="30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(3,986)</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(7,922)</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(8,769)</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Interest expense, net</w:t>
            </w:r>
          </w:p>
        </w:tc>
        <w:tc>
          <w:tcPr>
            <w:tcW w:w="26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(3,377)</w:t>
            </w:r>
          </w:p>
        </w:tc>
        <w:tc>
          <w:tcPr>
            <w:tcW w:w="30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(4,613)</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(10,061)</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(13,111)</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Income before taxes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26,428</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35,985</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$ 29,837</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$ 44,039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14" w:right="1440" w:bottom="1440" w:gutter="0" w:footer="0" w:header="0"/>
        </w:sectPr>
      </w:pPr>
    </w:p>
    <w:bookmarkStart w:id="8" w:name="page9"/>
    <w:bookmarkEnd w:id="8"/>
    <w:p>
      <w:pPr>
        <w:ind w:right="2319"/>
        <w:spacing w:after="0" w:line="235" w:lineRule="auto"/>
        <w:rPr>
          <w:sz w:val="20"/>
          <w:szCs w:val="20"/>
          <w:color w:val="auto"/>
        </w:rPr>
      </w:pPr>
      <w:r>
        <w:rPr>
          <w:rFonts w:ascii="Courier New" w:cs="Courier New" w:eastAsia="Courier New" w:hAnsi="Courier New"/>
          <w:sz w:val="18"/>
          <w:szCs w:val="18"/>
          <w:color w:val="auto"/>
        </w:rPr>
        <w:t>MANAGEMENT'S DISCUSSION AND ANALYSIS OF RESULTS OF OPERATIONS AND FINANCIAL CONDITION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Thirteen Weeks Ended October 30, 1994 Compared to Thirteen Weeks Ended October 31, 1993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APPAREL</w:t>
      </w:r>
    </w:p>
    <w:p>
      <w:pPr>
        <w:spacing w:after="0" w:line="207"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Net sales of the Company's apparel segment in the third quarter were $271.5 million in 1994 and $253.0 million last year, an increase of approximately</w:t>
      </w:r>
    </w:p>
    <w:p>
      <w:pPr>
        <w:ind w:right="2099"/>
        <w:spacing w:after="0" w:line="235" w:lineRule="auto"/>
        <w:rPr>
          <w:sz w:val="20"/>
          <w:szCs w:val="20"/>
          <w:color w:val="auto"/>
        </w:rPr>
      </w:pPr>
      <w:r>
        <w:rPr>
          <w:rFonts w:ascii="Courier New" w:cs="Courier New" w:eastAsia="Courier New" w:hAnsi="Courier New"/>
          <w:sz w:val="18"/>
          <w:szCs w:val="18"/>
          <w:color w:val="auto"/>
        </w:rPr>
        <w:t>7.3%. Growth of the Company's retail operations and the expanded offering of apparel in the Company's Bass stores accounted for this increase.</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Operating income of the apparel segment decreased to $20.1 million in the third quarter of 1994 from $30.4 million in the third quarter of 1993. The 7.3% increase in sales was offset by significant costs associated with the introduction of the Company's new "Wrinkle-Free" dress shirts and reduced margins from extensive promotional selling in the Company's retail stores. In addition, the third quarter LIFO charge was $1.0 million in 1994 compared to $0.3 million last year.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FOOTWEAR</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Net sales of the Company's footwear segment, conducted through its Bass division, were $107.9 million in the third quarter of 1994 and $104.4 million last year, an increase of approximately 3.4%. Growth of the Company's retail operations and an increase in sales to traditional wholesale customers accounted for this increase.</w:t>
      </w:r>
    </w:p>
    <w:p>
      <w:pPr>
        <w:spacing w:after="0" w:line="209" w:lineRule="exact"/>
        <w:rPr>
          <w:sz w:val="20"/>
          <w:szCs w:val="20"/>
          <w:color w:val="auto"/>
        </w:rPr>
      </w:pPr>
    </w:p>
    <w:p>
      <w:pPr>
        <w:ind w:right="2419"/>
        <w:spacing w:after="0" w:line="275" w:lineRule="auto"/>
        <w:rPr>
          <w:sz w:val="20"/>
          <w:szCs w:val="20"/>
          <w:color w:val="auto"/>
        </w:rPr>
      </w:pPr>
      <w:r>
        <w:rPr>
          <w:rFonts w:ascii="Courier New" w:cs="Courier New" w:eastAsia="Courier New" w:hAnsi="Courier New"/>
          <w:sz w:val="16"/>
          <w:szCs w:val="16"/>
          <w:color w:val="auto"/>
        </w:rPr>
        <w:t>Operating income of the footwear segment decreased to $13.1 million in the third quarter of 1994 from $14.2 million in the third quarter of 1993. Promotional selling in the Company's retail stores and reduced margins on sales to traditional wholesale customers accounted for this decrease.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EXPENSE</w:t>
      </w:r>
    </w:p>
    <w:p>
      <w:pPr>
        <w:spacing w:after="0" w:line="207"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Net interest expense was $3.4 million in the third quarter of 1994 compared with $4.6 million last year. This decrease resulted from the Company's issuance of $100 million of 7.75% Debentures due 2023 in the fourth quarter of 1993 and the use of the net proceeds to redeem higher cost long-term debt.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Income tax was estimated at rates of 32.5% and 32.8% for the third quarter and year of 1994 compared with last year's rates of 31.9% and 32.0% for the third quarter and year,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20"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CORPORATE EXPENSES</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Corporate expenses were $3.4 million in the third quarter of 1994 compared to $4.0 million in 1993. A modest increase in Corporate expenses was offset by a reduction to the Company's unfunded supplemental savings plan liability.</w:t>
      </w:r>
    </w:p>
    <w:p>
      <w:pPr>
        <w:spacing w:after="0" w:line="17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Thirty-Nine Weeks Ended October 30, 1994 Compared to Thirty-Nine Weeks Ended October 31, 1993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APPAREL</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Net sales of the Company's apparel segment were $621.8 million during the first nine months of 1994, an increase of approximately 8.9% from the prior year's $571.0 million. Growth of the Company's retail operations and the expanded offering of apparel in the Company's Bass stores accounted for this increase.</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Operating income of the apparel segment was $22.4 million in the nine month period, compared to $36.2 million in the prior year. The 8.9% increase in sales was offset by significant costs associated with the introduction of the Company's new "Wrinkle-Free" dress shirts and reduced margins from extensive promotional selling in the Company's retail stores. In addition, the current year includes a LIFO charge of $3.2 million compared with a charge of $1.8 million in the prior year.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FOOTWEAR</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Net sales of the Company's footwear segment were $280.3 million, an increase of approximately 2.9% over the prior year's $272.3 million. Growth of the Company's retail operations and an increase in sales to traditional wholesale customers accounted for this increase.</w:t>
      </w:r>
    </w:p>
    <w:p>
      <w:pPr>
        <w:spacing w:after="0" w:line="207" w:lineRule="exact"/>
        <w:rPr>
          <w:sz w:val="20"/>
          <w:szCs w:val="20"/>
          <w:color w:val="auto"/>
        </w:rPr>
      </w:pPr>
    </w:p>
    <w:p>
      <w:pPr>
        <w:ind w:right="2519"/>
        <w:spacing w:after="0" w:line="275" w:lineRule="auto"/>
        <w:rPr>
          <w:sz w:val="20"/>
          <w:szCs w:val="20"/>
          <w:color w:val="auto"/>
        </w:rPr>
      </w:pPr>
      <w:r>
        <w:rPr>
          <w:rFonts w:ascii="Courier New" w:cs="Courier New" w:eastAsia="Courier New" w:hAnsi="Courier New"/>
          <w:sz w:val="16"/>
          <w:szCs w:val="16"/>
          <w:color w:val="auto"/>
        </w:rPr>
        <w:t>Operating income of the footwear segment decreased approximately 14.5% to $25.4 million compared with $29.8 million in the prior year. Promotional selling in the Company's retail stores and reduced margins on sales to traditional wholesale customers accounted for this decrease.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EXPENSE</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Net interest expense was $10.1 million in the first nine months of 1994 compared with $13.1 million last year. This decrease resulted from the Company's issuance of $100 million of 7.75% Debentures due 2023 in the fourth quarter of 1993 and the use of the net proceeds to redeem higher cost long-term debt.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Income tax was estimated at a rate of 32.8% for the first three quarters and year of 1994 compared with last year's rates of 31.7% and 32.0% for the first three quarters and year,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14"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CORPORATE EXPENSES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Corporate expenses were $7.9 million in the first three quarters of 1994 compared to $8.8 million in 1993. A modest increase in Corporate expenses was offset by a reduction to the Company's unfunded supplemental savings plan liability.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SUBSEQUENT EVENTS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Subsequent to October 30, 1994, the Company formalized and adopted a plan to realign and restructure certain managerial and administrative functions associated with its retail apparel operations. The Company estimates that the cost to execute this plan is approximately $1.5 million, principally relating to severance benefits. In the fourth quarter, certain other events have occured which will allow the Company to utilize previously established restructuring reserves to cover these costs. As part of its ongoing focus on managing expenses, the Company is evaluating its operating</w:t>
      </w:r>
    </w:p>
    <w:p>
      <w:pPr>
        <w:spacing w:after="0" w:line="10"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structure and processes for opportunities to improve efficiency and reduce costs.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Company's business is seasonal, with higher sales and income during its third and fourth fiscal quarters. This reflects primarily the Company's significantly higher sales and operating margins during the Company's two peak retail selling seasons: the first running from the start of the summer vacation period in late May and continuing through September; the second being the Christmas selling season beginning with the weekend following Thanksgiving and continuing through the week after Christmas.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Also contributing to the strength of the third fiscal quarter is the high volume of fall shipments to customers of each wholesale division. Fall shipments are larger in volume and profitability than first fiscal quarter spring shipments. The slower spring selling season at wholesale combined with retail seasonality makes the first fiscal quarter particularly weak. As the Company continues to expand its retail business, these seasonal differences are expected to become more significant.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The seasonal nature of the Company's business typically requires the use of cash to fund a build up in the Company's inventory in the first half of each fiscal year. During the third and fourth quarters, the Company's higher level of sales tends to reduce its inventory and generate cash from operations.</w:t>
      </w:r>
    </w:p>
    <w:p>
      <w:pPr>
        <w:spacing w:after="0" w:line="18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Cash used by operations in the first three quarters totalled $7.8 million in 1994 and $26.8 million last year. This improvement was achieved as a result of the Company's focus on inventory management. Although the Company anticipates double-digit percentage sales growth in the fourth quarter of 1994, inventories are 5.5% lower at the end of the current quarter compared to the end of last year's third quarter.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514"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For short-term liquidity, the Company has a revolving credit agreement under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the Company may, at its option, borrow and repay amounts up to a maximum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$85 million, except that for the Company's third quarter, during which</w:t>
      </w:r>
    </w:p>
    <w:p>
      <w:pPr>
        <w:spacing w:after="0" w:line="238" w:lineRule="auto"/>
        <w:rPr>
          <w:sz w:val="20"/>
          <w:szCs w:val="20"/>
          <w:color w:val="auto"/>
        </w:rPr>
      </w:pPr>
      <w:r>
        <w:rPr>
          <w:rFonts w:ascii="Courier New" w:cs="Courier New" w:eastAsia="Courier New" w:hAnsi="Courier New"/>
          <w:sz w:val="18"/>
          <w:szCs w:val="18"/>
          <w:color w:val="auto"/>
        </w:rPr>
        <w:t>period its cash needs peak, the maximum amount available to the Company is</w:t>
      </w:r>
    </w:p>
    <w:p>
      <w:pPr>
        <w:spacing w:after="0"/>
        <w:tabs>
          <w:tab w:leader="none" w:pos="1560" w:val="left"/>
        </w:tabs>
        <w:rPr>
          <w:sz w:val="20"/>
          <w:szCs w:val="20"/>
          <w:color w:val="auto"/>
        </w:rPr>
      </w:pPr>
      <w:r>
        <w:rPr>
          <w:rFonts w:ascii="Courier New" w:cs="Courier New" w:eastAsia="Courier New" w:hAnsi="Courier New"/>
          <w:sz w:val="18"/>
          <w:szCs w:val="18"/>
          <w:color w:val="auto"/>
        </w:rPr>
        <w:t>$100 million.</w:t>
      </w:r>
      <w:r>
        <w:rPr>
          <w:sz w:val="20"/>
          <w:szCs w:val="20"/>
          <w:color w:val="auto"/>
        </w:rPr>
        <w:tab/>
      </w:r>
      <w:r>
        <w:rPr>
          <w:rFonts w:ascii="Courier New" w:cs="Courier New" w:eastAsia="Courier New" w:hAnsi="Courier New"/>
          <w:sz w:val="16"/>
          <w:szCs w:val="16"/>
          <w:color w:val="auto"/>
        </w:rPr>
        <w:t>The Company does not presently have any outstanding borrowings</w:t>
      </w:r>
    </w:p>
    <w:p>
      <w:pPr>
        <w:spacing w:after="0" w:line="237" w:lineRule="auto"/>
        <w:rPr>
          <w:sz w:val="20"/>
          <w:szCs w:val="20"/>
          <w:color w:val="auto"/>
        </w:rPr>
      </w:pPr>
      <w:r>
        <w:rPr>
          <w:rFonts w:ascii="Courier New" w:cs="Courier New" w:eastAsia="Courier New" w:hAnsi="Courier New"/>
          <w:sz w:val="18"/>
          <w:szCs w:val="18"/>
          <w:color w:val="auto"/>
        </w:rPr>
        <w:t>from its revolving credit facility and does not contemplate borrowing from</w:t>
      </w:r>
    </w:p>
    <w:p>
      <w:pPr>
        <w:spacing w:after="0" w:line="238" w:lineRule="auto"/>
        <w:rPr>
          <w:sz w:val="20"/>
          <w:szCs w:val="20"/>
          <w:color w:val="auto"/>
        </w:rPr>
      </w:pPr>
      <w:r>
        <w:rPr>
          <w:rFonts w:ascii="Courier New" w:cs="Courier New" w:eastAsia="Courier New" w:hAnsi="Courier New"/>
          <w:sz w:val="18"/>
          <w:szCs w:val="18"/>
          <w:color w:val="auto"/>
        </w:rPr>
        <w:t>this facility in the immediate future.</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Company's ability to generate earnings has enabled it to reduce its net debt (total debt less invested cash) as a percentage of net capital (net debt plus stockholders' equity) to 34.9% at the end of the current quarter compared to 40.9% at the end of last year's third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514"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ITEM 6 - EXHIBITS AND REPORTS ON FORM 8-K</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exhibits are included herein:</w:t>
      </w:r>
    </w:p>
    <w:p>
      <w:pPr>
        <w:spacing w:after="0" w:line="206" w:lineRule="exact"/>
        <w:rPr>
          <w:rFonts w:ascii="Courier New" w:cs="Courier New" w:eastAsia="Courier New" w:hAnsi="Courier New"/>
          <w:sz w:val="18"/>
          <w:szCs w:val="18"/>
          <w:color w:val="auto"/>
        </w:rPr>
      </w:pPr>
    </w:p>
    <w:p>
      <w:pPr>
        <w:ind w:left="1160" w:right="2099" w:hanging="632"/>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 Specimen of Common Stock certificate (incorporated by reference to Exhibit 4 to the Company's Annual Report on Form 10-K for the fiscal year ended January 31, 1981).</w:t>
      </w:r>
    </w:p>
    <w:p>
      <w:pPr>
        <w:spacing w:after="0" w:line="208" w:lineRule="exact"/>
        <w:rPr>
          <w:rFonts w:ascii="Courier New" w:cs="Courier New" w:eastAsia="Courier New" w:hAnsi="Courier New"/>
          <w:sz w:val="18"/>
          <w:szCs w:val="18"/>
          <w:color w:val="auto"/>
        </w:rPr>
      </w:pPr>
    </w:p>
    <w:p>
      <w:pPr>
        <w:ind w:left="1160" w:right="1999" w:hanging="632"/>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4.2 Preferred Stock Purchase Rights Agreement (the "Rights Agreement"), dated June 10, 1986 between PVH and The Chase Manhattan Bank, N.A. (incorporated by reference to Exhibit 3 to the Company's Quarterly Report as filed on Form 10-Q for the period ended May 4, 1986).</w:t>
      </w:r>
    </w:p>
    <w:p>
      <w:pPr>
        <w:spacing w:after="0" w:line="182" w:lineRule="exact"/>
        <w:rPr>
          <w:rFonts w:ascii="Courier New" w:cs="Courier New" w:eastAsia="Courier New" w:hAnsi="Courier New"/>
          <w:sz w:val="18"/>
          <w:szCs w:val="18"/>
          <w:color w:val="auto"/>
        </w:rPr>
      </w:pPr>
    </w:p>
    <w:p>
      <w:pPr>
        <w:ind w:left="1160" w:right="1999" w:hanging="632"/>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4.3 Amendment to the Rights Agreement, dated March 31, 1987 between PVH and The Chase Manhattan Bank, N.A. (incorporated by reference to Exhibit 4(c) to the Company's Annual Report on Form 10-K for the year ended February 2, 1987).</w:t>
      </w:r>
    </w:p>
    <w:p>
      <w:pPr>
        <w:spacing w:after="0" w:line="207" w:lineRule="exact"/>
        <w:rPr>
          <w:rFonts w:ascii="Courier New" w:cs="Courier New" w:eastAsia="Courier New" w:hAnsi="Courier New"/>
          <w:sz w:val="18"/>
          <w:szCs w:val="18"/>
          <w:color w:val="auto"/>
        </w:rPr>
      </w:pPr>
    </w:p>
    <w:p>
      <w:pPr>
        <w:ind w:left="1160" w:right="2199" w:hanging="632"/>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4.4 Supplemental Rights Agreement and Second Amendment to the Rights Agreement, dated as of July 30, 1987, between PVH and The Chase Manhattan Bank, N.A. (incorporated by reference to Exhibit (c)(4) to the Company's Schedule 13E-4, Issuer Tender Offer Statement, dated July 31,1987).</w:t>
      </w:r>
    </w:p>
    <w:p>
      <w:pPr>
        <w:spacing w:after="0" w:line="208" w:lineRule="exact"/>
        <w:rPr>
          <w:rFonts w:ascii="Courier New" w:cs="Courier New" w:eastAsia="Courier New" w:hAnsi="Courier New"/>
          <w:sz w:val="18"/>
          <w:szCs w:val="18"/>
          <w:color w:val="auto"/>
        </w:rPr>
      </w:pPr>
    </w:p>
    <w:p>
      <w:pPr>
        <w:ind w:left="1160" w:right="1999" w:hanging="632"/>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4.5 Credit Agreement, dated as of December 16, 1993, among PVH, Bankers Trust Company, The Chase Manhattan Bank, N.A., Citibank, N.A., The Bank of New York, Chemical Bank and Philadelphia National Bank, and Bankers Trust Company, as agent (incorporated by reference to Exhibit 4.5 to the Company's Annual Report on Form 10-K for the fiscal year ended January 30, 1994).</w:t>
      </w:r>
    </w:p>
    <w:p>
      <w:pPr>
        <w:spacing w:after="0" w:line="209" w:lineRule="exact"/>
        <w:rPr>
          <w:rFonts w:ascii="Courier New" w:cs="Courier New" w:eastAsia="Courier New" w:hAnsi="Courier New"/>
          <w:sz w:val="18"/>
          <w:szCs w:val="18"/>
          <w:color w:val="auto"/>
        </w:rPr>
      </w:pPr>
    </w:p>
    <w:p>
      <w:pPr>
        <w:ind w:left="1160" w:right="1999" w:hanging="632"/>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4.6 Note Agreement, dated October 1, 1992, among PVH, The Equitable Life Assurance Society of the United States, Equitable Variable Life Insurance Company, Unum Life Insurance Company of America, Nationwide Life Insurance Company, Employers Life Insurance Company of Wausau and Lutheran Brotherhood (incorporated by reference to Exhibit 4.21 to the Company's Annual Report on Form 10-K for the fiscal year ended January 31, 1993).</w:t>
      </w:r>
    </w:p>
    <w:p>
      <w:pPr>
        <w:spacing w:after="0" w:line="211" w:lineRule="exact"/>
        <w:rPr>
          <w:rFonts w:ascii="Courier New" w:cs="Courier New" w:eastAsia="Courier New" w:hAnsi="Courier New"/>
          <w:sz w:val="18"/>
          <w:szCs w:val="18"/>
          <w:color w:val="auto"/>
        </w:rPr>
      </w:pPr>
    </w:p>
    <w:p>
      <w:pPr>
        <w:ind w:left="1160" w:right="2099" w:hanging="632"/>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4.7 Indenture, dated as of November 1, 1993, between PVH and The Bank of New York, as Trustee (incorporated by reference to Exhibit 4.01 to the Company's Registration Statement on Form S-3 (Reg. No. 33-50751) filed on October 26, 1993).</w:t>
      </w:r>
    </w:p>
    <w:p>
      <w:pPr>
        <w:spacing w:after="0" w:line="207" w:lineRule="exact"/>
        <w:rPr>
          <w:sz w:val="20"/>
          <w:szCs w:val="20"/>
          <w:color w:val="auto"/>
        </w:rPr>
      </w:pPr>
    </w:p>
    <w:p>
      <w:pPr>
        <w:ind w:left="1160" w:right="2099" w:hanging="736"/>
        <w:spacing w:after="0" w:line="237" w:lineRule="auto"/>
        <w:tabs>
          <w:tab w:leader="none" w:pos="1140" w:val="left"/>
        </w:tabs>
        <w:rPr>
          <w:sz w:val="20"/>
          <w:szCs w:val="20"/>
          <w:color w:val="auto"/>
        </w:rPr>
      </w:pPr>
      <w:r>
        <w:rPr>
          <w:rFonts w:ascii="Courier New" w:cs="Courier New" w:eastAsia="Courier New" w:hAnsi="Courier New"/>
          <w:sz w:val="18"/>
          <w:szCs w:val="18"/>
          <w:color w:val="auto"/>
        </w:rPr>
        <w:t>10.1</w:t>
        <w:tab/>
        <w:t>1987 Stock Option Plan, including all amendments through March 30, 1993 (incorporated by reference to Exhibit 10.2 to the Company's Annual Report on Form 10-K for the fiscal year ended January 30, 1994).</w:t>
      </w:r>
    </w:p>
    <w:p>
      <w:pPr>
        <w:spacing w:after="0" w:line="207" w:lineRule="exact"/>
        <w:rPr>
          <w:sz w:val="20"/>
          <w:szCs w:val="20"/>
          <w:color w:val="auto"/>
        </w:rPr>
      </w:pPr>
    </w:p>
    <w:p>
      <w:pPr>
        <w:ind w:left="1160" w:right="1999" w:hanging="736"/>
        <w:spacing w:after="0" w:line="236" w:lineRule="auto"/>
        <w:tabs>
          <w:tab w:leader="none" w:pos="1140" w:val="left"/>
        </w:tabs>
        <w:rPr>
          <w:sz w:val="20"/>
          <w:szCs w:val="20"/>
          <w:color w:val="auto"/>
        </w:rPr>
      </w:pPr>
      <w:r>
        <w:rPr>
          <w:rFonts w:ascii="Courier New" w:cs="Courier New" w:eastAsia="Courier New" w:hAnsi="Courier New"/>
          <w:sz w:val="18"/>
          <w:szCs w:val="18"/>
          <w:color w:val="auto"/>
        </w:rPr>
        <w:t>10.2</w:t>
        <w:tab/>
        <w:t>1973 Employees' Stock Option Plan (incorporated by reference to Exhibit 1 to the Company's Registration Statement on Form S-8 (Reg. No. 2-72959) filed on July 15, 1981).</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514" w:right="1440" w:bottom="1440" w:gutter="0" w:footer="0" w:header="0"/>
        </w:sectPr>
      </w:pPr>
    </w:p>
    <w:bookmarkStart w:id="13" w:name="page14"/>
    <w:bookmarkEnd w:id="13"/>
    <w:p>
      <w:pPr>
        <w:ind w:left="1152" w:right="1999" w:hanging="736"/>
        <w:spacing w:after="0" w:line="237" w:lineRule="auto"/>
        <w:tabs>
          <w:tab w:leader="none" w:pos="1132" w:val="left"/>
        </w:tabs>
        <w:rPr>
          <w:sz w:val="20"/>
          <w:szCs w:val="20"/>
          <w:color w:val="auto"/>
        </w:rPr>
      </w:pPr>
      <w:r>
        <w:rPr>
          <w:rFonts w:ascii="Courier New" w:cs="Courier New" w:eastAsia="Courier New" w:hAnsi="Courier New"/>
          <w:sz w:val="18"/>
          <w:szCs w:val="18"/>
          <w:color w:val="auto"/>
        </w:rPr>
        <w:t>10.3</w:t>
        <w:tab/>
        <w:t>Supplement to 1973 Employees' Stock Option Plan (incorporated by reference to the Company's Prospectus filed pursuant to Rule 424(c) to the Registration Statement on Form S-8 (Reg. No. 2-72959) filed on March 31, 1982).</w:t>
      </w:r>
    </w:p>
    <w:p>
      <w:pPr>
        <w:spacing w:after="0" w:line="207" w:lineRule="exact"/>
        <w:rPr>
          <w:sz w:val="20"/>
          <w:szCs w:val="20"/>
          <w:color w:val="auto"/>
        </w:rPr>
      </w:pPr>
    </w:p>
    <w:p>
      <w:pPr>
        <w:jc w:val="both"/>
        <w:ind w:left="1152" w:right="2519" w:hanging="736"/>
        <w:spacing w:after="0" w:line="236" w:lineRule="auto"/>
        <w:tabs>
          <w:tab w:leader="none" w:pos="1132" w:val="left"/>
        </w:tabs>
        <w:rPr>
          <w:sz w:val="20"/>
          <w:szCs w:val="20"/>
          <w:color w:val="auto"/>
        </w:rPr>
      </w:pPr>
      <w:r>
        <w:rPr>
          <w:rFonts w:ascii="Courier New" w:cs="Courier New" w:eastAsia="Courier New" w:hAnsi="Courier New"/>
          <w:sz w:val="18"/>
          <w:szCs w:val="18"/>
          <w:color w:val="auto"/>
        </w:rPr>
        <w:t>10.4</w:t>
        <w:tab/>
        <w:t>Phillips-Van Heusen Corporation Special Severance Benefit Plan (incorporated by reference to the Company's Report on Form 8-K filed on January 16, 1987).</w:t>
      </w:r>
    </w:p>
    <w:p>
      <w:pPr>
        <w:spacing w:after="0" w:line="209" w:lineRule="exact"/>
        <w:rPr>
          <w:sz w:val="20"/>
          <w:szCs w:val="20"/>
          <w:color w:val="auto"/>
        </w:rPr>
      </w:pPr>
    </w:p>
    <w:p>
      <w:pPr>
        <w:ind w:left="1152" w:right="2519" w:hanging="736"/>
        <w:spacing w:after="0" w:line="236" w:lineRule="auto"/>
        <w:tabs>
          <w:tab w:leader="none" w:pos="1132" w:val="left"/>
        </w:tabs>
        <w:rPr>
          <w:sz w:val="20"/>
          <w:szCs w:val="20"/>
          <w:color w:val="auto"/>
        </w:rPr>
      </w:pPr>
      <w:r>
        <w:rPr>
          <w:rFonts w:ascii="Courier New" w:cs="Courier New" w:eastAsia="Courier New" w:hAnsi="Courier New"/>
          <w:sz w:val="18"/>
          <w:szCs w:val="18"/>
          <w:color w:val="auto"/>
        </w:rPr>
        <w:t>10.5</w:t>
        <w:tab/>
        <w:t>Phillips-Van Heusen Corporation Capital Accumulation Plan (incorporated by reference to the Company's Report on Form 8-K filed on January 16, 1987).</w:t>
      </w:r>
    </w:p>
    <w:p>
      <w:pPr>
        <w:spacing w:after="0" w:line="209" w:lineRule="exact"/>
        <w:rPr>
          <w:sz w:val="20"/>
          <w:szCs w:val="20"/>
          <w:color w:val="auto"/>
        </w:rPr>
      </w:pPr>
    </w:p>
    <w:p>
      <w:pPr>
        <w:ind w:left="1152" w:right="2199" w:hanging="736"/>
        <w:spacing w:after="0" w:line="237" w:lineRule="auto"/>
        <w:tabs>
          <w:tab w:leader="none" w:pos="1132" w:val="left"/>
        </w:tabs>
        <w:rPr>
          <w:sz w:val="20"/>
          <w:szCs w:val="20"/>
          <w:color w:val="auto"/>
        </w:rPr>
      </w:pPr>
      <w:r>
        <w:rPr>
          <w:rFonts w:ascii="Courier New" w:cs="Courier New" w:eastAsia="Courier New" w:hAnsi="Courier New"/>
          <w:sz w:val="18"/>
          <w:szCs w:val="18"/>
          <w:color w:val="auto"/>
        </w:rPr>
        <w:t>10.6</w:t>
        <w:tab/>
        <w:t>Phillips-Van Heusen Corporation Amendment to Capital Accumulation Plan (incorporated by reference to Exhibit 10(n) to the Company's Annual Report on Form 10-K for the fiscal year ended February 2, 1987).</w:t>
      </w:r>
    </w:p>
    <w:p>
      <w:pPr>
        <w:spacing w:after="0" w:line="207" w:lineRule="exact"/>
        <w:rPr>
          <w:sz w:val="20"/>
          <w:szCs w:val="20"/>
          <w:color w:val="auto"/>
        </w:rPr>
      </w:pPr>
    </w:p>
    <w:p>
      <w:pPr>
        <w:ind w:left="1152" w:right="2099" w:hanging="736"/>
        <w:spacing w:after="0" w:line="237" w:lineRule="auto"/>
        <w:tabs>
          <w:tab w:leader="none" w:pos="1132" w:val="left"/>
        </w:tabs>
        <w:rPr>
          <w:sz w:val="20"/>
          <w:szCs w:val="20"/>
          <w:color w:val="auto"/>
        </w:rPr>
      </w:pPr>
      <w:r>
        <w:rPr>
          <w:rFonts w:ascii="Courier New" w:cs="Courier New" w:eastAsia="Courier New" w:hAnsi="Courier New"/>
          <w:sz w:val="18"/>
          <w:szCs w:val="18"/>
          <w:color w:val="auto"/>
        </w:rPr>
        <w:t>10.7</w:t>
        <w:tab/>
        <w:t>Form of Agreement amending Phillips-Van Heusen Corporation Capital Accumulation Plan with respect to individual participants (incorporated by reference to Exhibit 10(1) to the Company's Annual Report on Form 10-K for the fiscal year ended January 31, 1988).</w:t>
      </w:r>
    </w:p>
    <w:p>
      <w:pPr>
        <w:spacing w:after="0" w:line="209" w:lineRule="exact"/>
        <w:rPr>
          <w:sz w:val="20"/>
          <w:szCs w:val="20"/>
          <w:color w:val="auto"/>
        </w:rPr>
      </w:pPr>
    </w:p>
    <w:p>
      <w:pPr>
        <w:ind w:left="1152" w:right="1999" w:hanging="736"/>
        <w:spacing w:after="0" w:line="275" w:lineRule="auto"/>
        <w:tabs>
          <w:tab w:leader="none" w:pos="1132" w:val="left"/>
        </w:tabs>
        <w:rPr>
          <w:sz w:val="20"/>
          <w:szCs w:val="20"/>
          <w:color w:val="auto"/>
        </w:rPr>
      </w:pPr>
      <w:r>
        <w:rPr>
          <w:rFonts w:ascii="Courier New" w:cs="Courier New" w:eastAsia="Courier New" w:hAnsi="Courier New"/>
          <w:sz w:val="18"/>
          <w:szCs w:val="18"/>
          <w:color w:val="auto"/>
        </w:rPr>
        <w:t>10.8</w:t>
      </w:r>
      <w:r>
        <w:rPr>
          <w:sz w:val="20"/>
          <w:szCs w:val="20"/>
          <w:color w:val="auto"/>
        </w:rPr>
        <w:tab/>
      </w:r>
      <w:r>
        <w:rPr>
          <w:rFonts w:ascii="Courier New" w:cs="Courier New" w:eastAsia="Courier New" w:hAnsi="Courier New"/>
          <w:sz w:val="16"/>
          <w:szCs w:val="16"/>
          <w:color w:val="auto"/>
        </w:rPr>
        <w:t>Phillips-Van Heusen Corporation Supplemental Defined Benefit Plan, dated January 1, 1991, as amended and restated on June 2, 1992 (incorporated by reference to Exhibit 10.10 to the Company's Annual Report on Form 10-K for the fiscal year ended January 31, 1993).</w:t>
      </w:r>
    </w:p>
    <w:p>
      <w:pPr>
        <w:spacing w:after="0" w:line="182" w:lineRule="exact"/>
        <w:rPr>
          <w:sz w:val="20"/>
          <w:szCs w:val="20"/>
          <w:color w:val="auto"/>
        </w:rPr>
      </w:pPr>
    </w:p>
    <w:p>
      <w:pPr>
        <w:ind w:left="1152" w:right="1999" w:hanging="736"/>
        <w:spacing w:after="0" w:line="275" w:lineRule="auto"/>
        <w:tabs>
          <w:tab w:leader="none" w:pos="1132" w:val="left"/>
        </w:tabs>
        <w:rPr>
          <w:sz w:val="20"/>
          <w:szCs w:val="20"/>
          <w:color w:val="auto"/>
        </w:rPr>
      </w:pPr>
      <w:r>
        <w:rPr>
          <w:rFonts w:ascii="Courier New" w:cs="Courier New" w:eastAsia="Courier New" w:hAnsi="Courier New"/>
          <w:sz w:val="18"/>
          <w:szCs w:val="18"/>
          <w:color w:val="auto"/>
        </w:rPr>
        <w:t>10.9</w:t>
      </w:r>
      <w:r>
        <w:rPr>
          <w:sz w:val="20"/>
          <w:szCs w:val="20"/>
          <w:color w:val="auto"/>
        </w:rPr>
        <w:tab/>
      </w:r>
      <w:r>
        <w:rPr>
          <w:rFonts w:ascii="Courier New" w:cs="Courier New" w:eastAsia="Courier New" w:hAnsi="Courier New"/>
          <w:sz w:val="16"/>
          <w:szCs w:val="16"/>
          <w:color w:val="auto"/>
        </w:rPr>
        <w:t>Phillips-Van Heusen Corporation Supplemental Savings Plan, dated as of January 1, 1991 and amended and restated as of January 1, 1992 (incorporated by reference to Exhibit 10.29 to the Company's Annual Report on Form 10-K for the fiscal year ended February 2, 1992).</w:t>
      </w:r>
    </w:p>
    <w:p>
      <w:pPr>
        <w:spacing w:after="0" w:line="177" w:lineRule="exact"/>
        <w:rPr>
          <w:sz w:val="20"/>
          <w:szCs w:val="20"/>
          <w:color w:val="auto"/>
        </w:rPr>
      </w:pPr>
    </w:p>
    <w:p>
      <w:pPr>
        <w:ind w:left="1152" w:hanging="625"/>
        <w:spacing w:after="0"/>
        <w:tabs>
          <w:tab w:leader="none" w:pos="11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Computation of Earnings per Share.</w:t>
      </w:r>
    </w:p>
    <w:p>
      <w:pPr>
        <w:spacing w:after="0" w:line="201" w:lineRule="exact"/>
        <w:rPr>
          <w:sz w:val="20"/>
          <w:szCs w:val="20"/>
          <w:color w:val="auto"/>
        </w:rPr>
      </w:pPr>
    </w:p>
    <w:p>
      <w:pPr>
        <w:ind w:left="1152" w:hanging="625"/>
        <w:spacing w:after="0"/>
        <w:tabs>
          <w:tab w:leader="none" w:pos="115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Acknowledgement of Independent Auditors.</w:t>
      </w:r>
    </w:p>
    <w:p>
      <w:pPr>
        <w:spacing w:after="0" w:line="201"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27.   Financial Data Schedule.</w:t>
      </w:r>
    </w:p>
    <w:p>
      <w:pPr>
        <w:spacing w:after="0" w:line="201" w:lineRule="exact"/>
        <w:rPr>
          <w:sz w:val="20"/>
          <w:szCs w:val="20"/>
          <w:color w:val="auto"/>
        </w:rPr>
      </w:pPr>
    </w:p>
    <w:p>
      <w:pPr>
        <w:ind w:left="532" w:hanging="532"/>
        <w:spacing w:after="0"/>
        <w:tabs>
          <w:tab w:leader="none" w:pos="5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6" w:lineRule="exact"/>
        <w:rPr>
          <w:rFonts w:ascii="Courier New" w:cs="Courier New" w:eastAsia="Courier New" w:hAnsi="Courier New"/>
          <w:sz w:val="18"/>
          <w:szCs w:val="18"/>
          <w:color w:val="auto"/>
        </w:rPr>
      </w:pPr>
    </w:p>
    <w:p>
      <w:pPr>
        <w:ind w:left="532"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reports have been filed on Form 8-K during the quarter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892"/>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1"/>
          </w:cols>
          <w:pgMar w:left="248" w:top="520" w:right="1440" w:bottom="1440" w:gutter="0" w:footer="0" w:header="0"/>
        </w:sectPr>
      </w:pPr>
    </w:p>
    <w:bookmarkStart w:id="14" w:name="page15"/>
    <w:bookmarkEnd w:id="14"/>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8"/>
          <w:szCs w:val="18"/>
          <w:color w:val="auto"/>
        </w:rPr>
        <w:t>PHILLIPS-VAN HEUSEN CORPORATION</w:t>
      </w:r>
    </w:p>
    <w:p>
      <w:pPr>
        <w:jc w:val="center"/>
        <w:ind w:right="-76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9, 1994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Emanuel Chirico</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Emanuel Chirico, Controller</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Vice President and</w:t>
      </w:r>
    </w:p>
    <w:p>
      <w:pPr>
        <w:ind w:left="100"/>
        <w:spacing w:after="0" w:line="238" w:lineRule="auto"/>
        <w:rPr>
          <w:sz w:val="20"/>
          <w:szCs w:val="20"/>
          <w:color w:val="auto"/>
        </w:rPr>
      </w:pPr>
      <w:r>
        <w:rPr>
          <w:rFonts w:ascii="Courier New" w:cs="Courier New" w:eastAsia="Courier New" w:hAnsi="Courier New"/>
          <w:sz w:val="18"/>
          <w:szCs w:val="18"/>
          <w:color w:val="auto"/>
        </w:rPr>
        <w:t>Chief Accounting Officer</w:t>
      </w:r>
    </w:p>
    <w:p>
      <w:pPr>
        <w:spacing w:after="0" w:line="200" w:lineRule="exact"/>
        <w:rPr>
          <w:sz w:val="20"/>
          <w:szCs w:val="20"/>
          <w:color w:val="auto"/>
        </w:rPr>
      </w:pPr>
    </w:p>
    <w:p>
      <w:pPr>
        <w:sectPr>
          <w:pgSz w:w="11900" w:h="16838" w:orient="portrait"/>
          <w:cols w:equalWidth="0" w:num="2">
            <w:col w:w="2980" w:space="720"/>
            <w:col w:w="6519"/>
          </w:cols>
          <w:pgMar w:left="240" w:top="5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514" w:right="1440" w:bottom="1440" w:gutter="0" w:footer="0" w:header="0"/>
          <w:type w:val="continuous"/>
        </w:sectPr>
      </w:pPr>
    </w:p>
    <w:bookmarkStart w:id="15" w:name="page16"/>
    <w:bookmarkEnd w:id="15"/>
    <w:p>
      <w:pPr>
        <w:ind w:left="7060"/>
        <w:spacing w:after="0"/>
        <w:rPr>
          <w:sz w:val="20"/>
          <w:szCs w:val="20"/>
          <w:color w:val="auto"/>
        </w:rPr>
      </w:pPr>
      <w:r>
        <w:rPr>
          <w:rFonts w:ascii="Courier New" w:cs="Courier New" w:eastAsia="Courier New" w:hAnsi="Courier New"/>
          <w:sz w:val="18"/>
          <w:szCs w:val="18"/>
          <w:color w:val="auto"/>
        </w:rPr>
        <w:t>Exhibit 11</w:t>
      </w:r>
    </w:p>
    <w:p>
      <w:pPr>
        <w:spacing w:after="0" w:line="238" w:lineRule="auto"/>
        <w:rPr>
          <w:sz w:val="20"/>
          <w:szCs w:val="20"/>
          <w:color w:val="auto"/>
        </w:rPr>
      </w:pPr>
      <w:r>
        <w:rPr>
          <w:rFonts w:ascii="Courier New" w:cs="Courier New" w:eastAsia="Courier New" w:hAnsi="Courier New"/>
          <w:sz w:val="18"/>
          <w:szCs w:val="18"/>
          <w:color w:val="auto"/>
        </w:rPr>
        <w:t>PHILLIPS-VAN HEUSEN CORPORATION</w:t>
      </w:r>
    </w:p>
    <w:p>
      <w:pPr>
        <w:spacing w:after="0"/>
        <w:rPr>
          <w:sz w:val="20"/>
          <w:szCs w:val="20"/>
          <w:color w:val="auto"/>
        </w:rPr>
      </w:pPr>
      <w:r>
        <w:rPr>
          <w:rFonts w:ascii="Courier New" w:cs="Courier New" w:eastAsia="Courier New" w:hAnsi="Courier New"/>
          <w:sz w:val="18"/>
          <w:szCs w:val="18"/>
          <w:color w:val="auto"/>
        </w:rPr>
        <w:t>COMPUTATION OF EARNINGS PER SHARE</w:t>
      </w:r>
    </w:p>
    <w:p>
      <w:pPr>
        <w:spacing w:after="0" w:line="237" w:lineRule="auto"/>
        <w:rPr>
          <w:sz w:val="20"/>
          <w:szCs w:val="20"/>
          <w:color w:val="auto"/>
        </w:rPr>
      </w:pPr>
      <w:r>
        <w:rPr>
          <w:rFonts w:ascii="Courier New" w:cs="Courier New" w:eastAsia="Courier New" w:hAnsi="Courier New"/>
          <w:sz w:val="18"/>
          <w:szCs w:val="18"/>
          <w:color w:val="auto"/>
        </w:rPr>
        <w:t>(In thousands, except per share amounts)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Thirteen Weeks</w:t>
            </w:r>
          </w:p>
        </w:tc>
        <w:tc>
          <w:tcPr>
            <w:tcW w:w="220" w:type="dxa"/>
            <w:vAlign w:val="bottom"/>
          </w:tcPr>
          <w:p>
            <w:pPr>
              <w:spacing w:after="0"/>
              <w:rPr>
                <w:sz w:val="17"/>
                <w:szCs w:val="17"/>
                <w:color w:val="auto"/>
              </w:rPr>
            </w:pPr>
          </w:p>
        </w:tc>
        <w:tc>
          <w:tcPr>
            <w:tcW w:w="1900" w:type="dxa"/>
            <w:vAlign w:val="bottom"/>
            <w:gridSpan w:val="3"/>
          </w:tcPr>
          <w:p>
            <w:pPr>
              <w:spacing w:after="0"/>
              <w:rPr>
                <w:sz w:val="20"/>
                <w:szCs w:val="20"/>
                <w:color w:val="auto"/>
              </w:rPr>
            </w:pPr>
            <w:r>
              <w:rPr>
                <w:rFonts w:ascii="Courier New" w:cs="Courier New" w:eastAsia="Courier New" w:hAnsi="Courier New"/>
                <w:sz w:val="18"/>
                <w:szCs w:val="18"/>
                <w:color w:val="auto"/>
              </w:rPr>
              <w:t>Thirty-Nine Weeks</w:t>
            </w:r>
          </w:p>
        </w:tc>
      </w:tr>
      <w:tr>
        <w:trPr>
          <w:trHeight w:val="203"/>
        </w:trPr>
        <w:tc>
          <w:tcPr>
            <w:tcW w:w="5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Ended</w:t>
            </w:r>
          </w:p>
        </w:tc>
        <w:tc>
          <w:tcPr>
            <w:tcW w:w="220" w:type="dxa"/>
            <w:vAlign w:val="bottom"/>
          </w:tcPr>
          <w:p>
            <w:pPr>
              <w:spacing w:after="0"/>
              <w:rPr>
                <w:sz w:val="17"/>
                <w:szCs w:val="17"/>
                <w:color w:val="auto"/>
              </w:rPr>
            </w:pPr>
          </w:p>
        </w:tc>
        <w:tc>
          <w:tcPr>
            <w:tcW w:w="190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5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Oct. 30,</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Oct. 31,</w:t>
            </w:r>
          </w:p>
        </w:tc>
        <w:tc>
          <w:tcPr>
            <w:tcW w:w="220" w:type="dxa"/>
            <w:vAlign w:val="bottom"/>
          </w:tcPr>
          <w:p>
            <w:pPr>
              <w:spacing w:after="0"/>
              <w:rPr>
                <w:sz w:val="17"/>
                <w:szCs w:val="17"/>
                <w:color w:val="auto"/>
              </w:rPr>
            </w:pPr>
          </w:p>
        </w:tc>
        <w:tc>
          <w:tcPr>
            <w:tcW w:w="8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Oct. 30,</w:t>
            </w:r>
          </w:p>
        </w:tc>
        <w:tc>
          <w:tcPr>
            <w:tcW w:w="1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Oct. 31,</w:t>
            </w:r>
          </w:p>
        </w:tc>
      </w:tr>
      <w:tr>
        <w:trPr>
          <w:trHeight w:val="203"/>
        </w:trPr>
        <w:tc>
          <w:tcPr>
            <w:tcW w:w="5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1994</w:t>
            </w: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1993</w:t>
            </w:r>
          </w:p>
        </w:tc>
        <w:tc>
          <w:tcPr>
            <w:tcW w:w="22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1994</w:t>
            </w:r>
          </w:p>
        </w:tc>
        <w:tc>
          <w:tcPr>
            <w:tcW w:w="1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1993</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Primary:</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17,850</w:t>
            </w:r>
          </w:p>
        </w:tc>
        <w:tc>
          <w:tcPr>
            <w:tcW w:w="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24,520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20,054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30,069</w:t>
            </w:r>
          </w:p>
        </w:tc>
      </w:tr>
      <w:tr>
        <w:trPr>
          <w:trHeight w:val="405"/>
        </w:trPr>
        <w:tc>
          <w:tcPr>
            <w:tcW w:w="5540" w:type="dxa"/>
            <w:vAlign w:val="bottom"/>
          </w:tcPr>
          <w:p>
            <w:pPr>
              <w:ind w:left="320"/>
              <w:spacing w:after="0"/>
              <w:rPr>
                <w:sz w:val="20"/>
                <w:szCs w:val="20"/>
                <w:color w:val="auto"/>
              </w:rPr>
            </w:pPr>
            <w:r>
              <w:rPr>
                <w:rFonts w:ascii="Courier New" w:cs="Courier New" w:eastAsia="Courier New" w:hAnsi="Courier New"/>
                <w:sz w:val="18"/>
                <w:szCs w:val="18"/>
                <w:color w:val="auto"/>
              </w:rPr>
              <w:t>Common shares and equivalents: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5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Weighted average number of shares outstanding</w:t>
            </w:r>
          </w:p>
        </w:tc>
        <w:tc>
          <w:tcPr>
            <w:tcW w:w="2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26,572</w:t>
            </w: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26,150</w:t>
            </w:r>
          </w:p>
        </w:tc>
        <w:tc>
          <w:tcPr>
            <w:tcW w:w="22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26,549</w:t>
            </w:r>
          </w:p>
        </w:tc>
        <w:tc>
          <w:tcPr>
            <w:tcW w:w="1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26,083</w:t>
            </w:r>
          </w:p>
        </w:tc>
      </w:tr>
      <w:tr>
        <w:trPr>
          <w:trHeight w:val="203"/>
        </w:trPr>
        <w:tc>
          <w:tcPr>
            <w:tcW w:w="5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Shares issuable upon exercise of dilutive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stock options, net of shares assumed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 be repurchased (at the average period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market price) out of proceeds obtained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therefrom</w:t>
            </w:r>
          </w:p>
        </w:tc>
        <w:tc>
          <w:tcPr>
            <w:tcW w:w="2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521</w:t>
            </w: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940</w:t>
            </w:r>
          </w:p>
        </w:tc>
        <w:tc>
          <w:tcPr>
            <w:tcW w:w="22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654</w:t>
            </w:r>
          </w:p>
        </w:tc>
        <w:tc>
          <w:tcPr>
            <w:tcW w:w="1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982</w:t>
            </w:r>
          </w:p>
        </w:tc>
      </w:tr>
      <w:tr>
        <w:trPr>
          <w:trHeight w:val="405"/>
        </w:trPr>
        <w:tc>
          <w:tcPr>
            <w:tcW w:w="5540" w:type="dxa"/>
            <w:vAlign w:val="bottom"/>
          </w:tcPr>
          <w:p>
            <w:pPr>
              <w:ind w:left="320"/>
              <w:spacing w:after="0"/>
              <w:rPr>
                <w:sz w:val="20"/>
                <w:szCs w:val="20"/>
                <w:color w:val="auto"/>
              </w:rPr>
            </w:pPr>
            <w:r>
              <w:rPr>
                <w:rFonts w:ascii="Courier New" w:cs="Courier New" w:eastAsia="Courier New" w:hAnsi="Courier New"/>
                <w:sz w:val="18"/>
                <w:szCs w:val="18"/>
                <w:color w:val="auto"/>
              </w:rPr>
              <w:t>Total common shares and equivalents</w:t>
            </w:r>
          </w:p>
        </w:tc>
        <w:tc>
          <w:tcPr>
            <w:tcW w:w="260" w:type="dxa"/>
            <w:vAlign w:val="bottom"/>
          </w:tcPr>
          <w:p>
            <w:pPr>
              <w:spacing w:after="0"/>
              <w:rPr>
                <w:sz w:val="24"/>
                <w:szCs w:val="24"/>
                <w:color w:val="auto"/>
              </w:rPr>
            </w:pP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27,093</w:t>
            </w:r>
          </w:p>
        </w:tc>
        <w:tc>
          <w:tcPr>
            <w:tcW w:w="16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27,090</w:t>
            </w:r>
          </w:p>
        </w:tc>
        <w:tc>
          <w:tcPr>
            <w:tcW w:w="220" w:type="dxa"/>
            <w:vAlign w:val="bottom"/>
          </w:tcPr>
          <w:p>
            <w:pPr>
              <w:spacing w:after="0"/>
              <w:rPr>
                <w:sz w:val="24"/>
                <w:szCs w:val="24"/>
                <w:color w:val="auto"/>
              </w:rPr>
            </w:pPr>
          </w:p>
        </w:tc>
        <w:tc>
          <w:tcPr>
            <w:tcW w:w="8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27,203</w:t>
            </w:r>
          </w:p>
        </w:tc>
        <w:tc>
          <w:tcPr>
            <w:tcW w:w="160" w:type="dxa"/>
            <w:vAlign w:val="bottom"/>
          </w:tcPr>
          <w:p>
            <w:pPr>
              <w:spacing w:after="0"/>
              <w:rPr>
                <w:sz w:val="24"/>
                <w:szCs w:val="24"/>
                <w:color w:val="auto"/>
              </w:rPr>
            </w:pP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27,065</w:t>
            </w:r>
          </w:p>
        </w:tc>
      </w:tr>
      <w:tr>
        <w:trPr>
          <w:trHeight w:val="405"/>
        </w:trPr>
        <w:tc>
          <w:tcPr>
            <w:tcW w:w="5540" w:type="dxa"/>
            <w:vAlign w:val="bottom"/>
          </w:tcPr>
          <w:p>
            <w:pPr>
              <w:ind w:left="320"/>
              <w:spacing w:after="0"/>
              <w:rPr>
                <w:sz w:val="20"/>
                <w:szCs w:val="20"/>
                <w:color w:val="auto"/>
              </w:rPr>
            </w:pPr>
            <w:r>
              <w:rPr>
                <w:rFonts w:ascii="Courier New" w:cs="Courier New" w:eastAsia="Courier New" w:hAnsi="Courier New"/>
                <w:sz w:val="18"/>
                <w:szCs w:val="18"/>
                <w:color w:val="auto"/>
              </w:rPr>
              <w:t>Net income per share and equivalents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0.66</w:t>
            </w:r>
          </w:p>
        </w:tc>
        <w:tc>
          <w:tcPr>
            <w:tcW w:w="160" w:type="dxa"/>
            <w:vAlign w:val="bottom"/>
          </w:tcPr>
          <w:p>
            <w:pPr>
              <w:jc w:val="center"/>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0.91</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0.74</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1.11</w:t>
            </w:r>
          </w:p>
        </w:tc>
      </w:tr>
      <w:tr>
        <w:trPr>
          <w:trHeight w:val="608"/>
        </w:trPr>
        <w:tc>
          <w:tcPr>
            <w:tcW w:w="5540" w:type="dxa"/>
            <w:vAlign w:val="bottom"/>
          </w:tcPr>
          <w:p>
            <w:pPr>
              <w:spacing w:after="0"/>
              <w:rPr>
                <w:sz w:val="20"/>
                <w:szCs w:val="20"/>
                <w:color w:val="auto"/>
              </w:rPr>
            </w:pPr>
            <w:r>
              <w:rPr>
                <w:rFonts w:ascii="Courier New" w:cs="Courier New" w:eastAsia="Courier New" w:hAnsi="Courier New"/>
                <w:sz w:val="18"/>
                <w:szCs w:val="18"/>
                <w:color w:val="auto"/>
              </w:rPr>
              <w:t>Fully diluted:</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17,850</w:t>
            </w:r>
          </w:p>
        </w:tc>
        <w:tc>
          <w:tcPr>
            <w:tcW w:w="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24,520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20,054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30,069</w:t>
            </w:r>
          </w:p>
        </w:tc>
      </w:tr>
      <w:tr>
        <w:trPr>
          <w:trHeight w:val="405"/>
        </w:trPr>
        <w:tc>
          <w:tcPr>
            <w:tcW w:w="5540" w:type="dxa"/>
            <w:vAlign w:val="bottom"/>
          </w:tcPr>
          <w:p>
            <w:pPr>
              <w:ind w:left="320"/>
              <w:spacing w:after="0"/>
              <w:rPr>
                <w:sz w:val="20"/>
                <w:szCs w:val="20"/>
                <w:color w:val="auto"/>
              </w:rPr>
            </w:pPr>
            <w:r>
              <w:rPr>
                <w:rFonts w:ascii="Courier New" w:cs="Courier New" w:eastAsia="Courier New" w:hAnsi="Courier New"/>
                <w:sz w:val="18"/>
                <w:szCs w:val="18"/>
                <w:color w:val="auto"/>
              </w:rPr>
              <w:t>Total common shares and</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5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equivalents (see above)</w:t>
            </w:r>
          </w:p>
        </w:tc>
        <w:tc>
          <w:tcPr>
            <w:tcW w:w="2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27,093</w:t>
            </w: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27,090</w:t>
            </w:r>
          </w:p>
        </w:tc>
        <w:tc>
          <w:tcPr>
            <w:tcW w:w="22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27,203</w:t>
            </w:r>
          </w:p>
        </w:tc>
        <w:tc>
          <w:tcPr>
            <w:tcW w:w="1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27,065</w:t>
            </w: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Additional shares issuable upon</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the exercise of dilutive stock</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options, net of shares assumed to be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repurchased (at the greater of average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period or period end market price)</w:t>
            </w:r>
          </w:p>
        </w:tc>
        <w:tc>
          <w:tcPr>
            <w:tcW w:w="2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w:t>
            </w:r>
          </w:p>
        </w:tc>
        <w:tc>
          <w:tcPr>
            <w:tcW w:w="22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common shares and equivalents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assuming full dilution</w:t>
            </w:r>
          </w:p>
        </w:tc>
        <w:tc>
          <w:tcPr>
            <w:tcW w:w="2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27,093</w:t>
            </w:r>
          </w:p>
        </w:tc>
        <w:tc>
          <w:tcPr>
            <w:tcW w:w="1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27,146</w:t>
            </w:r>
          </w:p>
        </w:tc>
        <w:tc>
          <w:tcPr>
            <w:tcW w:w="22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27,203</w:t>
            </w:r>
          </w:p>
        </w:tc>
        <w:tc>
          <w:tcPr>
            <w:tcW w:w="1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27,083</w:t>
            </w:r>
          </w:p>
        </w:tc>
      </w:tr>
      <w:tr>
        <w:trPr>
          <w:trHeight w:val="405"/>
        </w:trPr>
        <w:tc>
          <w:tcPr>
            <w:tcW w:w="5540" w:type="dxa"/>
            <w:vAlign w:val="bottom"/>
          </w:tcPr>
          <w:p>
            <w:pPr>
              <w:ind w:left="320"/>
              <w:spacing w:after="0"/>
              <w:rPr>
                <w:sz w:val="20"/>
                <w:szCs w:val="20"/>
                <w:color w:val="auto"/>
              </w:rPr>
            </w:pPr>
            <w:r>
              <w:rPr>
                <w:rFonts w:ascii="Courier New" w:cs="Courier New" w:eastAsia="Courier New" w:hAnsi="Courier New"/>
                <w:sz w:val="18"/>
                <w:szCs w:val="18"/>
                <w:color w:val="auto"/>
              </w:rPr>
              <w:t>Net income per share and equivalents</w:t>
            </w:r>
          </w:p>
        </w:tc>
        <w:tc>
          <w:tcPr>
            <w:tcW w:w="2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w:t>
            </w:r>
          </w:p>
        </w:tc>
        <w:tc>
          <w:tcPr>
            <w:tcW w:w="16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w:t>
            </w:r>
          </w:p>
        </w:tc>
        <w:tc>
          <w:tcPr>
            <w:tcW w:w="220" w:type="dxa"/>
            <w:vAlign w:val="bottom"/>
          </w:tcPr>
          <w:p>
            <w:pPr>
              <w:spacing w:after="0"/>
              <w:rPr>
                <w:sz w:val="24"/>
                <w:szCs w:val="24"/>
                <w:color w:val="auto"/>
              </w:rPr>
            </w:pPr>
          </w:p>
        </w:tc>
        <w:tc>
          <w:tcPr>
            <w:tcW w:w="8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(1)</w:t>
            </w:r>
          </w:p>
        </w:tc>
        <w:tc>
          <w:tcPr>
            <w:tcW w:w="16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w:t>
            </w:r>
          </w:p>
        </w:tc>
      </w:tr>
    </w:tbl>
    <w:p>
      <w:pPr>
        <w:spacing w:after="0" w:line="200" w:lineRule="exact"/>
        <w:rPr>
          <w:sz w:val="20"/>
          <w:szCs w:val="20"/>
          <w:color w:val="auto"/>
        </w:rPr>
      </w:pPr>
    </w:p>
    <w:p>
      <w:pPr>
        <w:spacing w:after="0" w:line="209" w:lineRule="exact"/>
        <w:rPr>
          <w:sz w:val="20"/>
          <w:szCs w:val="20"/>
          <w:color w:val="auto"/>
        </w:rPr>
      </w:pPr>
    </w:p>
    <w:p>
      <w:pPr>
        <w:ind w:left="420" w:right="2099" w:hanging="412"/>
        <w:spacing w:after="0" w:line="235"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not shown since results are not materially different from primary net income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1440" w:gutter="0" w:footer="0" w:header="0"/>
        </w:sectPr>
      </w:pPr>
    </w:p>
    <w:bookmarkStart w:id="16" w:name="page17"/>
    <w:bookmarkEnd w:id="16"/>
    <w:p>
      <w:pPr>
        <w:jc w:val="right"/>
        <w:ind w:right="2099"/>
        <w:spacing w:after="0"/>
        <w:rPr>
          <w:sz w:val="20"/>
          <w:szCs w:val="20"/>
          <w:color w:val="auto"/>
        </w:rPr>
      </w:pPr>
      <w:r>
        <w:rPr>
          <w:rFonts w:ascii="Courier New" w:cs="Courier New" w:eastAsia="Courier New" w:hAnsi="Courier New"/>
          <w:sz w:val="18"/>
          <w:szCs w:val="18"/>
          <w:color w:val="auto"/>
        </w:rPr>
        <w:t>Exhibit 15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17, 1994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Stockholders and Board of Directors</w:t>
      </w:r>
    </w:p>
    <w:p>
      <w:pPr>
        <w:spacing w:after="0" w:line="238" w:lineRule="auto"/>
        <w:rPr>
          <w:sz w:val="20"/>
          <w:szCs w:val="20"/>
          <w:color w:val="auto"/>
        </w:rPr>
      </w:pPr>
      <w:r>
        <w:rPr>
          <w:rFonts w:ascii="Courier New" w:cs="Courier New" w:eastAsia="Courier New" w:hAnsi="Courier New"/>
          <w:sz w:val="18"/>
          <w:szCs w:val="18"/>
          <w:color w:val="auto"/>
        </w:rPr>
        <w:t>Phillips-Van Heusen Corporation</w:t>
      </w:r>
    </w:p>
    <w:p>
      <w:pPr>
        <w:spacing w:after="0" w:line="207"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We are aware of the incorporation by reference in the Registration Statement (Form S-8, No. 33-59602), Registration Statement (Form S-8, No. 33-38698), Post-Effective amendment No. 1 to the Registration Statement (Form S-8, No. 33-24057), Post-Effective amendment No. 2 to the Registration Statement (Form S-8, No. 2-73803), Post-Effective amendment No. 4 to the Registration Statement (Form S-8, No. 2-72959), Post-Effective amendment No. 6 to the Registration Statement (Form S-8, No. 2-64564), and Post-Effective amendment No. 13 to the Registration Statement (Form S-8, No. 2-47910), of Phillips-Van Heusen Corporation of our report dated November 17, 1994 relating to the unaudited condensed consolidated interim financial statements of Phillips-Van Heusen Corporation which are included in its Form 10-Q for the three and nine month periods ended October 30, 1994.</w:t>
      </w:r>
    </w:p>
    <w:p>
      <w:pPr>
        <w:spacing w:after="0" w:line="39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Pursuant to Rule 436(c) of the Securities Act of 1933, our report is not a part of the registration statements or post-effective amendments prepared or certified by accountants within the meaning of Section 7 or 11 of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ERNST &amp; YOUNG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514" w:right="1440" w:bottom="1440" w:gutter="0" w:footer="0" w:header="0"/>
        </w:sectPr>
      </w:pPr>
    </w:p>
    <w:bookmarkStart w:id="17" w:name="page18"/>
    <w:bookmarkEnd w:id="17"/>
    <w:p>
      <w:pPr>
        <w:ind w:left="1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40" w:right="249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PHILLIPS-VAN HEUSEN CORPORATION FINANCIAL STATEMENTS INCLUDED IN ITS 10-Q REPORT FOR THE QUARTER ENDED OCTOBER 30, 1994 AND IS QUALIFIED IN ITS ENTIRETY BY REFERENCE TO SUCH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9-MOS</w:t>
      </w:r>
    </w:p>
    <w:p>
      <w:pPr>
        <w:ind w:left="2740"/>
        <w:spacing w:after="0" w:line="238" w:lineRule="auto"/>
        <w:rPr>
          <w:sz w:val="20"/>
          <w:szCs w:val="20"/>
          <w:color w:val="auto"/>
        </w:rPr>
      </w:pPr>
      <w:r>
        <w:rPr>
          <w:rFonts w:ascii="Courier New" w:cs="Courier New" w:eastAsia="Courier New" w:hAnsi="Courier New"/>
          <w:sz w:val="18"/>
          <w:szCs w:val="18"/>
          <w:color w:val="auto"/>
        </w:rPr>
        <w:t>JAN-29-1995</w:t>
      </w:r>
    </w:p>
    <w:p>
      <w:pPr>
        <w:ind w:left="3280"/>
        <w:spacing w:after="0"/>
        <w:rPr>
          <w:sz w:val="20"/>
          <w:szCs w:val="20"/>
          <w:color w:val="auto"/>
        </w:rPr>
      </w:pPr>
      <w:r>
        <w:rPr>
          <w:rFonts w:ascii="Courier New" w:cs="Courier New" w:eastAsia="Courier New" w:hAnsi="Courier New"/>
          <w:sz w:val="18"/>
          <w:szCs w:val="18"/>
          <w:color w:val="auto"/>
        </w:rPr>
        <w:t>OCT-30-1994</w:t>
      </w:r>
    </w:p>
    <w:p>
      <w:pPr>
        <w:ind w:left="4440"/>
        <w:spacing w:after="0" w:line="237" w:lineRule="auto"/>
        <w:rPr>
          <w:sz w:val="20"/>
          <w:szCs w:val="20"/>
          <w:color w:val="auto"/>
        </w:rPr>
      </w:pPr>
      <w:r>
        <w:rPr>
          <w:rFonts w:ascii="Courier New" w:cs="Courier New" w:eastAsia="Courier New" w:hAnsi="Courier New"/>
          <w:sz w:val="18"/>
          <w:szCs w:val="18"/>
          <w:color w:val="auto"/>
        </w:rPr>
        <w:t>32,271</w:t>
      </w:r>
    </w:p>
    <w:p>
      <w:pPr>
        <w:ind w:left="4320"/>
        <w:spacing w:after="0" w:line="238" w:lineRule="auto"/>
        <w:rPr>
          <w:sz w:val="20"/>
          <w:szCs w:val="20"/>
          <w:color w:val="auto"/>
        </w:rPr>
      </w:pPr>
      <w:r>
        <w:rPr>
          <w:rFonts w:ascii="Courier New" w:cs="Courier New" w:eastAsia="Courier New" w:hAnsi="Courier New"/>
          <w:sz w:val="18"/>
          <w:szCs w:val="18"/>
          <w:color w:val="auto"/>
        </w:rPr>
        <w:t>0</w:t>
      </w:r>
    </w:p>
    <w:p>
      <w:pPr>
        <w:ind w:left="3580"/>
        <w:spacing w:after="0"/>
        <w:rPr>
          <w:sz w:val="20"/>
          <w:szCs w:val="20"/>
          <w:color w:val="auto"/>
        </w:rPr>
      </w:pPr>
      <w:r>
        <w:rPr>
          <w:rFonts w:ascii="Courier New" w:cs="Courier New" w:eastAsia="Courier New" w:hAnsi="Courier New"/>
          <w:sz w:val="18"/>
          <w:szCs w:val="18"/>
          <w:color w:val="auto"/>
        </w:rPr>
        <w:t>108,416</w:t>
      </w:r>
    </w:p>
    <w:p>
      <w:pPr>
        <w:ind w:left="3800"/>
        <w:spacing w:after="0" w:line="237" w:lineRule="auto"/>
        <w:rPr>
          <w:sz w:val="20"/>
          <w:szCs w:val="20"/>
          <w:color w:val="auto"/>
        </w:rPr>
      </w:pPr>
      <w:r>
        <w:rPr>
          <w:rFonts w:ascii="Courier New" w:cs="Courier New" w:eastAsia="Courier New" w:hAnsi="Courier New"/>
          <w:sz w:val="18"/>
          <w:szCs w:val="18"/>
          <w:color w:val="auto"/>
        </w:rPr>
        <w:t>(1,433)</w:t>
      </w:r>
    </w:p>
    <w:p>
      <w:pPr>
        <w:ind w:left="3800"/>
        <w:spacing w:after="0"/>
        <w:rPr>
          <w:sz w:val="20"/>
          <w:szCs w:val="20"/>
          <w:color w:val="auto"/>
        </w:rPr>
      </w:pPr>
      <w:r>
        <w:rPr>
          <w:rFonts w:ascii="Courier New" w:cs="Courier New" w:eastAsia="Courier New" w:hAnsi="Courier New"/>
          <w:sz w:val="18"/>
          <w:szCs w:val="18"/>
          <w:color w:val="auto"/>
        </w:rPr>
        <w:t>290,372</w:t>
      </w:r>
    </w:p>
    <w:p>
      <w:pPr>
        <w:ind w:left="3280"/>
        <w:spacing w:after="0" w:line="237" w:lineRule="auto"/>
        <w:rPr>
          <w:sz w:val="20"/>
          <w:szCs w:val="20"/>
          <w:color w:val="auto"/>
        </w:rPr>
      </w:pPr>
      <w:r>
        <w:rPr>
          <w:rFonts w:ascii="Courier New" w:cs="Courier New" w:eastAsia="Courier New" w:hAnsi="Courier New"/>
          <w:sz w:val="18"/>
          <w:szCs w:val="18"/>
          <w:color w:val="auto"/>
        </w:rPr>
        <w:t>447,590</w:t>
      </w:r>
    </w:p>
    <w:p>
      <w:pPr>
        <w:ind w:left="4320"/>
        <w:spacing w:after="0"/>
        <w:rPr>
          <w:sz w:val="20"/>
          <w:szCs w:val="20"/>
          <w:color w:val="auto"/>
        </w:rPr>
      </w:pPr>
      <w:r>
        <w:rPr>
          <w:rFonts w:ascii="Courier New" w:cs="Courier New" w:eastAsia="Courier New" w:hAnsi="Courier New"/>
          <w:sz w:val="18"/>
          <w:szCs w:val="18"/>
          <w:color w:val="auto"/>
        </w:rPr>
        <w:t>128,098</w:t>
      </w:r>
    </w:p>
    <w:p>
      <w:pPr>
        <w:jc w:val="right"/>
        <w:ind w:right="5999"/>
        <w:spacing w:after="0" w:line="237" w:lineRule="auto"/>
        <w:rPr>
          <w:sz w:val="20"/>
          <w:szCs w:val="20"/>
          <w:color w:val="auto"/>
        </w:rPr>
      </w:pPr>
      <w:r>
        <w:rPr>
          <w:rFonts w:ascii="Courier New" w:cs="Courier New" w:eastAsia="Courier New" w:hAnsi="Courier New"/>
          <w:sz w:val="18"/>
          <w:szCs w:val="18"/>
          <w:color w:val="auto"/>
        </w:rPr>
        <w:t>0</w:t>
      </w:r>
    </w:p>
    <w:p>
      <w:pPr>
        <w:jc w:val="right"/>
        <w:ind w:right="5999"/>
        <w:spacing w:after="0" w:line="238" w:lineRule="auto"/>
        <w:rPr>
          <w:sz w:val="20"/>
          <w:szCs w:val="20"/>
          <w:color w:val="auto"/>
        </w:rPr>
      </w:pPr>
      <w:r>
        <w:rPr>
          <w:rFonts w:ascii="Courier New" w:cs="Courier New" w:eastAsia="Courier New" w:hAnsi="Courier New"/>
          <w:sz w:val="18"/>
          <w:szCs w:val="18"/>
          <w:color w:val="auto"/>
        </w:rPr>
        <w:t>601,486</w:t>
      </w:r>
    </w:p>
    <w:p>
      <w:pPr>
        <w:ind w:left="2740"/>
        <w:spacing w:after="0"/>
        <w:rPr>
          <w:sz w:val="20"/>
          <w:szCs w:val="20"/>
          <w:color w:val="auto"/>
        </w:rPr>
      </w:pPr>
      <w:r>
        <w:rPr>
          <w:rFonts w:ascii="Courier New" w:cs="Courier New" w:eastAsia="Courier New" w:hAnsi="Courier New"/>
          <w:sz w:val="18"/>
          <w:szCs w:val="18"/>
          <w:color w:val="auto"/>
        </w:rPr>
        <w:t>133,474</w:t>
      </w:r>
    </w:p>
    <w:p>
      <w:pPr>
        <w:ind w:left="4220"/>
        <w:spacing w:after="0" w:line="237" w:lineRule="auto"/>
        <w:rPr>
          <w:sz w:val="20"/>
          <w:szCs w:val="20"/>
          <w:color w:val="auto"/>
        </w:rPr>
      </w:pPr>
      <w:r>
        <w:rPr>
          <w:rFonts w:ascii="Courier New" w:cs="Courier New" w:eastAsia="Courier New" w:hAnsi="Courier New"/>
          <w:sz w:val="18"/>
          <w:szCs w:val="18"/>
          <w:color w:val="auto"/>
        </w:rPr>
        <w:t>169,678</w:t>
      </w:r>
    </w:p>
    <w:p>
      <w:pPr>
        <w:ind w:left="4220"/>
        <w:spacing w:after="0"/>
        <w:rPr>
          <w:sz w:val="20"/>
          <w:szCs w:val="20"/>
          <w:color w:val="auto"/>
        </w:rPr>
      </w:pPr>
      <w:r>
        <w:rPr>
          <w:rFonts w:ascii="Courier New" w:cs="Courier New" w:eastAsia="Courier New" w:hAnsi="Courier New"/>
          <w:sz w:val="18"/>
          <w:szCs w:val="18"/>
          <w:color w:val="auto"/>
        </w:rPr>
        <w:t>26,602</w:t>
      </w:r>
    </w:p>
    <w:p>
      <w:pPr>
        <w:ind w:left="3380"/>
        <w:spacing w:after="0" w:line="237" w:lineRule="auto"/>
        <w:rPr>
          <w:sz w:val="20"/>
          <w:szCs w:val="20"/>
          <w:color w:val="auto"/>
        </w:rPr>
      </w:pPr>
      <w:r>
        <w:rPr>
          <w:rFonts w:ascii="Courier New" w:cs="Courier New" w:eastAsia="Courier New" w:hAnsi="Courier New"/>
          <w:sz w:val="18"/>
          <w:szCs w:val="18"/>
          <w:color w:val="auto"/>
        </w:rPr>
        <w:t>0</w:t>
      </w:r>
    </w:p>
    <w:p>
      <w:pPr>
        <w:ind w:left="4440"/>
        <w:spacing w:after="0"/>
        <w:rPr>
          <w:sz w:val="20"/>
          <w:szCs w:val="20"/>
          <w:color w:val="auto"/>
        </w:rPr>
      </w:pPr>
      <w:r>
        <w:rPr>
          <w:rFonts w:ascii="Courier New" w:cs="Courier New" w:eastAsia="Courier New" w:hAnsi="Courier New"/>
          <w:sz w:val="18"/>
          <w:szCs w:val="18"/>
          <w:color w:val="auto"/>
        </w:rPr>
        <w:t>0</w:t>
      </w:r>
    </w:p>
    <w:p>
      <w:pPr>
        <w:ind w:left="3900"/>
        <w:spacing w:after="0" w:line="237" w:lineRule="auto"/>
        <w:rPr>
          <w:sz w:val="20"/>
          <w:szCs w:val="20"/>
          <w:color w:val="auto"/>
        </w:rPr>
      </w:pPr>
      <w:r>
        <w:rPr>
          <w:rFonts w:ascii="Courier New" w:cs="Courier New" w:eastAsia="Courier New" w:hAnsi="Courier New"/>
          <w:sz w:val="18"/>
          <w:szCs w:val="18"/>
          <w:color w:val="auto"/>
        </w:rPr>
        <w:t>237,264</w:t>
      </w:r>
    </w:p>
    <w:p>
      <w:pPr>
        <w:ind w:left="2000"/>
        <w:spacing w:after="0" w:line="238" w:lineRule="auto"/>
        <w:rPr>
          <w:sz w:val="20"/>
          <w:szCs w:val="20"/>
          <w:color w:val="auto"/>
        </w:rPr>
      </w:pPr>
      <w:r>
        <w:rPr>
          <w:rFonts w:ascii="Courier New" w:cs="Courier New" w:eastAsia="Courier New" w:hAnsi="Courier New"/>
          <w:sz w:val="18"/>
          <w:szCs w:val="18"/>
          <w:color w:val="auto"/>
        </w:rPr>
        <w:t>601,486</w:t>
      </w:r>
    </w:p>
    <w:p>
      <w:pPr>
        <w:ind w:left="4220"/>
        <w:spacing w:after="0"/>
        <w:rPr>
          <w:sz w:val="20"/>
          <w:szCs w:val="20"/>
          <w:color w:val="auto"/>
        </w:rPr>
      </w:pPr>
      <w:r>
        <w:rPr>
          <w:rFonts w:ascii="Courier New" w:cs="Courier New" w:eastAsia="Courier New" w:hAnsi="Courier New"/>
          <w:sz w:val="18"/>
          <w:szCs w:val="18"/>
          <w:color w:val="auto"/>
        </w:rPr>
        <w:t>902,074</w:t>
      </w:r>
    </w:p>
    <w:p>
      <w:pPr>
        <w:ind w:left="3280"/>
        <w:spacing w:after="0" w:line="237" w:lineRule="auto"/>
        <w:rPr>
          <w:sz w:val="20"/>
          <w:szCs w:val="20"/>
          <w:color w:val="auto"/>
        </w:rPr>
      </w:pPr>
      <w:r>
        <w:rPr>
          <w:rFonts w:ascii="Courier New" w:cs="Courier New" w:eastAsia="Courier New" w:hAnsi="Courier New"/>
          <w:sz w:val="18"/>
          <w:szCs w:val="18"/>
          <w:color w:val="auto"/>
        </w:rPr>
        <w:t>902,074</w:t>
      </w:r>
    </w:p>
    <w:p>
      <w:pPr>
        <w:ind w:left="4440"/>
        <w:spacing w:after="0"/>
        <w:rPr>
          <w:sz w:val="20"/>
          <w:szCs w:val="20"/>
          <w:color w:val="auto"/>
        </w:rPr>
      </w:pPr>
      <w:r>
        <w:rPr>
          <w:rFonts w:ascii="Courier New" w:cs="Courier New" w:eastAsia="Courier New" w:hAnsi="Courier New"/>
          <w:sz w:val="18"/>
          <w:szCs w:val="18"/>
          <w:color w:val="auto"/>
        </w:rPr>
        <w:t>606,862</w:t>
      </w:r>
    </w:p>
    <w:p>
      <w:pPr>
        <w:ind w:left="3580"/>
        <w:spacing w:after="0" w:line="237" w:lineRule="auto"/>
        <w:rPr>
          <w:sz w:val="20"/>
          <w:szCs w:val="20"/>
          <w:color w:val="auto"/>
        </w:rPr>
      </w:pPr>
      <w:r>
        <w:rPr>
          <w:rFonts w:ascii="Courier New" w:cs="Courier New" w:eastAsia="Courier New" w:hAnsi="Courier New"/>
          <w:sz w:val="18"/>
          <w:szCs w:val="18"/>
          <w:color w:val="auto"/>
        </w:rPr>
        <w:t>606,862</w:t>
      </w:r>
    </w:p>
    <w:p>
      <w:pPr>
        <w:ind w:left="3280"/>
        <w:spacing w:after="0"/>
        <w:rPr>
          <w:sz w:val="20"/>
          <w:szCs w:val="20"/>
          <w:color w:val="auto"/>
        </w:rPr>
      </w:pPr>
      <w:r>
        <w:rPr>
          <w:rFonts w:ascii="Courier New" w:cs="Courier New" w:eastAsia="Courier New" w:hAnsi="Courier New"/>
          <w:sz w:val="18"/>
          <w:szCs w:val="18"/>
          <w:color w:val="auto"/>
        </w:rPr>
        <w:t>255,314</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3160"/>
        <w:spacing w:after="0"/>
        <w:rPr>
          <w:sz w:val="20"/>
          <w:szCs w:val="20"/>
          <w:color w:val="auto"/>
        </w:rPr>
      </w:pPr>
      <w:r>
        <w:rPr>
          <w:rFonts w:ascii="Courier New" w:cs="Courier New" w:eastAsia="Courier New" w:hAnsi="Courier New"/>
          <w:sz w:val="18"/>
          <w:szCs w:val="18"/>
          <w:color w:val="auto"/>
        </w:rPr>
        <w:t>10,061</w:t>
      </w:r>
    </w:p>
    <w:p>
      <w:pPr>
        <w:ind w:left="3480"/>
        <w:spacing w:after="0" w:line="237" w:lineRule="auto"/>
        <w:rPr>
          <w:sz w:val="20"/>
          <w:szCs w:val="20"/>
          <w:color w:val="auto"/>
        </w:rPr>
      </w:pPr>
      <w:r>
        <w:rPr>
          <w:rFonts w:ascii="Courier New" w:cs="Courier New" w:eastAsia="Courier New" w:hAnsi="Courier New"/>
          <w:sz w:val="18"/>
          <w:szCs w:val="18"/>
          <w:color w:val="auto"/>
        </w:rPr>
        <w:t>29,837</w:t>
      </w:r>
    </w:p>
    <w:p>
      <w:pPr>
        <w:ind w:left="3900"/>
        <w:spacing w:after="0" w:line="238" w:lineRule="auto"/>
        <w:rPr>
          <w:sz w:val="20"/>
          <w:szCs w:val="20"/>
          <w:color w:val="auto"/>
        </w:rPr>
      </w:pPr>
      <w:r>
        <w:rPr>
          <w:rFonts w:ascii="Courier New" w:cs="Courier New" w:eastAsia="Courier New" w:hAnsi="Courier New"/>
          <w:sz w:val="18"/>
          <w:szCs w:val="18"/>
          <w:color w:val="auto"/>
        </w:rPr>
        <w:t>9,783</w:t>
      </w:r>
    </w:p>
    <w:p>
      <w:pPr>
        <w:ind w:left="3580"/>
        <w:spacing w:after="0"/>
        <w:rPr>
          <w:sz w:val="20"/>
          <w:szCs w:val="20"/>
          <w:color w:val="auto"/>
        </w:rPr>
      </w:pPr>
      <w:r>
        <w:rPr>
          <w:rFonts w:ascii="Courier New" w:cs="Courier New" w:eastAsia="Courier New" w:hAnsi="Courier New"/>
          <w:sz w:val="18"/>
          <w:szCs w:val="18"/>
          <w:color w:val="auto"/>
        </w:rPr>
        <w:t>0</w:t>
      </w:r>
    </w:p>
    <w:p>
      <w:pPr>
        <w:ind w:left="4120"/>
        <w:spacing w:after="0" w:line="237" w:lineRule="auto"/>
        <w:rPr>
          <w:sz w:val="20"/>
          <w:szCs w:val="20"/>
          <w:color w:val="auto"/>
        </w:rPr>
      </w:pPr>
      <w:r>
        <w:rPr>
          <w:rFonts w:ascii="Courier New" w:cs="Courier New" w:eastAsia="Courier New" w:hAnsi="Courier New"/>
          <w:sz w:val="18"/>
          <w:szCs w:val="18"/>
          <w:color w:val="auto"/>
        </w:rPr>
        <w:t>0</w:t>
      </w:r>
    </w:p>
    <w:p>
      <w:pPr>
        <w:ind w:left="4020"/>
        <w:spacing w:after="0"/>
        <w:rPr>
          <w:sz w:val="20"/>
          <w:szCs w:val="20"/>
          <w:color w:val="auto"/>
        </w:rPr>
      </w:pPr>
      <w:r>
        <w:rPr>
          <w:rFonts w:ascii="Courier New" w:cs="Courier New" w:eastAsia="Courier New" w:hAnsi="Courier New"/>
          <w:sz w:val="18"/>
          <w:szCs w:val="18"/>
          <w:color w:val="auto"/>
        </w:rPr>
        <w:t>0</w:t>
      </w:r>
    </w:p>
    <w:p>
      <w:pPr>
        <w:ind w:left="4640"/>
        <w:spacing w:after="0" w:line="237" w:lineRule="auto"/>
        <w:rPr>
          <w:sz w:val="20"/>
          <w:szCs w:val="20"/>
          <w:color w:val="auto"/>
        </w:rPr>
      </w:pPr>
      <w:r>
        <w:rPr>
          <w:rFonts w:ascii="Courier New" w:cs="Courier New" w:eastAsia="Courier New" w:hAnsi="Courier New"/>
          <w:sz w:val="18"/>
          <w:szCs w:val="18"/>
          <w:color w:val="auto"/>
        </w:rPr>
        <w:t>0</w:t>
      </w:r>
    </w:p>
    <w:p>
      <w:pPr>
        <w:ind w:left="3800"/>
        <w:spacing w:after="0"/>
        <w:rPr>
          <w:sz w:val="20"/>
          <w:szCs w:val="20"/>
          <w:color w:val="auto"/>
        </w:rPr>
      </w:pPr>
      <w:r>
        <w:rPr>
          <w:rFonts w:ascii="Courier New" w:cs="Courier New" w:eastAsia="Courier New" w:hAnsi="Courier New"/>
          <w:sz w:val="18"/>
          <w:szCs w:val="18"/>
          <w:color w:val="auto"/>
        </w:rPr>
        <w:t>20,054</w:t>
      </w:r>
    </w:p>
    <w:p>
      <w:pPr>
        <w:ind w:left="4020"/>
        <w:spacing w:after="0" w:line="237" w:lineRule="auto"/>
        <w:rPr>
          <w:sz w:val="20"/>
          <w:szCs w:val="20"/>
          <w:color w:val="auto"/>
        </w:rPr>
      </w:pPr>
      <w:r>
        <w:rPr>
          <w:rFonts w:ascii="Courier New" w:cs="Courier New" w:eastAsia="Courier New" w:hAnsi="Courier New"/>
          <w:sz w:val="18"/>
          <w:szCs w:val="18"/>
          <w:color w:val="auto"/>
        </w:rPr>
        <w:t>.74</w:t>
      </w:r>
    </w:p>
    <w:p>
      <w:pPr>
        <w:ind w:left="4020"/>
        <w:spacing w:after="0" w:line="238" w:lineRule="auto"/>
        <w:rPr>
          <w:sz w:val="20"/>
          <w:szCs w:val="20"/>
          <w:color w:val="auto"/>
        </w:rPr>
      </w:pPr>
      <w:r>
        <w:rPr>
          <w:rFonts w:ascii="Courier New" w:cs="Courier New" w:eastAsia="Courier New" w:hAnsi="Courier New"/>
          <w:sz w:val="18"/>
          <w:szCs w:val="18"/>
          <w:color w:val="auto"/>
        </w:rPr>
        <w:t>.74</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Property, plant and equipment is presented net of accumulated depreciation.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 for doubtful accounts is included in other costs and expenses.</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decimal"/>
      <w:start w:val="11"/>
    </w:lvl>
  </w:abstractNum>
  <w:abstractNum w:abstractNumId="3">
    <w:nsid w:val="46E87CCD"/>
    <w:multiLevelType w:val="hybridMultilevel"/>
    <w:lvl w:ilvl="0">
      <w:lvlJc w:val="left"/>
      <w:lvlText w:val="%1."/>
      <w:numFmt w:val="decimal"/>
      <w:start w:val="15"/>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2019-12-13T06:17:34Z</dcterms:created>
  <dcterms:modified xsi:type="dcterms:W3CDTF">2019-12-13T06:17:34Z</dcterms:modified>
</cp:coreProperties>
</file>