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WASHINGTON, DC 20549</w:t>
      </w:r>
    </w:p>
    <w:p>
      <w:pPr>
        <w:spacing w:after="0" w:line="200" w:lineRule="exact"/>
        <w:rPr>
          <w:sz w:val="24"/>
          <w:szCs w:val="24"/>
          <w:color w:val="auto"/>
        </w:rPr>
      </w:pPr>
    </w:p>
    <w:p>
      <w:pPr>
        <w:spacing w:after="0" w:line="263" w:lineRule="exact"/>
        <w:rPr>
          <w:sz w:val="24"/>
          <w:szCs w:val="24"/>
          <w:color w:val="auto"/>
        </w:rPr>
      </w:pPr>
    </w:p>
    <w:p>
      <w:pPr>
        <w:ind w:left="5020"/>
        <w:spacing w:after="0"/>
        <w:rPr>
          <w:sz w:val="20"/>
          <w:szCs w:val="20"/>
          <w:color w:val="auto"/>
        </w:rPr>
      </w:pPr>
      <w:r>
        <w:rPr>
          <w:rFonts w:ascii="Arial" w:cs="Arial" w:eastAsia="Arial" w:hAnsi="Arial"/>
          <w:sz w:val="22"/>
          <w:szCs w:val="22"/>
          <w:b w:val="1"/>
          <w:bCs w:val="1"/>
          <w:color w:val="auto"/>
        </w:rPr>
        <w:t>_____________</w:t>
      </w:r>
    </w:p>
    <w:p>
      <w:pPr>
        <w:spacing w:after="0" w:line="200" w:lineRule="exact"/>
        <w:rPr>
          <w:sz w:val="24"/>
          <w:szCs w:val="24"/>
          <w:color w:val="auto"/>
        </w:rPr>
      </w:pPr>
    </w:p>
    <w:p>
      <w:pPr>
        <w:spacing w:after="0" w:line="227"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FORM 11-K</w:t>
      </w:r>
    </w:p>
    <w:p>
      <w:pPr>
        <w:spacing w:after="0" w:line="200" w:lineRule="exact"/>
        <w:rPr>
          <w:sz w:val="24"/>
          <w:szCs w:val="24"/>
          <w:color w:val="auto"/>
        </w:rPr>
      </w:pPr>
    </w:p>
    <w:p>
      <w:pPr>
        <w:spacing w:after="0" w:line="296"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ANNUAL REPORT</w:t>
      </w:r>
    </w:p>
    <w:p>
      <w:pPr>
        <w:spacing w:after="0" w:line="20"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PURSUANT TO SECTION 15(d) OF THE</w:t>
      </w:r>
    </w:p>
    <w:p>
      <w:pPr>
        <w:jc w:val="center"/>
        <w:ind w:right="-239"/>
        <w:spacing w:after="0"/>
        <w:rPr>
          <w:sz w:val="20"/>
          <w:szCs w:val="20"/>
          <w:color w:val="auto"/>
        </w:rPr>
      </w:pPr>
      <w:r>
        <w:rPr>
          <w:rFonts w:ascii="Arial" w:cs="Arial" w:eastAsia="Arial" w:hAnsi="Arial"/>
          <w:sz w:val="25"/>
          <w:szCs w:val="25"/>
          <w:b w:val="1"/>
          <w:bCs w:val="1"/>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06"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33"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b w:val="1"/>
          <w:bCs w:val="1"/>
          <w:color w:val="auto"/>
        </w:rPr>
        <w:t>For the fiscal year ended</w:t>
      </w:r>
      <w:r>
        <w:rPr>
          <w:sz w:val="20"/>
          <w:szCs w:val="20"/>
          <w:color w:val="auto"/>
        </w:rPr>
        <w:tab/>
      </w:r>
      <w:r>
        <w:rPr>
          <w:rFonts w:ascii="Arial" w:cs="Arial" w:eastAsia="Arial" w:hAnsi="Arial"/>
          <w:sz w:val="19"/>
          <w:szCs w:val="19"/>
          <w:b w:val="1"/>
          <w:bCs w:val="1"/>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1487170</wp:posOffset>
            </wp:positionH>
            <wp:positionV relativeFrom="paragraph">
              <wp:posOffset>-13970</wp:posOffset>
            </wp:positionV>
            <wp:extent cx="1314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18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OR</w:t>
      </w:r>
    </w:p>
    <w:p>
      <w:pPr>
        <w:spacing w:after="0" w:line="200" w:lineRule="exact"/>
        <w:rPr>
          <w:sz w:val="24"/>
          <w:szCs w:val="24"/>
          <w:color w:val="auto"/>
        </w:rPr>
      </w:pPr>
    </w:p>
    <w:p>
      <w:pPr>
        <w:spacing w:after="0" w:line="222" w:lineRule="exact"/>
        <w:rPr>
          <w:sz w:val="24"/>
          <w:szCs w:val="24"/>
          <w:color w:val="auto"/>
        </w:rPr>
      </w:pPr>
    </w:p>
    <w:p>
      <w:pPr>
        <w:ind w:right="560" w:firstLine="8"/>
        <w:spacing w:after="0" w:line="448" w:lineRule="auto"/>
        <w:tabs>
          <w:tab w:leader="none" w:pos="21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 For the transition period from __________ to __________</w:t>
      </w:r>
    </w:p>
    <w:p>
      <w:pPr>
        <w:spacing w:after="0" w:line="1" w:lineRule="exact"/>
        <w:rPr>
          <w:sz w:val="24"/>
          <w:szCs w:val="24"/>
          <w:color w:val="auto"/>
        </w:rPr>
      </w:pPr>
    </w:p>
    <w:p>
      <w:pPr>
        <w:ind w:left="1960"/>
        <w:spacing w:after="0"/>
        <w:tabs>
          <w:tab w:leader="none" w:pos="4420" w:val="left"/>
        </w:tabs>
        <w:rPr>
          <w:sz w:val="20"/>
          <w:szCs w:val="20"/>
          <w:color w:val="auto"/>
        </w:rPr>
      </w:pPr>
      <w:r>
        <w:rPr>
          <w:rFonts w:ascii="Arial" w:cs="Arial" w:eastAsia="Arial" w:hAnsi="Arial"/>
          <w:sz w:val="22"/>
          <w:szCs w:val="22"/>
          <w:b w:val="1"/>
          <w:bCs w:val="1"/>
          <w:color w:val="auto"/>
        </w:rPr>
        <w:t>Commission file number</w:t>
      </w:r>
      <w:r>
        <w:rPr>
          <w:sz w:val="20"/>
          <w:szCs w:val="20"/>
          <w:color w:val="auto"/>
        </w:rPr>
        <w:tab/>
      </w:r>
      <w:r>
        <w:rPr>
          <w:rFonts w:ascii="Arial" w:cs="Arial" w:eastAsia="Arial" w:hAnsi="Arial"/>
          <w:sz w:val="19"/>
          <w:szCs w:val="19"/>
          <w:b w:val="1"/>
          <w:bCs w:val="1"/>
          <w:color w:val="auto"/>
        </w:rPr>
        <w:t>1-724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wp:posOffset>
            </wp:positionV>
            <wp:extent cx="731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520" cy="8890"/>
                    </a:xfrm>
                    <a:prstGeom prst="rect">
                      <a:avLst/>
                    </a:prstGeom>
                    <a:noFill/>
                  </pic:spPr>
                </pic:pic>
              </a:graphicData>
            </a:graphic>
          </wp:anchor>
        </w:drawing>
      </w:r>
    </w:p>
    <w:p>
      <w:pPr>
        <w:spacing w:after="0" w:line="186" w:lineRule="exact"/>
        <w:rPr>
          <w:sz w:val="24"/>
          <w:szCs w:val="24"/>
          <w:color w:val="auto"/>
        </w:rPr>
      </w:pPr>
    </w:p>
    <w:p>
      <w:pPr>
        <w:ind w:right="380" w:firstLine="8"/>
        <w:spacing w:after="0" w:line="335" w:lineRule="auto"/>
        <w:tabs>
          <w:tab w:leader="none" w:pos="318"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Full title of the plan and the address of the plan, if different from that of the issuer named below: </w:t>
      </w:r>
      <w:r>
        <w:rPr>
          <w:rFonts w:ascii="Arial" w:cs="Arial" w:eastAsia="Arial" w:hAnsi="Arial"/>
          <w:sz w:val="19"/>
          <w:szCs w:val="19"/>
          <w:b w:val="1"/>
          <w:bCs w:val="1"/>
          <w:u w:val="single" w:color="auto"/>
          <w:color w:val="auto"/>
        </w:rPr>
        <w:t>PVH Associates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Investment Plan for Hourly Associates and PVH Associates Investment Plan for Salaried Associates</w:t>
      </w:r>
    </w:p>
    <w:p>
      <w:pPr>
        <w:spacing w:after="0" w:line="92" w:lineRule="exact"/>
        <w:rPr>
          <w:rFonts w:ascii="Arial" w:cs="Arial" w:eastAsia="Arial" w:hAnsi="Arial"/>
          <w:sz w:val="19"/>
          <w:szCs w:val="19"/>
          <w:b w:val="1"/>
          <w:bCs w:val="1"/>
          <w:color w:val="auto"/>
        </w:rPr>
      </w:pPr>
    </w:p>
    <w:p>
      <w:pPr>
        <w:ind w:firstLine="8"/>
        <w:spacing w:after="0" w:line="256" w:lineRule="auto"/>
        <w:tabs>
          <w:tab w:leader="none" w:pos="306"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of the securities held pursuant to the plan and the address of its principal executive office: </w:t>
      </w:r>
      <w:r>
        <w:rPr>
          <w:rFonts w:ascii="Arial" w:cs="Arial" w:eastAsia="Arial" w:hAnsi="Arial"/>
          <w:sz w:val="22"/>
          <w:szCs w:val="22"/>
          <w:b w:val="1"/>
          <w:bCs w:val="1"/>
          <w:u w:val="single" w:color="auto"/>
          <w:color w:val="auto"/>
        </w:rPr>
        <w:t>Phillips-Van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Heusen Corporation, 200 Madison Avenue, New York, New York 10016</w:t>
      </w:r>
    </w:p>
    <w:p>
      <w:pPr>
        <w:sectPr>
          <w:pgSz w:w="11900" w:h="16838" w:orient="portrait"/>
          <w:cols w:equalWidth="0" w:num="1">
            <w:col w:w="11180"/>
          </w:cols>
          <w:pgMar w:left="240" w:top="373" w:right="479" w:bottom="1440" w:gutter="0" w:footer="0" w:header="0"/>
        </w:sectPr>
      </w:pPr>
    </w:p>
    <w:bookmarkStart w:id="1" w:name="page2"/>
    <w:bookmarkEnd w:id="1"/>
    <w:p>
      <w:pPr>
        <w:jc w:val="center"/>
        <w:ind w:right="-439"/>
        <w:spacing w:after="0"/>
        <w:rPr>
          <w:sz w:val="20"/>
          <w:szCs w:val="20"/>
          <w:color w:val="auto"/>
        </w:rPr>
      </w:pPr>
      <w:r>
        <w:rPr>
          <w:rFonts w:ascii="Arial" w:cs="Arial" w:eastAsia="Arial" w:hAnsi="Arial"/>
          <w:sz w:val="25"/>
          <w:szCs w:val="25"/>
          <w:b w:val="1"/>
          <w:bCs w:val="1"/>
          <w:color w:val="auto"/>
        </w:rPr>
        <w:t>SIGNATURES</w:t>
      </w:r>
    </w:p>
    <w:p>
      <w:pPr>
        <w:spacing w:after="0" w:line="389"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i w:val="1"/>
          <w:iCs w:val="1"/>
          <w:color w:val="auto"/>
        </w:rPr>
        <w:t xml:space="preserve">The Plan. </w:t>
      </w:r>
      <w:r>
        <w:rPr>
          <w:rFonts w:ascii="Arial" w:cs="Arial" w:eastAsia="Arial" w:hAnsi="Arial"/>
          <w:sz w:val="21"/>
          <w:szCs w:val="21"/>
          <w:color w:val="auto"/>
        </w:rPr>
        <w:t>Pursuant to the requirements of the Securities Exchange Act of 1934, the Administrative Committee has duly</w:t>
      </w:r>
      <w:r>
        <w:rPr>
          <w:rFonts w:ascii="Arial" w:cs="Arial" w:eastAsia="Arial" w:hAnsi="Arial"/>
          <w:sz w:val="21"/>
          <w:szCs w:val="21"/>
          <w:i w:val="1"/>
          <w:iCs w:val="1"/>
          <w:color w:val="auto"/>
        </w:rPr>
        <w:t xml:space="preserve"> </w:t>
      </w:r>
      <w:r>
        <w:rPr>
          <w:rFonts w:ascii="Arial" w:cs="Arial" w:eastAsia="Arial" w:hAnsi="Arial"/>
          <w:sz w:val="21"/>
          <w:szCs w:val="21"/>
          <w:color w:val="auto"/>
        </w:rPr>
        <w:t>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40" w:type="dxa"/>
            <w:vAlign w:val="bottom"/>
          </w:tcPr>
          <w:p>
            <w:pPr>
              <w:spacing w:after="0"/>
              <w:rPr>
                <w:sz w:val="21"/>
                <w:szCs w:val="21"/>
                <w:color w:val="auto"/>
              </w:rPr>
            </w:pPr>
          </w:p>
        </w:tc>
        <w:tc>
          <w:tcPr>
            <w:tcW w:w="5020" w:type="dxa"/>
            <w:vAlign w:val="bottom"/>
            <w:gridSpan w:val="4"/>
          </w:tcPr>
          <w:p>
            <w:pPr>
              <w:ind w:left="860"/>
              <w:spacing w:after="0"/>
              <w:rPr>
                <w:sz w:val="20"/>
                <w:szCs w:val="20"/>
                <w:color w:val="auto"/>
              </w:rPr>
            </w:pPr>
            <w:r>
              <w:rPr>
                <w:rFonts w:ascii="Arial" w:cs="Arial" w:eastAsia="Arial" w:hAnsi="Arial"/>
                <w:sz w:val="22"/>
                <w:szCs w:val="22"/>
                <w:b w:val="1"/>
                <w:bCs w:val="1"/>
                <w:color w:val="auto"/>
                <w:w w:val="98"/>
              </w:rPr>
              <w:t>PHILLIPS-VAN HEUSEN CORPORATION</w:t>
            </w:r>
          </w:p>
        </w:tc>
        <w:tc>
          <w:tcPr>
            <w:tcW w:w="0" w:type="dxa"/>
            <w:vAlign w:val="bottom"/>
          </w:tcPr>
          <w:p>
            <w:pPr>
              <w:spacing w:after="0"/>
              <w:rPr>
                <w:sz w:val="1"/>
                <w:szCs w:val="1"/>
                <w:color w:val="auto"/>
              </w:rPr>
            </w:pPr>
          </w:p>
        </w:tc>
      </w:tr>
      <w:tr>
        <w:trPr>
          <w:trHeight w:val="281"/>
        </w:trPr>
        <w:tc>
          <w:tcPr>
            <w:tcW w:w="2640" w:type="dxa"/>
            <w:vAlign w:val="bottom"/>
          </w:tcPr>
          <w:p>
            <w:pPr>
              <w:spacing w:after="0"/>
              <w:rPr>
                <w:sz w:val="24"/>
                <w:szCs w:val="24"/>
                <w:color w:val="auto"/>
              </w:rPr>
            </w:pPr>
          </w:p>
        </w:tc>
        <w:tc>
          <w:tcPr>
            <w:tcW w:w="5020" w:type="dxa"/>
            <w:vAlign w:val="bottom"/>
            <w:gridSpan w:val="4"/>
          </w:tcPr>
          <w:p>
            <w:pPr>
              <w:ind w:left="860"/>
              <w:spacing w:after="0"/>
              <w:rPr>
                <w:sz w:val="20"/>
                <w:szCs w:val="20"/>
                <w:color w:val="auto"/>
              </w:rPr>
            </w:pPr>
            <w:r>
              <w:rPr>
                <w:rFonts w:ascii="Arial" w:cs="Arial" w:eastAsia="Arial" w:hAnsi="Arial"/>
                <w:sz w:val="22"/>
                <w:szCs w:val="22"/>
                <w:b w:val="1"/>
                <w:bCs w:val="1"/>
                <w:color w:val="auto"/>
              </w:rPr>
              <w:t>ASSOCIATES INVESTMENT PLANS</w:t>
            </w:r>
          </w:p>
        </w:tc>
        <w:tc>
          <w:tcPr>
            <w:tcW w:w="0" w:type="dxa"/>
            <w:vAlign w:val="bottom"/>
          </w:tcPr>
          <w:p>
            <w:pPr>
              <w:spacing w:after="0"/>
              <w:rPr>
                <w:sz w:val="1"/>
                <w:szCs w:val="1"/>
                <w:color w:val="auto"/>
              </w:rPr>
            </w:pPr>
          </w:p>
        </w:tc>
      </w:tr>
      <w:tr>
        <w:trPr>
          <w:trHeight w:val="908"/>
        </w:trPr>
        <w:tc>
          <w:tcPr>
            <w:tcW w:w="2640" w:type="dxa"/>
            <w:vAlign w:val="bottom"/>
            <w:vMerge w:val="restart"/>
          </w:tcPr>
          <w:p>
            <w:pPr>
              <w:spacing w:after="0"/>
              <w:rPr>
                <w:sz w:val="20"/>
                <w:szCs w:val="20"/>
                <w:color w:val="auto"/>
              </w:rPr>
            </w:pPr>
            <w:r>
              <w:rPr>
                <w:rFonts w:ascii="Arial" w:cs="Arial" w:eastAsia="Arial" w:hAnsi="Arial"/>
                <w:sz w:val="22"/>
                <w:szCs w:val="22"/>
                <w:color w:val="auto"/>
              </w:rPr>
              <w:t>Date: June 28, 2006</w:t>
            </w:r>
          </w:p>
        </w:tc>
        <w:tc>
          <w:tcPr>
            <w:tcW w:w="1180" w:type="dxa"/>
            <w:vAlign w:val="bottom"/>
            <w:vMerge w:val="restart"/>
          </w:tcPr>
          <w:p>
            <w:pPr>
              <w:ind w:left="860"/>
              <w:spacing w:after="0"/>
              <w:rPr>
                <w:sz w:val="20"/>
                <w:szCs w:val="20"/>
                <w:color w:val="auto"/>
              </w:rPr>
            </w:pPr>
            <w:r>
              <w:rPr>
                <w:rFonts w:ascii="Arial" w:cs="Arial" w:eastAsia="Arial" w:hAnsi="Arial"/>
                <w:sz w:val="22"/>
                <w:szCs w:val="22"/>
                <w:color w:val="auto"/>
              </w:rPr>
              <w:t>By</w:t>
            </w:r>
          </w:p>
        </w:tc>
        <w:tc>
          <w:tcPr>
            <w:tcW w:w="960" w:type="dxa"/>
            <w:vAlign w:val="bottom"/>
          </w:tcPr>
          <w:p>
            <w:pPr>
              <w:spacing w:after="0"/>
              <w:rPr>
                <w:sz w:val="24"/>
                <w:szCs w:val="2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Pamela N. Hootkin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6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22"/>
                <w:szCs w:val="22"/>
                <w:color w:val="auto"/>
              </w:rPr>
              <w:t>Pamela N. Hootkin, Member of</w:t>
            </w: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22"/>
          <w:szCs w:val="22"/>
          <w:color w:val="auto"/>
        </w:rPr>
        <w:t>Administrative Committee</w:t>
      </w:r>
    </w:p>
    <w:p>
      <w:pPr>
        <w:sectPr>
          <w:pgSz w:w="11900" w:h="16838" w:orient="portrait"/>
          <w:cols w:equalWidth="0" w:num="1">
            <w:col w:w="11060"/>
          </w:cols>
          <w:pgMar w:left="240" w:top="616" w:right="599" w:bottom="1440" w:gutter="0" w:footer="0" w:header="0"/>
        </w:sectPr>
      </w:pPr>
    </w:p>
    <w:bookmarkStart w:id="2" w:name="page3"/>
    <w:bookmarkEnd w:id="2"/>
    <w:p>
      <w:pPr>
        <w:ind w:left="4660"/>
        <w:spacing w:after="0"/>
        <w:rPr>
          <w:sz w:val="20"/>
          <w:szCs w:val="20"/>
          <w:color w:val="auto"/>
        </w:rPr>
      </w:pPr>
      <w:r>
        <w:rPr>
          <w:rFonts w:ascii="Arial" w:cs="Arial" w:eastAsia="Arial" w:hAnsi="Arial"/>
          <w:sz w:val="25"/>
          <w:szCs w:val="25"/>
          <w:color w:val="auto"/>
        </w:rPr>
        <w:t>Financial Statements</w:t>
      </w:r>
    </w:p>
    <w:p>
      <w:pPr>
        <w:spacing w:after="0" w:line="200" w:lineRule="exact"/>
        <w:rPr>
          <w:sz w:val="20"/>
          <w:szCs w:val="20"/>
          <w:color w:val="auto"/>
        </w:rPr>
      </w:pPr>
    </w:p>
    <w:p>
      <w:pPr>
        <w:spacing w:after="0" w:line="323" w:lineRule="exact"/>
        <w:rPr>
          <w:sz w:val="20"/>
          <w:szCs w:val="20"/>
          <w:color w:val="auto"/>
        </w:rPr>
      </w:pPr>
    </w:p>
    <w:p>
      <w:pPr>
        <w:jc w:val="center"/>
        <w:ind w:right="-1220"/>
        <w:spacing w:after="0"/>
        <w:rPr>
          <w:sz w:val="20"/>
          <w:szCs w:val="20"/>
          <w:color w:val="auto"/>
        </w:rPr>
      </w:pPr>
      <w:r>
        <w:rPr>
          <w:rFonts w:ascii="Arial" w:cs="Arial" w:eastAsia="Arial" w:hAnsi="Arial"/>
          <w:sz w:val="25"/>
          <w:szCs w:val="25"/>
          <w:color w:val="auto"/>
        </w:rPr>
        <w:t>Years ended December 31, 2005 and 2004</w:t>
      </w:r>
    </w:p>
    <w:p>
      <w:pPr>
        <w:spacing w:after="0" w:line="274"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Contents</w:t>
      </w:r>
    </w:p>
    <w:p>
      <w:pPr>
        <w:spacing w:after="0" w:line="200" w:lineRule="exact"/>
        <w:rPr>
          <w:sz w:val="20"/>
          <w:szCs w:val="20"/>
          <w:color w:val="auto"/>
        </w:rPr>
      </w:pPr>
    </w:p>
    <w:p>
      <w:pPr>
        <w:spacing w:after="0" w:line="369" w:lineRule="exact"/>
        <w:rPr>
          <w:sz w:val="20"/>
          <w:szCs w:val="20"/>
          <w:color w:val="auto"/>
        </w:rPr>
      </w:pPr>
    </w:p>
    <w:p>
      <w:pPr>
        <w:jc w:val="center"/>
        <w:ind w:right="-1220"/>
        <w:spacing w:after="0"/>
        <w:rPr>
          <w:sz w:val="20"/>
          <w:szCs w:val="20"/>
          <w:color w:val="auto"/>
        </w:rPr>
      </w:pPr>
      <w:r>
        <w:rPr>
          <w:rFonts w:ascii="Arial" w:cs="Arial" w:eastAsia="Arial" w:hAnsi="Arial"/>
          <w:sz w:val="25"/>
          <w:szCs w:val="25"/>
          <w:color w:val="auto"/>
        </w:rPr>
        <w:t>Phillips-Van Heusen Corporation</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Associates Investment Plan for Hourly Associates</w:t>
      </w:r>
    </w:p>
    <w:p>
      <w:pPr>
        <w:sectPr>
          <w:pgSz w:w="11900" w:h="16838" w:orient="portrait"/>
          <w:cols w:equalWidth="0" w:num="1">
            <w:col w:w="10219"/>
          </w:cols>
          <w:pgMar w:left="240" w:top="609"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right="1500"/>
        <w:spacing w:after="0" w:line="234" w:lineRule="auto"/>
        <w:rPr>
          <w:sz w:val="20"/>
          <w:szCs w:val="20"/>
          <w:color w:val="auto"/>
        </w:rPr>
      </w:pPr>
      <w:r>
        <w:rPr>
          <w:rFonts w:ascii="Arial" w:cs="Arial" w:eastAsia="Arial" w:hAnsi="Arial"/>
          <w:sz w:val="22"/>
          <w:szCs w:val="22"/>
          <w:color w:val="auto"/>
        </w:rPr>
        <w:t>Report of Independent Registered Public Accounting Firm Statements of Net Assets Available for Benefits Statements of Changes in Net Assets Available for Benefits Notes to Financial Statements Supplemental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jc w:val="right"/>
        <w:ind w:right="2439"/>
        <w:spacing w:after="0"/>
        <w:rPr>
          <w:sz w:val="20"/>
          <w:szCs w:val="20"/>
          <w:color w:val="auto"/>
        </w:rPr>
      </w:pPr>
      <w:r>
        <w:rPr>
          <w:rFonts w:ascii="Arial" w:cs="Arial" w:eastAsia="Arial" w:hAnsi="Arial"/>
          <w:sz w:val="22"/>
          <w:szCs w:val="22"/>
          <w:color w:val="auto"/>
        </w:rPr>
        <w:t>F-2</w:t>
      </w:r>
    </w:p>
    <w:p>
      <w:pPr>
        <w:jc w:val="right"/>
        <w:ind w:right="2439"/>
        <w:spacing w:after="0" w:line="230" w:lineRule="auto"/>
        <w:rPr>
          <w:sz w:val="20"/>
          <w:szCs w:val="20"/>
          <w:color w:val="auto"/>
        </w:rPr>
      </w:pPr>
      <w:r>
        <w:rPr>
          <w:rFonts w:ascii="Arial" w:cs="Arial" w:eastAsia="Arial" w:hAnsi="Arial"/>
          <w:sz w:val="22"/>
          <w:szCs w:val="22"/>
          <w:color w:val="auto"/>
        </w:rPr>
        <w:t>F-3</w:t>
      </w:r>
    </w:p>
    <w:p>
      <w:pPr>
        <w:jc w:val="right"/>
        <w:ind w:right="2439"/>
        <w:spacing w:after="0" w:line="231" w:lineRule="auto"/>
        <w:rPr>
          <w:sz w:val="20"/>
          <w:szCs w:val="20"/>
          <w:color w:val="auto"/>
        </w:rPr>
      </w:pPr>
      <w:r>
        <w:rPr>
          <w:rFonts w:ascii="Arial" w:cs="Arial" w:eastAsia="Arial" w:hAnsi="Arial"/>
          <w:sz w:val="22"/>
          <w:szCs w:val="22"/>
          <w:color w:val="auto"/>
        </w:rPr>
        <w:t>F-4</w:t>
      </w:r>
    </w:p>
    <w:p>
      <w:pPr>
        <w:jc w:val="right"/>
        <w:ind w:right="2439"/>
        <w:spacing w:after="0" w:line="218" w:lineRule="auto"/>
        <w:rPr>
          <w:sz w:val="20"/>
          <w:szCs w:val="20"/>
          <w:color w:val="auto"/>
        </w:rPr>
      </w:pPr>
      <w:r>
        <w:rPr>
          <w:rFonts w:ascii="Arial" w:cs="Arial" w:eastAsia="Arial" w:hAnsi="Arial"/>
          <w:sz w:val="22"/>
          <w:szCs w:val="22"/>
          <w:color w:val="auto"/>
        </w:rPr>
        <w:t>F-5</w:t>
      </w:r>
    </w:p>
    <w:p>
      <w:pPr>
        <w:jc w:val="center"/>
        <w:ind w:right="2439"/>
        <w:spacing w:after="0"/>
        <w:rPr>
          <w:sz w:val="20"/>
          <w:szCs w:val="20"/>
          <w:color w:val="auto"/>
        </w:rPr>
      </w:pPr>
      <w:r>
        <w:rPr>
          <w:rFonts w:ascii="Arial" w:cs="Arial" w:eastAsia="Arial" w:hAnsi="Arial"/>
          <w:sz w:val="19"/>
          <w:szCs w:val="19"/>
          <w:color w:val="auto"/>
        </w:rPr>
        <w:t>F-11</w:t>
      </w:r>
    </w:p>
    <w:p>
      <w:pPr>
        <w:spacing w:after="0" w:line="278" w:lineRule="exact"/>
        <w:rPr>
          <w:sz w:val="20"/>
          <w:szCs w:val="20"/>
          <w:color w:val="auto"/>
        </w:rPr>
      </w:pPr>
    </w:p>
    <w:p>
      <w:pPr>
        <w:sectPr>
          <w:pgSz w:w="11900" w:h="16838" w:orient="portrait"/>
          <w:cols w:equalWidth="0" w:num="2">
            <w:col w:w="6660" w:space="720"/>
            <w:col w:w="2839"/>
          </w:cols>
          <w:pgMar w:left="240" w:top="6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220"/>
        <w:spacing w:after="0"/>
        <w:rPr>
          <w:sz w:val="20"/>
          <w:szCs w:val="20"/>
          <w:color w:val="auto"/>
        </w:rPr>
      </w:pPr>
      <w:r>
        <w:rPr>
          <w:rFonts w:ascii="Arial" w:cs="Arial" w:eastAsia="Arial" w:hAnsi="Arial"/>
          <w:sz w:val="25"/>
          <w:szCs w:val="25"/>
          <w:color w:val="auto"/>
        </w:rPr>
        <w:t>Phillips-Van Heusen Corporation</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22"/>
          <w:szCs w:val="22"/>
          <w:color w:val="auto"/>
        </w:rPr>
        <w:t>Associates Investment Plan for Salaried Associates</w:t>
      </w:r>
    </w:p>
    <w:p>
      <w:pPr>
        <w:sectPr>
          <w:pgSz w:w="11900" w:h="16838" w:orient="portrait"/>
          <w:cols w:equalWidth="0" w:num="1">
            <w:col w:w="10219"/>
          </w:cols>
          <w:pgMar w:left="240" w:top="609" w:right="1440"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right="1500"/>
        <w:spacing w:after="0" w:line="231" w:lineRule="auto"/>
        <w:rPr>
          <w:sz w:val="20"/>
          <w:szCs w:val="20"/>
          <w:color w:val="auto"/>
        </w:rPr>
      </w:pPr>
      <w:r>
        <w:rPr>
          <w:rFonts w:ascii="Arial" w:cs="Arial" w:eastAsia="Arial" w:hAnsi="Arial"/>
          <w:sz w:val="22"/>
          <w:szCs w:val="22"/>
          <w:color w:val="auto"/>
        </w:rPr>
        <w:t>Report of Independent Registered Public Accounting Firm Statements of Net Assets Available for Benefits Statements of Changes in Net Assets Available for Benefits Notes to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Supplemental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F-13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F-14</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F-15</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F-16</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F-22</w:t>
      </w:r>
    </w:p>
    <w:p>
      <w:pPr>
        <w:spacing w:after="0" w:line="261" w:lineRule="exact"/>
        <w:rPr>
          <w:sz w:val="20"/>
          <w:szCs w:val="20"/>
          <w:color w:val="auto"/>
        </w:rPr>
      </w:pPr>
    </w:p>
    <w:p>
      <w:pPr>
        <w:sectPr>
          <w:pgSz w:w="11900" w:h="16838" w:orient="portrait"/>
          <w:cols w:equalWidth="0" w:num="2">
            <w:col w:w="6660" w:space="720"/>
            <w:col w:w="2839"/>
          </w:cols>
          <w:pgMar w:left="240" w:top="6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F-1</w:t>
      </w:r>
    </w:p>
    <w:p>
      <w:pPr>
        <w:sectPr>
          <w:pgSz w:w="11900" w:h="16838" w:orient="portrait"/>
          <w:cols w:equalWidth="0" w:num="1">
            <w:col w:w="10219"/>
          </w:cols>
          <w:pgMar w:left="240" w:top="609" w:right="1440"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5"/>
          <w:szCs w:val="25"/>
          <w:color w:val="auto"/>
        </w:rPr>
        <w:t>[Letterhead of Spielman Koenigsberg &amp; Parker, LLP]</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Committee of the Plan</w:t>
      </w:r>
    </w:p>
    <w:p>
      <w:pPr>
        <w:spacing w:after="0" w:line="238" w:lineRule="auto"/>
        <w:rPr>
          <w:sz w:val="20"/>
          <w:szCs w:val="20"/>
          <w:color w:val="auto"/>
        </w:rPr>
      </w:pPr>
      <w:r>
        <w:rPr>
          <w:rFonts w:ascii="Arial" w:cs="Arial" w:eastAsia="Arial" w:hAnsi="Arial"/>
          <w:sz w:val="22"/>
          <w:szCs w:val="22"/>
          <w:color w:val="auto"/>
        </w:rPr>
        <w:t>Phillips-Van Heusen Corporation</w:t>
      </w:r>
    </w:p>
    <w:p>
      <w:pPr>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We have audited the accompanying statement of net assets available for benefits of the Phillips-Van Heusen Corporation Associates Investment Plan for Hourly Associates as of December 31, 2005, and the related statement of changes in net assets available for benefits for the year then ended. These financial statements are the responsibility of the Plan’s management. Our responsibility is to express an opinion on these financial statements based on our audit. The financial statements of the Phillips-Van Heusen Corporation Associates Investments Plan for Hourly Associates as of and for the year ended December 31, 2004 were audited by other auditors whose report dated May 31, 2005 expressed an unqualified opinion on those statements.</w:t>
      </w:r>
    </w:p>
    <w:p>
      <w:pPr>
        <w:spacing w:after="0" w:line="178" w:lineRule="exact"/>
        <w:rPr>
          <w:sz w:val="20"/>
          <w:szCs w:val="20"/>
          <w:color w:val="auto"/>
        </w:rPr>
      </w:pPr>
    </w:p>
    <w:p>
      <w:pPr>
        <w:ind w:right="160" w:firstLine="648"/>
        <w:spacing w:after="0" w:line="274" w:lineRule="auto"/>
        <w:rPr>
          <w:sz w:val="20"/>
          <w:szCs w:val="20"/>
          <w:color w:val="auto"/>
        </w:rPr>
      </w:pPr>
      <w:r>
        <w:rPr>
          <w:rFonts w:ascii="Arial" w:cs="Arial" w:eastAsia="Arial" w:hAnsi="Arial"/>
          <w:sz w:val="19"/>
          <w:szCs w:val="19"/>
          <w:color w:val="auto"/>
        </w:rPr>
        <w:t>We conducted our audit in accordance with the auditing standards of the Public Company Accounting Oversights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 l as evaluating the overall financial statement presentation. We believe that our audit provides a reasonable basis for our opinion.</w:t>
      </w:r>
    </w:p>
    <w:p>
      <w:pPr>
        <w:spacing w:after="0" w:line="186"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In our opinion, the financial statements referred to above present fairly, in all material respects, the net assets available for benefits of the Plan as of December 31, 2005, and the changes in its net assets available for benefits for the year then ended, in conformity with accounting principles generally accepted in the United States.</w:t>
      </w:r>
    </w:p>
    <w:p>
      <w:pPr>
        <w:spacing w:after="0" w:line="21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9"/>
          <w:szCs w:val="19"/>
          <w:color w:val="auto"/>
        </w:rPr>
        <w:t>Our audit was performed for the purpose of forming an opinion on the financial statements taken as a whole. The accompanying supplemental schedule of assets (held at end of year) as of December 31, 2005,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SPIELMAN KOENIGSBERG &amp; PARKER,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June 19, 2006</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ectPr>
          <w:pgSz w:w="11900" w:h="16838" w:orient="portrait"/>
          <w:cols w:equalWidth="0" w:num="1">
            <w:col w:w="11420"/>
          </w:cols>
          <w:pgMar w:left="240" w:top="1176" w:right="239" w:bottom="1440" w:gutter="0" w:footer="0" w:header="0"/>
        </w:sectPr>
      </w:pPr>
    </w:p>
    <w:bookmarkStart w:id="4" w:name="page5"/>
    <w:bookmarkEnd w:id="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118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STATEMENTS OF NET ASSETS AVAILABLE FOR BENEFITS</w:t>
      </w:r>
    </w:p>
    <w:p>
      <w:pPr>
        <w:spacing w:after="0" w:line="23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For the Years Ended December 31, 2005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vMerge w:val="restart"/>
          </w:tcPr>
          <w:p>
            <w:pPr>
              <w:spacing w:after="0"/>
              <w:rPr>
                <w:sz w:val="20"/>
                <w:szCs w:val="20"/>
                <w:color w:val="auto"/>
              </w:rPr>
            </w:pPr>
            <w:r>
              <w:rPr>
                <w:rFonts w:ascii="Arial" w:cs="Arial" w:eastAsia="Arial" w:hAnsi="Arial"/>
                <w:sz w:val="22"/>
                <w:szCs w:val="22"/>
                <w:b w:val="1"/>
                <w:bCs w:val="1"/>
                <w:color w:val="auto"/>
              </w:rPr>
              <w:t>Assets</w:t>
            </w: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tcPr>
          <w:p>
            <w:pPr>
              <w:ind w:left="240"/>
              <w:spacing w:after="0"/>
              <w:rPr>
                <w:sz w:val="20"/>
                <w:szCs w:val="20"/>
                <w:color w:val="auto"/>
              </w:rPr>
            </w:pPr>
            <w:r>
              <w:rPr>
                <w:rFonts w:ascii="Arial" w:cs="Arial" w:eastAsia="Arial" w:hAnsi="Arial"/>
                <w:sz w:val="22"/>
                <w:szCs w:val="22"/>
                <w:color w:val="auto"/>
              </w:rPr>
              <w:t>2005</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22"/>
                <w:szCs w:val="22"/>
                <w:color w:val="auto"/>
              </w:rPr>
              <w:t>2004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49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4900" w:type="dxa"/>
            <w:vAlign w:val="bottom"/>
          </w:tcPr>
          <w:p>
            <w:pPr>
              <w:ind w:left="160"/>
              <w:spacing w:after="0"/>
              <w:rPr>
                <w:sz w:val="20"/>
                <w:szCs w:val="20"/>
                <w:color w:val="auto"/>
              </w:rPr>
            </w:pPr>
            <w:r>
              <w:rPr>
                <w:rFonts w:ascii="Arial" w:cs="Arial" w:eastAsia="Arial" w:hAnsi="Arial"/>
                <w:sz w:val="22"/>
                <w:szCs w:val="22"/>
                <w:color w:val="auto"/>
              </w:rPr>
              <w:t>Investments, at fair value:</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20"/>
              <w:spacing w:after="0"/>
              <w:rPr>
                <w:sz w:val="20"/>
                <w:szCs w:val="20"/>
                <w:color w:val="auto"/>
              </w:rPr>
            </w:pPr>
            <w:r>
              <w:rPr>
                <w:rFonts w:ascii="Arial" w:cs="Arial" w:eastAsia="Arial" w:hAnsi="Arial"/>
                <w:sz w:val="22"/>
                <w:szCs w:val="22"/>
                <w:color w:val="auto"/>
              </w:rPr>
              <w:t>Investments held by Wells Fargo N.A.:</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Stable Return Fund</w:t>
            </w:r>
          </w:p>
        </w:tc>
        <w:tc>
          <w:tcPr>
            <w:tcW w:w="14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w w:val="93"/>
              </w:rPr>
              <w:t>1,454,661</w:t>
            </w:r>
          </w:p>
        </w:tc>
        <w:tc>
          <w:tcPr>
            <w:tcW w:w="5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2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75"/>
        </w:trPr>
        <w:tc>
          <w:tcPr>
            <w:tcW w:w="4900" w:type="dxa"/>
            <w:vAlign w:val="bottom"/>
          </w:tcPr>
          <w:p>
            <w:pPr>
              <w:ind w:left="480"/>
              <w:spacing w:after="0"/>
              <w:rPr>
                <w:sz w:val="20"/>
                <w:szCs w:val="20"/>
                <w:color w:val="auto"/>
              </w:rPr>
            </w:pPr>
            <w:r>
              <w:rPr>
                <w:rFonts w:ascii="Arial" w:cs="Arial" w:eastAsia="Arial" w:hAnsi="Arial"/>
                <w:sz w:val="22"/>
                <w:szCs w:val="22"/>
                <w:color w:val="auto"/>
              </w:rPr>
              <w:t>Mutual Funds</w:t>
            </w:r>
          </w:p>
        </w:tc>
        <w:tc>
          <w:tcPr>
            <w:tcW w:w="1440" w:type="dxa"/>
            <w:vAlign w:val="bottom"/>
            <w:gridSpan w:val="2"/>
            <w:vMerge w:val="restart"/>
          </w:tcPr>
          <w:p>
            <w:pPr>
              <w:jc w:val="right"/>
              <w:ind w:right="112"/>
              <w:spacing w:after="0"/>
              <w:rPr>
                <w:sz w:val="20"/>
                <w:szCs w:val="20"/>
                <w:color w:val="auto"/>
              </w:rPr>
            </w:pPr>
            <w:r>
              <w:rPr>
                <w:rFonts w:ascii="Arial" w:cs="Arial" w:eastAsia="Arial" w:hAnsi="Arial"/>
                <w:sz w:val="22"/>
                <w:szCs w:val="22"/>
                <w:color w:val="auto"/>
              </w:rPr>
              <w:t>Associates</w:t>
            </w:r>
          </w:p>
        </w:tc>
        <w:tc>
          <w:tcPr>
            <w:tcW w:w="1120" w:type="dxa"/>
            <w:vAlign w:val="bottom"/>
            <w:gridSpan w:val="3"/>
          </w:tcPr>
          <w:p>
            <w:pPr>
              <w:jc w:val="right"/>
              <w:ind w:right="180"/>
              <w:spacing w:after="0"/>
              <w:rPr>
                <w:sz w:val="20"/>
                <w:szCs w:val="20"/>
                <w:color w:val="auto"/>
              </w:rPr>
            </w:pPr>
            <w:r>
              <w:rPr>
                <w:rFonts w:ascii="Arial" w:cs="Arial" w:eastAsia="Arial" w:hAnsi="Arial"/>
                <w:sz w:val="22"/>
                <w:szCs w:val="22"/>
                <w:color w:val="auto"/>
                <w:w w:val="93"/>
              </w:rPr>
              <w:t>5,139,766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480"/>
              <w:spacing w:after="0" w:line="239" w:lineRule="exact"/>
              <w:rPr>
                <w:sz w:val="20"/>
                <w:szCs w:val="20"/>
                <w:color w:val="auto"/>
              </w:rPr>
            </w:pPr>
            <w:r>
              <w:rPr>
                <w:rFonts w:ascii="Arial" w:cs="Arial" w:eastAsia="Arial" w:hAnsi="Arial"/>
                <w:sz w:val="22"/>
                <w:szCs w:val="22"/>
                <w:color w:val="auto"/>
                <w:w w:val="96"/>
              </w:rPr>
              <w:t>Investment in Phillips-Van Heusen Corporation</w:t>
            </w:r>
          </w:p>
        </w:tc>
        <w:tc>
          <w:tcPr>
            <w:tcW w:w="1440" w:type="dxa"/>
            <w:vAlign w:val="bottom"/>
            <w:gridSpan w:val="2"/>
            <w:vMerge w:val="continue"/>
          </w:tcPr>
          <w:p>
            <w:pPr>
              <w:spacing w:after="0"/>
              <w:rPr>
                <w:sz w:val="20"/>
                <w:szCs w:val="20"/>
                <w:color w:val="auto"/>
              </w:rPr>
            </w:pPr>
          </w:p>
        </w:tc>
        <w:tc>
          <w:tcPr>
            <w:tcW w:w="1120" w:type="dxa"/>
            <w:vAlign w:val="bottom"/>
            <w:gridSpan w:val="3"/>
            <w:vMerge w:val="restart"/>
          </w:tcPr>
          <w:p>
            <w:pPr>
              <w:jc w:val="right"/>
              <w:ind w:right="180"/>
              <w:spacing w:after="0"/>
              <w:rPr>
                <w:sz w:val="20"/>
                <w:szCs w:val="20"/>
                <w:color w:val="auto"/>
              </w:rPr>
            </w:pPr>
            <w:r>
              <w:rPr>
                <w:rFonts w:ascii="Arial" w:cs="Arial" w:eastAsia="Arial" w:hAnsi="Arial"/>
                <w:sz w:val="22"/>
                <w:szCs w:val="22"/>
                <w:color w:val="auto"/>
                <w:w w:val="93"/>
              </w:rPr>
              <w:t>2,844,336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Investment Plans Master Trust</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3"/>
            <w:vMerge w:val="continue"/>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40"/>
              <w:spacing w:after="0"/>
              <w:rPr>
                <w:sz w:val="20"/>
                <w:szCs w:val="20"/>
                <w:color w:val="auto"/>
              </w:rPr>
            </w:pPr>
            <w:r>
              <w:rPr>
                <w:rFonts w:ascii="Arial" w:cs="Arial" w:eastAsia="Arial" w:hAnsi="Arial"/>
                <w:sz w:val="22"/>
                <w:szCs w:val="22"/>
                <w:color w:val="auto"/>
              </w:rPr>
              <w:t>Investments held by State Street Bank:</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Stable Value Funds</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22"/>
                <w:szCs w:val="22"/>
                <w:color w:val="auto"/>
                <w:w w:val="91"/>
              </w:rPr>
              <w:t>1,283,428</w:t>
            </w:r>
          </w:p>
        </w:tc>
        <w:tc>
          <w:tcPr>
            <w:tcW w:w="0" w:type="dxa"/>
            <w:vAlign w:val="bottom"/>
          </w:tcPr>
          <w:p>
            <w:pPr>
              <w:spacing w:after="0"/>
              <w:rPr>
                <w:sz w:val="1"/>
                <w:szCs w:val="1"/>
                <w:color w:val="auto"/>
              </w:rPr>
            </w:pPr>
          </w:p>
        </w:tc>
      </w:tr>
      <w:tr>
        <w:trPr>
          <w:trHeight w:val="275"/>
        </w:trPr>
        <w:tc>
          <w:tcPr>
            <w:tcW w:w="4900" w:type="dxa"/>
            <w:vAlign w:val="bottom"/>
          </w:tcPr>
          <w:p>
            <w:pPr>
              <w:ind w:left="480"/>
              <w:spacing w:after="0"/>
              <w:rPr>
                <w:sz w:val="20"/>
                <w:szCs w:val="20"/>
                <w:color w:val="auto"/>
              </w:rPr>
            </w:pPr>
            <w:r>
              <w:rPr>
                <w:rFonts w:ascii="Arial" w:cs="Arial" w:eastAsia="Arial" w:hAnsi="Arial"/>
                <w:sz w:val="22"/>
                <w:szCs w:val="22"/>
                <w:color w:val="auto"/>
              </w:rPr>
              <w:t>Mutual Funds</w:t>
            </w:r>
          </w:p>
        </w:tc>
        <w:tc>
          <w:tcPr>
            <w:tcW w:w="1440" w:type="dxa"/>
            <w:vAlign w:val="bottom"/>
            <w:gridSpan w:val="2"/>
            <w:vMerge w:val="restart"/>
          </w:tcPr>
          <w:p>
            <w:pPr>
              <w:jc w:val="right"/>
              <w:ind w:right="112"/>
              <w:spacing w:after="0"/>
              <w:rPr>
                <w:sz w:val="20"/>
                <w:szCs w:val="20"/>
                <w:color w:val="auto"/>
              </w:rPr>
            </w:pPr>
            <w:r>
              <w:rPr>
                <w:rFonts w:ascii="Arial" w:cs="Arial" w:eastAsia="Arial" w:hAnsi="Arial"/>
                <w:sz w:val="22"/>
                <w:szCs w:val="22"/>
                <w:color w:val="auto"/>
              </w:rPr>
              <w:t>Associates</w:t>
            </w: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22"/>
                <w:szCs w:val="22"/>
                <w:color w:val="auto"/>
                <w:w w:val="91"/>
              </w:rPr>
              <w:t>4,434,194</w:t>
            </w:r>
          </w:p>
        </w:tc>
        <w:tc>
          <w:tcPr>
            <w:tcW w:w="0" w:type="dxa"/>
            <w:vAlign w:val="bottom"/>
          </w:tcPr>
          <w:p>
            <w:pPr>
              <w:spacing w:after="0"/>
              <w:rPr>
                <w:sz w:val="1"/>
                <w:szCs w:val="1"/>
                <w:color w:val="auto"/>
              </w:rPr>
            </w:pPr>
          </w:p>
        </w:tc>
      </w:tr>
      <w:tr>
        <w:trPr>
          <w:trHeight w:val="239"/>
        </w:trPr>
        <w:tc>
          <w:tcPr>
            <w:tcW w:w="4900" w:type="dxa"/>
            <w:vAlign w:val="bottom"/>
          </w:tcPr>
          <w:p>
            <w:pPr>
              <w:ind w:left="480"/>
              <w:spacing w:after="0" w:line="239" w:lineRule="exact"/>
              <w:rPr>
                <w:sz w:val="20"/>
                <w:szCs w:val="20"/>
                <w:color w:val="auto"/>
              </w:rPr>
            </w:pPr>
            <w:r>
              <w:rPr>
                <w:rFonts w:ascii="Arial" w:cs="Arial" w:eastAsia="Arial" w:hAnsi="Arial"/>
                <w:sz w:val="22"/>
                <w:szCs w:val="22"/>
                <w:color w:val="auto"/>
                <w:w w:val="96"/>
              </w:rPr>
              <w:t>Investment in Phillips-Van Heusen Corporation</w:t>
            </w:r>
          </w:p>
        </w:tc>
        <w:tc>
          <w:tcPr>
            <w:tcW w:w="14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22"/>
                <w:szCs w:val="22"/>
                <w:color w:val="auto"/>
                <w:w w:val="91"/>
              </w:rPr>
              <w:t>2,480,733</w:t>
            </w:r>
          </w:p>
        </w:tc>
        <w:tc>
          <w:tcPr>
            <w:tcW w:w="0" w:type="dxa"/>
            <w:vAlign w:val="bottom"/>
          </w:tcPr>
          <w:p>
            <w:pPr>
              <w:spacing w:after="0"/>
              <w:rPr>
                <w:sz w:val="1"/>
                <w:szCs w:val="1"/>
                <w:color w:val="auto"/>
              </w:rPr>
            </w:pPr>
          </w:p>
        </w:tc>
      </w:tr>
      <w:tr>
        <w:trPr>
          <w:trHeight w:val="270"/>
        </w:trPr>
        <w:tc>
          <w:tcPr>
            <w:tcW w:w="4900" w:type="dxa"/>
            <w:vAlign w:val="bottom"/>
          </w:tcPr>
          <w:p>
            <w:pPr>
              <w:ind w:left="500"/>
              <w:spacing w:after="0"/>
              <w:rPr>
                <w:sz w:val="20"/>
                <w:szCs w:val="20"/>
                <w:color w:val="auto"/>
              </w:rPr>
            </w:pPr>
            <w:r>
              <w:rPr>
                <w:rFonts w:ascii="Arial" w:cs="Arial" w:eastAsia="Arial" w:hAnsi="Arial"/>
                <w:sz w:val="22"/>
                <w:szCs w:val="22"/>
                <w:color w:val="auto"/>
              </w:rPr>
              <w:t>Investment Plans Master Trust</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20"/>
              <w:spacing w:after="0"/>
              <w:rPr>
                <w:sz w:val="20"/>
                <w:szCs w:val="20"/>
                <w:color w:val="auto"/>
              </w:rPr>
            </w:pPr>
            <w:r>
              <w:rPr>
                <w:rFonts w:ascii="Arial" w:cs="Arial" w:eastAsia="Arial" w:hAnsi="Arial"/>
                <w:sz w:val="22"/>
                <w:szCs w:val="22"/>
                <w:color w:val="auto"/>
              </w:rPr>
              <w:t>Participant loans receivable</w:t>
            </w: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3"/>
          </w:tcPr>
          <w:p>
            <w:pPr>
              <w:ind w:left="240"/>
              <w:spacing w:after="0"/>
              <w:rPr>
                <w:sz w:val="20"/>
                <w:szCs w:val="20"/>
                <w:color w:val="auto"/>
              </w:rPr>
            </w:pPr>
            <w:r>
              <w:rPr>
                <w:rFonts w:ascii="Arial" w:cs="Arial" w:eastAsia="Arial" w:hAnsi="Arial"/>
                <w:sz w:val="22"/>
                <w:szCs w:val="22"/>
                <w:color w:val="auto"/>
              </w:rPr>
              <w:t>511,489</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22"/>
                <w:szCs w:val="22"/>
                <w:color w:val="auto"/>
              </w:rPr>
              <w:t>324,232</w:t>
            </w:r>
          </w:p>
        </w:tc>
        <w:tc>
          <w:tcPr>
            <w:tcW w:w="0" w:type="dxa"/>
            <w:vAlign w:val="bottom"/>
          </w:tcPr>
          <w:p>
            <w:pPr>
              <w:spacing w:after="0"/>
              <w:rPr>
                <w:sz w:val="1"/>
                <w:szCs w:val="1"/>
                <w:color w:val="auto"/>
              </w:rPr>
            </w:pPr>
          </w:p>
        </w:tc>
      </w:tr>
      <w:tr>
        <w:trPr>
          <w:trHeight w:val="275"/>
        </w:trPr>
        <w:tc>
          <w:tcPr>
            <w:tcW w:w="4900" w:type="dxa"/>
            <w:vAlign w:val="bottom"/>
          </w:tcPr>
          <w:p>
            <w:pPr>
              <w:ind w:left="320"/>
              <w:spacing w:after="0"/>
              <w:rPr>
                <w:sz w:val="20"/>
                <w:szCs w:val="20"/>
                <w:color w:val="auto"/>
              </w:rPr>
            </w:pPr>
            <w:r>
              <w:rPr>
                <w:rFonts w:ascii="Arial" w:cs="Arial" w:eastAsia="Arial" w:hAnsi="Arial"/>
                <w:sz w:val="22"/>
                <w:szCs w:val="22"/>
                <w:color w:val="auto"/>
              </w:rPr>
              <w:t>Contributions receivable</w:t>
            </w:r>
          </w:p>
        </w:tc>
        <w:tc>
          <w:tcPr>
            <w:tcW w:w="1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43,225</w:t>
            </w: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22"/>
                <w:szCs w:val="22"/>
                <w:color w:val="auto"/>
              </w:rPr>
              <w:t>42,286</w:t>
            </w:r>
          </w:p>
        </w:tc>
        <w:tc>
          <w:tcPr>
            <w:tcW w:w="0" w:type="dxa"/>
            <w:vAlign w:val="bottom"/>
          </w:tcPr>
          <w:p>
            <w:pPr>
              <w:spacing w:after="0"/>
              <w:rPr>
                <w:sz w:val="1"/>
                <w:szCs w:val="1"/>
                <w:color w:val="auto"/>
              </w:rPr>
            </w:pPr>
          </w:p>
        </w:tc>
      </w:tr>
      <w:tr>
        <w:trPr>
          <w:trHeight w:val="267"/>
        </w:trPr>
        <w:tc>
          <w:tcPr>
            <w:tcW w:w="4900" w:type="dxa"/>
            <w:vAlign w:val="bottom"/>
            <w:vMerge w:val="restart"/>
          </w:tcPr>
          <w:p>
            <w:pPr>
              <w:spacing w:after="0"/>
              <w:rPr>
                <w:sz w:val="20"/>
                <w:szCs w:val="20"/>
                <w:color w:val="auto"/>
              </w:rPr>
            </w:pPr>
            <w:r>
              <w:rPr>
                <w:rFonts w:ascii="Arial" w:cs="Arial" w:eastAsia="Arial" w:hAnsi="Arial"/>
                <w:sz w:val="22"/>
                <w:szCs w:val="22"/>
                <w:b w:val="1"/>
                <w:bCs w:val="1"/>
                <w:color w:val="auto"/>
              </w:rPr>
              <w:t>Net assets available for benefits</w:t>
            </w:r>
          </w:p>
        </w:tc>
        <w:tc>
          <w:tcPr>
            <w:tcW w:w="1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900" w:type="dxa"/>
            <w:vAlign w:val="bottom"/>
            <w:vMerge w:val="continu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900" w:type="dxa"/>
            <w:vAlign w:val="bottom"/>
            <w:vMerge w:val="continue"/>
          </w:tcPr>
          <w:p>
            <w:pPr>
              <w:spacing w:after="0"/>
              <w:rPr>
                <w:sz w:val="22"/>
                <w:szCs w:val="22"/>
                <w:color w:val="auto"/>
              </w:rPr>
            </w:pPr>
          </w:p>
        </w:tc>
        <w:tc>
          <w:tcPr>
            <w:tcW w:w="12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w w:val="93"/>
              </w:rPr>
              <w:t>9,993,477</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120" w:type="dxa"/>
            <w:vAlign w:val="bottom"/>
            <w:tcBorders>
              <w:top w:val="single" w:sz="8" w:color="auto"/>
              <w:bottom w:val="single" w:sz="8" w:color="auto"/>
            </w:tcBorders>
            <w:gridSpan w:val="3"/>
          </w:tcPr>
          <w:p>
            <w:pPr>
              <w:jc w:val="right"/>
              <w:ind w:right="200"/>
              <w:spacing w:after="0"/>
              <w:rPr>
                <w:sz w:val="20"/>
                <w:szCs w:val="20"/>
                <w:color w:val="auto"/>
              </w:rPr>
            </w:pPr>
            <w:r>
              <w:rPr>
                <w:rFonts w:ascii="Arial" w:cs="Arial" w:eastAsia="Arial" w:hAnsi="Arial"/>
                <w:sz w:val="22"/>
                <w:szCs w:val="22"/>
                <w:color w:val="auto"/>
                <w:w w:val="91"/>
              </w:rPr>
              <w:t>8,564,873</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accompanying notes are an integral</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part of these financial statements.</w:t>
      </w:r>
    </w:p>
    <w:p>
      <w:pPr>
        <w:spacing w:after="0" w:line="21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F-3</w:t>
      </w:r>
    </w:p>
    <w:p>
      <w:pPr>
        <w:sectPr>
          <w:pgSz w:w="11900" w:h="16838" w:orient="portrait"/>
          <w:cols w:equalWidth="0" w:num="1">
            <w:col w:w="10199"/>
          </w:cols>
          <w:pgMar w:left="260" w:top="604" w:right="1440" w:bottom="1440" w:gutter="0" w:footer="0" w:header="0"/>
        </w:sectPr>
      </w:pPr>
    </w:p>
    <w:bookmarkStart w:id="6" w:name="page7"/>
    <w:bookmarkEnd w:id="6"/>
    <w:p>
      <w:pPr>
        <w:jc w:val="center"/>
        <w:ind w:right="-120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ASSOCIATES INVESTMENT PLAN FOR HOURLY ASSOCIATES</w:t>
      </w:r>
    </w:p>
    <w:p>
      <w:pPr>
        <w:spacing w:after="0" w:line="250"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STATEMENT OF CHANGES IN NET</w:t>
      </w:r>
    </w:p>
    <w:p>
      <w:pPr>
        <w:spacing w:after="0" w:line="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ASSETS AVAILABLE FOR BENEFITS</w:t>
      </w:r>
    </w:p>
    <w:p>
      <w:pPr>
        <w:spacing w:after="0" w:line="215"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For the Years Ended December 31, 2005 and 2004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2005</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22"/>
                <w:szCs w:val="22"/>
                <w:color w:val="auto"/>
              </w:rPr>
              <w:t>2004</w:t>
            </w:r>
          </w:p>
        </w:tc>
      </w:tr>
      <w:tr>
        <w:trPr>
          <w:trHeight w:val="571"/>
        </w:trPr>
        <w:tc>
          <w:tcPr>
            <w:tcW w:w="5200" w:type="dxa"/>
            <w:vAlign w:val="bottom"/>
          </w:tcPr>
          <w:p>
            <w:pPr>
              <w:spacing w:after="0"/>
              <w:rPr>
                <w:sz w:val="20"/>
                <w:szCs w:val="20"/>
                <w:color w:val="auto"/>
              </w:rPr>
            </w:pPr>
            <w:r>
              <w:rPr>
                <w:rFonts w:ascii="Arial" w:cs="Arial" w:eastAsia="Arial" w:hAnsi="Arial"/>
                <w:sz w:val="22"/>
                <w:szCs w:val="22"/>
                <w:b w:val="1"/>
                <w:bCs w:val="1"/>
                <w:color w:val="auto"/>
              </w:rPr>
              <w:t>Additions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536"/>
        </w:trPr>
        <w:tc>
          <w:tcPr>
            <w:tcW w:w="5200" w:type="dxa"/>
            <w:vAlign w:val="bottom"/>
          </w:tcPr>
          <w:p>
            <w:pPr>
              <w:ind w:left="160"/>
              <w:spacing w:after="0"/>
              <w:rPr>
                <w:sz w:val="20"/>
                <w:szCs w:val="20"/>
                <w:color w:val="auto"/>
              </w:rPr>
            </w:pPr>
            <w:r>
              <w:rPr>
                <w:rFonts w:ascii="Arial" w:cs="Arial" w:eastAsia="Arial" w:hAnsi="Arial"/>
                <w:sz w:val="22"/>
                <w:szCs w:val="22"/>
                <w:color w:val="auto"/>
              </w:rPr>
              <w:t>Contributions: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5200" w:type="dxa"/>
            <w:vAlign w:val="bottom"/>
          </w:tcPr>
          <w:p>
            <w:pPr>
              <w:ind w:left="320"/>
              <w:spacing w:after="0"/>
              <w:rPr>
                <w:sz w:val="20"/>
                <w:szCs w:val="20"/>
                <w:color w:val="auto"/>
              </w:rPr>
            </w:pPr>
            <w:r>
              <w:rPr>
                <w:rFonts w:ascii="Arial" w:cs="Arial" w:eastAsia="Arial" w:hAnsi="Arial"/>
                <w:sz w:val="22"/>
                <w:szCs w:val="22"/>
                <w:color w:val="auto"/>
              </w:rPr>
              <w:t>Employer, net of forfeitures</w:t>
            </w:r>
          </w:p>
        </w:tc>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60" w:type="dxa"/>
            <w:vAlign w:val="bottom"/>
            <w:gridSpan w:val="3"/>
          </w:tcPr>
          <w:p>
            <w:pPr>
              <w:jc w:val="right"/>
              <w:ind w:right="160"/>
              <w:spacing w:after="0"/>
              <w:rPr>
                <w:sz w:val="20"/>
                <w:szCs w:val="20"/>
                <w:color w:val="auto"/>
              </w:rPr>
            </w:pPr>
            <w:r>
              <w:rPr>
                <w:rFonts w:ascii="Arial" w:cs="Arial" w:eastAsia="Arial" w:hAnsi="Arial"/>
                <w:sz w:val="22"/>
                <w:szCs w:val="22"/>
                <w:color w:val="auto"/>
              </w:rPr>
              <w:t>391,674</w:t>
            </w:r>
          </w:p>
        </w:tc>
        <w:tc>
          <w:tcPr>
            <w:tcW w:w="500" w:type="dxa"/>
            <w:vAlign w:val="bottom"/>
            <w:gridSpan w:val="2"/>
          </w:tcPr>
          <w:p>
            <w:pPr>
              <w:jc w:val="right"/>
              <w:ind w:right="20"/>
              <w:spacing w:after="0"/>
              <w:rPr>
                <w:sz w:val="20"/>
                <w:szCs w:val="20"/>
                <w:color w:val="auto"/>
              </w:rPr>
            </w:pPr>
            <w:r>
              <w:rPr>
                <w:rFonts w:ascii="Arial" w:cs="Arial" w:eastAsia="Arial" w:hAnsi="Arial"/>
                <w:sz w:val="22"/>
                <w:szCs w:val="22"/>
                <w:color w:val="auto"/>
              </w:rPr>
              <w:t>$</w:t>
            </w:r>
          </w:p>
        </w:tc>
        <w:tc>
          <w:tcPr>
            <w:tcW w:w="1180" w:type="dxa"/>
            <w:vAlign w:val="bottom"/>
            <w:gridSpan w:val="3"/>
          </w:tcPr>
          <w:p>
            <w:pPr>
              <w:jc w:val="right"/>
              <w:ind w:right="180"/>
              <w:spacing w:after="0"/>
              <w:rPr>
                <w:sz w:val="20"/>
                <w:szCs w:val="20"/>
                <w:color w:val="auto"/>
              </w:rPr>
            </w:pPr>
            <w:r>
              <w:rPr>
                <w:rFonts w:ascii="Arial" w:cs="Arial" w:eastAsia="Arial" w:hAnsi="Arial"/>
                <w:sz w:val="22"/>
                <w:szCs w:val="22"/>
                <w:color w:val="auto"/>
              </w:rPr>
              <w:t>364,146</w:t>
            </w:r>
          </w:p>
        </w:tc>
      </w:tr>
      <w:tr>
        <w:trPr>
          <w:trHeight w:val="270"/>
        </w:trPr>
        <w:tc>
          <w:tcPr>
            <w:tcW w:w="5200" w:type="dxa"/>
            <w:vAlign w:val="bottom"/>
          </w:tcPr>
          <w:p>
            <w:pPr>
              <w:ind w:left="320"/>
              <w:spacing w:after="0"/>
              <w:rPr>
                <w:sz w:val="20"/>
                <w:szCs w:val="20"/>
                <w:color w:val="auto"/>
              </w:rPr>
            </w:pPr>
            <w:r>
              <w:rPr>
                <w:rFonts w:ascii="Arial" w:cs="Arial" w:eastAsia="Arial" w:hAnsi="Arial"/>
                <w:sz w:val="22"/>
                <w:szCs w:val="22"/>
                <w:color w:val="auto"/>
              </w:rPr>
              <w:t>Employees</w:t>
            </w:r>
          </w:p>
        </w:tc>
        <w:tc>
          <w:tcPr>
            <w:tcW w:w="160" w:type="dxa"/>
            <w:vAlign w:val="bottom"/>
          </w:tcPr>
          <w:p>
            <w:pPr>
              <w:spacing w:after="0"/>
              <w:rPr>
                <w:sz w:val="23"/>
                <w:szCs w:val="2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22"/>
                <w:szCs w:val="22"/>
                <w:color w:val="auto"/>
              </w:rPr>
              <w:t>840,453</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22"/>
                <w:szCs w:val="22"/>
                <w:color w:val="auto"/>
              </w:rPr>
              <w:t>773,914</w:t>
            </w:r>
          </w:p>
        </w:tc>
      </w:tr>
      <w:tr>
        <w:trPr>
          <w:trHeight w:val="270"/>
        </w:trPr>
        <w:tc>
          <w:tcPr>
            <w:tcW w:w="5200" w:type="dxa"/>
            <w:vAlign w:val="bottom"/>
          </w:tcPr>
          <w:p>
            <w:pPr>
              <w:ind w:left="320"/>
              <w:spacing w:after="0"/>
              <w:rPr>
                <w:sz w:val="20"/>
                <w:szCs w:val="20"/>
                <w:color w:val="auto"/>
              </w:rPr>
            </w:pPr>
            <w:r>
              <w:rPr>
                <w:rFonts w:ascii="Arial" w:cs="Arial" w:eastAsia="Arial" w:hAnsi="Arial"/>
                <w:sz w:val="22"/>
                <w:szCs w:val="22"/>
                <w:color w:val="auto"/>
              </w:rPr>
              <w:t>Rollovers</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22"/>
                <w:szCs w:val="22"/>
                <w:color w:val="auto"/>
              </w:rPr>
              <w:t>31,754</w:t>
            </w:r>
          </w:p>
        </w:tc>
      </w:tr>
      <w:tr>
        <w:trPr>
          <w:trHeight w:val="270"/>
        </w:trPr>
        <w:tc>
          <w:tcPr>
            <w:tcW w:w="5200" w:type="dxa"/>
            <w:vAlign w:val="bottom"/>
          </w:tcPr>
          <w:p>
            <w:pPr>
              <w:ind w:left="160"/>
              <w:spacing w:after="0"/>
              <w:rPr>
                <w:sz w:val="20"/>
                <w:szCs w:val="20"/>
                <w:color w:val="auto"/>
              </w:rPr>
            </w:pPr>
            <w:r>
              <w:rPr>
                <w:rFonts w:ascii="Arial" w:cs="Arial" w:eastAsia="Arial" w:hAnsi="Arial"/>
                <w:sz w:val="22"/>
                <w:szCs w:val="22"/>
                <w:color w:val="auto"/>
              </w:rPr>
              <w:t>Interest and investment income</w:t>
            </w:r>
          </w:p>
        </w:tc>
        <w:tc>
          <w:tcPr>
            <w:tcW w:w="160" w:type="dxa"/>
            <w:vAlign w:val="bottom"/>
          </w:tcPr>
          <w:p>
            <w:pPr>
              <w:spacing w:after="0"/>
              <w:rPr>
                <w:sz w:val="23"/>
                <w:szCs w:val="23"/>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22"/>
                <w:szCs w:val="22"/>
                <w:color w:val="auto"/>
              </w:rPr>
              <w:t>189,579</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22"/>
                <w:szCs w:val="22"/>
                <w:color w:val="auto"/>
              </w:rPr>
              <w:t>188,945</w:t>
            </w:r>
          </w:p>
        </w:tc>
      </w:tr>
      <w:tr>
        <w:trPr>
          <w:trHeight w:val="276"/>
        </w:trPr>
        <w:tc>
          <w:tcPr>
            <w:tcW w:w="5200" w:type="dxa"/>
            <w:vAlign w:val="bottom"/>
          </w:tcPr>
          <w:p>
            <w:pPr>
              <w:ind w:left="160"/>
              <w:spacing w:after="0"/>
              <w:rPr>
                <w:sz w:val="20"/>
                <w:szCs w:val="20"/>
                <w:color w:val="auto"/>
              </w:rPr>
            </w:pPr>
            <w:r>
              <w:rPr>
                <w:rFonts w:ascii="Arial" w:cs="Arial" w:eastAsia="Arial" w:hAnsi="Arial"/>
                <w:sz w:val="22"/>
                <w:szCs w:val="22"/>
                <w:color w:val="auto"/>
              </w:rPr>
              <w:t>Loan repayments including interest</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2"/>
                <w:szCs w:val="22"/>
                <w:color w:val="auto"/>
              </w:rPr>
              <w:t>22,130</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16,263</w:t>
            </w:r>
          </w:p>
        </w:tc>
      </w:tr>
      <w:tr>
        <w:trPr>
          <w:trHeight w:val="532"/>
        </w:trPr>
        <w:tc>
          <w:tcPr>
            <w:tcW w:w="5200" w:type="dxa"/>
            <w:vAlign w:val="bottom"/>
          </w:tcPr>
          <w:p>
            <w:pPr>
              <w:ind w:left="480"/>
              <w:spacing w:after="0"/>
              <w:rPr>
                <w:sz w:val="20"/>
                <w:szCs w:val="20"/>
                <w:color w:val="auto"/>
              </w:rPr>
            </w:pPr>
            <w:r>
              <w:rPr>
                <w:rFonts w:ascii="Arial" w:cs="Arial" w:eastAsia="Arial" w:hAnsi="Arial"/>
                <w:sz w:val="22"/>
                <w:szCs w:val="22"/>
                <w:color w:val="auto"/>
              </w:rPr>
              <w:t>Total additions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2"/>
                <w:szCs w:val="22"/>
                <w:color w:val="auto"/>
              </w:rPr>
              <w:t>1,443,836</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1,375,022</w:t>
            </w:r>
          </w:p>
        </w:tc>
      </w:tr>
      <w:tr>
        <w:trPr>
          <w:trHeight w:val="534"/>
        </w:trPr>
        <w:tc>
          <w:tcPr>
            <w:tcW w:w="5200" w:type="dxa"/>
            <w:vAlign w:val="bottom"/>
          </w:tcPr>
          <w:p>
            <w:pPr>
              <w:spacing w:after="0"/>
              <w:rPr>
                <w:sz w:val="20"/>
                <w:szCs w:val="20"/>
                <w:color w:val="auto"/>
              </w:rPr>
            </w:pPr>
            <w:r>
              <w:rPr>
                <w:rFonts w:ascii="Arial" w:cs="Arial" w:eastAsia="Arial" w:hAnsi="Arial"/>
                <w:sz w:val="22"/>
                <w:szCs w:val="22"/>
                <w:b w:val="1"/>
                <w:bCs w:val="1"/>
                <w:color w:val="auto"/>
              </w:rPr>
              <w:t>Deductions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36"/>
        </w:trPr>
        <w:tc>
          <w:tcPr>
            <w:tcW w:w="5200" w:type="dxa"/>
            <w:vAlign w:val="bottom"/>
          </w:tcPr>
          <w:p>
            <w:pPr>
              <w:ind w:left="160"/>
              <w:spacing w:after="0"/>
              <w:rPr>
                <w:sz w:val="20"/>
                <w:szCs w:val="20"/>
                <w:color w:val="auto"/>
              </w:rPr>
            </w:pPr>
            <w:r>
              <w:rPr>
                <w:rFonts w:ascii="Arial" w:cs="Arial" w:eastAsia="Arial" w:hAnsi="Arial"/>
                <w:sz w:val="22"/>
                <w:szCs w:val="22"/>
                <w:color w:val="auto"/>
              </w:rPr>
              <w:t>Payments to participants</w:t>
            </w:r>
          </w:p>
        </w:tc>
        <w:tc>
          <w:tcPr>
            <w:tcW w:w="1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22"/>
                <w:szCs w:val="22"/>
                <w:color w:val="auto"/>
              </w:rPr>
              <w:t>685,187</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22"/>
                <w:szCs w:val="22"/>
                <w:color w:val="auto"/>
              </w:rPr>
              <w:t>1,520,257</w:t>
            </w:r>
          </w:p>
        </w:tc>
      </w:tr>
      <w:tr>
        <w:trPr>
          <w:trHeight w:val="276"/>
        </w:trPr>
        <w:tc>
          <w:tcPr>
            <w:tcW w:w="5200" w:type="dxa"/>
            <w:vAlign w:val="bottom"/>
          </w:tcPr>
          <w:p>
            <w:pPr>
              <w:ind w:left="160"/>
              <w:spacing w:after="0"/>
              <w:rPr>
                <w:sz w:val="20"/>
                <w:szCs w:val="20"/>
                <w:color w:val="auto"/>
              </w:rPr>
            </w:pPr>
            <w:r>
              <w:rPr>
                <w:rFonts w:ascii="Arial" w:cs="Arial" w:eastAsia="Arial" w:hAnsi="Arial"/>
                <w:sz w:val="22"/>
                <w:szCs w:val="22"/>
                <w:color w:val="auto"/>
              </w:rPr>
              <w:t>Transfer out</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55,057</w:t>
            </w:r>
          </w:p>
        </w:tc>
      </w:tr>
      <w:tr>
        <w:trPr>
          <w:trHeight w:val="534"/>
        </w:trPr>
        <w:tc>
          <w:tcPr>
            <w:tcW w:w="5200" w:type="dxa"/>
            <w:vAlign w:val="bottom"/>
          </w:tcPr>
          <w:p>
            <w:pPr>
              <w:ind w:left="480"/>
              <w:spacing w:after="0"/>
              <w:rPr>
                <w:sz w:val="20"/>
                <w:szCs w:val="20"/>
                <w:color w:val="auto"/>
              </w:rPr>
            </w:pPr>
            <w:r>
              <w:rPr>
                <w:rFonts w:ascii="Arial" w:cs="Arial" w:eastAsia="Arial" w:hAnsi="Arial"/>
                <w:sz w:val="22"/>
                <w:szCs w:val="22"/>
                <w:color w:val="auto"/>
              </w:rPr>
              <w:t>Total deductions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2"/>
                <w:szCs w:val="22"/>
                <w:color w:val="auto"/>
              </w:rPr>
              <w:t>685,187</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1,575,314</w:t>
            </w:r>
          </w:p>
        </w:tc>
      </w:tr>
      <w:tr>
        <w:trPr>
          <w:trHeight w:val="534"/>
        </w:trPr>
        <w:tc>
          <w:tcPr>
            <w:tcW w:w="5200" w:type="dxa"/>
            <w:vAlign w:val="bottom"/>
          </w:tcPr>
          <w:p>
            <w:pPr>
              <w:spacing w:after="0"/>
              <w:rPr>
                <w:sz w:val="20"/>
                <w:szCs w:val="20"/>
                <w:color w:val="auto"/>
              </w:rPr>
            </w:pPr>
            <w:r>
              <w:rPr>
                <w:rFonts w:ascii="Arial" w:cs="Arial" w:eastAsia="Arial" w:hAnsi="Arial"/>
                <w:sz w:val="22"/>
                <w:szCs w:val="22"/>
                <w:color w:val="auto"/>
                <w:w w:val="95"/>
              </w:rPr>
              <w:t>Net realized and unrealized appreciation of investments</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2"/>
                <w:szCs w:val="22"/>
                <w:color w:val="auto"/>
              </w:rPr>
              <w:t>669,955</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1,142,469</w:t>
            </w:r>
          </w:p>
        </w:tc>
      </w:tr>
      <w:tr>
        <w:trPr>
          <w:trHeight w:val="532"/>
        </w:trPr>
        <w:tc>
          <w:tcPr>
            <w:tcW w:w="5200" w:type="dxa"/>
            <w:vAlign w:val="bottom"/>
          </w:tcPr>
          <w:p>
            <w:pPr>
              <w:spacing w:after="0"/>
              <w:rPr>
                <w:sz w:val="20"/>
                <w:szCs w:val="20"/>
                <w:color w:val="auto"/>
              </w:rPr>
            </w:pPr>
            <w:r>
              <w:rPr>
                <w:rFonts w:ascii="Arial" w:cs="Arial" w:eastAsia="Arial" w:hAnsi="Arial"/>
                <w:sz w:val="22"/>
                <w:szCs w:val="22"/>
                <w:color w:val="auto"/>
              </w:rPr>
              <w:t>Net increase in net assets available for benefits</w:t>
            </w:r>
          </w:p>
        </w:tc>
        <w:tc>
          <w:tcPr>
            <w:tcW w:w="160" w:type="dxa"/>
            <w:vAlign w:val="bottom"/>
          </w:tcPr>
          <w:p>
            <w:pPr>
              <w:spacing w:after="0"/>
              <w:rPr>
                <w:sz w:val="24"/>
                <w:szCs w:val="2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22"/>
                <w:szCs w:val="22"/>
                <w:color w:val="auto"/>
              </w:rPr>
              <w:t>1,428,604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22"/>
                <w:szCs w:val="22"/>
                <w:color w:val="auto"/>
              </w:rPr>
              <w:t>942,177</w:t>
            </w:r>
          </w:p>
        </w:tc>
      </w:tr>
      <w:tr>
        <w:trPr>
          <w:trHeight w:val="540"/>
        </w:trPr>
        <w:tc>
          <w:tcPr>
            <w:tcW w:w="5200" w:type="dxa"/>
            <w:vAlign w:val="bottom"/>
          </w:tcPr>
          <w:p>
            <w:pPr>
              <w:spacing w:after="0"/>
              <w:rPr>
                <w:sz w:val="20"/>
                <w:szCs w:val="20"/>
                <w:color w:val="auto"/>
              </w:rPr>
            </w:pPr>
            <w:r>
              <w:rPr>
                <w:rFonts w:ascii="Arial" w:cs="Arial" w:eastAsia="Arial" w:hAnsi="Arial"/>
                <w:sz w:val="22"/>
                <w:szCs w:val="22"/>
                <w:color w:val="auto"/>
              </w:rPr>
              <w:t>Net assets available for benefits at beginning of year</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2"/>
                <w:szCs w:val="22"/>
                <w:color w:val="auto"/>
              </w:rPr>
              <w:t>8,564,873</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rPr>
              <w:t>7,622,696</w:t>
            </w:r>
          </w:p>
        </w:tc>
      </w:tr>
      <w:tr>
        <w:trPr>
          <w:trHeight w:val="535"/>
        </w:trPr>
        <w:tc>
          <w:tcPr>
            <w:tcW w:w="5200" w:type="dxa"/>
            <w:vAlign w:val="bottom"/>
          </w:tcPr>
          <w:p>
            <w:pPr>
              <w:spacing w:after="0"/>
              <w:rPr>
                <w:sz w:val="20"/>
                <w:szCs w:val="20"/>
                <w:color w:val="auto"/>
              </w:rPr>
            </w:pPr>
            <w:r>
              <w:rPr>
                <w:rFonts w:ascii="Arial" w:cs="Arial" w:eastAsia="Arial" w:hAnsi="Arial"/>
                <w:sz w:val="22"/>
                <w:szCs w:val="22"/>
                <w:b w:val="1"/>
                <w:bCs w:val="1"/>
                <w:color w:val="auto"/>
              </w:rPr>
              <w:t>Net assets available for benefits at end of year</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22"/>
                <w:szCs w:val="22"/>
                <w:color w:val="auto"/>
                <w:w w:val="88"/>
              </w:rPr>
              <w:t>$9,993,477</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2"/>
                <w:szCs w:val="22"/>
                <w:color w:val="auto"/>
                <w:w w:val="88"/>
              </w:rPr>
              <w:t>$8,564,873</w:t>
            </w:r>
          </w:p>
        </w:tc>
      </w:tr>
      <w:tr>
        <w:trPr>
          <w:trHeight w:val="22"/>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The accompanying notes are an integral</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part of these financial statements.</w:t>
      </w:r>
    </w:p>
    <w:p>
      <w:pPr>
        <w:spacing w:after="0" w:line="215"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F-4</w:t>
      </w:r>
    </w:p>
    <w:p>
      <w:pPr>
        <w:sectPr>
          <w:pgSz w:w="11900" w:h="16838" w:orient="portrait"/>
          <w:cols w:equalWidth="0" w:num="1">
            <w:col w:w="10199"/>
          </w:cols>
          <w:pgMar w:left="260" w:top="604"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For the Years Ended December 31, 2005 and 2004</w:t>
      </w: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the Plan</w:t>
      </w:r>
    </w:p>
    <w:p>
      <w:pPr>
        <w:spacing w:after="0" w:line="239"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The following description of the Phillips-Van Heusen Corporation (the “Company”) Associates Investment Plan for Hourly Associates (the “Plan”) provides only general information. Participants should refer to the Plan Document for a more complete description of the Plan’s provisions.</w:t>
      </w:r>
    </w:p>
    <w:p>
      <w:pPr>
        <w:spacing w:after="0" w:line="213" w:lineRule="exact"/>
        <w:rPr>
          <w:sz w:val="20"/>
          <w:szCs w:val="20"/>
          <w:color w:val="auto"/>
        </w:rPr>
      </w:pPr>
    </w:p>
    <w:p>
      <w:pPr>
        <w:ind w:right="260" w:firstLine="648"/>
        <w:spacing w:after="0" w:line="252" w:lineRule="auto"/>
        <w:rPr>
          <w:sz w:val="20"/>
          <w:szCs w:val="20"/>
          <w:color w:val="auto"/>
        </w:rPr>
      </w:pPr>
      <w:r>
        <w:rPr>
          <w:rFonts w:ascii="Arial" w:cs="Arial" w:eastAsia="Arial" w:hAnsi="Arial"/>
          <w:sz w:val="21"/>
          <w:szCs w:val="21"/>
          <w:color w:val="auto"/>
        </w:rPr>
        <w:t>The Plan was amended effective January 1, 2002 in order to comply with changes permitted or required by the Economic Growth and Tax Relief Reconciliation Act of 2001 and to modify certain administrative provisions. Following the issuance of a favorable determination letter by the Internal Revenue Service (IRS), the Plan was amended again on September 24, 2003 to comply with IRS requests pertaining to its continuous tax-qualified status.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Change in Trustee and Recordkeeper</w:t>
      </w:r>
    </w:p>
    <w:p>
      <w:pPr>
        <w:spacing w:after="0" w:line="239"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Effective January 1, 2004, the Plan’s Trustee changed from UMB Bank (the “Predecessor Trustee”) to State Street Bank (the “Trustee” or “Successor Trustee”). On January 1, 2005, Wells Fargo acquired Strong Retirement Plan Services and as a result, Wells Fargo Retirement Solutions became the “Recordkeeper” and Wells Fargo Bank became the “Trustee”.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Master Trust</w:t>
      </w:r>
    </w:p>
    <w:p>
      <w:pPr>
        <w:spacing w:after="0" w:line="239"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The Phillips-Van Heusen Corporation Associates Investment Plans Master Trust (the “Master Trust”) was established for the investment of the Phillips-Van Heusen Stock Fund (the “PVH Stock Fund”). The Plan is one of three plans participating in the Master Trust.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Plan is a defined contribution plan covering hourly production, warehouse, distribution, leased employees and U.S. retail field employees of the Company, who are at least age 21 or older, have completed at least three consecutive months of service and are regularly scheduled to work at least 20 hours per week. The Plan is subject to the provisions of the Employee Retirement Income Security Act of 1974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F-5</w:t>
      </w:r>
    </w:p>
    <w:p>
      <w:pPr>
        <w:sectPr>
          <w:pgSz w:w="11900" w:h="16838" w:orient="portrait"/>
          <w:cols w:equalWidth="0" w:num="1">
            <w:col w:w="11400"/>
          </w:cols>
          <w:pgMar w:left="240" w:top="847"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Contributions</w:t>
      </w:r>
    </w:p>
    <w:p>
      <w:pPr>
        <w:spacing w:after="0" w:line="239"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Participants may contribute up to 25% of pre-tax annual compensation, limited to $14,000 and $13,000 per annum in 2005 and 2004, respectively. In addition, pursuant to EGTRRA of 2001, all participants who have attained the age of 50 before the close of the plan year are eligible to make “catch-up” contributions up to $4,000 for the plan year ended December 31, 2005. The Company matches 100% of the first 2% of eligible compensation that a participant contributed to the Plan plus 25% of the next 4% of eligible compensation contributed by the participant.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Accounts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Each participant’s account is credited with the participant’s contributions and allocations of (a) the Company’s contributions and (b) Plan earnings. Forfeited balances of terminated participants’ nonvested accounts are used to reduce future Company contributions.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Vesting</w:t>
      </w:r>
    </w:p>
    <w:p>
      <w:pPr>
        <w:spacing w:after="0" w:line="239"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Amounts attributable to employee contributions and the allocated earnings thereon are immediately vested. Participants become 25%, 50%, 75% and 100% vested in Company contributions after two, three, four and five years of service, respectively. Upon death, permanent disability or reaching age 65, participants or their beneficiaries become 100% vested in Company contributions.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Investment Options</w:t>
      </w:r>
    </w:p>
    <w:p>
      <w:pPr>
        <w:spacing w:after="0" w:line="239" w:lineRule="exact"/>
        <w:rPr>
          <w:sz w:val="20"/>
          <w:szCs w:val="20"/>
          <w:color w:val="auto"/>
        </w:rPr>
      </w:pPr>
    </w:p>
    <w:p>
      <w:pPr>
        <w:ind w:right="740" w:firstLine="648"/>
        <w:spacing w:after="0" w:line="251" w:lineRule="auto"/>
        <w:rPr>
          <w:sz w:val="20"/>
          <w:szCs w:val="20"/>
          <w:color w:val="auto"/>
        </w:rPr>
      </w:pPr>
      <w:r>
        <w:rPr>
          <w:rFonts w:ascii="Arial" w:cs="Arial" w:eastAsia="Arial" w:hAnsi="Arial"/>
          <w:sz w:val="22"/>
          <w:szCs w:val="22"/>
          <w:color w:val="auto"/>
        </w:rPr>
        <w:t>Upon enrollment in the Plan, a participant may direct employee contributions into any of ten investment options. A participant may contribute a maximum of 25% of employee contributions into the PVH Stock Fund.</w:t>
      </w:r>
    </w:p>
    <w:p>
      <w:pPr>
        <w:spacing w:after="0" w:line="20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The Company contributions are invested in any fund offered by the Plan as elected by the participant. However, existing balances contributed to the PVH Stock Fund as of March 31, 1999 were required to remain in the fund until participants reach the age of 55 or older. Effective December 30, 2004, all restrictions on Company Match invested in the PVH Stock Fund were removed and participants are allowed to transfer all Company Match monies to other investment options in the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F-6</w:t>
      </w:r>
    </w:p>
    <w:p>
      <w:pPr>
        <w:sectPr>
          <w:pgSz w:w="11900" w:h="16838" w:orient="portrait"/>
          <w:cols w:equalWidth="0" w:num="1">
            <w:col w:w="11400"/>
          </w:cols>
          <w:pgMar w:left="240" w:top="847" w:right="2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Loans Receivable</w:t>
      </w:r>
    </w:p>
    <w:p>
      <w:pPr>
        <w:spacing w:after="0" w:line="239" w:lineRule="exact"/>
        <w:rPr>
          <w:sz w:val="20"/>
          <w:szCs w:val="20"/>
          <w:color w:val="auto"/>
        </w:rPr>
      </w:pPr>
    </w:p>
    <w:p>
      <w:pPr>
        <w:ind w:right="400" w:firstLine="648"/>
        <w:spacing w:after="0" w:line="282" w:lineRule="auto"/>
        <w:rPr>
          <w:sz w:val="20"/>
          <w:szCs w:val="20"/>
          <w:color w:val="auto"/>
        </w:rPr>
      </w:pPr>
      <w:r>
        <w:rPr>
          <w:rFonts w:ascii="Arial" w:cs="Arial" w:eastAsia="Arial" w:hAnsi="Arial"/>
          <w:sz w:val="19"/>
          <w:szCs w:val="19"/>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Forfeitures</w:t>
      </w:r>
    </w:p>
    <w:p>
      <w:pPr>
        <w:spacing w:after="0" w:line="239"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Contributions made on behalf of non-vested or partially vested employees who have terminated are retained by the Plan and are used to reduce the Company’s future matching contributions.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of Benefits</w:t>
      </w:r>
    </w:p>
    <w:p>
      <w:pPr>
        <w:spacing w:after="0" w:line="239"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Participants electing final distributions will receive payment in the form of a lump sum amount equal to the value of their vested account unless the participant notifies the Company of their intent to receive all or a portion of their balance attributable to the PVH Stock Fund paid in the form of shares of the Company’s Common Stock.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Termination</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F-7</w:t>
      </w:r>
    </w:p>
    <w:p>
      <w:pPr>
        <w:sectPr>
          <w:pgSz w:w="11900" w:h="16838" w:orient="portrait"/>
          <w:cols w:equalWidth="0" w:num="1">
            <w:col w:w="11400"/>
          </w:cols>
          <w:pgMar w:left="240" w:top="847"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239" w:lineRule="exact"/>
        <w:rPr>
          <w:rFonts w:ascii="Arial" w:cs="Arial" w:eastAsia="Arial" w:hAnsi="Arial"/>
          <w:sz w:val="22"/>
          <w:szCs w:val="22"/>
          <w:b w:val="1"/>
          <w:bCs w:val="1"/>
          <w:color w:val="auto"/>
        </w:rPr>
      </w:pPr>
    </w:p>
    <w:p>
      <w:pPr>
        <w:ind w:left="660" w:right="4600"/>
        <w:spacing w:after="0" w:line="534" w:lineRule="auto"/>
        <w:rPr>
          <w:rFonts w:ascii="Arial" w:cs="Arial" w:eastAsia="Arial" w:hAnsi="Arial"/>
          <w:sz w:val="22"/>
          <w:szCs w:val="22"/>
          <w:b w:val="1"/>
          <w:bCs w:val="1"/>
          <w:color w:val="auto"/>
        </w:rPr>
      </w:pPr>
      <w:r>
        <w:rPr>
          <w:rFonts w:ascii="Arial" w:cs="Arial" w:eastAsia="Arial" w:hAnsi="Arial"/>
          <w:sz w:val="19"/>
          <w:szCs w:val="19"/>
          <w:color w:val="auto"/>
        </w:rPr>
        <w:t>The accounting records of the Plan are maintained on the accrual basis. Substantially all administrative expenses are paid by the Company.</w:t>
      </w:r>
    </w:p>
    <w:p>
      <w:pPr>
        <w:ind w:right="80" w:firstLine="648"/>
        <w:spacing w:after="0"/>
        <w:rPr>
          <w:sz w:val="20"/>
          <w:szCs w:val="20"/>
          <w:color w:val="auto"/>
        </w:rPr>
      </w:pPr>
      <w:r>
        <w:rPr>
          <w:rFonts w:ascii="Arial" w:cs="Arial" w:eastAsia="Arial" w:hAnsi="Arial"/>
          <w:sz w:val="22"/>
          <w:szCs w:val="22"/>
          <w:color w:val="auto"/>
        </w:rPr>
        <w:t>In accordance with the Rules and Regulations of the Department of Labor, investments are included in the accompanying financial statements at market value as determined by quoted market prices or at fair value as determined by the trustee. Purchases and sales of securities are reflected on a trade date basis.</w:t>
      </w:r>
    </w:p>
    <w:p>
      <w:pPr>
        <w:spacing w:after="0" w:line="213"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All assets of the Plan are held by the Trustee and are segregated from the assets of the Company. The Master Trust holds the investments in the PVH Stock Fund. The Plan shares in the Master Trust interest and investment income based upon its participants’ shares of the Master Trust net assets available for benefits.</w:t>
      </w:r>
    </w:p>
    <w:p>
      <w:pPr>
        <w:spacing w:after="0" w:line="213"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20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Transactions with Parties-in-Interest</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During the years ended December 31, 2005 and 2004, the Master Trust purchased 47,988 and 15,616 shares, respectively, of the Company’s common stock and received $153,906 and $168,641, respectively, from the Company as payment of dividends on its common stock. The AIP Master Trust also sold 160,053 and 64,342 shares of the Company’s common stock during the years ended December 31, 2005 and 2004, respectively.</w:t>
      </w:r>
    </w:p>
    <w:p>
      <w:pPr>
        <w:spacing w:after="0" w:line="19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During 2005 and 2004, the Plan’s investments (including investments purchased, sold, as well as held during the year)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appreciated in fair value as determined by quoted market prices as follows: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F-8</w:t>
      </w:r>
    </w:p>
    <w:p>
      <w:pPr>
        <w:sectPr>
          <w:pgSz w:w="11900" w:h="16838" w:orient="portrait"/>
          <w:cols w:equalWidth="0" w:num="1">
            <w:col w:w="11420"/>
          </w:cols>
          <w:pgMar w:left="240" w:top="847" w:right="239" w:bottom="1440" w:gutter="0" w:footer="0" w:header="0"/>
        </w:sectPr>
      </w:pPr>
    </w:p>
    <w:bookmarkStart w:id="11" w:name="page12"/>
    <w:bookmarkEnd w:id="11"/>
    <w:p>
      <w:pPr>
        <w:jc w:val="center"/>
        <w:ind w:right="16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Net Realized and Unrealized</w:t>
      </w:r>
    </w:p>
    <w:tbl>
      <w:tblPr>
        <w:tblLayout w:type="fixed"/>
        <w:tblInd w:w="210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Borders>
              <w:bottom w:val="single" w:sz="8" w:color="auto"/>
            </w:tcBorders>
            <w:gridSpan w:val="7"/>
          </w:tcPr>
          <w:p>
            <w:pPr>
              <w:spacing w:after="0" w:line="206" w:lineRule="exact"/>
              <w:rPr>
                <w:sz w:val="20"/>
                <w:szCs w:val="20"/>
                <w:color w:val="auto"/>
              </w:rPr>
            </w:pPr>
            <w:r>
              <w:rPr>
                <w:rFonts w:ascii="Arial" w:cs="Arial" w:eastAsia="Arial" w:hAnsi="Arial"/>
                <w:sz w:val="22"/>
                <w:szCs w:val="22"/>
                <w:color w:val="auto"/>
                <w:w w:val="90"/>
              </w:rPr>
              <w:t>Appreciation in Fair Value of Investments</w:t>
            </w:r>
          </w:p>
        </w:tc>
      </w:tr>
      <w:tr>
        <w:trPr>
          <w:trHeight w:val="250"/>
        </w:trPr>
        <w:tc>
          <w:tcPr>
            <w:tcW w:w="4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line="250" w:lineRule="exact"/>
              <w:rPr>
                <w:sz w:val="20"/>
                <w:szCs w:val="20"/>
                <w:color w:val="auto"/>
              </w:rPr>
            </w:pPr>
            <w:r>
              <w:rPr>
                <w:rFonts w:ascii="Arial" w:cs="Arial" w:eastAsia="Arial" w:hAnsi="Arial"/>
                <w:sz w:val="22"/>
                <w:szCs w:val="22"/>
                <w:color w:val="auto"/>
                <w:w w:val="85"/>
              </w:rPr>
              <w:t>2005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2004</w:t>
            </w: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526"/>
        </w:trPr>
        <w:tc>
          <w:tcPr>
            <w:tcW w:w="4540" w:type="dxa"/>
            <w:vAlign w:val="bottom"/>
          </w:tcPr>
          <w:p>
            <w:pPr>
              <w:spacing w:after="0"/>
              <w:rPr>
                <w:sz w:val="20"/>
                <w:szCs w:val="20"/>
                <w:color w:val="auto"/>
              </w:rPr>
            </w:pPr>
            <w:r>
              <w:rPr>
                <w:rFonts w:ascii="Arial" w:cs="Arial" w:eastAsia="Arial" w:hAnsi="Arial"/>
                <w:sz w:val="22"/>
                <w:szCs w:val="22"/>
                <w:color w:val="auto"/>
              </w:rPr>
              <w:t>Common stock – PVH Stock Fund</w:t>
            </w:r>
          </w:p>
        </w:tc>
        <w:tc>
          <w:tcPr>
            <w:tcW w:w="280" w:type="dxa"/>
            <w:vAlign w:val="bottom"/>
          </w:tcPr>
          <w:p>
            <w:pPr>
              <w:jc w:val="right"/>
              <w:ind w:right="52"/>
              <w:spacing w:after="0"/>
              <w:rPr>
                <w:sz w:val="20"/>
                <w:szCs w:val="20"/>
                <w:color w:val="auto"/>
              </w:rPr>
            </w:pPr>
            <w:r>
              <w:rPr>
                <w:rFonts w:ascii="Arial" w:cs="Arial" w:eastAsia="Arial" w:hAnsi="Arial"/>
                <w:sz w:val="22"/>
                <w:szCs w:val="22"/>
                <w:color w:val="auto"/>
                <w:w w:val="81"/>
              </w:rPr>
              <w:t>$</w:t>
            </w:r>
          </w:p>
        </w:tc>
        <w:tc>
          <w:tcPr>
            <w:tcW w:w="140" w:type="dxa"/>
            <w:vAlign w:val="bottom"/>
          </w:tcPr>
          <w:p>
            <w:pPr>
              <w:spacing w:after="0"/>
              <w:rPr>
                <w:sz w:val="24"/>
                <w:szCs w:val="24"/>
                <w:color w:val="auto"/>
              </w:rPr>
            </w:pPr>
          </w:p>
        </w:tc>
        <w:tc>
          <w:tcPr>
            <w:tcW w:w="920" w:type="dxa"/>
            <w:vAlign w:val="bottom"/>
            <w:gridSpan w:val="3"/>
          </w:tcPr>
          <w:p>
            <w:pPr>
              <w:jc w:val="right"/>
              <w:ind w:right="32"/>
              <w:spacing w:after="0"/>
              <w:rPr>
                <w:sz w:val="20"/>
                <w:szCs w:val="20"/>
                <w:color w:val="auto"/>
              </w:rPr>
            </w:pPr>
            <w:r>
              <w:rPr>
                <w:rFonts w:ascii="Arial" w:cs="Arial" w:eastAsia="Arial" w:hAnsi="Arial"/>
                <w:sz w:val="22"/>
                <w:szCs w:val="22"/>
                <w:color w:val="auto"/>
                <w:w w:val="95"/>
              </w:rPr>
              <w:t>499,455</w:t>
            </w:r>
          </w:p>
        </w:tc>
        <w:tc>
          <w:tcPr>
            <w:tcW w:w="580" w:type="dxa"/>
            <w:vAlign w:val="bottom"/>
            <w:gridSpan w:val="2"/>
          </w:tcPr>
          <w:p>
            <w:pPr>
              <w:jc w:val="right"/>
              <w:ind w:right="12"/>
              <w:spacing w:after="0"/>
              <w:rPr>
                <w:sz w:val="20"/>
                <w:szCs w:val="20"/>
                <w:color w:val="auto"/>
              </w:rPr>
            </w:pPr>
            <w:r>
              <w:rPr>
                <w:rFonts w:ascii="Arial" w:cs="Arial" w:eastAsia="Arial" w:hAnsi="Arial"/>
                <w:sz w:val="22"/>
                <w:szCs w:val="22"/>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rPr>
              <w:t>860,690</w:t>
            </w:r>
          </w:p>
        </w:tc>
        <w:tc>
          <w:tcPr>
            <w:tcW w:w="1600" w:type="dxa"/>
            <w:vAlign w:val="bottom"/>
          </w:tcPr>
          <w:p>
            <w:pPr>
              <w:spacing w:after="0"/>
              <w:rPr>
                <w:sz w:val="24"/>
                <w:szCs w:val="24"/>
                <w:color w:val="auto"/>
              </w:rPr>
            </w:pPr>
          </w:p>
        </w:tc>
      </w:tr>
      <w:tr>
        <w:trPr>
          <w:trHeight w:val="265"/>
        </w:trPr>
        <w:tc>
          <w:tcPr>
            <w:tcW w:w="4540" w:type="dxa"/>
            <w:vAlign w:val="bottom"/>
          </w:tcPr>
          <w:p>
            <w:pPr>
              <w:spacing w:after="0"/>
              <w:rPr>
                <w:sz w:val="20"/>
                <w:szCs w:val="20"/>
                <w:color w:val="auto"/>
              </w:rPr>
            </w:pPr>
            <w:r>
              <w:rPr>
                <w:rFonts w:ascii="Arial" w:cs="Arial" w:eastAsia="Arial" w:hAnsi="Arial"/>
                <w:sz w:val="22"/>
                <w:szCs w:val="22"/>
                <w:color w:val="auto"/>
              </w:rPr>
              <w:t>Shares of registered investment companies</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22"/>
                <w:szCs w:val="22"/>
                <w:color w:val="auto"/>
              </w:rPr>
              <w:t>170,500</w:t>
            </w:r>
          </w:p>
        </w:tc>
        <w:tc>
          <w:tcPr>
            <w:tcW w:w="3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281,779</w:t>
            </w:r>
          </w:p>
        </w:tc>
        <w:tc>
          <w:tcPr>
            <w:tcW w:w="1600" w:type="dxa"/>
            <w:vAlign w:val="bottom"/>
          </w:tcPr>
          <w:p>
            <w:pPr>
              <w:spacing w:after="0"/>
              <w:rPr>
                <w:sz w:val="23"/>
                <w:szCs w:val="23"/>
                <w:color w:val="auto"/>
              </w:rPr>
            </w:pPr>
          </w:p>
        </w:tc>
      </w:tr>
      <w:tr>
        <w:trPr>
          <w:trHeight w:val="527"/>
        </w:trPr>
        <w:tc>
          <w:tcPr>
            <w:tcW w:w="4540" w:type="dxa"/>
            <w:vAlign w:val="bottom"/>
          </w:tcPr>
          <w:p>
            <w:pPr>
              <w:spacing w:after="0"/>
              <w:rPr>
                <w:sz w:val="24"/>
                <w:szCs w:val="24"/>
                <w:color w:val="auto"/>
              </w:rPr>
            </w:pP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81"/>
              </w:rPr>
              <w:t>$</w:t>
            </w:r>
          </w:p>
        </w:tc>
        <w:tc>
          <w:tcPr>
            <w:tcW w:w="10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22"/>
                <w:szCs w:val="22"/>
                <w:color w:val="auto"/>
              </w:rPr>
              <w:t>669,955</w:t>
            </w:r>
          </w:p>
        </w:tc>
        <w:tc>
          <w:tcPr>
            <w:tcW w:w="34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w w:val="96"/>
              </w:rPr>
              <w:t>1,142,469</w:t>
            </w:r>
          </w:p>
        </w:tc>
        <w:tc>
          <w:tcPr>
            <w:tcW w:w="1600" w:type="dxa"/>
            <w:vAlign w:val="bottom"/>
          </w:tcPr>
          <w:p>
            <w:pPr>
              <w:spacing w:after="0"/>
              <w:rPr>
                <w:sz w:val="24"/>
                <w:szCs w:val="24"/>
                <w:color w:val="auto"/>
              </w:rPr>
            </w:pPr>
          </w:p>
        </w:tc>
      </w:tr>
    </w:tbl>
    <w:p>
      <w:pPr>
        <w:spacing w:after="0" w:line="222"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Investments that represent 5% or more of the fair value of the Plan’s net assets at the end of the plan year are as follows:</w:t>
      </w:r>
    </w:p>
    <w:p>
      <w:pPr>
        <w:spacing w:after="0" w:line="279"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5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5"/>
              </w:rPr>
              <w:t>2005</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5"/>
              </w:rPr>
              <w:t>2004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9"/>
        </w:trPr>
        <w:tc>
          <w:tcPr>
            <w:tcW w:w="5180" w:type="dxa"/>
            <w:vAlign w:val="bottom"/>
          </w:tcPr>
          <w:p>
            <w:pPr>
              <w:ind w:left="640"/>
              <w:spacing w:after="0"/>
              <w:rPr>
                <w:sz w:val="20"/>
                <w:szCs w:val="20"/>
                <w:color w:val="auto"/>
              </w:rPr>
            </w:pPr>
            <w:r>
              <w:rPr>
                <w:rFonts w:ascii="Arial" w:cs="Arial" w:eastAsia="Arial" w:hAnsi="Arial"/>
                <w:sz w:val="22"/>
                <w:szCs w:val="22"/>
                <w:color w:val="auto"/>
                <w:w w:val="99"/>
              </w:rPr>
              <w:t>Investment in Phillips-Van Heusen Corporation</w:t>
            </w:r>
          </w:p>
        </w:tc>
        <w:tc>
          <w:tcPr>
            <w:tcW w:w="2520" w:type="dxa"/>
            <w:vAlign w:val="bottom"/>
            <w:gridSpan w:val="3"/>
          </w:tcPr>
          <w:p>
            <w:pPr>
              <w:jc w:val="right"/>
              <w:ind w:right="1440"/>
              <w:spacing w:after="0"/>
              <w:rPr>
                <w:sz w:val="20"/>
                <w:szCs w:val="20"/>
                <w:color w:val="auto"/>
              </w:rPr>
            </w:pPr>
            <w:r>
              <w:rPr>
                <w:rFonts w:ascii="Arial" w:cs="Arial" w:eastAsia="Arial" w:hAnsi="Arial"/>
                <w:sz w:val="22"/>
                <w:szCs w:val="22"/>
                <w:color w:val="auto"/>
                <w:w w:val="99"/>
              </w:rPr>
              <w:t>Associates</w:t>
            </w:r>
          </w:p>
        </w:tc>
        <w:tc>
          <w:tcPr>
            <w:tcW w:w="1440" w:type="dxa"/>
            <w:vAlign w:val="bottom"/>
            <w:gridSpan w:val="3"/>
            <w:vMerge w:val="restart"/>
          </w:tcPr>
          <w:p>
            <w:pPr>
              <w:jc w:val="right"/>
              <w:spacing w:after="0"/>
              <w:rPr>
                <w:sz w:val="20"/>
                <w:szCs w:val="20"/>
                <w:color w:val="auto"/>
              </w:rPr>
            </w:pPr>
            <w:r>
              <w:rPr>
                <w:rFonts w:ascii="Arial" w:cs="Arial" w:eastAsia="Arial" w:hAnsi="Arial"/>
                <w:sz w:val="22"/>
                <w:szCs w:val="22"/>
                <w:color w:val="auto"/>
              </w:rPr>
              <w:t>$  2,480,733</w:t>
            </w:r>
          </w:p>
        </w:tc>
        <w:tc>
          <w:tcPr>
            <w:tcW w:w="0" w:type="dxa"/>
            <w:vAlign w:val="bottom"/>
          </w:tcPr>
          <w:p>
            <w:pPr>
              <w:spacing w:after="0"/>
              <w:rPr>
                <w:sz w:val="1"/>
                <w:szCs w:val="1"/>
                <w:color w:val="auto"/>
              </w:rPr>
            </w:pPr>
          </w:p>
        </w:tc>
      </w:tr>
      <w:tr>
        <w:trPr>
          <w:trHeight w:val="257"/>
        </w:trPr>
        <w:tc>
          <w:tcPr>
            <w:tcW w:w="5180" w:type="dxa"/>
            <w:vAlign w:val="bottom"/>
          </w:tcPr>
          <w:p>
            <w:pPr>
              <w:spacing w:after="0"/>
              <w:rPr>
                <w:sz w:val="20"/>
                <w:szCs w:val="20"/>
                <w:color w:val="auto"/>
              </w:rPr>
            </w:pPr>
            <w:r>
              <w:rPr>
                <w:rFonts w:ascii="Arial" w:cs="Arial" w:eastAsia="Arial" w:hAnsi="Arial"/>
                <w:sz w:val="22"/>
                <w:szCs w:val="22"/>
                <w:color w:val="auto"/>
              </w:rPr>
              <w:t>Investment Plans Master Trust</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  2,844,336</w:t>
            </w:r>
          </w:p>
        </w:tc>
        <w:tc>
          <w:tcPr>
            <w:tcW w:w="144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rPr>
              <w:t>Barclays Global Equity Index</w:t>
            </w:r>
          </w:p>
        </w:tc>
        <w:tc>
          <w:tcPr>
            <w:tcW w:w="1980" w:type="dxa"/>
            <w:vAlign w:val="bottom"/>
            <w:gridSpan w:val="2"/>
          </w:tcPr>
          <w:p>
            <w:pPr>
              <w:jc w:val="right"/>
              <w:ind w:right="52"/>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898,194</w:t>
            </w: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rPr>
              <w:t>Dodge &amp; Cox Balanced</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1,283,331</w:t>
            </w: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1,121,353</w:t>
            </w: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rPr>
              <w:t>Dreyfus Appreciation</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1,207,303</w:t>
            </w: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1,084,372</w:t>
            </w: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rPr>
              <w:t>Strong Advisor Bond</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566,455</w:t>
            </w: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rPr>
              <w:t>Wells Fargo Stable Return Fund (S)</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1,454,661</w:t>
            </w: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1,283,428</w:t>
            </w:r>
          </w:p>
        </w:tc>
        <w:tc>
          <w:tcPr>
            <w:tcW w:w="0" w:type="dxa"/>
            <w:vAlign w:val="bottom"/>
          </w:tcPr>
          <w:p>
            <w:pPr>
              <w:spacing w:after="0"/>
              <w:rPr>
                <w:sz w:val="1"/>
                <w:szCs w:val="1"/>
                <w:color w:val="auto"/>
              </w:rPr>
            </w:pPr>
          </w:p>
        </w:tc>
      </w:tr>
      <w:tr>
        <w:trPr>
          <w:trHeight w:val="251"/>
        </w:trPr>
        <w:tc>
          <w:tcPr>
            <w:tcW w:w="5180" w:type="dxa"/>
            <w:vAlign w:val="bottom"/>
          </w:tcPr>
          <w:p>
            <w:pPr>
              <w:ind w:left="640"/>
              <w:spacing w:after="0" w:line="250" w:lineRule="exact"/>
              <w:rPr>
                <w:sz w:val="20"/>
                <w:szCs w:val="20"/>
                <w:color w:val="auto"/>
              </w:rPr>
            </w:pPr>
            <w:r>
              <w:rPr>
                <w:rFonts w:ascii="Arial" w:cs="Arial" w:eastAsia="Arial" w:hAnsi="Arial"/>
                <w:sz w:val="22"/>
                <w:szCs w:val="22"/>
                <w:color w:val="auto"/>
              </w:rPr>
              <w:t>Strong Advisor Small Cap Value</w:t>
            </w:r>
          </w:p>
        </w:tc>
        <w:tc>
          <w:tcPr>
            <w:tcW w:w="1980" w:type="dxa"/>
            <w:vAlign w:val="bottom"/>
            <w:gridSpan w:val="2"/>
          </w:tcPr>
          <w:p>
            <w:pPr>
              <w:jc w:val="right"/>
              <w:spacing w:after="0" w:line="250"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1"/>
                <w:szCs w:val="21"/>
                <w:color w:val="auto"/>
              </w:rPr>
            </w:pPr>
          </w:p>
        </w:tc>
        <w:tc>
          <w:tcPr>
            <w:tcW w:w="144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433,318</w:t>
            </w: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w w:val="92"/>
              </w:rPr>
              <w:t>Wells Fargo Advantage Small Cap Value Fund (Z)</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600,404</w:t>
            </w:r>
          </w:p>
        </w:tc>
        <w:tc>
          <w:tcPr>
            <w:tcW w:w="118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640"/>
              <w:spacing w:after="0"/>
              <w:rPr>
                <w:sz w:val="20"/>
                <w:szCs w:val="20"/>
                <w:color w:val="auto"/>
              </w:rPr>
            </w:pPr>
            <w:r>
              <w:rPr>
                <w:rFonts w:ascii="Arial" w:cs="Arial" w:eastAsia="Arial" w:hAnsi="Arial"/>
                <w:sz w:val="22"/>
                <w:szCs w:val="22"/>
                <w:color w:val="auto"/>
                <w:w w:val="94"/>
              </w:rPr>
              <w:t>Wells Fargo Advantage Total Return Bond (Adm)</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628,267</w:t>
            </w:r>
          </w:p>
        </w:tc>
        <w:tc>
          <w:tcPr>
            <w:tcW w:w="118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ind w:left="640"/>
              <w:spacing w:after="0"/>
              <w:rPr>
                <w:sz w:val="20"/>
                <w:szCs w:val="20"/>
                <w:color w:val="auto"/>
              </w:rPr>
            </w:pPr>
            <w:r>
              <w:rPr>
                <w:rFonts w:ascii="Arial" w:cs="Arial" w:eastAsia="Arial" w:hAnsi="Arial"/>
                <w:sz w:val="22"/>
                <w:szCs w:val="22"/>
                <w:color w:val="auto"/>
              </w:rPr>
              <w:t>Wells Fargo S&amp;P 500 Index Fund (G)</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988,751</w:t>
            </w:r>
          </w:p>
        </w:tc>
        <w:tc>
          <w:tcPr>
            <w:tcW w:w="118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640"/>
              <w:spacing w:after="0" w:line="229" w:lineRule="exact"/>
              <w:rPr>
                <w:sz w:val="20"/>
                <w:szCs w:val="20"/>
                <w:color w:val="auto"/>
              </w:rPr>
            </w:pPr>
            <w:r>
              <w:rPr>
                <w:rFonts w:ascii="Arial" w:cs="Arial" w:eastAsia="Arial" w:hAnsi="Arial"/>
                <w:sz w:val="22"/>
                <w:szCs w:val="22"/>
                <w:color w:val="auto"/>
              </w:rPr>
              <w:t>Shares of registered companies representing</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5180" w:type="dxa"/>
            <w:vAlign w:val="bottom"/>
          </w:tcPr>
          <w:p>
            <w:pPr>
              <w:ind w:left="820"/>
              <w:spacing w:after="0"/>
              <w:rPr>
                <w:sz w:val="20"/>
                <w:szCs w:val="20"/>
                <w:color w:val="auto"/>
              </w:rPr>
            </w:pPr>
            <w:r>
              <w:rPr>
                <w:rFonts w:ascii="Arial" w:cs="Arial" w:eastAsia="Arial" w:hAnsi="Arial"/>
                <w:sz w:val="22"/>
                <w:szCs w:val="22"/>
                <w:color w:val="auto"/>
              </w:rPr>
              <w:t>less than 5%</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431,710</w:t>
            </w:r>
          </w:p>
        </w:tc>
        <w:tc>
          <w:tcPr>
            <w:tcW w:w="1440" w:type="dxa"/>
            <w:vAlign w:val="bottom"/>
            <w:gridSpan w:val="3"/>
          </w:tcPr>
          <w:p>
            <w:pPr>
              <w:jc w:val="right"/>
              <w:spacing w:after="0"/>
              <w:rPr>
                <w:sz w:val="20"/>
                <w:szCs w:val="20"/>
                <w:color w:val="auto"/>
              </w:rPr>
            </w:pPr>
            <w:r>
              <w:rPr>
                <w:rFonts w:ascii="Arial" w:cs="Arial" w:eastAsia="Arial" w:hAnsi="Arial"/>
                <w:sz w:val="22"/>
                <w:szCs w:val="22"/>
                <w:color w:val="auto"/>
              </w:rPr>
              <w:t>330,503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Investment not offered at the end of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F-9</w:t>
      </w:r>
    </w:p>
    <w:p>
      <w:pPr>
        <w:sectPr>
          <w:pgSz w:w="11900" w:h="16838" w:orient="portrait"/>
          <w:cols w:equalWidth="0" w:num="1">
            <w:col w:w="11240"/>
          </w:cols>
          <w:pgMar w:left="420" w:top="847" w:right="239" w:bottom="1440" w:gutter="0" w:footer="0" w:header="0"/>
        </w:sectPr>
      </w:pPr>
    </w:p>
    <w:bookmarkStart w:id="12" w:name="page13"/>
    <w:bookmarkEnd w:id="12"/>
    <w:p>
      <w:pPr>
        <w:jc w:val="center"/>
        <w:ind w:right="-11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 Status</w:t>
      </w:r>
    </w:p>
    <w:p>
      <w:pPr>
        <w:spacing w:after="0" w:line="23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Plan has received a determination letter from the Internal Revenue Service dated September 2, 2003, stating that the Plan is qualified under Section 401(a) of the Internal Revenue Code (the “Code”) and, therefore, the related trust is exempt from taxation. Once qualified, the Plan is required to operate in conformity with the Code to maintain its qualification. The plan administrator believes that the Plan is currently designed and being operated in compliance with the applicable requirements of the Code and, therefore, believes that the Plan is qualified and the related trust is tax-exempt.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F-10</w:t>
      </w:r>
    </w:p>
    <w:p>
      <w:pPr>
        <w:sectPr>
          <w:pgSz w:w="11900" w:h="16838" w:orient="portrait"/>
          <w:cols w:equalWidth="0" w:num="1">
            <w:col w:w="11320"/>
          </w:cols>
          <w:pgMar w:left="240" w:top="847"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34"/>
          <w:szCs w:val="34"/>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F-11</w:t>
      </w:r>
    </w:p>
    <w:p>
      <w:pPr>
        <w:sectPr>
          <w:pgSz w:w="11900" w:h="16838" w:orient="portrait"/>
          <w:cols w:equalWidth="0" w:num="1">
            <w:col w:w="9019"/>
          </w:cols>
          <w:pgMar w:left="1440" w:top="1440" w:right="1440"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22"/>
          <w:szCs w:val="22"/>
          <w:color w:val="auto"/>
        </w:rPr>
        <w:t>EIN: 13-1166910</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Plan No: 012</w:t>
      </w:r>
    </w:p>
    <w:p>
      <w:pPr>
        <w:spacing w:after="0" w:line="21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ASSOCIATES INVESTMENT PLAN FOR HOURLY ASSOCIATES</w:t>
      </w:r>
    </w:p>
    <w:p>
      <w:pPr>
        <w:spacing w:after="0" w:line="215"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SCHEDULE H, LINE 4i--SCHEDULE OF ASSETS (HELD AT END OF YEAR)</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For the Year Ended December 31, 2005</w:t>
      </w:r>
    </w:p>
    <w:p>
      <w:pPr>
        <w:sectPr>
          <w:pgSz w:w="11900" w:h="16838" w:orient="portrait"/>
          <w:cols w:equalWidth="0" w:num="1">
            <w:col w:w="10220"/>
          </w:cols>
          <w:pgMar w:left="1440" w:top="6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Identity of Issue, Borrower,</w:t>
      </w:r>
    </w:p>
    <w:p>
      <w:pPr>
        <w:spacing w:after="0" w:line="35" w:lineRule="exact"/>
        <w:rPr>
          <w:sz w:val="20"/>
          <w:szCs w:val="20"/>
          <w:color w:val="auto"/>
        </w:rPr>
      </w:pPr>
    </w:p>
    <w:p>
      <w:pPr>
        <w:ind w:left="820"/>
        <w:spacing w:after="0"/>
        <w:rPr>
          <w:sz w:val="20"/>
          <w:szCs w:val="20"/>
          <w:color w:val="auto"/>
        </w:rPr>
      </w:pPr>
      <w:r>
        <w:rPr>
          <w:rFonts w:ascii="Arial" w:cs="Arial" w:eastAsia="Arial" w:hAnsi="Arial"/>
          <w:sz w:val="21"/>
          <w:szCs w:val="21"/>
          <w:b w:val="1"/>
          <w:bCs w:val="1"/>
          <w:u w:val="single" w:color="auto"/>
          <w:color w:val="auto"/>
        </w:rPr>
        <w:t>Lessor or Similar Party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15"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29"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3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2"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00" w:lineRule="exact"/>
        <w:rPr>
          <w:sz w:val="20"/>
          <w:szCs w:val="20"/>
          <w:color w:val="auto"/>
        </w:rPr>
      </w:pPr>
    </w:p>
    <w:p>
      <w:pPr>
        <w:spacing w:after="0" w:line="25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Wells Fargo Bank, N.A.</w:t>
      </w:r>
    </w:p>
    <w:p>
      <w:pPr>
        <w:spacing w:after="0" w:line="200" w:lineRule="exact"/>
        <w:rPr>
          <w:sz w:val="20"/>
          <w:szCs w:val="20"/>
          <w:color w:val="auto"/>
        </w:rPr>
      </w:pPr>
    </w:p>
    <w:p>
      <w:pPr>
        <w:spacing w:after="0" w:line="290" w:lineRule="exact"/>
        <w:rPr>
          <w:sz w:val="20"/>
          <w:szCs w:val="20"/>
          <w:color w:val="auto"/>
        </w:rPr>
      </w:pPr>
    </w:p>
    <w:p>
      <w:pPr>
        <w:ind w:left="1020" w:right="240" w:hanging="165"/>
        <w:spacing w:after="0" w:line="262" w:lineRule="auto"/>
        <w:rPr>
          <w:sz w:val="20"/>
          <w:szCs w:val="20"/>
          <w:color w:val="auto"/>
        </w:rPr>
      </w:pPr>
      <w:r>
        <w:rPr>
          <w:rFonts w:ascii="Arial" w:cs="Arial" w:eastAsia="Arial" w:hAnsi="Arial"/>
          <w:sz w:val="19"/>
          <w:szCs w:val="19"/>
          <w:color w:val="auto"/>
        </w:rPr>
        <w:t>Total investments held by Wells Fargo Bank,</w:t>
      </w:r>
    </w:p>
    <w:p>
      <w:pPr>
        <w:ind w:left="70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780" w:type="dxa"/>
            <w:vAlign w:val="bottom"/>
            <w:gridSpan w:val="3"/>
          </w:tcPr>
          <w:p>
            <w:pPr>
              <w:jc w:val="center"/>
              <w:ind w:right="300"/>
              <w:spacing w:after="0"/>
              <w:rPr>
                <w:sz w:val="20"/>
                <w:szCs w:val="20"/>
                <w:color w:val="auto"/>
              </w:rPr>
            </w:pPr>
            <w:r>
              <w:rPr>
                <w:rFonts w:ascii="Arial" w:cs="Arial" w:eastAsia="Arial" w:hAnsi="Arial"/>
                <w:sz w:val="22"/>
                <w:szCs w:val="22"/>
                <w:b w:val="1"/>
                <w:bCs w:val="1"/>
                <w:color w:val="auto"/>
                <w:w w:val="88"/>
              </w:rPr>
              <w:t>Description of Investment,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jc w:val="center"/>
              <w:ind w:right="300"/>
              <w:spacing w:after="0" w:line="229" w:lineRule="exact"/>
              <w:rPr>
                <w:sz w:val="20"/>
                <w:szCs w:val="20"/>
                <w:color w:val="auto"/>
              </w:rPr>
            </w:pPr>
            <w:r>
              <w:rPr>
                <w:rFonts w:ascii="Arial" w:cs="Arial" w:eastAsia="Arial" w:hAnsi="Arial"/>
                <w:sz w:val="22"/>
                <w:szCs w:val="22"/>
                <w:b w:val="1"/>
                <w:bCs w:val="1"/>
                <w:color w:val="auto"/>
                <w:w w:val="93"/>
              </w:rPr>
              <w:t>Including Maturity Date,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3060" w:type="dxa"/>
            <w:vAlign w:val="bottom"/>
            <w:gridSpan w:val="2"/>
          </w:tcPr>
          <w:p>
            <w:pPr>
              <w:jc w:val="center"/>
              <w:ind w:right="1040"/>
              <w:spacing w:after="0" w:line="229" w:lineRule="exact"/>
              <w:rPr>
                <w:sz w:val="20"/>
                <w:szCs w:val="20"/>
                <w:color w:val="auto"/>
              </w:rPr>
            </w:pPr>
            <w:r>
              <w:rPr>
                <w:rFonts w:ascii="Arial" w:cs="Arial" w:eastAsia="Arial" w:hAnsi="Arial"/>
                <w:sz w:val="22"/>
                <w:szCs w:val="22"/>
                <w:b w:val="1"/>
                <w:bCs w:val="1"/>
                <w:color w:val="auto"/>
                <w:w w:val="90"/>
              </w:rPr>
              <w:t>Rate of Interest,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20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2"/>
                <w:szCs w:val="22"/>
                <w:b w:val="1"/>
                <w:bCs w:val="1"/>
                <w:color w:val="auto"/>
                <w:w w:val="94"/>
              </w:rPr>
              <w:t>Par or Maturity Value</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line="230" w:lineRule="exact"/>
              <w:rPr>
                <w:sz w:val="20"/>
                <w:szCs w:val="20"/>
                <w:color w:val="auto"/>
              </w:rPr>
            </w:pPr>
            <w:r>
              <w:rPr>
                <w:rFonts w:ascii="Arial" w:cs="Arial" w:eastAsia="Arial" w:hAnsi="Arial"/>
                <w:sz w:val="22"/>
                <w:szCs w:val="22"/>
                <w:b w:val="1"/>
                <w:bCs w:val="1"/>
                <w:color w:val="auto"/>
                <w:w w:val="91"/>
              </w:rPr>
              <w:t>Current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80" w:type="dxa"/>
            <w:vAlign w:val="bottom"/>
            <w:gridSpan w:val="3"/>
          </w:tcPr>
          <w:p>
            <w:pPr>
              <w:spacing w:after="0" w:line="242" w:lineRule="exact"/>
              <w:rPr>
                <w:sz w:val="20"/>
                <w:szCs w:val="20"/>
                <w:color w:val="auto"/>
              </w:rPr>
            </w:pPr>
            <w:r>
              <w:rPr>
                <w:rFonts w:ascii="Arial" w:cs="Arial" w:eastAsia="Arial" w:hAnsi="Arial"/>
                <w:sz w:val="22"/>
                <w:szCs w:val="22"/>
                <w:color w:val="auto"/>
              </w:rPr>
              <w:t>Wells Fargo Advantage Small Cap</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spacing w:after="0"/>
              <w:rPr>
                <w:sz w:val="20"/>
                <w:szCs w:val="20"/>
                <w:color w:val="auto"/>
              </w:rPr>
            </w:pPr>
            <w:r>
              <w:rPr>
                <w:rFonts w:ascii="Arial" w:cs="Arial" w:eastAsia="Arial" w:hAnsi="Arial"/>
                <w:sz w:val="22"/>
                <w:szCs w:val="22"/>
                <w:color w:val="auto"/>
              </w:rPr>
              <w:t>Value Fund (Z);19,900.6879 shares</w:t>
            </w:r>
          </w:p>
        </w:tc>
        <w:tc>
          <w:tcPr>
            <w:tcW w:w="2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600,404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rPr>
              <w:t>Dodge &amp; Cox Balanced; 15,777.3711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ind w:left="160"/>
              <w:spacing w:after="0"/>
              <w:rPr>
                <w:sz w:val="20"/>
                <w:szCs w:val="20"/>
                <w:color w:val="auto"/>
              </w:rPr>
            </w:pPr>
            <w:r>
              <w:rPr>
                <w:rFonts w:ascii="Arial" w:cs="Arial" w:eastAsia="Arial" w:hAnsi="Arial"/>
                <w:sz w:val="22"/>
                <w:szCs w:val="22"/>
                <w:color w:val="auto"/>
              </w:rPr>
              <w:t>shares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w w:val="91"/>
              </w:rPr>
              <w:t>1,283,331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22"/>
                <w:szCs w:val="22"/>
                <w:color w:val="auto"/>
                <w:w w:val="93"/>
              </w:rPr>
              <w:t>Dodge &amp; Cox Income; 2,278.2267 shares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28,569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rPr>
              <w:t>Oakmark International I; 15,718.4378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ind w:left="160"/>
              <w:spacing w:after="0"/>
              <w:rPr>
                <w:sz w:val="20"/>
                <w:szCs w:val="20"/>
                <w:color w:val="auto"/>
              </w:rPr>
            </w:pPr>
            <w:r>
              <w:rPr>
                <w:rFonts w:ascii="Arial" w:cs="Arial" w:eastAsia="Arial" w:hAnsi="Arial"/>
                <w:sz w:val="22"/>
                <w:szCs w:val="22"/>
                <w:color w:val="auto"/>
              </w:rPr>
              <w:t>shares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353,979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w w:val="90"/>
              </w:rPr>
              <w:t>Wells Fargo Advantage Total Return Bond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ind w:left="160"/>
              <w:spacing w:after="0"/>
              <w:rPr>
                <w:sz w:val="20"/>
                <w:szCs w:val="20"/>
                <w:color w:val="auto"/>
              </w:rPr>
            </w:pPr>
            <w:r>
              <w:rPr>
                <w:rFonts w:ascii="Arial" w:cs="Arial" w:eastAsia="Arial" w:hAnsi="Arial"/>
                <w:sz w:val="22"/>
                <w:szCs w:val="22"/>
                <w:color w:val="auto"/>
              </w:rPr>
              <w:t>Fund (Adm); 51,709.2102 shares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628,267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S&amp;P 500 Index Fund (G);</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ind w:left="160"/>
              <w:spacing w:after="0"/>
              <w:rPr>
                <w:sz w:val="20"/>
                <w:szCs w:val="20"/>
                <w:color w:val="auto"/>
              </w:rPr>
            </w:pPr>
            <w:r>
              <w:rPr>
                <w:rFonts w:ascii="Arial" w:cs="Arial" w:eastAsia="Arial" w:hAnsi="Arial"/>
                <w:sz w:val="22"/>
                <w:szCs w:val="22"/>
                <w:color w:val="auto"/>
              </w:rPr>
              <w:t>25,184.6879 shares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988,751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Stable Return Fund (S);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ind w:left="160"/>
              <w:spacing w:after="0"/>
              <w:rPr>
                <w:sz w:val="20"/>
                <w:szCs w:val="20"/>
                <w:color w:val="auto"/>
              </w:rPr>
            </w:pPr>
            <w:r>
              <w:rPr>
                <w:rFonts w:ascii="Arial" w:cs="Arial" w:eastAsia="Arial" w:hAnsi="Arial"/>
                <w:sz w:val="22"/>
                <w:szCs w:val="22"/>
                <w:color w:val="auto"/>
              </w:rPr>
              <w:t>37,885.2243 shares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w w:val="91"/>
              </w:rPr>
              <w:t>1,454,661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22"/>
                <w:szCs w:val="22"/>
                <w:color w:val="auto"/>
                <w:w w:val="91"/>
              </w:rPr>
              <w:t>Dreyfus Appreciation; 30,372.3971 shares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w w:val="91"/>
              </w:rPr>
              <w:t>1,207,303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22"/>
                <w:szCs w:val="22"/>
                <w:color w:val="auto"/>
              </w:rPr>
              <w:t>Calamos Growth (A); 892.8834 shares</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rPr>
              <w:t>49,162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rPr>
              <w:t>Investment in Phillips-Van Heusen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ind w:left="160"/>
              <w:spacing w:after="0" w:line="229" w:lineRule="exact"/>
              <w:rPr>
                <w:sz w:val="20"/>
                <w:szCs w:val="20"/>
                <w:color w:val="auto"/>
              </w:rPr>
            </w:pPr>
            <w:r>
              <w:rPr>
                <w:rFonts w:ascii="Arial" w:cs="Arial" w:eastAsia="Arial" w:hAnsi="Arial"/>
                <w:sz w:val="22"/>
                <w:szCs w:val="22"/>
                <w:color w:val="auto"/>
                <w:w w:val="89"/>
              </w:rPr>
              <w:t>Corporation Associates Investment Plans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gridSpan w:val="3"/>
          </w:tcPr>
          <w:p>
            <w:pPr>
              <w:ind w:left="160"/>
              <w:spacing w:after="0"/>
              <w:rPr>
                <w:sz w:val="20"/>
                <w:szCs w:val="20"/>
                <w:color w:val="auto"/>
              </w:rPr>
            </w:pPr>
            <w:r>
              <w:rPr>
                <w:rFonts w:ascii="Arial" w:cs="Arial" w:eastAsia="Arial" w:hAnsi="Arial"/>
                <w:sz w:val="22"/>
                <w:szCs w:val="22"/>
                <w:color w:val="auto"/>
              </w:rPr>
              <w:t>Master Trust; 1,272,007.4021 units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22"/>
                <w:szCs w:val="22"/>
                <w:color w:val="auto"/>
                <w:w w:val="91"/>
              </w:rPr>
              <w:t>2,844,336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line="229" w:lineRule="exact"/>
              <w:rPr>
                <w:sz w:val="20"/>
                <w:szCs w:val="20"/>
                <w:color w:val="auto"/>
              </w:rPr>
            </w:pPr>
            <w:r>
              <w:rPr>
                <w:rFonts w:ascii="Arial" w:cs="Arial" w:eastAsia="Arial" w:hAnsi="Arial"/>
                <w:sz w:val="22"/>
                <w:szCs w:val="22"/>
                <w:color w:val="auto"/>
                <w:w w:val="95"/>
              </w:rPr>
              <w:t>Loan Fund; 511,489 units maturity dates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22"/>
                <w:szCs w:val="22"/>
                <w:color w:val="auto"/>
              </w:rPr>
              <w:t>511,489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780" w:type="dxa"/>
            <w:vAlign w:val="bottom"/>
            <w:gridSpan w:val="3"/>
          </w:tcPr>
          <w:p>
            <w:pPr>
              <w:ind w:left="160"/>
              <w:spacing w:after="0" w:line="251" w:lineRule="exact"/>
              <w:rPr>
                <w:sz w:val="20"/>
                <w:szCs w:val="20"/>
                <w:color w:val="auto"/>
              </w:rPr>
            </w:pPr>
            <w:r>
              <w:rPr>
                <w:rFonts w:ascii="Arial" w:cs="Arial" w:eastAsia="Arial" w:hAnsi="Arial"/>
                <w:sz w:val="22"/>
                <w:szCs w:val="22"/>
                <w:color w:val="auto"/>
                <w:w w:val="88"/>
              </w:rPr>
              <w:t>through 2019, interest rates: 5% to 10.5%</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46"/>
        </w:trPr>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w w:val="91"/>
              </w:rPr>
              <w:t>9,950,252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ectPr>
          <w:pgSz w:w="11900" w:h="16838" w:orient="portrait"/>
          <w:cols w:equalWidth="0" w:num="2">
            <w:col w:w="3140" w:space="200"/>
            <w:col w:w="6880"/>
          </w:cols>
          <w:pgMar w:left="1440" w:top="6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F-12</w:t>
      </w:r>
    </w:p>
    <w:p>
      <w:pPr>
        <w:sectPr>
          <w:pgSz w:w="11900" w:h="16838" w:orient="portrait"/>
          <w:cols w:equalWidth="0" w:num="1">
            <w:col w:w="10220"/>
          </w:cols>
          <w:pgMar w:left="1440" w:top="60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25"/>
          <w:szCs w:val="25"/>
          <w:color w:val="auto"/>
        </w:rPr>
        <w:t>[Letterhead of Spielman Koenigsberg &amp; Parker, LLP]</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Committee of the Plan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Phillips-Van Heusen Corporation</w:t>
      </w:r>
    </w:p>
    <w:p>
      <w:pPr>
        <w:spacing w:after="0"/>
        <w:rPr>
          <w:sz w:val="20"/>
          <w:szCs w:val="20"/>
          <w:color w:val="auto"/>
        </w:rPr>
      </w:pPr>
      <w:r>
        <w:rPr>
          <w:rFonts w:ascii="Arial" w:cs="Arial" w:eastAsia="Arial" w:hAnsi="Arial"/>
          <w:sz w:val="20"/>
          <w:szCs w:val="20"/>
          <w:color w:val="auto"/>
        </w:rPr>
        <w:t>Associates Investment Plan for Salaried Associates</w:t>
      </w:r>
    </w:p>
    <w:p>
      <w:pPr>
        <w:spacing w:after="0" w:line="22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9"/>
          <w:szCs w:val="19"/>
          <w:color w:val="auto"/>
        </w:rPr>
        <w:t>We have audited the accompanying statements of net assets available for benefits of the Phillips-Van Heusen Corporation Associates Investment Plan for Salaried Associates as of December 31, 2005, and the related statements of changes in net assets available for benefits for the year then ended. These financial statements are the responsibility of the Plan’s management. Our responsibility is to express an opinion on these financial statements based on our audit. The financial statements of the Phillips-Van Heusen Corporation Associates Investments Plan for Salaried Associates as of and for the year ended December 31, 2004 were audited by other auditors whose report dated May 31, 2005 expressed an unqualified opinion on those statements.</w:t>
      </w:r>
    </w:p>
    <w:p>
      <w:pPr>
        <w:spacing w:after="0" w:line="206" w:lineRule="exact"/>
        <w:rPr>
          <w:sz w:val="20"/>
          <w:szCs w:val="20"/>
          <w:color w:val="auto"/>
        </w:rPr>
      </w:pPr>
    </w:p>
    <w:p>
      <w:pPr>
        <w:ind w:right="80" w:firstLine="648"/>
        <w:spacing w:after="0" w:line="273" w:lineRule="auto"/>
        <w:rPr>
          <w:sz w:val="20"/>
          <w:szCs w:val="20"/>
          <w:color w:val="auto"/>
        </w:rPr>
      </w:pPr>
      <w:r>
        <w:rPr>
          <w:rFonts w:ascii="Arial" w:cs="Arial" w:eastAsia="Arial" w:hAnsi="Arial"/>
          <w:sz w:val="18"/>
          <w:szCs w:val="18"/>
          <w:color w:val="auto"/>
        </w:rPr>
        <w:t>We conducted our audit in accordance with the standards of the Public Company Accounting Oversights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 ade by management, as well as evaluating the overall financial statement presentation. We believe that our audit provides a reasonable basis for our opinion.</w:t>
      </w:r>
    </w:p>
    <w:p>
      <w:pPr>
        <w:spacing w:after="0" w:line="196"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assets available for benefits of the Plan as of December 31, 2005, and the changes in its net assets available for benefits for the year then ended, in conformity with accounting principles generally accepted in the United States.</w:t>
      </w:r>
    </w:p>
    <w:p>
      <w:pPr>
        <w:spacing w:after="0" w:line="213"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Our audit was performed for the purpose of forming an opinion on the financial statements taken as a whole. The accompanying supplemental schedule of assets (held at end of year) as of December 31, 2005,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 of the financial statements and, in our opinion is fairly stated in all material respects in relation to the financial statements taken as a whole.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/S/ SPIELMAN KOENIGSBERG &amp; PARKER, LLP</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June 19, 2006</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ectPr>
          <w:pgSz w:w="11900" w:h="16838" w:orient="portrait"/>
          <w:cols w:equalWidth="0" w:num="1">
            <w:col w:w="11420"/>
          </w:cols>
          <w:pgMar w:left="240" w:top="609" w:right="239" w:bottom="1440" w:gutter="0" w:footer="0" w:header="0"/>
        </w:sectPr>
      </w:pPr>
    </w:p>
    <w:bookmarkStart w:id="16" w:name="page17"/>
    <w:bookmarkEnd w:id="16"/>
    <w:p>
      <w:pPr>
        <w:jc w:val="center"/>
        <w:ind w:right="-118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ASSOCIATES INVESTMENT PLAN FOR SALARIED ASSOCIATES</w:t>
      </w:r>
    </w:p>
    <w:p>
      <w:pPr>
        <w:spacing w:after="0" w:line="242"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STATEMENTS OF NET ASSETS AVAILABLE FOR BENEFITS</w:t>
      </w:r>
    </w:p>
    <w:p>
      <w:pPr>
        <w:spacing w:after="0" w:line="31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December 31, 2005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00" w:type="dxa"/>
            <w:vAlign w:val="bottom"/>
          </w:tcPr>
          <w:p>
            <w:pPr>
              <w:spacing w:after="0"/>
              <w:rPr>
                <w:sz w:val="21"/>
                <w:szCs w:val="21"/>
                <w:color w:val="auto"/>
              </w:rPr>
            </w:pPr>
          </w:p>
        </w:tc>
        <w:tc>
          <w:tcPr>
            <w:tcW w:w="2560" w:type="dxa"/>
            <w:vAlign w:val="bottom"/>
            <w:gridSpan w:val="4"/>
          </w:tcPr>
          <w:p>
            <w:pPr>
              <w:jc w:val="right"/>
              <w:ind w:right="440"/>
              <w:spacing w:after="0"/>
              <w:rPr>
                <w:sz w:val="20"/>
                <w:szCs w:val="20"/>
                <w:color w:val="auto"/>
              </w:rPr>
            </w:pPr>
            <w:r>
              <w:rPr>
                <w:rFonts w:ascii="Arial" w:cs="Arial" w:eastAsia="Arial" w:hAnsi="Arial"/>
                <w:sz w:val="22"/>
                <w:szCs w:val="22"/>
                <w:color w:val="auto"/>
              </w:rPr>
              <w:t>2005</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22"/>
                <w:szCs w:val="22"/>
                <w:color w:val="auto"/>
              </w:rPr>
              <w:t>2004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6"/>
        </w:trPr>
        <w:tc>
          <w:tcPr>
            <w:tcW w:w="490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160"/>
              <w:spacing w:after="0"/>
              <w:rPr>
                <w:sz w:val="20"/>
                <w:szCs w:val="20"/>
                <w:color w:val="auto"/>
              </w:rPr>
            </w:pPr>
            <w:r>
              <w:rPr>
                <w:rFonts w:ascii="Arial" w:cs="Arial" w:eastAsia="Arial" w:hAnsi="Arial"/>
                <w:sz w:val="22"/>
                <w:szCs w:val="22"/>
                <w:color w:val="auto"/>
              </w:rPr>
              <w:t>Investments, at fair value:</w:t>
            </w: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20"/>
              <w:spacing w:after="0"/>
              <w:rPr>
                <w:sz w:val="20"/>
                <w:szCs w:val="20"/>
                <w:color w:val="auto"/>
              </w:rPr>
            </w:pPr>
            <w:r>
              <w:rPr>
                <w:rFonts w:ascii="Arial" w:cs="Arial" w:eastAsia="Arial" w:hAnsi="Arial"/>
                <w:sz w:val="22"/>
                <w:szCs w:val="22"/>
                <w:color w:val="auto"/>
              </w:rPr>
              <w:t>Investments held by Wells Fargo Bank:</w:t>
            </w: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Stable Return Fund</w:t>
            </w:r>
          </w:p>
        </w:tc>
        <w:tc>
          <w:tcPr>
            <w:tcW w:w="2560" w:type="dxa"/>
            <w:vAlign w:val="bottom"/>
            <w:gridSpan w:val="4"/>
          </w:tcPr>
          <w:p>
            <w:pPr>
              <w:jc w:val="right"/>
              <w:ind w:right="100"/>
              <w:spacing w:after="0"/>
              <w:rPr>
                <w:sz w:val="20"/>
                <w:szCs w:val="20"/>
                <w:color w:val="auto"/>
              </w:rPr>
            </w:pPr>
            <w:r>
              <w:rPr>
                <w:rFonts w:ascii="Arial" w:cs="Arial" w:eastAsia="Arial" w:hAnsi="Arial"/>
                <w:sz w:val="22"/>
                <w:szCs w:val="22"/>
                <w:color w:val="auto"/>
              </w:rPr>
              <w:t>$ 12,052,826</w:t>
            </w:r>
          </w:p>
        </w:tc>
        <w:tc>
          <w:tcPr>
            <w:tcW w:w="500" w:type="dxa"/>
            <w:vAlign w:val="bottom"/>
            <w:gridSpan w:val="2"/>
          </w:tcPr>
          <w:p>
            <w:pPr>
              <w:jc w:val="right"/>
              <w:ind w:right="80"/>
              <w:spacing w:after="0"/>
              <w:rPr>
                <w:sz w:val="20"/>
                <w:szCs w:val="20"/>
                <w:color w:val="auto"/>
              </w:rPr>
            </w:pPr>
            <w:r>
              <w:rPr>
                <w:rFonts w:ascii="Arial" w:cs="Arial" w:eastAsia="Arial" w:hAnsi="Arial"/>
                <w:sz w:val="22"/>
                <w:szCs w:val="22"/>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22"/>
                <w:szCs w:val="22"/>
                <w:color w:val="auto"/>
              </w:rPr>
              <w:t>-</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Mutual Funds</w:t>
            </w:r>
          </w:p>
        </w:tc>
        <w:tc>
          <w:tcPr>
            <w:tcW w:w="2560" w:type="dxa"/>
            <w:vAlign w:val="bottom"/>
            <w:gridSpan w:val="4"/>
          </w:tcPr>
          <w:p>
            <w:pPr>
              <w:jc w:val="right"/>
              <w:ind w:right="100"/>
              <w:spacing w:after="0"/>
              <w:rPr>
                <w:sz w:val="20"/>
                <w:szCs w:val="20"/>
                <w:color w:val="auto"/>
              </w:rPr>
            </w:pPr>
            <w:r>
              <w:rPr>
                <w:rFonts w:ascii="Arial" w:cs="Arial" w:eastAsia="Arial" w:hAnsi="Arial"/>
                <w:sz w:val="22"/>
                <w:szCs w:val="22"/>
                <w:color w:val="auto"/>
              </w:rPr>
              <w:t>73,542,816</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80"/>
              <w:spacing w:after="0" w:line="243" w:lineRule="exact"/>
              <w:rPr>
                <w:sz w:val="20"/>
                <w:szCs w:val="20"/>
                <w:color w:val="auto"/>
              </w:rPr>
            </w:pPr>
            <w:r>
              <w:rPr>
                <w:rFonts w:ascii="Arial" w:cs="Arial" w:eastAsia="Arial" w:hAnsi="Arial"/>
                <w:sz w:val="22"/>
                <w:szCs w:val="22"/>
                <w:color w:val="auto"/>
                <w:w w:val="96"/>
              </w:rPr>
              <w:t>Investment in Phillips-Van Heusen Corporation</w:t>
            </w:r>
          </w:p>
        </w:tc>
        <w:tc>
          <w:tcPr>
            <w:tcW w:w="2560" w:type="dxa"/>
            <w:vAlign w:val="bottom"/>
            <w:gridSpan w:val="4"/>
          </w:tcPr>
          <w:p>
            <w:pPr>
              <w:jc w:val="right"/>
              <w:ind w:right="1340"/>
              <w:spacing w:after="0" w:line="243" w:lineRule="exact"/>
              <w:rPr>
                <w:sz w:val="20"/>
                <w:szCs w:val="20"/>
                <w:color w:val="auto"/>
              </w:rPr>
            </w:pPr>
            <w:r>
              <w:rPr>
                <w:rFonts w:ascii="Arial" w:cs="Arial" w:eastAsia="Arial" w:hAnsi="Arial"/>
                <w:sz w:val="22"/>
                <w:szCs w:val="22"/>
                <w:color w:val="auto"/>
              </w:rPr>
              <w:t>Associates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Investment Plans Master Trust</w:t>
            </w:r>
          </w:p>
        </w:tc>
        <w:tc>
          <w:tcPr>
            <w:tcW w:w="2560" w:type="dxa"/>
            <w:vAlign w:val="bottom"/>
            <w:gridSpan w:val="4"/>
          </w:tcPr>
          <w:p>
            <w:pPr>
              <w:jc w:val="right"/>
              <w:ind w:right="100"/>
              <w:spacing w:after="0"/>
              <w:rPr>
                <w:sz w:val="20"/>
                <w:szCs w:val="20"/>
                <w:color w:val="auto"/>
              </w:rPr>
            </w:pPr>
            <w:r>
              <w:rPr>
                <w:rFonts w:ascii="Arial" w:cs="Arial" w:eastAsia="Arial" w:hAnsi="Arial"/>
                <w:sz w:val="22"/>
                <w:szCs w:val="22"/>
                <w:color w:val="auto"/>
              </w:rPr>
              <w:t>29,777,423</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320"/>
              <w:spacing w:after="0"/>
              <w:rPr>
                <w:sz w:val="20"/>
                <w:szCs w:val="20"/>
                <w:color w:val="auto"/>
              </w:rPr>
            </w:pPr>
            <w:r>
              <w:rPr>
                <w:rFonts w:ascii="Arial" w:cs="Arial" w:eastAsia="Arial" w:hAnsi="Arial"/>
                <w:sz w:val="22"/>
                <w:szCs w:val="22"/>
                <w:color w:val="auto"/>
              </w:rPr>
              <w:t>Investments held by State Street Bank:</w:t>
            </w: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Stable Value Funds</w:t>
            </w: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22"/>
                <w:szCs w:val="22"/>
                <w:color w:val="auto"/>
                <w:w w:val="94"/>
              </w:rPr>
              <w:t>10,331,420</w:t>
            </w:r>
          </w:p>
        </w:tc>
        <w:tc>
          <w:tcPr>
            <w:tcW w:w="0" w:type="dxa"/>
            <w:vAlign w:val="bottom"/>
          </w:tcPr>
          <w:p>
            <w:pPr>
              <w:spacing w:after="0"/>
              <w:rPr>
                <w:sz w:val="1"/>
                <w:szCs w:val="1"/>
                <w:color w:val="auto"/>
              </w:rPr>
            </w:pPr>
          </w:p>
        </w:tc>
      </w:tr>
      <w:tr>
        <w:trPr>
          <w:trHeight w:val="275"/>
        </w:trPr>
        <w:tc>
          <w:tcPr>
            <w:tcW w:w="4900" w:type="dxa"/>
            <w:vAlign w:val="bottom"/>
          </w:tcPr>
          <w:p>
            <w:pPr>
              <w:ind w:left="480"/>
              <w:spacing w:after="0"/>
              <w:rPr>
                <w:sz w:val="20"/>
                <w:szCs w:val="20"/>
                <w:color w:val="auto"/>
              </w:rPr>
            </w:pPr>
            <w:r>
              <w:rPr>
                <w:rFonts w:ascii="Arial" w:cs="Arial" w:eastAsia="Arial" w:hAnsi="Arial"/>
                <w:sz w:val="22"/>
                <w:szCs w:val="22"/>
                <w:color w:val="auto"/>
              </w:rPr>
              <w:t>Mutual Funds</w:t>
            </w:r>
          </w:p>
        </w:tc>
        <w:tc>
          <w:tcPr>
            <w:tcW w:w="2560" w:type="dxa"/>
            <w:vAlign w:val="bottom"/>
            <w:gridSpan w:val="4"/>
            <w:vMerge w:val="restart"/>
          </w:tcPr>
          <w:p>
            <w:pPr>
              <w:jc w:val="right"/>
              <w:ind w:right="1340"/>
              <w:spacing w:after="0"/>
              <w:rPr>
                <w:sz w:val="20"/>
                <w:szCs w:val="20"/>
                <w:color w:val="auto"/>
              </w:rPr>
            </w:pPr>
            <w:r>
              <w:rPr>
                <w:rFonts w:ascii="Arial" w:cs="Arial" w:eastAsia="Arial" w:hAnsi="Arial"/>
                <w:sz w:val="22"/>
                <w:szCs w:val="22"/>
                <w:color w:val="auto"/>
              </w:rPr>
              <w:t>Associates</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22"/>
                <w:szCs w:val="22"/>
                <w:color w:val="auto"/>
                <w:w w:val="94"/>
              </w:rPr>
              <w:t>62,079,054</w:t>
            </w:r>
          </w:p>
        </w:tc>
        <w:tc>
          <w:tcPr>
            <w:tcW w:w="0" w:type="dxa"/>
            <w:vAlign w:val="bottom"/>
          </w:tcPr>
          <w:p>
            <w:pPr>
              <w:spacing w:after="0"/>
              <w:rPr>
                <w:sz w:val="1"/>
                <w:szCs w:val="1"/>
                <w:color w:val="auto"/>
              </w:rPr>
            </w:pPr>
          </w:p>
        </w:tc>
      </w:tr>
      <w:tr>
        <w:trPr>
          <w:trHeight w:val="239"/>
        </w:trPr>
        <w:tc>
          <w:tcPr>
            <w:tcW w:w="4900" w:type="dxa"/>
            <w:vAlign w:val="bottom"/>
          </w:tcPr>
          <w:p>
            <w:pPr>
              <w:ind w:left="480"/>
              <w:spacing w:after="0" w:line="239" w:lineRule="exact"/>
              <w:rPr>
                <w:sz w:val="20"/>
                <w:szCs w:val="20"/>
                <w:color w:val="auto"/>
              </w:rPr>
            </w:pPr>
            <w:r>
              <w:rPr>
                <w:rFonts w:ascii="Arial" w:cs="Arial" w:eastAsia="Arial" w:hAnsi="Arial"/>
                <w:sz w:val="22"/>
                <w:szCs w:val="22"/>
                <w:color w:val="auto"/>
                <w:w w:val="96"/>
              </w:rPr>
              <w:t>Investment in Phillips-Van Heusen Corporation</w:t>
            </w:r>
          </w:p>
        </w:tc>
        <w:tc>
          <w:tcPr>
            <w:tcW w:w="2560" w:type="dxa"/>
            <w:vAlign w:val="bottom"/>
            <w:gridSpan w:val="4"/>
            <w:vMerge w:val="continue"/>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vMerge w:val="restart"/>
          </w:tcPr>
          <w:p>
            <w:pPr>
              <w:jc w:val="right"/>
              <w:ind w:right="120"/>
              <w:spacing w:after="0"/>
              <w:rPr>
                <w:sz w:val="20"/>
                <w:szCs w:val="20"/>
                <w:color w:val="auto"/>
              </w:rPr>
            </w:pPr>
            <w:r>
              <w:rPr>
                <w:rFonts w:ascii="Arial" w:cs="Arial" w:eastAsia="Arial" w:hAnsi="Arial"/>
                <w:sz w:val="22"/>
                <w:szCs w:val="22"/>
                <w:color w:val="auto"/>
                <w:w w:val="94"/>
              </w:rPr>
              <w:t>28,041,243</w:t>
            </w:r>
          </w:p>
        </w:tc>
        <w:tc>
          <w:tcPr>
            <w:tcW w:w="0" w:type="dxa"/>
            <w:vAlign w:val="bottom"/>
          </w:tcPr>
          <w:p>
            <w:pPr>
              <w:spacing w:after="0"/>
              <w:rPr>
                <w:sz w:val="1"/>
                <w:szCs w:val="1"/>
                <w:color w:val="auto"/>
              </w:rPr>
            </w:pPr>
          </w:p>
        </w:tc>
      </w:tr>
      <w:tr>
        <w:trPr>
          <w:trHeight w:val="270"/>
        </w:trPr>
        <w:tc>
          <w:tcPr>
            <w:tcW w:w="4900" w:type="dxa"/>
            <w:vAlign w:val="bottom"/>
          </w:tcPr>
          <w:p>
            <w:pPr>
              <w:ind w:left="480"/>
              <w:spacing w:after="0"/>
              <w:rPr>
                <w:sz w:val="20"/>
                <w:szCs w:val="20"/>
                <w:color w:val="auto"/>
              </w:rPr>
            </w:pPr>
            <w:r>
              <w:rPr>
                <w:rFonts w:ascii="Arial" w:cs="Arial" w:eastAsia="Arial" w:hAnsi="Arial"/>
                <w:sz w:val="22"/>
                <w:szCs w:val="22"/>
                <w:color w:val="auto"/>
              </w:rPr>
              <w:t>Investment Plans Master Trust</w:t>
            </w: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00" w:type="dxa"/>
            <w:vAlign w:val="bottom"/>
          </w:tcPr>
          <w:p>
            <w:pPr>
              <w:ind w:left="160"/>
              <w:spacing w:after="0"/>
              <w:rPr>
                <w:sz w:val="20"/>
                <w:szCs w:val="20"/>
                <w:color w:val="auto"/>
              </w:rPr>
            </w:pPr>
            <w:r>
              <w:rPr>
                <w:rFonts w:ascii="Arial" w:cs="Arial" w:eastAsia="Arial" w:hAnsi="Arial"/>
                <w:sz w:val="22"/>
                <w:szCs w:val="22"/>
                <w:color w:val="auto"/>
              </w:rPr>
              <w:t>Participant loans receivable</w:t>
            </w:r>
          </w:p>
        </w:tc>
        <w:tc>
          <w:tcPr>
            <w:tcW w:w="2560" w:type="dxa"/>
            <w:vAlign w:val="bottom"/>
            <w:gridSpan w:val="4"/>
          </w:tcPr>
          <w:p>
            <w:pPr>
              <w:jc w:val="right"/>
              <w:ind w:right="100"/>
              <w:spacing w:after="0"/>
              <w:rPr>
                <w:sz w:val="20"/>
                <w:szCs w:val="20"/>
                <w:color w:val="auto"/>
              </w:rPr>
            </w:pPr>
            <w:r>
              <w:rPr>
                <w:rFonts w:ascii="Arial" w:cs="Arial" w:eastAsia="Arial" w:hAnsi="Arial"/>
                <w:sz w:val="22"/>
                <w:szCs w:val="22"/>
                <w:color w:val="auto"/>
              </w:rPr>
              <w:t>1,789,881</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22"/>
                <w:szCs w:val="22"/>
                <w:color w:val="auto"/>
              </w:rPr>
              <w:t>1,542,866</w:t>
            </w:r>
          </w:p>
        </w:tc>
        <w:tc>
          <w:tcPr>
            <w:tcW w:w="0" w:type="dxa"/>
            <w:vAlign w:val="bottom"/>
          </w:tcPr>
          <w:p>
            <w:pPr>
              <w:spacing w:after="0"/>
              <w:rPr>
                <w:sz w:val="1"/>
                <w:szCs w:val="1"/>
                <w:color w:val="auto"/>
              </w:rPr>
            </w:pPr>
          </w:p>
        </w:tc>
      </w:tr>
      <w:tr>
        <w:trPr>
          <w:trHeight w:val="275"/>
        </w:trPr>
        <w:tc>
          <w:tcPr>
            <w:tcW w:w="4900" w:type="dxa"/>
            <w:vAlign w:val="bottom"/>
          </w:tcPr>
          <w:p>
            <w:pPr>
              <w:ind w:left="160"/>
              <w:spacing w:after="0"/>
              <w:rPr>
                <w:sz w:val="20"/>
                <w:szCs w:val="20"/>
                <w:color w:val="auto"/>
              </w:rPr>
            </w:pPr>
            <w:r>
              <w:rPr>
                <w:rFonts w:ascii="Arial" w:cs="Arial" w:eastAsia="Arial" w:hAnsi="Arial"/>
                <w:sz w:val="22"/>
                <w:szCs w:val="22"/>
                <w:color w:val="auto"/>
              </w:rPr>
              <w:t>Contributions receivable</w:t>
            </w:r>
          </w:p>
        </w:tc>
        <w:tc>
          <w:tcPr>
            <w:tcW w:w="1240" w:type="dxa"/>
            <w:vAlign w:val="bottom"/>
          </w:tcPr>
          <w:p>
            <w:pPr>
              <w:spacing w:after="0"/>
              <w:rPr>
                <w:sz w:val="23"/>
                <w:szCs w:val="23"/>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379,825</w:t>
            </w:r>
          </w:p>
        </w:tc>
        <w:tc>
          <w:tcPr>
            <w:tcW w:w="3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321,907</w:t>
            </w:r>
          </w:p>
        </w:tc>
        <w:tc>
          <w:tcPr>
            <w:tcW w:w="0" w:type="dxa"/>
            <w:vAlign w:val="bottom"/>
          </w:tcPr>
          <w:p>
            <w:pPr>
              <w:spacing w:after="0"/>
              <w:rPr>
                <w:sz w:val="1"/>
                <w:szCs w:val="1"/>
                <w:color w:val="auto"/>
              </w:rPr>
            </w:pPr>
          </w:p>
        </w:tc>
      </w:tr>
      <w:tr>
        <w:trPr>
          <w:trHeight w:val="535"/>
        </w:trPr>
        <w:tc>
          <w:tcPr>
            <w:tcW w:w="4900" w:type="dxa"/>
            <w:vAlign w:val="bottom"/>
          </w:tcPr>
          <w:p>
            <w:pPr>
              <w:spacing w:after="0"/>
              <w:rPr>
                <w:sz w:val="20"/>
                <w:szCs w:val="20"/>
                <w:color w:val="auto"/>
              </w:rPr>
            </w:pPr>
            <w:r>
              <w:rPr>
                <w:rFonts w:ascii="Arial" w:cs="Arial" w:eastAsia="Arial" w:hAnsi="Arial"/>
                <w:sz w:val="22"/>
                <w:szCs w:val="22"/>
                <w:b w:val="1"/>
                <w:bCs w:val="1"/>
                <w:color w:val="auto"/>
              </w:rPr>
              <w:t>Net assets available for benefits</w:t>
            </w:r>
          </w:p>
        </w:tc>
        <w:tc>
          <w:tcPr>
            <w:tcW w:w="2560" w:type="dxa"/>
            <w:vAlign w:val="bottom"/>
            <w:gridSpan w:val="4"/>
          </w:tcPr>
          <w:p>
            <w:pPr>
              <w:jc w:val="right"/>
              <w:ind w:right="120"/>
              <w:spacing w:after="0"/>
              <w:rPr>
                <w:sz w:val="20"/>
                <w:szCs w:val="20"/>
                <w:color w:val="auto"/>
              </w:rPr>
            </w:pPr>
            <w:r>
              <w:rPr>
                <w:rFonts w:ascii="Arial" w:cs="Arial" w:eastAsia="Arial" w:hAnsi="Arial"/>
                <w:sz w:val="22"/>
                <w:szCs w:val="22"/>
                <w:color w:val="auto"/>
              </w:rPr>
              <w:t>$ 117,542,771</w:t>
            </w:r>
          </w:p>
        </w:tc>
        <w:tc>
          <w:tcPr>
            <w:tcW w:w="1680" w:type="dxa"/>
            <w:vAlign w:val="bottom"/>
            <w:gridSpan w:val="5"/>
          </w:tcPr>
          <w:p>
            <w:pPr>
              <w:jc w:val="right"/>
              <w:ind w:right="120"/>
              <w:spacing w:after="0"/>
              <w:rPr>
                <w:sz w:val="20"/>
                <w:szCs w:val="20"/>
                <w:color w:val="auto"/>
              </w:rPr>
            </w:pPr>
            <w:r>
              <w:rPr>
                <w:rFonts w:ascii="Arial" w:cs="Arial" w:eastAsia="Arial" w:hAnsi="Arial"/>
                <w:sz w:val="22"/>
                <w:szCs w:val="22"/>
                <w:color w:val="auto"/>
              </w:rPr>
              <w:t>$ 102,316,490</w:t>
            </w:r>
          </w:p>
        </w:tc>
        <w:tc>
          <w:tcPr>
            <w:tcW w:w="0" w:type="dxa"/>
            <w:vAlign w:val="bottom"/>
          </w:tcPr>
          <w:p>
            <w:pPr>
              <w:spacing w:after="0"/>
              <w:rPr>
                <w:sz w:val="1"/>
                <w:szCs w:val="1"/>
                <w:color w:val="auto"/>
              </w:rPr>
            </w:pPr>
          </w:p>
        </w:tc>
      </w:tr>
      <w:tr>
        <w:trPr>
          <w:trHeight w:val="22"/>
        </w:trPr>
        <w:tc>
          <w:tcPr>
            <w:tcW w:w="4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accompanying notes are an integral</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part of these financial statements.</w:t>
      </w:r>
    </w:p>
    <w:p>
      <w:pPr>
        <w:spacing w:after="0" w:line="242"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F-14</w:t>
      </w:r>
    </w:p>
    <w:p>
      <w:pPr>
        <w:sectPr>
          <w:pgSz w:w="11900" w:h="16838" w:orient="portrait"/>
          <w:cols w:equalWidth="0" w:num="1">
            <w:col w:w="10199"/>
          </w:cols>
          <w:pgMar w:left="260" w:top="847" w:right="1440" w:bottom="1440" w:gutter="0" w:footer="0" w:header="0"/>
        </w:sectPr>
      </w:pPr>
    </w:p>
    <w:bookmarkStart w:id="17" w:name="page18"/>
    <w:bookmarkEnd w:id="17"/>
    <w:p>
      <w:pPr>
        <w:jc w:val="center"/>
        <w:ind w:right="-1180"/>
        <w:spacing w:after="0"/>
        <w:rPr>
          <w:sz w:val="20"/>
          <w:szCs w:val="20"/>
          <w:color w:val="auto"/>
        </w:rPr>
      </w:pPr>
      <w:r>
        <w:rPr>
          <w:rFonts w:ascii="Arial" w:cs="Arial" w:eastAsia="Arial" w:hAnsi="Arial"/>
          <w:sz w:val="25"/>
          <w:szCs w:val="25"/>
          <w:color w:val="auto"/>
        </w:rPr>
        <w:t>PHILLIPS-VAN HEUSEN CORPORATION</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STATEMENTS OF CHANGES IN NET ASSETS AVAILABLE FOR BENEFITS</w:t>
      </w:r>
    </w:p>
    <w:p>
      <w:pPr>
        <w:spacing w:after="0" w:line="349"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For the Years Ended December 31, 2005 and 2004</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22"/>
                <w:szCs w:val="22"/>
                <w:color w:val="auto"/>
              </w:rPr>
              <w:t>2005</w:t>
            </w:r>
          </w:p>
        </w:tc>
        <w:tc>
          <w:tcPr>
            <w:tcW w:w="44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22"/>
                <w:szCs w:val="22"/>
                <w:color w:val="auto"/>
              </w:rPr>
              <w:t>2004</w:t>
            </w:r>
          </w:p>
        </w:tc>
        <w:tc>
          <w:tcPr>
            <w:tcW w:w="460" w:type="dxa"/>
            <w:vAlign w:val="bottom"/>
          </w:tcPr>
          <w:p>
            <w:pPr>
              <w:spacing w:after="0"/>
              <w:rPr>
                <w:sz w:val="21"/>
                <w:szCs w:val="21"/>
                <w:color w:val="auto"/>
              </w:rPr>
            </w:pPr>
          </w:p>
        </w:tc>
      </w:tr>
      <w:tr>
        <w:trPr>
          <w:trHeight w:val="544"/>
        </w:trPr>
        <w:tc>
          <w:tcPr>
            <w:tcW w:w="4820" w:type="dxa"/>
            <w:vAlign w:val="bottom"/>
          </w:tcPr>
          <w:p>
            <w:pPr>
              <w:spacing w:after="0"/>
              <w:rPr>
                <w:sz w:val="20"/>
                <w:szCs w:val="20"/>
                <w:color w:val="auto"/>
              </w:rPr>
            </w:pPr>
            <w:r>
              <w:rPr>
                <w:rFonts w:ascii="Arial" w:cs="Arial" w:eastAsia="Arial" w:hAnsi="Arial"/>
                <w:sz w:val="22"/>
                <w:szCs w:val="22"/>
                <w:b w:val="1"/>
                <w:bCs w:val="1"/>
                <w:color w:val="auto"/>
              </w:rPr>
              <w:t>Additions</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r>
        <w:trPr>
          <w:trHeight w:val="536"/>
        </w:trPr>
        <w:tc>
          <w:tcPr>
            <w:tcW w:w="4820" w:type="dxa"/>
            <w:vAlign w:val="bottom"/>
          </w:tcPr>
          <w:p>
            <w:pPr>
              <w:ind w:left="160"/>
              <w:spacing w:after="0"/>
              <w:rPr>
                <w:sz w:val="20"/>
                <w:szCs w:val="20"/>
                <w:color w:val="auto"/>
              </w:rPr>
            </w:pPr>
            <w:r>
              <w:rPr>
                <w:rFonts w:ascii="Arial" w:cs="Arial" w:eastAsia="Arial" w:hAnsi="Arial"/>
                <w:sz w:val="22"/>
                <w:szCs w:val="22"/>
                <w:color w:val="auto"/>
              </w:rPr>
              <w:t>Contributions:</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4820" w:type="dxa"/>
            <w:vAlign w:val="bottom"/>
          </w:tcPr>
          <w:p>
            <w:pPr>
              <w:ind w:left="320"/>
              <w:spacing w:after="0"/>
              <w:rPr>
                <w:sz w:val="20"/>
                <w:szCs w:val="20"/>
                <w:color w:val="auto"/>
              </w:rPr>
            </w:pPr>
            <w:r>
              <w:rPr>
                <w:rFonts w:ascii="Arial" w:cs="Arial" w:eastAsia="Arial" w:hAnsi="Arial"/>
                <w:sz w:val="22"/>
                <w:szCs w:val="22"/>
                <w:color w:val="auto"/>
              </w:rPr>
              <w:t>Employer, net of forfeitures</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rPr>
              <w:t>$  3,035,467</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  2,705,468</w:t>
            </w:r>
          </w:p>
        </w:tc>
      </w:tr>
      <w:tr>
        <w:trPr>
          <w:trHeight w:val="270"/>
        </w:trPr>
        <w:tc>
          <w:tcPr>
            <w:tcW w:w="4820" w:type="dxa"/>
            <w:vAlign w:val="bottom"/>
          </w:tcPr>
          <w:p>
            <w:pPr>
              <w:ind w:left="320"/>
              <w:spacing w:after="0"/>
              <w:rPr>
                <w:sz w:val="20"/>
                <w:szCs w:val="20"/>
                <w:color w:val="auto"/>
              </w:rPr>
            </w:pPr>
            <w:r>
              <w:rPr>
                <w:rFonts w:ascii="Arial" w:cs="Arial" w:eastAsia="Arial" w:hAnsi="Arial"/>
                <w:sz w:val="22"/>
                <w:szCs w:val="22"/>
                <w:color w:val="auto"/>
              </w:rPr>
              <w:t>Employees</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rPr>
              <w:t>7,837,210</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6,988,960</w:t>
            </w:r>
          </w:p>
        </w:tc>
      </w:tr>
      <w:tr>
        <w:trPr>
          <w:trHeight w:val="270"/>
        </w:trPr>
        <w:tc>
          <w:tcPr>
            <w:tcW w:w="4820" w:type="dxa"/>
            <w:vAlign w:val="bottom"/>
          </w:tcPr>
          <w:p>
            <w:pPr>
              <w:ind w:left="320"/>
              <w:spacing w:after="0"/>
              <w:rPr>
                <w:sz w:val="20"/>
                <w:szCs w:val="20"/>
                <w:color w:val="auto"/>
              </w:rPr>
            </w:pPr>
            <w:r>
              <w:rPr>
                <w:rFonts w:ascii="Arial" w:cs="Arial" w:eastAsia="Arial" w:hAnsi="Arial"/>
                <w:sz w:val="22"/>
                <w:szCs w:val="22"/>
                <w:color w:val="auto"/>
              </w:rPr>
              <w:t>Rollovers</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rPr>
              <w:t>397,583</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1,581,526</w:t>
            </w:r>
          </w:p>
        </w:tc>
      </w:tr>
      <w:tr>
        <w:trPr>
          <w:trHeight w:val="270"/>
        </w:trPr>
        <w:tc>
          <w:tcPr>
            <w:tcW w:w="4820" w:type="dxa"/>
            <w:vAlign w:val="bottom"/>
          </w:tcPr>
          <w:p>
            <w:pPr>
              <w:ind w:left="160"/>
              <w:spacing w:after="0"/>
              <w:rPr>
                <w:sz w:val="20"/>
                <w:szCs w:val="20"/>
                <w:color w:val="auto"/>
              </w:rPr>
            </w:pPr>
            <w:r>
              <w:rPr>
                <w:rFonts w:ascii="Arial" w:cs="Arial" w:eastAsia="Arial" w:hAnsi="Arial"/>
                <w:sz w:val="22"/>
                <w:szCs w:val="22"/>
                <w:color w:val="auto"/>
              </w:rPr>
              <w:t>Interest and investment income</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rPr>
              <w:t>3,167,018</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2,507,519</w:t>
            </w:r>
          </w:p>
        </w:tc>
      </w:tr>
      <w:tr>
        <w:trPr>
          <w:trHeight w:val="270"/>
        </w:trPr>
        <w:tc>
          <w:tcPr>
            <w:tcW w:w="4820" w:type="dxa"/>
            <w:vAlign w:val="bottom"/>
          </w:tcPr>
          <w:p>
            <w:pPr>
              <w:ind w:left="160"/>
              <w:spacing w:after="0"/>
              <w:rPr>
                <w:sz w:val="20"/>
                <w:szCs w:val="20"/>
                <w:color w:val="auto"/>
              </w:rPr>
            </w:pPr>
            <w:r>
              <w:rPr>
                <w:rFonts w:ascii="Arial" w:cs="Arial" w:eastAsia="Arial" w:hAnsi="Arial"/>
                <w:sz w:val="22"/>
                <w:szCs w:val="22"/>
                <w:color w:val="auto"/>
              </w:rPr>
              <w:t>Transfers in</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54,924</w:t>
            </w:r>
          </w:p>
        </w:tc>
      </w:tr>
      <w:tr>
        <w:trPr>
          <w:trHeight w:val="270"/>
        </w:trPr>
        <w:tc>
          <w:tcPr>
            <w:tcW w:w="4820" w:type="dxa"/>
            <w:vAlign w:val="bottom"/>
          </w:tcPr>
          <w:p>
            <w:pPr>
              <w:ind w:left="160"/>
              <w:spacing w:after="0"/>
              <w:rPr>
                <w:sz w:val="20"/>
                <w:szCs w:val="20"/>
                <w:color w:val="auto"/>
              </w:rPr>
            </w:pPr>
            <w:r>
              <w:rPr>
                <w:rFonts w:ascii="Arial" w:cs="Arial" w:eastAsia="Arial" w:hAnsi="Arial"/>
                <w:sz w:val="22"/>
                <w:szCs w:val="22"/>
                <w:color w:val="auto"/>
              </w:rPr>
              <w:t>Other income</w:t>
            </w: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25,570</w:t>
            </w:r>
          </w:p>
        </w:tc>
      </w:tr>
      <w:tr>
        <w:trPr>
          <w:trHeight w:val="276"/>
        </w:trPr>
        <w:tc>
          <w:tcPr>
            <w:tcW w:w="4820" w:type="dxa"/>
            <w:vAlign w:val="bottom"/>
          </w:tcPr>
          <w:p>
            <w:pPr>
              <w:ind w:left="160"/>
              <w:spacing w:after="0"/>
              <w:rPr>
                <w:sz w:val="20"/>
                <w:szCs w:val="20"/>
                <w:color w:val="auto"/>
              </w:rPr>
            </w:pPr>
            <w:r>
              <w:rPr>
                <w:rFonts w:ascii="Arial" w:cs="Arial" w:eastAsia="Arial" w:hAnsi="Arial"/>
                <w:sz w:val="22"/>
                <w:szCs w:val="22"/>
                <w:color w:val="auto"/>
              </w:rPr>
              <w:t>Loan repayments including interest</w:t>
            </w:r>
          </w:p>
        </w:tc>
        <w:tc>
          <w:tcPr>
            <w:tcW w:w="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98,438</w:t>
            </w:r>
          </w:p>
        </w:tc>
        <w:tc>
          <w:tcPr>
            <w:tcW w:w="3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83,392</w:t>
            </w:r>
          </w:p>
        </w:tc>
      </w:tr>
      <w:tr>
        <w:trPr>
          <w:trHeight w:val="532"/>
        </w:trPr>
        <w:tc>
          <w:tcPr>
            <w:tcW w:w="4820" w:type="dxa"/>
            <w:vAlign w:val="bottom"/>
          </w:tcPr>
          <w:p>
            <w:pPr>
              <w:ind w:left="640"/>
              <w:spacing w:after="0"/>
              <w:rPr>
                <w:sz w:val="20"/>
                <w:szCs w:val="20"/>
                <w:color w:val="auto"/>
              </w:rPr>
            </w:pPr>
            <w:r>
              <w:rPr>
                <w:rFonts w:ascii="Arial" w:cs="Arial" w:eastAsia="Arial" w:hAnsi="Arial"/>
                <w:sz w:val="22"/>
                <w:szCs w:val="22"/>
                <w:color w:val="auto"/>
              </w:rPr>
              <w:t>Total additions</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rPr>
              <w:t>14,535,716</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13,947,359</w:t>
            </w:r>
          </w:p>
        </w:tc>
      </w:tr>
      <w:tr>
        <w:trPr>
          <w:trHeight w:val="534"/>
        </w:trPr>
        <w:tc>
          <w:tcPr>
            <w:tcW w:w="4820" w:type="dxa"/>
            <w:vAlign w:val="bottom"/>
          </w:tcPr>
          <w:p>
            <w:pPr>
              <w:spacing w:after="0"/>
              <w:rPr>
                <w:sz w:val="20"/>
                <w:szCs w:val="20"/>
                <w:color w:val="auto"/>
              </w:rPr>
            </w:pPr>
            <w:r>
              <w:rPr>
                <w:rFonts w:ascii="Arial" w:cs="Arial" w:eastAsia="Arial" w:hAnsi="Arial"/>
                <w:sz w:val="22"/>
                <w:szCs w:val="22"/>
                <w:b w:val="1"/>
                <w:bCs w:val="1"/>
                <w:color w:val="auto"/>
              </w:rPr>
              <w:t>Deductions</w:t>
            </w: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r>
      <w:tr>
        <w:trPr>
          <w:trHeight w:val="542"/>
        </w:trPr>
        <w:tc>
          <w:tcPr>
            <w:tcW w:w="4820" w:type="dxa"/>
            <w:vAlign w:val="bottom"/>
          </w:tcPr>
          <w:p>
            <w:pPr>
              <w:ind w:left="160"/>
              <w:spacing w:after="0"/>
              <w:rPr>
                <w:sz w:val="20"/>
                <w:szCs w:val="20"/>
                <w:color w:val="auto"/>
              </w:rPr>
            </w:pPr>
            <w:r>
              <w:rPr>
                <w:rFonts w:ascii="Arial" w:cs="Arial" w:eastAsia="Arial" w:hAnsi="Arial"/>
                <w:sz w:val="22"/>
                <w:szCs w:val="22"/>
                <w:color w:val="auto"/>
              </w:rPr>
              <w:t>Payments to participants</w:t>
            </w:r>
          </w:p>
        </w:tc>
        <w:tc>
          <w:tcPr>
            <w:tcW w:w="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6,846,759</w:t>
            </w:r>
          </w:p>
        </w:tc>
        <w:tc>
          <w:tcPr>
            <w:tcW w:w="3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8,478,070</w:t>
            </w:r>
          </w:p>
        </w:tc>
      </w:tr>
      <w:tr>
        <w:trPr>
          <w:trHeight w:val="534"/>
        </w:trPr>
        <w:tc>
          <w:tcPr>
            <w:tcW w:w="4820" w:type="dxa"/>
            <w:vAlign w:val="bottom"/>
          </w:tcPr>
          <w:p>
            <w:pPr>
              <w:ind w:left="640"/>
              <w:spacing w:after="0"/>
              <w:rPr>
                <w:sz w:val="20"/>
                <w:szCs w:val="20"/>
                <w:color w:val="auto"/>
              </w:rPr>
            </w:pPr>
            <w:r>
              <w:rPr>
                <w:rFonts w:ascii="Arial" w:cs="Arial" w:eastAsia="Arial" w:hAnsi="Arial"/>
                <w:sz w:val="22"/>
                <w:szCs w:val="22"/>
                <w:color w:val="auto"/>
              </w:rPr>
              <w:t>Total deductions</w:t>
            </w:r>
          </w:p>
        </w:tc>
        <w:tc>
          <w:tcPr>
            <w:tcW w:w="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6,846,759</w:t>
            </w:r>
          </w:p>
        </w:tc>
        <w:tc>
          <w:tcPr>
            <w:tcW w:w="3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8,478,070</w:t>
            </w:r>
          </w:p>
        </w:tc>
      </w:tr>
      <w:tr>
        <w:trPr>
          <w:trHeight w:val="534"/>
        </w:trPr>
        <w:tc>
          <w:tcPr>
            <w:tcW w:w="4820" w:type="dxa"/>
            <w:vAlign w:val="bottom"/>
          </w:tcPr>
          <w:p>
            <w:pPr>
              <w:spacing w:after="0"/>
              <w:rPr>
                <w:sz w:val="20"/>
                <w:szCs w:val="20"/>
                <w:color w:val="auto"/>
              </w:rPr>
            </w:pPr>
            <w:r>
              <w:rPr>
                <w:rFonts w:ascii="Arial" w:cs="Arial" w:eastAsia="Arial" w:hAnsi="Arial"/>
                <w:sz w:val="22"/>
                <w:szCs w:val="22"/>
                <w:color w:val="auto"/>
                <w:w w:val="88"/>
              </w:rPr>
              <w:t>Net realized and unrealized appreciation of investments</w:t>
            </w:r>
          </w:p>
        </w:tc>
        <w:tc>
          <w:tcPr>
            <w:tcW w:w="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rPr>
              <w:t>7,537,324</w:t>
            </w:r>
          </w:p>
        </w:tc>
        <w:tc>
          <w:tcPr>
            <w:tcW w:w="3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13,758,774</w:t>
            </w:r>
          </w:p>
        </w:tc>
      </w:tr>
      <w:tr>
        <w:trPr>
          <w:trHeight w:val="532"/>
        </w:trPr>
        <w:tc>
          <w:tcPr>
            <w:tcW w:w="4820" w:type="dxa"/>
            <w:vAlign w:val="bottom"/>
          </w:tcPr>
          <w:p>
            <w:pPr>
              <w:spacing w:after="0"/>
              <w:rPr>
                <w:sz w:val="20"/>
                <w:szCs w:val="20"/>
                <w:color w:val="auto"/>
              </w:rPr>
            </w:pPr>
            <w:r>
              <w:rPr>
                <w:rFonts w:ascii="Arial" w:cs="Arial" w:eastAsia="Arial" w:hAnsi="Arial"/>
                <w:sz w:val="22"/>
                <w:szCs w:val="22"/>
                <w:color w:val="auto"/>
              </w:rPr>
              <w:t>Net increase in net assets available for benefits</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rPr>
              <w:t>15,226,281</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19,228,063</w:t>
            </w:r>
          </w:p>
        </w:tc>
      </w:tr>
      <w:tr>
        <w:trPr>
          <w:trHeight w:val="540"/>
        </w:trPr>
        <w:tc>
          <w:tcPr>
            <w:tcW w:w="4820" w:type="dxa"/>
            <w:vAlign w:val="bottom"/>
          </w:tcPr>
          <w:p>
            <w:pPr>
              <w:spacing w:after="0"/>
              <w:rPr>
                <w:sz w:val="20"/>
                <w:szCs w:val="20"/>
                <w:color w:val="auto"/>
              </w:rPr>
            </w:pPr>
            <w:r>
              <w:rPr>
                <w:rFonts w:ascii="Arial" w:cs="Arial" w:eastAsia="Arial" w:hAnsi="Arial"/>
                <w:sz w:val="22"/>
                <w:szCs w:val="22"/>
                <w:color w:val="auto"/>
                <w:w w:val="93"/>
              </w:rPr>
              <w:t>Net assets available for benefits at beginning of year</w:t>
            </w:r>
          </w:p>
        </w:tc>
        <w:tc>
          <w:tcPr>
            <w:tcW w:w="4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22"/>
                <w:szCs w:val="22"/>
                <w:color w:val="auto"/>
                <w:w w:val="98"/>
              </w:rPr>
              <w:t>102,316,490</w:t>
            </w:r>
          </w:p>
        </w:tc>
        <w:tc>
          <w:tcPr>
            <w:tcW w:w="360" w:type="dxa"/>
            <w:vAlign w:val="bottom"/>
          </w:tcPr>
          <w:p>
            <w:pPr>
              <w:spacing w:after="0"/>
              <w:rPr>
                <w:sz w:val="24"/>
                <w:szCs w:val="24"/>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83,088,427</w:t>
            </w:r>
          </w:p>
        </w:tc>
      </w:tr>
      <w:tr>
        <w:trPr>
          <w:trHeight w:val="535"/>
        </w:trPr>
        <w:tc>
          <w:tcPr>
            <w:tcW w:w="4820" w:type="dxa"/>
            <w:vAlign w:val="bottom"/>
          </w:tcPr>
          <w:p>
            <w:pPr>
              <w:spacing w:after="0"/>
              <w:rPr>
                <w:sz w:val="20"/>
                <w:szCs w:val="20"/>
                <w:color w:val="auto"/>
              </w:rPr>
            </w:pPr>
            <w:r>
              <w:rPr>
                <w:rFonts w:ascii="Arial" w:cs="Arial" w:eastAsia="Arial" w:hAnsi="Arial"/>
                <w:sz w:val="22"/>
                <w:szCs w:val="22"/>
                <w:b w:val="1"/>
                <w:bCs w:val="1"/>
                <w:color w:val="auto"/>
                <w:w w:val="99"/>
              </w:rPr>
              <w:t>Net assets available for benefits at end of year</w:t>
            </w:r>
          </w:p>
        </w:tc>
        <w:tc>
          <w:tcPr>
            <w:tcW w:w="1360" w:type="dxa"/>
            <w:vAlign w:val="bottom"/>
            <w:gridSpan w:val="4"/>
          </w:tcPr>
          <w:p>
            <w:pPr>
              <w:jc w:val="right"/>
              <w:ind w:right="100"/>
              <w:spacing w:after="0"/>
              <w:rPr>
                <w:sz w:val="20"/>
                <w:szCs w:val="20"/>
                <w:color w:val="auto"/>
              </w:rPr>
            </w:pPr>
            <w:r>
              <w:rPr>
                <w:rFonts w:ascii="Arial" w:cs="Arial" w:eastAsia="Arial" w:hAnsi="Arial"/>
                <w:sz w:val="22"/>
                <w:szCs w:val="22"/>
                <w:color w:val="auto"/>
                <w:w w:val="88"/>
              </w:rPr>
              <w:t>$ 117,542,771</w:t>
            </w:r>
          </w:p>
        </w:tc>
        <w:tc>
          <w:tcPr>
            <w:tcW w:w="1700" w:type="dxa"/>
            <w:vAlign w:val="bottom"/>
            <w:gridSpan w:val="4"/>
          </w:tcPr>
          <w:p>
            <w:pPr>
              <w:jc w:val="right"/>
              <w:ind w:right="120"/>
              <w:spacing w:after="0"/>
              <w:rPr>
                <w:sz w:val="20"/>
                <w:szCs w:val="20"/>
                <w:color w:val="auto"/>
              </w:rPr>
            </w:pPr>
            <w:r>
              <w:rPr>
                <w:rFonts w:ascii="Arial" w:cs="Arial" w:eastAsia="Arial" w:hAnsi="Arial"/>
                <w:sz w:val="22"/>
                <w:szCs w:val="22"/>
                <w:color w:val="auto"/>
              </w:rPr>
              <w:t>$ 102,316,490</w:t>
            </w:r>
          </w:p>
        </w:tc>
      </w:tr>
      <w:tr>
        <w:trPr>
          <w:trHeight w:val="42"/>
        </w:trPr>
        <w:tc>
          <w:tcPr>
            <w:tcW w:w="4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The accompanying notes are an integral</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part of these financial statements.</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F-15</w:t>
      </w:r>
    </w:p>
    <w:p>
      <w:pPr>
        <w:sectPr>
          <w:pgSz w:w="11900" w:h="16838" w:orient="portrait"/>
          <w:cols w:equalWidth="0" w:num="1">
            <w:col w:w="10199"/>
          </w:cols>
          <w:pgMar w:left="260" w:top="609" w:right="1440"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NOTES TO FINANCIAL STATEMENTS</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For the Years Ended December 31, 2005 and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Description of the Plan</w:t>
      </w:r>
    </w:p>
    <w:p>
      <w:pPr>
        <w:spacing w:after="0" w:line="239"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The following description of the Phillips-Van Heusen Corporation (the “Company”) Associates Investment Plan for Salaried Associates (the “Plan”) provides only general information. Participants should refer to the Plan Document for a more complete description of the Plan’s provisions.</w:t>
      </w:r>
    </w:p>
    <w:p>
      <w:pPr>
        <w:spacing w:after="0" w:line="213" w:lineRule="exact"/>
        <w:rPr>
          <w:sz w:val="20"/>
          <w:szCs w:val="20"/>
          <w:color w:val="auto"/>
        </w:rPr>
      </w:pPr>
    </w:p>
    <w:p>
      <w:pPr>
        <w:ind w:right="200" w:firstLine="648"/>
        <w:spacing w:after="0" w:line="252" w:lineRule="auto"/>
        <w:rPr>
          <w:sz w:val="20"/>
          <w:szCs w:val="20"/>
          <w:color w:val="auto"/>
        </w:rPr>
      </w:pPr>
      <w:r>
        <w:rPr>
          <w:rFonts w:ascii="Arial" w:cs="Arial" w:eastAsia="Arial" w:hAnsi="Arial"/>
          <w:sz w:val="21"/>
          <w:szCs w:val="21"/>
          <w:color w:val="auto"/>
        </w:rPr>
        <w:t>The Plan was amended effective January 1, 2002 in order to comply with changes permitted or required by the Economic Growth and Tax Relief Reconciliation Act of 2001 and to modify certain administrative provisions. Following the issuance of a favorable determination letter by the Internal Revenue Service (IRS), the Plan was amended again on September 24, 2003 to comply with IRS requests pertaining to its continuing tax-qualified status.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Change in Trustee and Recordkeeper</w:t>
      </w:r>
    </w:p>
    <w:p>
      <w:pPr>
        <w:spacing w:after="0" w:line="23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Effective January 1, 2004, the Plan’s Trustee changed from UMB Bank (the “Predecessor Trustee”) to State Street Bank (the “Trustee” or “Successor Trustee”). On January 1, 2005, Wells Fargo acquired Strong Retirement Plan Services and as a result, Wells Fargo Retirement Solutions became the “Recordkeeper” and Wells Fargo Bank became the “Trustee”.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Master Trust</w:t>
      </w:r>
    </w:p>
    <w:p>
      <w:pPr>
        <w:spacing w:after="0" w:line="23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Phillips-Van Heusen Corporation Associates Investment Plans Master Trust (the “Master Trust”) was established for the investment of the Phillips-Van Heusen Stock Fund (the “PVH Stock Fund”). The Plan is one of three plans participating in the Master Trust.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9"/>
          <w:szCs w:val="19"/>
          <w:color w:val="auto"/>
        </w:rPr>
        <w:t>The Plan is a defined contribution plan covering salaried or clerical employees of the Company who are at least age 21 or older, have completed at least three consecutive months of service and are regularly scheduled to work at least 20 hours per week. The Plan is subject to the provisions of the Employee Retirement Income Security Act of 1974 (“ERISA”).</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F-16</w:t>
      </w:r>
    </w:p>
    <w:p>
      <w:pPr>
        <w:sectPr>
          <w:pgSz w:w="11900" w:h="16838" w:orient="portrait"/>
          <w:cols w:equalWidth="0" w:num="1">
            <w:col w:w="11340"/>
          </w:cols>
          <w:pgMar w:left="240" w:top="847" w:right="3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Contributions</w:t>
      </w:r>
    </w:p>
    <w:p>
      <w:pPr>
        <w:spacing w:after="0" w:line="239"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Participants may contribute up to 25% of pre-tax annual compensation, limited to $14,000 and $13,000 per annum in 2005 and 2004, respectively. In addition, pursuant to EGTRRA of 2001, all participants who have attained the age of 50 before the close of the plan year are eligible to make “catch-up” contributions up to $4,000 for the plan year ended December 31, 2005. The Company matches 100% of the first 2% of eligible compensation that a participant contributed to the Plan plus 25% of the next 4% of eligible compensation contributed by the participant.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Accounts</w:t>
      </w:r>
    </w:p>
    <w:p>
      <w:pPr>
        <w:spacing w:after="0" w:line="239"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Each participant’s account is credited with the participant’s contributions and allocations of (a) the Company’s contributions and (b) Plan earnings. Forfeited balances of terminated participants’ nonvested accounts are used to reduce future Company contributions.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Vesting</w:t>
      </w:r>
    </w:p>
    <w:p>
      <w:pPr>
        <w:spacing w:after="0" w:line="239"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Amounts attributed to employee contributions and the allocated earnings thereon are immediately vested. Participants become 25%, 50%, 75% and 100% vested in Company contributions and the allocated earnings thereon after two, three, four and five years of service, respectively. Upon death, permanent disability, or reaching age 65, participants or their beneficiaries become 100% vested in Company contributions.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Investment Options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Upon enrollment in the Plan, a participant may direct employee contributions into any of ten investment options. A participant may contribute a maximum of 25% of employee contributions into the PVH Stock Fund.</w:t>
      </w:r>
    </w:p>
    <w:p>
      <w:pPr>
        <w:spacing w:after="0" w:line="200"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color w:val="auto"/>
        </w:rPr>
        <w:t>The Company contributions are invested in any fund offered by the Plan as elected by the participant. However, existing balances contributed to the PVH Stock Fund as of March 31, 1999 were required to remain in the fund until participants reach the age of 55 or older. Effective December 30, 2004, all restrictions on Company Match invested in the PVH Stock Fund were removed and participants are allowed to transfer all Company Match monies to other investment options in the Plan.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F-17</w:t>
      </w:r>
    </w:p>
    <w:p>
      <w:pPr>
        <w:sectPr>
          <w:pgSz w:w="11900" w:h="16838" w:orient="portrait"/>
          <w:cols w:equalWidth="0" w:num="1">
            <w:col w:w="11420"/>
          </w:cols>
          <w:pgMar w:left="240" w:top="604"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Participant Loans Receivable</w:t>
      </w:r>
    </w:p>
    <w:p>
      <w:pPr>
        <w:spacing w:after="0" w:line="239" w:lineRule="exact"/>
        <w:rPr>
          <w:sz w:val="20"/>
          <w:szCs w:val="20"/>
          <w:color w:val="auto"/>
        </w:rPr>
      </w:pPr>
    </w:p>
    <w:p>
      <w:pPr>
        <w:ind w:right="380" w:firstLine="648"/>
        <w:spacing w:after="0" w:line="282" w:lineRule="auto"/>
        <w:rPr>
          <w:sz w:val="20"/>
          <w:szCs w:val="20"/>
          <w:color w:val="auto"/>
        </w:rPr>
      </w:pPr>
      <w:r>
        <w:rPr>
          <w:rFonts w:ascii="Arial" w:cs="Arial" w:eastAsia="Arial" w:hAnsi="Arial"/>
          <w:sz w:val="19"/>
          <w:szCs w:val="19"/>
          <w:color w:val="auto"/>
        </w:rPr>
        <w:t>Participants may borrow from the Plan, with certain restrictions, using their vested account balance as collateral. The minimum loan amount is $1,000 and the maximum loan amount is the lesser of (i) $50,000 reduced by the participant’s highest outstanding loan balance during the previous 12 months, or (ii) 50% of the vested value of the participant’s account. Interest is fixed for the term of the loan at the prime rate plus 1%. Loan repayments are made through payroll deductions, which may be specified for a term of 1 to 5 years or up to 15 years for the purchase of a primary residence.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Forfeitures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Contributions made on behalf of non-vested or partially vested employees who have terminated are retained by the Plan and are used to reduce the Company’s future matching contributions.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Payment of Benefits</w:t>
      </w:r>
    </w:p>
    <w:p>
      <w:pPr>
        <w:spacing w:after="0" w:line="239" w:lineRule="exact"/>
        <w:rPr>
          <w:sz w:val="20"/>
          <w:szCs w:val="20"/>
          <w:color w:val="auto"/>
        </w:rPr>
      </w:pPr>
    </w:p>
    <w:p>
      <w:pPr>
        <w:jc w:val="both"/>
        <w:ind w:right="160" w:firstLine="648"/>
        <w:spacing w:after="0"/>
        <w:rPr>
          <w:sz w:val="20"/>
          <w:szCs w:val="20"/>
          <w:color w:val="auto"/>
        </w:rPr>
      </w:pPr>
      <w:r>
        <w:rPr>
          <w:rFonts w:ascii="Arial" w:cs="Arial" w:eastAsia="Arial" w:hAnsi="Arial"/>
          <w:sz w:val="22"/>
          <w:szCs w:val="22"/>
          <w:color w:val="auto"/>
        </w:rPr>
        <w:t>Participants electing final distributions will receive payment in the form of a lump sum amount equal to the value of their vested account unless the participant notifies the Company of their intent to receive all or a portion of their balance attributable to the PVH Stock Fund paid in the form of shares of the Company’s Common Stock.</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Plan Termination</w:t>
      </w:r>
    </w:p>
    <w:p>
      <w:pPr>
        <w:spacing w:after="0" w:line="239"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19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Significant Accounting Policies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accounting records of the Plan are maintained on the accrual basis.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Substantially all administrative expenses are paid by the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F-18</w:t>
      </w:r>
    </w:p>
    <w:p>
      <w:pPr>
        <w:sectPr>
          <w:pgSz w:w="11900" w:h="16838" w:orient="portrait"/>
          <w:cols w:equalWidth="0" w:num="1">
            <w:col w:w="11380"/>
          </w:cols>
          <w:pgMar w:left="240" w:top="604" w:right="27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80" w:firstLine="648"/>
        <w:spacing w:after="0"/>
        <w:rPr>
          <w:sz w:val="20"/>
          <w:szCs w:val="20"/>
          <w:color w:val="auto"/>
        </w:rPr>
      </w:pPr>
      <w:r>
        <w:rPr>
          <w:rFonts w:ascii="Arial" w:cs="Arial" w:eastAsia="Arial" w:hAnsi="Arial"/>
          <w:sz w:val="22"/>
          <w:szCs w:val="22"/>
          <w:color w:val="auto"/>
        </w:rPr>
        <w:t>In accordance with the Rules and Regulations of the Department of Labor, investments are included in the accompanying financial statements at market value as determined by quoted market price or at fair value as determined by the trustee. Purchase and sales of securities are reflected on a trade date basis.</w:t>
      </w:r>
    </w:p>
    <w:p>
      <w:pPr>
        <w:spacing w:after="0" w:line="213"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All assets of the Plan are held by the Trustee and are segregated from the assets of the Company. The Master Trust holds the investments in The PVH Stock Fund. The Plan shares in the Master Trust interest and investment income based upon its participants’ shares of the Master Trust net assets available for benefits.</w:t>
      </w:r>
    </w:p>
    <w:p>
      <w:pPr>
        <w:spacing w:after="0" w:line="213"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9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Transactions with Parties-in-Interest</w:t>
      </w:r>
    </w:p>
    <w:p>
      <w:pPr>
        <w:spacing w:after="0" w:line="239"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During the years ended December 31, 2005 and 2004, the Master Trust purchased 47,988 and 15,616 shares, respectively, of the Company’s common stock and received $153,906 and $168,641, respectively, from the Company as payment of dividends on its common stock. The AIP Master Trust also sold 160,053 and 64,342 shares of the Company’s common stock during the years ended December 31, 2005 and 2004, respectively.</w:t>
      </w:r>
    </w:p>
    <w:p>
      <w:pPr>
        <w:spacing w:after="0" w:line="206"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During 2005 and 2004, the Plan’s investments (including investments purchased, sold, as well as held during the year)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appreciated in fair value as determined by quoted market prices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F-19</w:t>
      </w:r>
    </w:p>
    <w:p>
      <w:pPr>
        <w:sectPr>
          <w:pgSz w:w="11900" w:h="16838" w:orient="portrait"/>
          <w:cols w:equalWidth="0" w:num="1">
            <w:col w:w="11420"/>
          </w:cols>
          <w:pgMar w:left="240" w:top="604" w:right="239" w:bottom="1440" w:gutter="0" w:footer="0" w:header="0"/>
        </w:sectPr>
      </w:pPr>
    </w:p>
    <w:bookmarkStart w:id="22" w:name="page23"/>
    <w:bookmarkEnd w:id="22"/>
    <w:p>
      <w:pPr>
        <w:jc w:val="center"/>
        <w:ind w:right="-37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tbl>
      <w:tblPr>
        <w:tblLayout w:type="fixed"/>
        <w:tblInd w:w="2440" w:type="dxa"/>
        <w:tblCellMar>
          <w:top w:w="0" w:type="dxa"/>
          <w:left w:w="0" w:type="dxa"/>
          <w:bottom w:w="0" w:type="dxa"/>
          <w:right w:w="0" w:type="dxa"/>
        </w:tblCellMar>
      </w:tblPr>
      <w:tr>
        <w:trPr>
          <w:trHeight w:val="275"/>
        </w:trPr>
        <w:tc>
          <w:tcPr>
            <w:tcW w:w="5880" w:type="dxa"/>
            <w:vAlign w:val="bottom"/>
            <w:gridSpan w:val="8"/>
          </w:tcPr>
          <w:p>
            <w:pPr>
              <w:ind w:left="1440"/>
              <w:spacing w:after="0"/>
              <w:rPr>
                <w:sz w:val="20"/>
                <w:szCs w:val="20"/>
                <w:color w:val="auto"/>
              </w:rPr>
            </w:pPr>
            <w:r>
              <w:rPr>
                <w:rFonts w:ascii="Arial" w:cs="Arial" w:eastAsia="Arial" w:hAnsi="Arial"/>
                <w:sz w:val="22"/>
                <w:szCs w:val="22"/>
                <w:color w:val="auto"/>
              </w:rPr>
              <w:t>NOTES TO FINANCIAL STATEMENTS</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711"/>
        </w:trPr>
        <w:tc>
          <w:tcPr>
            <w:tcW w:w="2020" w:type="dxa"/>
            <w:vAlign w:val="bottom"/>
          </w:tcPr>
          <w:p>
            <w:pPr>
              <w:spacing w:after="0"/>
              <w:rPr>
                <w:sz w:val="24"/>
                <w:szCs w:val="24"/>
                <w:color w:val="auto"/>
              </w:rPr>
            </w:pPr>
          </w:p>
        </w:tc>
        <w:tc>
          <w:tcPr>
            <w:tcW w:w="3860" w:type="dxa"/>
            <w:vAlign w:val="bottom"/>
            <w:gridSpan w:val="7"/>
          </w:tcPr>
          <w:p>
            <w:pPr>
              <w:ind w:left="780"/>
              <w:spacing w:after="0"/>
              <w:rPr>
                <w:sz w:val="20"/>
                <w:szCs w:val="20"/>
                <w:color w:val="auto"/>
              </w:rPr>
            </w:pPr>
            <w:r>
              <w:rPr>
                <w:rFonts w:ascii="Arial" w:cs="Arial" w:eastAsia="Arial" w:hAnsi="Arial"/>
                <w:sz w:val="22"/>
                <w:szCs w:val="22"/>
                <w:color w:val="auto"/>
              </w:rPr>
              <w:t>Net Realized and Unrealized</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4"/>
        </w:trPr>
        <w:tc>
          <w:tcPr>
            <w:tcW w:w="2020" w:type="dxa"/>
            <w:vAlign w:val="bottom"/>
          </w:tcPr>
          <w:p>
            <w:pPr>
              <w:spacing w:after="0"/>
              <w:rPr>
                <w:sz w:val="19"/>
                <w:szCs w:val="19"/>
                <w:color w:val="auto"/>
              </w:rPr>
            </w:pPr>
          </w:p>
        </w:tc>
        <w:tc>
          <w:tcPr>
            <w:tcW w:w="3860" w:type="dxa"/>
            <w:vAlign w:val="bottom"/>
            <w:gridSpan w:val="7"/>
          </w:tcPr>
          <w:p>
            <w:pPr>
              <w:spacing w:after="0" w:line="224" w:lineRule="exact"/>
              <w:rPr>
                <w:sz w:val="20"/>
                <w:szCs w:val="20"/>
                <w:color w:val="auto"/>
              </w:rPr>
            </w:pPr>
            <w:r>
              <w:rPr>
                <w:rFonts w:ascii="Arial" w:cs="Arial" w:eastAsia="Arial" w:hAnsi="Arial"/>
                <w:sz w:val="22"/>
                <w:szCs w:val="22"/>
                <w:color w:val="auto"/>
                <w:w w:val="95"/>
              </w:rPr>
              <w:t>Appreciation in Fair Value of Investments</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26"/>
        </w:trPr>
        <w:tc>
          <w:tcPr>
            <w:tcW w:w="2020" w:type="dxa"/>
            <w:vAlign w:val="bottom"/>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22"/>
                <w:szCs w:val="22"/>
                <w:color w:val="auto"/>
              </w:rPr>
              <w:t>2005</w:t>
            </w: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22"/>
                <w:szCs w:val="22"/>
                <w:color w:val="auto"/>
              </w:rPr>
              <w:t>2004</w:t>
            </w:r>
          </w:p>
        </w:tc>
      </w:tr>
      <w:tr>
        <w:trPr>
          <w:trHeight w:val="20"/>
        </w:trPr>
        <w:tc>
          <w:tcPr>
            <w:tcW w:w="4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512"/>
        </w:trPr>
        <w:tc>
          <w:tcPr>
            <w:tcW w:w="4220" w:type="dxa"/>
            <w:vAlign w:val="bottom"/>
            <w:gridSpan w:val="2"/>
          </w:tcPr>
          <w:p>
            <w:pPr>
              <w:spacing w:after="0"/>
              <w:rPr>
                <w:sz w:val="20"/>
                <w:szCs w:val="20"/>
                <w:color w:val="auto"/>
              </w:rPr>
            </w:pPr>
            <w:r>
              <w:rPr>
                <w:rFonts w:ascii="Arial" w:cs="Arial" w:eastAsia="Arial" w:hAnsi="Arial"/>
                <w:sz w:val="22"/>
                <w:szCs w:val="22"/>
                <w:color w:val="auto"/>
              </w:rPr>
              <w:t>Common stock – PVH Stock Fund</w:t>
            </w:r>
          </w:p>
        </w:tc>
        <w:tc>
          <w:tcPr>
            <w:tcW w:w="240" w:type="dxa"/>
            <w:vAlign w:val="bottom"/>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gridSpan w:val="3"/>
          </w:tcPr>
          <w:p>
            <w:pPr>
              <w:jc w:val="right"/>
              <w:ind w:right="120"/>
              <w:spacing w:after="0"/>
              <w:rPr>
                <w:sz w:val="20"/>
                <w:szCs w:val="20"/>
                <w:color w:val="auto"/>
              </w:rPr>
            </w:pPr>
            <w:r>
              <w:rPr>
                <w:rFonts w:ascii="Arial" w:cs="Arial" w:eastAsia="Arial" w:hAnsi="Arial"/>
                <w:sz w:val="22"/>
                <w:szCs w:val="22"/>
                <w:color w:val="auto"/>
                <w:w w:val="96"/>
              </w:rPr>
              <w:t>5,293,289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40" w:type="dxa"/>
            <w:vAlign w:val="bottom"/>
            <w:gridSpan w:val="3"/>
          </w:tcPr>
          <w:p>
            <w:pPr>
              <w:jc w:val="right"/>
              <w:ind w:right="120"/>
              <w:spacing w:after="0"/>
              <w:rPr>
                <w:sz w:val="20"/>
                <w:szCs w:val="20"/>
                <w:color w:val="auto"/>
              </w:rPr>
            </w:pPr>
            <w:r>
              <w:rPr>
                <w:rFonts w:ascii="Arial" w:cs="Arial" w:eastAsia="Arial" w:hAnsi="Arial"/>
                <w:sz w:val="22"/>
                <w:szCs w:val="22"/>
                <w:color w:val="auto"/>
              </w:rPr>
              <w:t>9,639,765</w:t>
            </w:r>
          </w:p>
        </w:tc>
      </w:tr>
      <w:tr>
        <w:trPr>
          <w:trHeight w:val="265"/>
        </w:trPr>
        <w:tc>
          <w:tcPr>
            <w:tcW w:w="4220" w:type="dxa"/>
            <w:vAlign w:val="bottom"/>
            <w:gridSpan w:val="2"/>
          </w:tcPr>
          <w:p>
            <w:pPr>
              <w:spacing w:after="0"/>
              <w:rPr>
                <w:sz w:val="20"/>
                <w:szCs w:val="20"/>
                <w:color w:val="auto"/>
              </w:rPr>
            </w:pPr>
            <w:r>
              <w:rPr>
                <w:rFonts w:ascii="Arial" w:cs="Arial" w:eastAsia="Arial" w:hAnsi="Arial"/>
                <w:sz w:val="22"/>
                <w:szCs w:val="22"/>
                <w:color w:val="auto"/>
                <w:w w:val="99"/>
              </w:rPr>
              <w:t>Shares of registered investment companies</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w w:val="96"/>
              </w:rPr>
              <w:t>2,244,035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rPr>
              <w:t>4,119,009</w:t>
            </w:r>
          </w:p>
        </w:tc>
      </w:tr>
      <w:tr>
        <w:trPr>
          <w:trHeight w:val="527"/>
        </w:trPr>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w w:val="81"/>
              </w:rPr>
              <w:t>$</w:t>
            </w:r>
          </w:p>
        </w:tc>
        <w:tc>
          <w:tcPr>
            <w:tcW w:w="10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w w:val="96"/>
              </w:rPr>
              <w:t>7,537,324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7"/>
              </w:rPr>
              <w:t>$</w:t>
            </w: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22"/>
                <w:szCs w:val="22"/>
                <w:color w:val="auto"/>
                <w:w w:val="90"/>
              </w:rPr>
              <w:t>13,758,774</w:t>
            </w:r>
          </w:p>
        </w:tc>
      </w:tr>
    </w:tbl>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Investments that represent 5% or more of the fair value of the Plan’s net assets at the end of the plan year are as follows:</w:t>
      </w:r>
    </w:p>
    <w:p>
      <w:pPr>
        <w:spacing w:after="0" w:line="200" w:lineRule="exact"/>
        <w:rPr>
          <w:sz w:val="20"/>
          <w:szCs w:val="20"/>
          <w:color w:val="auto"/>
        </w:rPr>
      </w:pPr>
    </w:p>
    <w:p>
      <w:pPr>
        <w:spacing w:after="0" w:line="322"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49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5"/>
              </w:rPr>
              <w:t>2005</w:t>
            </w: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5"/>
              </w:rPr>
              <w:t>2004</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5"/>
        </w:trPr>
        <w:tc>
          <w:tcPr>
            <w:tcW w:w="4980" w:type="dxa"/>
            <w:vAlign w:val="bottom"/>
          </w:tcPr>
          <w:p>
            <w:pPr>
              <w:ind w:left="480"/>
              <w:spacing w:after="0"/>
              <w:rPr>
                <w:sz w:val="20"/>
                <w:szCs w:val="20"/>
                <w:color w:val="auto"/>
              </w:rPr>
            </w:pPr>
            <w:r>
              <w:rPr>
                <w:rFonts w:ascii="Arial" w:cs="Arial" w:eastAsia="Arial" w:hAnsi="Arial"/>
                <w:sz w:val="22"/>
                <w:szCs w:val="22"/>
                <w:color w:val="auto"/>
                <w:w w:val="98"/>
              </w:rPr>
              <w:t>Investment in Phillips-Van Heusen Corporation</w:t>
            </w:r>
          </w:p>
        </w:tc>
        <w:tc>
          <w:tcPr>
            <w:tcW w:w="2520" w:type="dxa"/>
            <w:vAlign w:val="bottom"/>
            <w:gridSpan w:val="3"/>
          </w:tcPr>
          <w:p>
            <w:pPr>
              <w:jc w:val="right"/>
              <w:ind w:right="1420"/>
              <w:spacing w:after="0"/>
              <w:rPr>
                <w:sz w:val="20"/>
                <w:szCs w:val="20"/>
                <w:color w:val="auto"/>
              </w:rPr>
            </w:pPr>
            <w:r>
              <w:rPr>
                <w:rFonts w:ascii="Arial" w:cs="Arial" w:eastAsia="Arial" w:hAnsi="Arial"/>
                <w:sz w:val="22"/>
                <w:szCs w:val="22"/>
                <w:color w:val="auto"/>
              </w:rPr>
              <w:t>Associates</w:t>
            </w:r>
          </w:p>
        </w:tc>
        <w:tc>
          <w:tcPr>
            <w:tcW w:w="1420" w:type="dxa"/>
            <w:vAlign w:val="bottom"/>
            <w:gridSpan w:val="3"/>
            <w:vMerge w:val="restart"/>
          </w:tcPr>
          <w:p>
            <w:pPr>
              <w:jc w:val="right"/>
              <w:spacing w:after="0"/>
              <w:rPr>
                <w:sz w:val="20"/>
                <w:szCs w:val="20"/>
                <w:color w:val="auto"/>
              </w:rPr>
            </w:pPr>
            <w:r>
              <w:rPr>
                <w:rFonts w:ascii="Arial" w:cs="Arial" w:eastAsia="Arial" w:hAnsi="Arial"/>
                <w:sz w:val="22"/>
                <w:szCs w:val="22"/>
                <w:color w:val="auto"/>
              </w:rPr>
              <w:t>$ 28,041,243</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22"/>
                <w:szCs w:val="22"/>
                <w:color w:val="auto"/>
              </w:rPr>
              <w:t>Investment Plans Master Trust</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$ 29,777,423</w:t>
            </w:r>
          </w:p>
        </w:tc>
        <w:tc>
          <w:tcPr>
            <w:tcW w:w="142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Barclays Global Equity Index</w:t>
            </w:r>
          </w:p>
        </w:tc>
        <w:tc>
          <w:tcPr>
            <w:tcW w:w="2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7,568,399</w:t>
            </w: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Dodge &amp; Cox Balanced</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18,753,093</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16,216,647</w:t>
            </w: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Dreyfus Appreciation</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16,995,799</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16,729,719</w:t>
            </w: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Oakmark International</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7,723,406</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5,472,485</w:t>
            </w: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Strong Advisor Small Cap Value</w:t>
            </w:r>
          </w:p>
        </w:tc>
        <w:tc>
          <w:tcPr>
            <w:tcW w:w="2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8,303,214</w:t>
            </w: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Strong Advisor Bond</w:t>
            </w:r>
          </w:p>
        </w:tc>
        <w:tc>
          <w:tcPr>
            <w:tcW w:w="20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5,431,252</w:t>
            </w: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Wells Fargo Stable Return Fund (S)</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12,052,826</w:t>
            </w:r>
          </w:p>
        </w:tc>
        <w:tc>
          <w:tcPr>
            <w:tcW w:w="1420" w:type="dxa"/>
            <w:vAlign w:val="bottom"/>
            <w:gridSpan w:val="3"/>
          </w:tcPr>
          <w:p>
            <w:pPr>
              <w:jc w:val="right"/>
              <w:spacing w:after="0"/>
              <w:rPr>
                <w:sz w:val="20"/>
                <w:szCs w:val="20"/>
                <w:color w:val="auto"/>
              </w:rPr>
            </w:pPr>
            <w:r>
              <w:rPr>
                <w:rFonts w:ascii="Arial" w:cs="Arial" w:eastAsia="Arial" w:hAnsi="Arial"/>
                <w:sz w:val="22"/>
                <w:szCs w:val="22"/>
                <w:color w:val="auto"/>
              </w:rPr>
              <w:t>10,331,420</w:t>
            </w:r>
          </w:p>
        </w:tc>
        <w:tc>
          <w:tcPr>
            <w:tcW w:w="0" w:type="dxa"/>
            <w:vAlign w:val="bottom"/>
          </w:tcPr>
          <w:p>
            <w:pPr>
              <w:spacing w:after="0"/>
              <w:rPr>
                <w:sz w:val="1"/>
                <w:szCs w:val="1"/>
                <w:color w:val="auto"/>
              </w:rPr>
            </w:pPr>
          </w:p>
        </w:tc>
      </w:tr>
      <w:tr>
        <w:trPr>
          <w:trHeight w:val="230"/>
        </w:trPr>
        <w:tc>
          <w:tcPr>
            <w:tcW w:w="4980" w:type="dxa"/>
            <w:vAlign w:val="bottom"/>
          </w:tcPr>
          <w:p>
            <w:pPr>
              <w:ind w:left="480"/>
              <w:spacing w:after="0" w:line="229" w:lineRule="exact"/>
              <w:rPr>
                <w:sz w:val="20"/>
                <w:szCs w:val="20"/>
                <w:color w:val="auto"/>
              </w:rPr>
            </w:pPr>
            <w:r>
              <w:rPr>
                <w:rFonts w:ascii="Arial" w:cs="Arial" w:eastAsia="Arial" w:hAnsi="Arial"/>
                <w:sz w:val="22"/>
                <w:szCs w:val="22"/>
                <w:color w:val="auto"/>
              </w:rPr>
              <w:t>Wells Fargo Advantage Small Cap Value</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640"/>
              <w:spacing w:after="0"/>
              <w:rPr>
                <w:sz w:val="20"/>
                <w:szCs w:val="20"/>
                <w:color w:val="auto"/>
              </w:rPr>
            </w:pPr>
            <w:r>
              <w:rPr>
                <w:rFonts w:ascii="Arial" w:cs="Arial" w:eastAsia="Arial" w:hAnsi="Arial"/>
                <w:sz w:val="22"/>
                <w:szCs w:val="22"/>
                <w:color w:val="auto"/>
              </w:rPr>
              <w:t>Fund (Z)</w:t>
            </w:r>
          </w:p>
        </w:tc>
        <w:tc>
          <w:tcPr>
            <w:tcW w:w="2520" w:type="dxa"/>
            <w:vAlign w:val="bottom"/>
            <w:gridSpan w:val="3"/>
          </w:tcPr>
          <w:p>
            <w:pPr>
              <w:jc w:val="right"/>
              <w:ind w:right="220"/>
              <w:spacing w:after="0"/>
              <w:rPr>
                <w:sz w:val="20"/>
                <w:szCs w:val="20"/>
                <w:color w:val="auto"/>
              </w:rPr>
            </w:pPr>
            <w:r>
              <w:rPr>
                <w:rFonts w:ascii="Arial" w:cs="Arial" w:eastAsia="Arial" w:hAnsi="Arial"/>
                <w:sz w:val="22"/>
                <w:szCs w:val="22"/>
                <w:color w:val="auto"/>
              </w:rPr>
              <w:t>12,188,812</w:t>
            </w:r>
          </w:p>
        </w:tc>
        <w:tc>
          <w:tcPr>
            <w:tcW w:w="1160" w:type="dxa"/>
            <w:vAlign w:val="bottom"/>
            <w:gridSpan w:val="2"/>
          </w:tcPr>
          <w:p>
            <w:pPr>
              <w:jc w:val="center"/>
              <w:ind w:left="71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w w:val="93"/>
              </w:rPr>
              <w:t>Wells Fargo Advantage Total Return Bond (Adm)</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5,900,260</w:t>
            </w:r>
          </w:p>
        </w:tc>
        <w:tc>
          <w:tcPr>
            <w:tcW w:w="1160" w:type="dxa"/>
            <w:vAlign w:val="bottom"/>
            <w:gridSpan w:val="2"/>
          </w:tcPr>
          <w:p>
            <w:pPr>
              <w:jc w:val="center"/>
              <w:ind w:left="71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80" w:type="dxa"/>
            <w:vAlign w:val="bottom"/>
          </w:tcPr>
          <w:p>
            <w:pPr>
              <w:ind w:left="480"/>
              <w:spacing w:after="0"/>
              <w:rPr>
                <w:sz w:val="20"/>
                <w:szCs w:val="20"/>
                <w:color w:val="auto"/>
              </w:rPr>
            </w:pPr>
            <w:r>
              <w:rPr>
                <w:rFonts w:ascii="Arial" w:cs="Arial" w:eastAsia="Arial" w:hAnsi="Arial"/>
                <w:sz w:val="22"/>
                <w:szCs w:val="22"/>
                <w:color w:val="auto"/>
              </w:rPr>
              <w:t>Wells Fargo S&amp;P 500 Index Fund (G)</w:t>
            </w:r>
          </w:p>
        </w:tc>
        <w:tc>
          <w:tcPr>
            <w:tcW w:w="2520" w:type="dxa"/>
            <w:vAlign w:val="bottom"/>
            <w:gridSpan w:val="3"/>
          </w:tcPr>
          <w:p>
            <w:pPr>
              <w:jc w:val="right"/>
              <w:ind w:right="260"/>
              <w:spacing w:after="0"/>
              <w:rPr>
                <w:sz w:val="20"/>
                <w:szCs w:val="20"/>
                <w:color w:val="auto"/>
              </w:rPr>
            </w:pPr>
            <w:r>
              <w:rPr>
                <w:rFonts w:ascii="Arial" w:cs="Arial" w:eastAsia="Arial" w:hAnsi="Arial"/>
                <w:sz w:val="22"/>
                <w:szCs w:val="22"/>
                <w:color w:val="auto"/>
              </w:rPr>
              <w:t>8,624,725</w:t>
            </w:r>
          </w:p>
        </w:tc>
        <w:tc>
          <w:tcPr>
            <w:tcW w:w="1160" w:type="dxa"/>
            <w:vAlign w:val="bottom"/>
            <w:gridSpan w:val="2"/>
          </w:tcPr>
          <w:p>
            <w:pPr>
              <w:jc w:val="center"/>
              <w:ind w:left="712"/>
              <w:spacing w:after="0"/>
              <w:rPr>
                <w:sz w:val="20"/>
                <w:szCs w:val="20"/>
                <w:color w:val="auto"/>
              </w:rPr>
            </w:pPr>
            <w:r>
              <w:rPr>
                <w:rFonts w:ascii="Arial" w:cs="Arial" w:eastAsia="Arial" w:hAnsi="Arial"/>
                <w:sz w:val="22"/>
                <w:szCs w:val="22"/>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480"/>
              <w:spacing w:after="0" w:line="229" w:lineRule="exact"/>
              <w:rPr>
                <w:sz w:val="20"/>
                <w:szCs w:val="20"/>
                <w:color w:val="auto"/>
              </w:rPr>
            </w:pPr>
            <w:r>
              <w:rPr>
                <w:rFonts w:ascii="Arial" w:cs="Arial" w:eastAsia="Arial" w:hAnsi="Arial"/>
                <w:sz w:val="22"/>
                <w:szCs w:val="22"/>
                <w:color w:val="auto"/>
              </w:rPr>
              <w:t>Shares of registered companies representing</w:t>
            </w: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980" w:type="dxa"/>
            <w:vAlign w:val="bottom"/>
          </w:tcPr>
          <w:p>
            <w:pPr>
              <w:ind w:left="640"/>
              <w:spacing w:after="0"/>
              <w:rPr>
                <w:sz w:val="20"/>
                <w:szCs w:val="20"/>
                <w:color w:val="auto"/>
              </w:rPr>
            </w:pPr>
            <w:r>
              <w:rPr>
                <w:rFonts w:ascii="Arial" w:cs="Arial" w:eastAsia="Arial" w:hAnsi="Arial"/>
                <w:sz w:val="22"/>
                <w:szCs w:val="22"/>
                <w:color w:val="auto"/>
              </w:rPr>
              <w:t>less than 5%</w:t>
            </w:r>
          </w:p>
        </w:tc>
        <w:tc>
          <w:tcPr>
            <w:tcW w:w="2520" w:type="dxa"/>
            <w:vAlign w:val="bottom"/>
            <w:gridSpan w:val="3"/>
          </w:tcPr>
          <w:p>
            <w:pPr>
              <w:jc w:val="right"/>
              <w:ind w:right="280"/>
              <w:spacing w:after="0"/>
              <w:rPr>
                <w:sz w:val="20"/>
                <w:szCs w:val="20"/>
                <w:color w:val="auto"/>
              </w:rPr>
            </w:pPr>
            <w:r>
              <w:rPr>
                <w:rFonts w:ascii="Arial" w:cs="Arial" w:eastAsia="Arial" w:hAnsi="Arial"/>
                <w:sz w:val="22"/>
                <w:szCs w:val="22"/>
                <w:color w:val="auto"/>
              </w:rPr>
              <w:t>3,356,721</w:t>
            </w:r>
          </w:p>
        </w:tc>
        <w:tc>
          <w:tcPr>
            <w:tcW w:w="1420" w:type="dxa"/>
            <w:vAlign w:val="bottom"/>
            <w:gridSpan w:val="3"/>
          </w:tcPr>
          <w:p>
            <w:pPr>
              <w:jc w:val="center"/>
              <w:ind w:left="412"/>
              <w:spacing w:after="0"/>
              <w:rPr>
                <w:sz w:val="20"/>
                <w:szCs w:val="20"/>
                <w:color w:val="auto"/>
              </w:rPr>
            </w:pPr>
            <w:r>
              <w:rPr>
                <w:rFonts w:ascii="Arial" w:cs="Arial" w:eastAsia="Arial" w:hAnsi="Arial"/>
                <w:sz w:val="22"/>
                <w:szCs w:val="22"/>
                <w:color w:val="auto"/>
                <w:w w:val="87"/>
              </w:rPr>
              <w:t>2,357,338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  </w:t>
      </w:r>
      <w:r>
        <w:rPr>
          <w:rFonts w:ascii="Arial" w:cs="Arial" w:eastAsia="Arial" w:hAnsi="Arial"/>
          <w:sz w:val="22"/>
          <w:szCs w:val="22"/>
          <w:color w:val="auto"/>
        </w:rPr>
        <w:t>Investment not offered at the end of the plan year.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F-20</w:t>
      </w:r>
    </w:p>
    <w:p>
      <w:pPr>
        <w:sectPr>
          <w:pgSz w:w="11900" w:h="16838" w:orient="portrait"/>
          <w:cols w:equalWidth="0" w:num="1">
            <w:col w:w="11040"/>
          </w:cols>
          <w:pgMar w:left="240" w:top="604" w:right="619" w:bottom="1440" w:gutter="0" w:footer="0" w:header="0"/>
        </w:sectPr>
      </w:pPr>
    </w:p>
    <w:bookmarkStart w:id="23" w:name="page24"/>
    <w:bookmarkEnd w:id="23"/>
    <w:p>
      <w:pPr>
        <w:jc w:val="center"/>
        <w:ind w:right="-119"/>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 Status</w:t>
      </w:r>
    </w:p>
    <w:p>
      <w:pPr>
        <w:spacing w:after="0" w:line="23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The Plan has received a determination letter from the Internal Revenue Service dated September 2, 2003, stating that the Plan is qualified under Section 401(a) of the Internal Revenue Code (the “Code”) and, therefore, the related trust is exempt from taxation. Once qualified, the Plan is required to operate in conformity with the Code to maintain its qualification. The plan administrator believes that the Plan is currently designed and being operated in compliance with the applicable requirements of the Code and, therefore, believes that the Plan is qualified and the related trust is tax-exempt.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F-21</w:t>
      </w:r>
    </w:p>
    <w:p>
      <w:pPr>
        <w:sectPr>
          <w:pgSz w:w="11900" w:h="16838" w:orient="portrait"/>
          <w:cols w:equalWidth="0" w:num="1">
            <w:col w:w="11320"/>
          </w:cols>
          <w:pgMar w:left="240" w:top="604"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34"/>
          <w:szCs w:val="34"/>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F-22</w:t>
      </w:r>
    </w:p>
    <w:p>
      <w:pPr>
        <w:sectPr>
          <w:pgSz w:w="11900" w:h="16838" w:orient="portrait"/>
          <w:cols w:equalWidth="0" w:num="1">
            <w:col w:w="9019"/>
          </w:cols>
          <w:pgMar w:left="1440" w:top="1440" w:right="1440"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22"/>
          <w:szCs w:val="22"/>
          <w:color w:val="auto"/>
        </w:rPr>
        <w:t>EIN: 13-1166910</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Plan No: 007</w:t>
      </w:r>
    </w:p>
    <w:p>
      <w:pPr>
        <w:spacing w:after="0" w:line="21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PHILLIPS-VAN HEUSEN CORPORATION</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ASSOCIATES INVESTMENT PLAN FOR SALARIED ASSOCIATES</w:t>
      </w:r>
    </w:p>
    <w:p>
      <w:pPr>
        <w:spacing w:after="0" w:line="283"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SCHEDULE H, LINE 4i--SCHEDULE OF ASSETS (HELD AT END OF YEAR)</w:t>
      </w:r>
    </w:p>
    <w:p>
      <w:pPr>
        <w:spacing w:after="0" w:line="287"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For the Year Ended December 31, 2005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0" w:type="dxa"/>
            <w:vAlign w:val="bottom"/>
            <w:gridSpan w:val="3"/>
          </w:tcPr>
          <w:p>
            <w:pPr>
              <w:jc w:val="center"/>
              <w:ind w:right="220"/>
              <w:spacing w:after="0"/>
              <w:rPr>
                <w:sz w:val="20"/>
                <w:szCs w:val="20"/>
                <w:color w:val="auto"/>
              </w:rPr>
            </w:pPr>
            <w:r>
              <w:rPr>
                <w:rFonts w:ascii="Arial" w:cs="Arial" w:eastAsia="Arial" w:hAnsi="Arial"/>
                <w:sz w:val="22"/>
                <w:szCs w:val="22"/>
                <w:color w:val="auto"/>
                <w:w w:val="90"/>
              </w:rPr>
              <w:t>Description of Investment,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3"/>
          </w:tcPr>
          <w:p>
            <w:pPr>
              <w:jc w:val="center"/>
              <w:ind w:right="220"/>
              <w:spacing w:after="0" w:line="229" w:lineRule="exact"/>
              <w:rPr>
                <w:sz w:val="20"/>
                <w:szCs w:val="20"/>
                <w:color w:val="auto"/>
              </w:rPr>
            </w:pPr>
            <w:r>
              <w:rPr>
                <w:rFonts w:ascii="Arial" w:cs="Arial" w:eastAsia="Arial" w:hAnsi="Arial"/>
                <w:sz w:val="22"/>
                <w:szCs w:val="22"/>
                <w:color w:val="auto"/>
                <w:w w:val="92"/>
              </w:rPr>
              <w:t>Including Maturity Date,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ind w:left="80"/>
              <w:spacing w:after="0" w:line="229" w:lineRule="exact"/>
              <w:rPr>
                <w:sz w:val="20"/>
                <w:szCs w:val="20"/>
                <w:color w:val="auto"/>
              </w:rPr>
            </w:pPr>
            <w:r>
              <w:rPr>
                <w:rFonts w:ascii="Arial" w:cs="Arial" w:eastAsia="Arial" w:hAnsi="Arial"/>
                <w:sz w:val="22"/>
                <w:szCs w:val="22"/>
                <w:color w:val="auto"/>
                <w:w w:val="94"/>
              </w:rPr>
              <w:t>Identity of Issue, Borrower,</w:t>
            </w:r>
          </w:p>
        </w:tc>
        <w:tc>
          <w:tcPr>
            <w:tcW w:w="980" w:type="dxa"/>
            <w:vAlign w:val="bottom"/>
          </w:tcPr>
          <w:p>
            <w:pPr>
              <w:spacing w:after="0"/>
              <w:rPr>
                <w:sz w:val="19"/>
                <w:szCs w:val="19"/>
                <w:color w:val="auto"/>
              </w:rPr>
            </w:pPr>
          </w:p>
        </w:tc>
        <w:tc>
          <w:tcPr>
            <w:tcW w:w="3020" w:type="dxa"/>
            <w:vAlign w:val="bottom"/>
            <w:gridSpan w:val="2"/>
          </w:tcPr>
          <w:p>
            <w:pPr>
              <w:jc w:val="center"/>
              <w:ind w:right="1200"/>
              <w:spacing w:after="0" w:line="229" w:lineRule="exact"/>
              <w:rPr>
                <w:sz w:val="20"/>
                <w:szCs w:val="20"/>
                <w:color w:val="auto"/>
              </w:rPr>
            </w:pPr>
            <w:r>
              <w:rPr>
                <w:rFonts w:ascii="Arial" w:cs="Arial" w:eastAsia="Arial" w:hAnsi="Arial"/>
                <w:sz w:val="22"/>
                <w:szCs w:val="22"/>
                <w:color w:val="auto"/>
                <w:w w:val="88"/>
              </w:rPr>
              <w:t>Rate of Interest,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2280" w:type="dxa"/>
            <w:vAlign w:val="bottom"/>
            <w:gridSpan w:val="2"/>
          </w:tcPr>
          <w:p>
            <w:pPr>
              <w:spacing w:after="0" w:line="224" w:lineRule="exact"/>
              <w:rPr>
                <w:sz w:val="20"/>
                <w:szCs w:val="20"/>
                <w:color w:val="auto"/>
              </w:rPr>
            </w:pPr>
            <w:r>
              <w:rPr>
                <w:rFonts w:ascii="Arial" w:cs="Arial" w:eastAsia="Arial" w:hAnsi="Arial"/>
                <w:sz w:val="22"/>
                <w:szCs w:val="22"/>
                <w:color w:val="auto"/>
              </w:rPr>
              <w:t>Lessor or Similar Party</w:t>
            </w:r>
          </w:p>
        </w:tc>
        <w:tc>
          <w:tcPr>
            <w:tcW w:w="980" w:type="dxa"/>
            <w:vAlign w:val="bottom"/>
          </w:tcPr>
          <w:p>
            <w:pPr>
              <w:spacing w:after="0"/>
              <w:rPr>
                <w:sz w:val="19"/>
                <w:szCs w:val="19"/>
                <w:color w:val="auto"/>
              </w:rPr>
            </w:pPr>
          </w:p>
        </w:tc>
        <w:tc>
          <w:tcPr>
            <w:tcW w:w="3020" w:type="dxa"/>
            <w:vAlign w:val="bottom"/>
            <w:gridSpan w:val="2"/>
          </w:tcPr>
          <w:p>
            <w:pPr>
              <w:spacing w:after="0" w:line="224" w:lineRule="exact"/>
              <w:rPr>
                <w:sz w:val="20"/>
                <w:szCs w:val="20"/>
                <w:color w:val="auto"/>
              </w:rPr>
            </w:pPr>
            <w:r>
              <w:rPr>
                <w:rFonts w:ascii="Arial" w:cs="Arial" w:eastAsia="Arial" w:hAnsi="Arial"/>
                <w:sz w:val="22"/>
                <w:szCs w:val="22"/>
                <w:color w:val="auto"/>
              </w:rPr>
              <w:t>Par or Maturity Value</w:t>
            </w:r>
          </w:p>
        </w:tc>
        <w:tc>
          <w:tcPr>
            <w:tcW w:w="1500" w:type="dxa"/>
            <w:vAlign w:val="bottom"/>
            <w:gridSpan w:val="4"/>
          </w:tcPr>
          <w:p>
            <w:pPr>
              <w:ind w:left="140"/>
              <w:spacing w:after="0" w:line="224" w:lineRule="exact"/>
              <w:rPr>
                <w:sz w:val="20"/>
                <w:szCs w:val="20"/>
                <w:color w:val="auto"/>
              </w:rPr>
            </w:pPr>
            <w:r>
              <w:rPr>
                <w:rFonts w:ascii="Arial" w:cs="Arial" w:eastAsia="Arial" w:hAnsi="Arial"/>
                <w:sz w:val="22"/>
                <w:szCs w:val="22"/>
                <w:color w:val="auto"/>
                <w:w w:val="98"/>
              </w:rPr>
              <w:t>Current Value</w:t>
            </w: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8"/>
        </w:trPr>
        <w:tc>
          <w:tcPr>
            <w:tcW w:w="258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rPr>
                <w:sz w:val="20"/>
                <w:szCs w:val="20"/>
                <w:color w:val="auto"/>
              </w:rPr>
            </w:pPr>
            <w:r>
              <w:rPr>
                <w:rFonts w:ascii="Arial" w:cs="Arial" w:eastAsia="Arial" w:hAnsi="Arial"/>
                <w:sz w:val="22"/>
                <w:szCs w:val="22"/>
                <w:color w:val="auto"/>
                <w:w w:val="97"/>
              </w:rPr>
              <w:t>Wells Fargo Advantage Small Cap Value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Fund (Z); 404,004.3640 shares</w:t>
            </w:r>
          </w:p>
        </w:tc>
        <w:tc>
          <w:tcPr>
            <w:tcW w:w="260" w:type="dxa"/>
            <w:vAlign w:val="bottom"/>
            <w:gridSpan w:val="2"/>
          </w:tcPr>
          <w:p>
            <w:pPr>
              <w:ind w:left="120"/>
              <w:spacing w:after="0"/>
              <w:rPr>
                <w:sz w:val="20"/>
                <w:szCs w:val="20"/>
                <w:color w:val="auto"/>
              </w:rPr>
            </w:pPr>
            <w:r>
              <w:rPr>
                <w:rFonts w:ascii="Arial" w:cs="Arial" w:eastAsia="Arial" w:hAnsi="Arial"/>
                <w:sz w:val="22"/>
                <w:szCs w:val="22"/>
                <w:color w:val="auto"/>
                <w:w w:val="97"/>
              </w:rPr>
              <w:t>$</w:t>
            </w:r>
          </w:p>
        </w:tc>
        <w:tc>
          <w:tcPr>
            <w:tcW w:w="1240" w:type="dxa"/>
            <w:vAlign w:val="bottom"/>
            <w:gridSpan w:val="2"/>
          </w:tcPr>
          <w:p>
            <w:pPr>
              <w:jc w:val="right"/>
              <w:ind w:right="80"/>
              <w:spacing w:after="0"/>
              <w:rPr>
                <w:sz w:val="20"/>
                <w:szCs w:val="20"/>
                <w:color w:val="auto"/>
              </w:rPr>
            </w:pPr>
            <w:r>
              <w:rPr>
                <w:rFonts w:ascii="Arial" w:cs="Arial" w:eastAsia="Arial" w:hAnsi="Arial"/>
                <w:sz w:val="22"/>
                <w:szCs w:val="22"/>
                <w:color w:val="auto"/>
              </w:rPr>
              <w:t>12,188,812</w:t>
            </w: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Dodge &amp; Cox Balanced; 230,551.9204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shares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8"/>
              </w:rPr>
              <w:t>18,753,093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8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rPr>
                <w:sz w:val="20"/>
                <w:szCs w:val="20"/>
                <w:color w:val="auto"/>
              </w:rPr>
            </w:pPr>
            <w:r>
              <w:rPr>
                <w:rFonts w:ascii="Arial" w:cs="Arial" w:eastAsia="Arial" w:hAnsi="Arial"/>
                <w:sz w:val="22"/>
                <w:szCs w:val="22"/>
                <w:color w:val="auto"/>
                <w:w w:val="93"/>
              </w:rPr>
              <w:t>Dodge &amp; Cox Income; 57,770.5816 shares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7"/>
              </w:rPr>
              <w:t>724,443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Oakmark International I; 342,957.6464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shares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7"/>
              </w:rPr>
              <w:t>7,723,406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w w:val="93"/>
              </w:rPr>
              <w:t>Wells Fargo Advantage Total Return Bond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Fund (Adm); 485,618.1393 shares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7"/>
              </w:rPr>
              <w:t>5,900,260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Wells Fargo S&amp;P 500 Index Fund (G);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219,682.2445 shares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7"/>
              </w:rPr>
              <w:t>8,624,725</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Wells Fargo Stable Return Fund (S);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313,903.9754 shares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8"/>
              </w:rPr>
              <w:t>12,052,826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8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rPr>
                <w:sz w:val="20"/>
                <w:szCs w:val="20"/>
                <w:color w:val="auto"/>
              </w:rPr>
            </w:pPr>
            <w:r>
              <w:rPr>
                <w:rFonts w:ascii="Arial" w:cs="Arial" w:eastAsia="Arial" w:hAnsi="Arial"/>
                <w:sz w:val="22"/>
                <w:szCs w:val="22"/>
                <w:color w:val="auto"/>
                <w:w w:val="91"/>
              </w:rPr>
              <w:t>Dreyfus Appreciation; 427,567.2752 shares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8"/>
              </w:rPr>
              <w:t>16,995,799</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80" w:type="dxa"/>
            <w:vAlign w:val="bottom"/>
            <w:gridSpan w:val="3"/>
          </w:tcPr>
          <w:p>
            <w:pPr>
              <w:spacing w:after="0"/>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rPr>
                <w:sz w:val="20"/>
                <w:szCs w:val="20"/>
                <w:color w:val="auto"/>
              </w:rPr>
            </w:pPr>
            <w:r>
              <w:rPr>
                <w:rFonts w:ascii="Arial" w:cs="Arial" w:eastAsia="Arial" w:hAnsi="Arial"/>
                <w:sz w:val="22"/>
                <w:szCs w:val="22"/>
                <w:color w:val="auto"/>
                <w:w w:val="94"/>
              </w:rPr>
              <w:t>Calamos Growth (A); 47,807.4493 Shares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7"/>
              </w:rPr>
              <w:t>2,632,278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Investment in Phillips-Van Heusen</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3"/>
          </w:tcPr>
          <w:p>
            <w:pPr>
              <w:ind w:left="260"/>
              <w:spacing w:after="0" w:line="229" w:lineRule="exact"/>
              <w:rPr>
                <w:sz w:val="20"/>
                <w:szCs w:val="20"/>
                <w:color w:val="auto"/>
              </w:rPr>
            </w:pPr>
            <w:r>
              <w:rPr>
                <w:rFonts w:ascii="Arial" w:cs="Arial" w:eastAsia="Arial" w:hAnsi="Arial"/>
                <w:sz w:val="22"/>
                <w:szCs w:val="22"/>
                <w:color w:val="auto"/>
                <w:w w:val="92"/>
              </w:rPr>
              <w:t>Corporation Associates Investment Plans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0" w:type="dxa"/>
            <w:vAlign w:val="bottom"/>
            <w:gridSpan w:val="3"/>
          </w:tcPr>
          <w:p>
            <w:pPr>
              <w:ind w:left="260"/>
              <w:spacing w:after="0"/>
              <w:rPr>
                <w:sz w:val="20"/>
                <w:szCs w:val="20"/>
                <w:color w:val="auto"/>
              </w:rPr>
            </w:pPr>
            <w:r>
              <w:rPr>
                <w:rFonts w:ascii="Arial" w:cs="Arial" w:eastAsia="Arial" w:hAnsi="Arial"/>
                <w:sz w:val="22"/>
                <w:szCs w:val="22"/>
                <w:color w:val="auto"/>
              </w:rPr>
              <w:t>Master Trust; 13,316,677.8819 units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22"/>
                <w:szCs w:val="22"/>
                <w:color w:val="auto"/>
                <w:w w:val="88"/>
              </w:rPr>
              <w:t>29,777,423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line="229" w:lineRule="exact"/>
              <w:rPr>
                <w:sz w:val="20"/>
                <w:szCs w:val="20"/>
                <w:color w:val="auto"/>
              </w:rPr>
            </w:pPr>
            <w:r>
              <w:rPr>
                <w:rFonts w:ascii="Arial" w:cs="Arial" w:eastAsia="Arial" w:hAnsi="Arial"/>
                <w:sz w:val="22"/>
                <w:szCs w:val="22"/>
                <w:color w:val="auto"/>
              </w:rPr>
              <w:t>Wells Fargo Bank, N.A.</w:t>
            </w:r>
          </w:p>
        </w:tc>
        <w:tc>
          <w:tcPr>
            <w:tcW w:w="4000" w:type="dxa"/>
            <w:vAlign w:val="bottom"/>
            <w:gridSpan w:val="3"/>
          </w:tcPr>
          <w:p>
            <w:pPr>
              <w:ind w:left="100"/>
              <w:spacing w:after="0" w:line="229" w:lineRule="exact"/>
              <w:rPr>
                <w:sz w:val="20"/>
                <w:szCs w:val="20"/>
                <w:color w:val="auto"/>
              </w:rPr>
            </w:pPr>
            <w:r>
              <w:rPr>
                <w:rFonts w:ascii="Arial" w:cs="Arial" w:eastAsia="Arial" w:hAnsi="Arial"/>
                <w:sz w:val="22"/>
                <w:szCs w:val="22"/>
                <w:color w:val="auto"/>
              </w:rPr>
              <w:t>Loan Fund; 1,789,881.07 units maturity</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3"/>
          </w:tcPr>
          <w:p>
            <w:pPr>
              <w:ind w:left="260"/>
              <w:spacing w:after="0" w:line="229" w:lineRule="exact"/>
              <w:rPr>
                <w:sz w:val="20"/>
                <w:szCs w:val="20"/>
                <w:color w:val="auto"/>
              </w:rPr>
            </w:pPr>
            <w:r>
              <w:rPr>
                <w:rFonts w:ascii="Arial" w:cs="Arial" w:eastAsia="Arial" w:hAnsi="Arial"/>
                <w:sz w:val="22"/>
                <w:szCs w:val="22"/>
                <w:color w:val="auto"/>
                <w:w w:val="93"/>
              </w:rPr>
              <w:t>dates through 2020, interest rates: 5% to</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center"/>
              <w:spacing w:after="0"/>
              <w:rPr>
                <w:sz w:val="20"/>
                <w:szCs w:val="20"/>
                <w:color w:val="auto"/>
              </w:rPr>
            </w:pPr>
            <w:r>
              <w:rPr>
                <w:rFonts w:ascii="Arial" w:cs="Arial" w:eastAsia="Arial" w:hAnsi="Arial"/>
                <w:sz w:val="22"/>
                <w:szCs w:val="22"/>
                <w:color w:val="auto"/>
                <w:w w:val="87"/>
              </w:rPr>
              <w:t>1,789,881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ind w:left="260"/>
              <w:spacing w:after="0" w:line="251" w:lineRule="exact"/>
              <w:rPr>
                <w:sz w:val="20"/>
                <w:szCs w:val="20"/>
                <w:color w:val="auto"/>
              </w:rPr>
            </w:pPr>
            <w:r>
              <w:rPr>
                <w:rFonts w:ascii="Arial" w:cs="Arial" w:eastAsia="Arial" w:hAnsi="Arial"/>
                <w:sz w:val="22"/>
                <w:szCs w:val="22"/>
                <w:color w:val="auto"/>
              </w:rPr>
              <w:t>10.5%</w:t>
            </w:r>
          </w:p>
        </w:tc>
        <w:tc>
          <w:tcPr>
            <w:tcW w:w="18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72"/>
        </w:trPr>
        <w:tc>
          <w:tcPr>
            <w:tcW w:w="300" w:type="dxa"/>
            <w:vAlign w:val="bottom"/>
          </w:tcPr>
          <w:p>
            <w:pPr>
              <w:spacing w:after="0"/>
              <w:rPr>
                <w:sz w:val="24"/>
                <w:szCs w:val="24"/>
                <w:color w:val="auto"/>
              </w:rPr>
            </w:pPr>
          </w:p>
        </w:tc>
        <w:tc>
          <w:tcPr>
            <w:tcW w:w="2280" w:type="dxa"/>
            <w:vAlign w:val="bottom"/>
            <w:gridSpan w:val="2"/>
          </w:tcPr>
          <w:p>
            <w:pPr>
              <w:ind w:left="120"/>
              <w:spacing w:after="0"/>
              <w:rPr>
                <w:sz w:val="20"/>
                <w:szCs w:val="20"/>
                <w:color w:val="auto"/>
              </w:rPr>
            </w:pPr>
            <w:r>
              <w:rPr>
                <w:rFonts w:ascii="Arial" w:cs="Arial" w:eastAsia="Arial" w:hAnsi="Arial"/>
                <w:sz w:val="22"/>
                <w:szCs w:val="22"/>
                <w:color w:val="auto"/>
                <w:w w:val="97"/>
              </w:rPr>
              <w:t>Total investments held</w:t>
            </w:r>
          </w:p>
        </w:tc>
        <w:tc>
          <w:tcPr>
            <w:tcW w:w="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0" w:type="dxa"/>
            <w:vAlign w:val="bottom"/>
          </w:tcPr>
          <w:p>
            <w:pPr>
              <w:spacing w:after="0"/>
              <w:rPr>
                <w:sz w:val="24"/>
                <w:szCs w:val="24"/>
                <w:color w:val="auto"/>
              </w:rPr>
            </w:pPr>
          </w:p>
        </w:tc>
        <w:tc>
          <w:tcPr>
            <w:tcW w:w="6280" w:type="dxa"/>
            <w:vAlign w:val="bottom"/>
            <w:gridSpan w:val="5"/>
          </w:tcPr>
          <w:p>
            <w:pPr>
              <w:ind w:left="360"/>
              <w:spacing w:after="0"/>
              <w:rPr>
                <w:sz w:val="20"/>
                <w:szCs w:val="20"/>
                <w:color w:val="auto"/>
              </w:rPr>
            </w:pPr>
            <w:r>
              <w:rPr>
                <w:rFonts w:ascii="Arial" w:cs="Arial" w:eastAsia="Arial" w:hAnsi="Arial"/>
                <w:sz w:val="22"/>
                <w:szCs w:val="22"/>
                <w:color w:val="auto"/>
              </w:rPr>
              <w:t>by Wells Fargo Bank, N.A.</w:t>
            </w:r>
          </w:p>
        </w:tc>
        <w:tc>
          <w:tcPr>
            <w:tcW w:w="26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w w:val="97"/>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22"/>
                <w:szCs w:val="22"/>
                <w:color w:val="auto"/>
                <w:w w:val="93"/>
              </w:rPr>
              <w:t>117,162,946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F-23</w:t>
      </w:r>
    </w:p>
    <w:p>
      <w:pPr>
        <w:sectPr>
          <w:pgSz w:w="11900" w:h="16838" w:orient="portrait"/>
          <w:cols w:equalWidth="0" w:num="1">
            <w:col w:w="10220"/>
          </w:cols>
          <w:pgMar w:left="1440" w:top="604" w:right="2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Exhibit No.</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23.1</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23.2</w:t>
      </w:r>
    </w:p>
    <w:p>
      <w:pPr>
        <w:spacing w:after="0" w:line="20" w:lineRule="exact"/>
        <w:rPr>
          <w:sz w:val="20"/>
          <w:szCs w:val="20"/>
          <w:color w:val="auto"/>
        </w:rPr>
      </w:pPr>
      <w:r>
        <w:rPr>
          <w:sz w:val="20"/>
          <w:szCs w:val="20"/>
          <w:color w:val="auto"/>
        </w:rPr>
        <w:br w:type="column"/>
      </w:r>
    </w:p>
    <w:p>
      <w:pPr>
        <w:jc w:val="center"/>
        <w:ind w:right="73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579"/>
        <w:spacing w:after="0" w:line="251" w:lineRule="auto"/>
        <w:rPr>
          <w:sz w:val="20"/>
          <w:szCs w:val="20"/>
          <w:color w:val="auto"/>
        </w:rPr>
      </w:pPr>
      <w:r>
        <w:rPr>
          <w:rFonts w:ascii="Arial" w:cs="Arial" w:eastAsia="Arial" w:hAnsi="Arial"/>
          <w:sz w:val="22"/>
          <w:szCs w:val="22"/>
          <w:color w:val="auto"/>
        </w:rPr>
        <w:t>Consent of Independent Auditors (Associates Investment Plan for Hourly Associates)</w:t>
      </w:r>
    </w:p>
    <w:p>
      <w:pPr>
        <w:spacing w:after="0" w:line="187" w:lineRule="exact"/>
        <w:rPr>
          <w:sz w:val="20"/>
          <w:szCs w:val="20"/>
          <w:color w:val="auto"/>
        </w:rPr>
      </w:pPr>
    </w:p>
    <w:p>
      <w:pPr>
        <w:ind w:right="2579"/>
        <w:spacing w:after="0" w:line="251" w:lineRule="auto"/>
        <w:rPr>
          <w:sz w:val="20"/>
          <w:szCs w:val="20"/>
          <w:color w:val="auto"/>
        </w:rPr>
      </w:pPr>
      <w:r>
        <w:rPr>
          <w:rFonts w:ascii="Arial" w:cs="Arial" w:eastAsia="Arial" w:hAnsi="Arial"/>
          <w:sz w:val="22"/>
          <w:szCs w:val="22"/>
          <w:color w:val="auto"/>
        </w:rPr>
        <w:t>Consent of Independent Auditors (Associates Investment Plan for Salaried Associates)</w:t>
      </w:r>
    </w:p>
    <w:p>
      <w:pPr>
        <w:sectPr>
          <w:pgSz w:w="11900" w:h="16838" w:orient="portrait"/>
          <w:cols w:equalWidth="0" w:num="2">
            <w:col w:w="1240" w:space="720"/>
            <w:col w:w="8259"/>
          </w:cols>
          <w:pgMar w:left="240" w:top="847" w:right="1440" w:bottom="1440" w:gutter="0" w:footer="0" w:header="0"/>
        </w:sectPr>
      </w:pPr>
    </w:p>
    <w:bookmarkStart w:id="27" w:name="page28"/>
    <w:bookmarkEnd w:id="27"/>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21"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We consent to the incorporation by reference in the Registration Statement (Form S-8 No. 333-125694) pertaining to the Phillips-Van Heusen Corporation Associates Investment Plan for Hourly Associates of our report dated June 19, 2006, with respect to the financial statements of the Phillips-Van Heusen Corporation Associates Investment Plan for Hourly Associates included in this Annual Report (Form 11-K) for the year ended December 31, 2005.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SPIELMAN KOENIGSBERG &amp; PARKER, LLP</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June 23, 2006</w:t>
      </w:r>
    </w:p>
    <w:p>
      <w:pPr>
        <w:sectPr>
          <w:pgSz w:w="11900" w:h="16838" w:orient="portrait"/>
          <w:cols w:equalWidth="0" w:num="1">
            <w:col w:w="11420"/>
          </w:cols>
          <w:pgMar w:left="240" w:top="14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2"/>
          <w:szCs w:val="22"/>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Consent of Independent Registered Public Accounting Firm</w:t>
      </w:r>
    </w:p>
    <w:p>
      <w:pPr>
        <w:spacing w:after="0" w:line="221"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consent to the incorporation by reference in the Registration Statement (Form S-8 No. 333-125694) pertaining to the Phillips-Van Heusen Corporation Associates Investment Plan for Salaried Associates of our report dated June 19, 2006, with respect to the financial statements of the Phillips-Van Heusen Corporation Associates Investment Plan for Salaried Associates included in this Annual Report (Form 11-K) for the year ended December 31, 2005.</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SPIELMAN KOENIGSBERG &amp; PARKER, LLP</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June 23, 2006</w:t>
      </w:r>
    </w:p>
    <w:sectPr>
      <w:pgSz w:w="11900" w:h="16838" w:orient="portrait"/>
      <w:cols w:equalWidth="0" w:num="1">
        <w:col w:w="11420"/>
      </w:cols>
      <w:pgMar w:left="240" w:top="1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upperLetter"/>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decimal"/>
      <w:start w:val="3"/>
    </w:lvl>
  </w:abstractNum>
  <w:abstractNum w:abstractNumId="11">
    <w:nsid w:val="140E0F76"/>
    <w:multiLevelType w:val="hybridMultilevel"/>
    <w:lvl w:ilvl="0">
      <w:lvlJc w:val="left"/>
      <w:lvlText w:val="%1."/>
      <w:numFmt w:val="decimal"/>
      <w:start w:val="4"/>
    </w:lvl>
  </w:abstractNum>
  <w:abstractNum w:abstractNumId="12">
    <w:nsid w:val="3352255A"/>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2019-12-13T06:16:13Z</dcterms:created>
  <dcterms:modified xsi:type="dcterms:W3CDTF">2019-12-13T06:16:13Z</dcterms:modified>
</cp:coreProperties>
</file>