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FISCHER MARK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General Counsel &amp; Sec.</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gridSpan w:val="6"/>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5"/>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7"/>
                <w:szCs w:val="17"/>
                <w:color w:val="0000FF"/>
                <w:w w:val="93"/>
              </w:rPr>
              <w:t>3,096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0" w:type="dxa"/>
            <w:vAlign w:val="bottom"/>
            <w:tcBorders>
              <w:bottom w:val="single" w:sz="8" w:color="2C2C2C"/>
            </w:tcBorders>
            <w:gridSpan w:val="2"/>
          </w:tcPr>
          <w:p>
            <w:pPr>
              <w:jc w:val="center"/>
              <w:ind w:left="6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27,702</w:t>
            </w:r>
            <w:r>
              <w:rPr>
                <w:rFonts w:ascii="Times New Roman" w:cs="Times New Roman" w:eastAsia="Times New Roman" w:hAnsi="Times New Roman"/>
                <w:sz w:val="22"/>
                <w:szCs w:val="22"/>
                <w:color w:val="008000"/>
                <w:w w:val="97"/>
                <w:vertAlign w:val="superscript"/>
              </w:rPr>
              <w:t>(2)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5"/>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4"/>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563</w:t>
            </w:r>
            <w:r>
              <w:rPr>
                <w:rFonts w:ascii="Times New Roman" w:cs="Times New Roman" w:eastAsia="Times New Roman" w:hAnsi="Times New Roman"/>
                <w:sz w:val="11"/>
                <w:szCs w:val="11"/>
                <w:color w:val="008000"/>
                <w:w w:val="85"/>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27,139</w:t>
            </w:r>
            <w:r>
              <w:rPr>
                <w:rFonts w:ascii="Times New Roman" w:cs="Times New Roman" w:eastAsia="Times New Roman" w:hAnsi="Times New Roman"/>
                <w:sz w:val="22"/>
                <w:szCs w:val="22"/>
                <w:color w:val="008000"/>
                <w:w w:val="97"/>
                <w:vertAlign w:val="superscript"/>
              </w:rPr>
              <w:t>(4)</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5"/>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4"/>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240</w:t>
            </w:r>
            <w:r>
              <w:rPr>
                <w:rFonts w:ascii="Times New Roman" w:cs="Times New Roman" w:eastAsia="Times New Roman" w:hAnsi="Times New Roman"/>
                <w:sz w:val="11"/>
                <w:szCs w:val="11"/>
                <w:color w:val="008000"/>
                <w:w w:val="85"/>
              </w:rPr>
              <w:t>(5)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26,899</w:t>
            </w:r>
            <w:r>
              <w:rPr>
                <w:rFonts w:ascii="Times New Roman" w:cs="Times New Roman" w:eastAsia="Times New Roman" w:hAnsi="Times New Roman"/>
                <w:sz w:val="22"/>
                <w:szCs w:val="22"/>
                <w:color w:val="008000"/>
                <w:w w:val="97"/>
                <w:vertAlign w:val="superscript"/>
              </w:rPr>
              <w:t>(6)</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5"/>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7"/>
                <w:szCs w:val="17"/>
                <w:color w:val="0000FF"/>
                <w:w w:val="93"/>
              </w:rPr>
              <w:t>2,151</w:t>
            </w:r>
            <w:r>
              <w:rPr>
                <w:rFonts w:ascii="Times New Roman" w:cs="Times New Roman" w:eastAsia="Times New Roman" w:hAnsi="Times New Roman"/>
                <w:sz w:val="22"/>
                <w:szCs w:val="22"/>
                <w:color w:val="008000"/>
                <w:w w:val="93"/>
                <w:vertAlign w:val="superscript"/>
              </w:rPr>
              <w:t>(7)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0" w:type="dxa"/>
            <w:vAlign w:val="bottom"/>
            <w:tcBorders>
              <w:bottom w:val="single" w:sz="8" w:color="2C2C2C"/>
            </w:tcBorders>
            <w:gridSpan w:val="2"/>
          </w:tcPr>
          <w:p>
            <w:pPr>
              <w:jc w:val="center"/>
              <w:ind w:left="6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29,050</w:t>
            </w:r>
            <w:r>
              <w:rPr>
                <w:rFonts w:ascii="Times New Roman" w:cs="Times New Roman" w:eastAsia="Times New Roman" w:hAnsi="Times New Roman"/>
                <w:sz w:val="22"/>
                <w:szCs w:val="22"/>
                <w:color w:val="008000"/>
                <w:w w:val="97"/>
                <w:vertAlign w:val="superscript"/>
              </w:rPr>
              <w:t>(6)</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jc w:val="center"/>
              <w:ind w:left="665"/>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17"/>
                <w:szCs w:val="17"/>
                <w:color w:val="0000FF"/>
                <w:w w:val="93"/>
              </w:rPr>
              <w:t>1,097</w:t>
            </w:r>
            <w:r>
              <w:rPr>
                <w:rFonts w:ascii="Times New Roman" w:cs="Times New Roman" w:eastAsia="Times New Roman" w:hAnsi="Times New Roman"/>
                <w:sz w:val="22"/>
                <w:szCs w:val="22"/>
                <w:color w:val="008000"/>
                <w:w w:val="93"/>
                <w:vertAlign w:val="superscript"/>
              </w:rPr>
              <w:t>(8)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27,953</w:t>
            </w:r>
            <w:r>
              <w:rPr>
                <w:rFonts w:ascii="Times New Roman" w:cs="Times New Roman" w:eastAsia="Times New Roman" w:hAnsi="Times New Roman"/>
                <w:sz w:val="22"/>
                <w:szCs w:val="22"/>
                <w:color w:val="008000"/>
                <w:w w:val="97"/>
                <w:vertAlign w:val="superscript"/>
              </w:rPr>
              <w:t>(6)</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710.5059</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Each unit represents a contingent right to receive one share of Issuer's Common Stock. The units vest 25% (774 shares) on each anniversary of grant. Vested shares are delivered as soon as practicable after they vest.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11,308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1,669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9,639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712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8,927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upon vesting of a performance share unit award granted to the reporting person on April 6,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receipt of all shares described in Note (7)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Mark D. Fischer</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04/08/2026</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3792"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2026-04-08T11:46:10Z</dcterms:created>
  <dcterms:modified xsi:type="dcterms:W3CDTF">2026-04-08T11:46:10Z</dcterms:modified>
</cp:coreProperties>
</file>