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180" w:type="dxa"/>
            <w:vAlign w:val="bottom"/>
            <w:gridSpan w:val="10"/>
          </w:tcPr>
          <w:p>
            <w:pPr>
              <w:jc w:val="center"/>
              <w:ind w:right="1480"/>
              <w:spacing w:after="0"/>
              <w:rPr>
                <w:sz w:val="20"/>
                <w:szCs w:val="20"/>
                <w:color w:val="auto"/>
              </w:rPr>
            </w:pPr>
            <w:r>
              <w:rPr>
                <w:rFonts w:ascii="Arial" w:cs="Arial" w:eastAsia="Arial" w:hAnsi="Arial"/>
                <w:sz w:val="22"/>
                <w:szCs w:val="22"/>
                <w:b w:val="1"/>
                <w:bCs w:val="1"/>
                <w:color w:val="auto"/>
                <w:w w:val="97"/>
              </w:rPr>
              <w:t>UNITED STATES</w:t>
            </w:r>
          </w:p>
        </w:tc>
      </w:tr>
      <w:tr>
        <w:trPr>
          <w:trHeight w:val="243"/>
        </w:trPr>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20" w:type="dxa"/>
            <w:vAlign w:val="bottom"/>
            <w:gridSpan w:val="13"/>
          </w:tcPr>
          <w:p>
            <w:pPr>
              <w:jc w:val="center"/>
              <w:ind w:left="52"/>
              <w:spacing w:after="0" w:line="243" w:lineRule="exact"/>
              <w:rPr>
                <w:sz w:val="20"/>
                <w:szCs w:val="20"/>
                <w:color w:val="auto"/>
              </w:rPr>
            </w:pPr>
            <w:r>
              <w:rPr>
                <w:rFonts w:ascii="Arial" w:cs="Arial" w:eastAsia="Arial" w:hAnsi="Arial"/>
                <w:sz w:val="22"/>
                <w:szCs w:val="22"/>
                <w:b w:val="1"/>
                <w:bCs w:val="1"/>
                <w:color w:val="auto"/>
                <w:w w:val="99"/>
              </w:rPr>
              <w:t>SECURITIES AND EXCHANGE COMMISSION</w:t>
            </w:r>
          </w:p>
        </w:tc>
      </w:tr>
      <w:tr>
        <w:trPr>
          <w:trHeight w:val="281"/>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80" w:type="dxa"/>
            <w:vAlign w:val="bottom"/>
            <w:gridSpan w:val="11"/>
          </w:tcPr>
          <w:p>
            <w:pPr>
              <w:jc w:val="center"/>
              <w:ind w:right="380"/>
              <w:spacing w:after="0"/>
              <w:rPr>
                <w:sz w:val="20"/>
                <w:szCs w:val="20"/>
                <w:color w:val="auto"/>
              </w:rPr>
            </w:pPr>
            <w:r>
              <w:rPr>
                <w:rFonts w:ascii="Arial" w:cs="Arial" w:eastAsia="Arial" w:hAnsi="Arial"/>
                <w:sz w:val="22"/>
                <w:szCs w:val="22"/>
                <w:b w:val="1"/>
                <w:bCs w:val="1"/>
                <w:color w:val="auto"/>
                <w:w w:val="88"/>
              </w:rPr>
              <w:t>Washington, D.C. 20549</w:t>
            </w:r>
          </w:p>
        </w:tc>
      </w:tr>
      <w:tr>
        <w:trPr>
          <w:trHeight w:val="459"/>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40" w:type="dxa"/>
            <w:vAlign w:val="bottom"/>
            <w:gridSpan w:val="10"/>
          </w:tcPr>
          <w:p>
            <w:pPr>
              <w:jc w:val="center"/>
              <w:ind w:left="432"/>
              <w:spacing w:after="0"/>
              <w:rPr>
                <w:sz w:val="20"/>
                <w:szCs w:val="20"/>
                <w:color w:val="auto"/>
              </w:rPr>
            </w:pPr>
            <w:r>
              <w:rPr>
                <w:rFonts w:ascii="Arial" w:cs="Arial" w:eastAsia="Arial" w:hAnsi="Arial"/>
                <w:sz w:val="22"/>
                <w:szCs w:val="22"/>
                <w:b w:val="1"/>
                <w:bCs w:val="1"/>
                <w:color w:val="auto"/>
                <w:w w:val="88"/>
              </w:rPr>
              <w:t>_____________________________</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75"/>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gridSpan w:val="9"/>
          </w:tcPr>
          <w:p>
            <w:pPr>
              <w:jc w:val="center"/>
              <w:ind w:right="1640"/>
              <w:spacing w:after="0"/>
              <w:rPr>
                <w:sz w:val="20"/>
                <w:szCs w:val="20"/>
                <w:color w:val="auto"/>
              </w:rPr>
            </w:pPr>
            <w:r>
              <w:rPr>
                <w:rFonts w:ascii="Arial" w:cs="Arial" w:eastAsia="Arial" w:hAnsi="Arial"/>
                <w:sz w:val="22"/>
                <w:szCs w:val="22"/>
                <w:b w:val="1"/>
                <w:bCs w:val="1"/>
                <w:color w:val="auto"/>
                <w:w w:val="99"/>
              </w:rPr>
              <w:t>FORM 8-K</w:t>
            </w:r>
          </w:p>
        </w:tc>
      </w:tr>
      <w:tr>
        <w:trPr>
          <w:trHeight w:val="422"/>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80" w:type="dxa"/>
            <w:vAlign w:val="bottom"/>
            <w:gridSpan w:val="11"/>
          </w:tcPr>
          <w:p>
            <w:pPr>
              <w:jc w:val="center"/>
              <w:ind w:right="380"/>
              <w:spacing w:after="0"/>
              <w:rPr>
                <w:sz w:val="20"/>
                <w:szCs w:val="20"/>
                <w:color w:val="auto"/>
              </w:rPr>
            </w:pPr>
            <w:r>
              <w:rPr>
                <w:rFonts w:ascii="Arial" w:cs="Arial" w:eastAsia="Arial" w:hAnsi="Arial"/>
                <w:sz w:val="22"/>
                <w:szCs w:val="22"/>
                <w:b w:val="1"/>
                <w:bCs w:val="1"/>
                <w:color w:val="auto"/>
                <w:w w:val="98"/>
              </w:rPr>
              <w:t>CURRENT REPORT</w:t>
            </w:r>
          </w:p>
        </w:tc>
      </w:tr>
      <w:tr>
        <w:trPr>
          <w:trHeight w:val="243"/>
        </w:trPr>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80" w:type="dxa"/>
            <w:vAlign w:val="bottom"/>
            <w:gridSpan w:val="11"/>
          </w:tcPr>
          <w:p>
            <w:pPr>
              <w:jc w:val="center"/>
              <w:ind w:right="380"/>
              <w:spacing w:after="0" w:line="243" w:lineRule="exact"/>
              <w:rPr>
                <w:sz w:val="20"/>
                <w:szCs w:val="20"/>
                <w:color w:val="auto"/>
              </w:rPr>
            </w:pPr>
            <w:r>
              <w:rPr>
                <w:rFonts w:ascii="Arial" w:cs="Arial" w:eastAsia="Arial" w:hAnsi="Arial"/>
                <w:sz w:val="22"/>
                <w:szCs w:val="22"/>
                <w:b w:val="1"/>
                <w:bCs w:val="1"/>
                <w:color w:val="auto"/>
                <w:w w:val="88"/>
              </w:rPr>
              <w:t>Pursuant to Section 13 or 15(d) of the</w:t>
            </w:r>
          </w:p>
        </w:tc>
      </w:tr>
      <w:tr>
        <w:trPr>
          <w:trHeight w:val="281"/>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80" w:type="dxa"/>
            <w:vAlign w:val="bottom"/>
            <w:gridSpan w:val="11"/>
          </w:tcPr>
          <w:p>
            <w:pPr>
              <w:jc w:val="center"/>
              <w:ind w:right="360"/>
              <w:spacing w:after="0"/>
              <w:rPr>
                <w:sz w:val="20"/>
                <w:szCs w:val="20"/>
                <w:color w:val="auto"/>
              </w:rPr>
            </w:pPr>
            <w:r>
              <w:rPr>
                <w:rFonts w:ascii="Arial" w:cs="Arial" w:eastAsia="Arial" w:hAnsi="Arial"/>
                <w:sz w:val="22"/>
                <w:szCs w:val="22"/>
                <w:b w:val="1"/>
                <w:bCs w:val="1"/>
                <w:color w:val="auto"/>
                <w:w w:val="87"/>
              </w:rPr>
              <w:t>Securities Exchange Act of 1934</w:t>
            </w:r>
          </w:p>
        </w:tc>
      </w:tr>
      <w:tr>
        <w:trPr>
          <w:trHeight w:val="941"/>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40" w:type="dxa"/>
            <w:vAlign w:val="bottom"/>
            <w:gridSpan w:val="12"/>
          </w:tcPr>
          <w:p>
            <w:pPr>
              <w:jc w:val="center"/>
              <w:ind w:right="120"/>
              <w:spacing w:after="0"/>
              <w:rPr>
                <w:sz w:val="20"/>
                <w:szCs w:val="20"/>
                <w:color w:val="auto"/>
              </w:rPr>
            </w:pPr>
            <w:r>
              <w:rPr>
                <w:rFonts w:ascii="Arial" w:cs="Arial" w:eastAsia="Arial" w:hAnsi="Arial"/>
                <w:sz w:val="22"/>
                <w:szCs w:val="22"/>
                <w:color w:val="auto"/>
                <w:w w:val="89"/>
              </w:rPr>
              <w:t>Date of Report (Date of earliest event reported)</w:t>
            </w:r>
          </w:p>
        </w:tc>
      </w:tr>
      <w:tr>
        <w:trPr>
          <w:trHeight w:val="224"/>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20" w:type="dxa"/>
            <w:vAlign w:val="bottom"/>
            <w:tcBorders>
              <w:bottom w:val="single" w:sz="8" w:color="auto"/>
            </w:tcBorders>
            <w:gridSpan w:val="6"/>
          </w:tcPr>
          <w:p>
            <w:pPr>
              <w:jc w:val="center"/>
              <w:spacing w:after="0" w:line="224" w:lineRule="exact"/>
              <w:rPr>
                <w:sz w:val="20"/>
                <w:szCs w:val="20"/>
                <w:color w:val="auto"/>
              </w:rPr>
            </w:pPr>
            <w:r>
              <w:rPr>
                <w:rFonts w:ascii="Arial" w:cs="Arial" w:eastAsia="Arial" w:hAnsi="Arial"/>
                <w:sz w:val="22"/>
                <w:szCs w:val="22"/>
                <w:color w:val="auto"/>
                <w:w w:val="89"/>
              </w:rPr>
              <w:t>November 20, 2006</w:t>
            </w:r>
          </w:p>
        </w:tc>
        <w:tc>
          <w:tcPr>
            <w:tcW w:w="1460" w:type="dxa"/>
            <w:vAlign w:val="bottom"/>
            <w:gridSpan w:val="4"/>
          </w:tcPr>
          <w:p>
            <w:pPr>
              <w:spacing w:after="0"/>
              <w:rPr>
                <w:sz w:val="19"/>
                <w:szCs w:val="19"/>
                <w:color w:val="auto"/>
              </w:rPr>
            </w:pPr>
          </w:p>
        </w:tc>
      </w:tr>
      <w:tr>
        <w:trPr>
          <w:trHeight w:val="709"/>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80" w:type="dxa"/>
            <w:vAlign w:val="bottom"/>
            <w:gridSpan w:val="11"/>
          </w:tcPr>
          <w:p>
            <w:pPr>
              <w:jc w:val="center"/>
              <w:ind w:right="380"/>
              <w:spacing w:after="0"/>
              <w:rPr>
                <w:sz w:val="20"/>
                <w:szCs w:val="20"/>
                <w:color w:val="auto"/>
              </w:rPr>
            </w:pPr>
            <w:r>
              <w:rPr>
                <w:rFonts w:ascii="Arial" w:cs="Arial" w:eastAsia="Arial" w:hAnsi="Arial"/>
                <w:sz w:val="22"/>
                <w:szCs w:val="22"/>
                <w:color w:val="auto"/>
                <w:w w:val="93"/>
              </w:rPr>
              <w:t>PHILLIPS-VAN HEUSEN CORPORATION</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4"/>
        </w:trPr>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820" w:type="dxa"/>
            <w:vAlign w:val="bottom"/>
            <w:gridSpan w:val="13"/>
          </w:tcPr>
          <w:p>
            <w:pPr>
              <w:jc w:val="center"/>
              <w:ind w:left="52"/>
              <w:spacing w:after="0"/>
              <w:rPr>
                <w:sz w:val="20"/>
                <w:szCs w:val="20"/>
                <w:color w:val="auto"/>
              </w:rPr>
            </w:pPr>
            <w:r>
              <w:rPr>
                <w:rFonts w:ascii="Arial" w:cs="Arial" w:eastAsia="Arial" w:hAnsi="Arial"/>
                <w:sz w:val="22"/>
                <w:szCs w:val="22"/>
                <w:color w:val="auto"/>
                <w:w w:val="88"/>
              </w:rPr>
              <w:t>(Exact name of registrant as specified in its charter)</w:t>
            </w:r>
          </w:p>
        </w:tc>
      </w:tr>
      <w:tr>
        <w:trPr>
          <w:trHeight w:val="409"/>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8"/>
          </w:tcPr>
          <w:p>
            <w:pPr>
              <w:jc w:val="center"/>
              <w:ind w:right="1920"/>
              <w:spacing w:after="0"/>
              <w:rPr>
                <w:sz w:val="20"/>
                <w:szCs w:val="20"/>
                <w:color w:val="auto"/>
              </w:rPr>
            </w:pPr>
            <w:r>
              <w:rPr>
                <w:rFonts w:ascii="Arial" w:cs="Arial" w:eastAsia="Arial" w:hAnsi="Arial"/>
                <w:sz w:val="22"/>
                <w:szCs w:val="22"/>
                <w:color w:val="auto"/>
                <w:w w:val="88"/>
              </w:rPr>
              <w:t>Delaware</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4"/>
        </w:trPr>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80" w:type="dxa"/>
            <w:vAlign w:val="bottom"/>
            <w:gridSpan w:val="11"/>
          </w:tcPr>
          <w:p>
            <w:pPr>
              <w:jc w:val="center"/>
              <w:ind w:right="360"/>
              <w:spacing w:after="0"/>
              <w:rPr>
                <w:sz w:val="20"/>
                <w:szCs w:val="20"/>
                <w:color w:val="auto"/>
              </w:rPr>
            </w:pPr>
            <w:r>
              <w:rPr>
                <w:rFonts w:ascii="Arial" w:cs="Arial" w:eastAsia="Arial" w:hAnsi="Arial"/>
                <w:sz w:val="22"/>
                <w:szCs w:val="22"/>
                <w:color w:val="auto"/>
                <w:w w:val="91"/>
              </w:rPr>
              <w:t>(State or other jurisdiction of incorporation)</w:t>
            </w:r>
          </w:p>
        </w:tc>
      </w:tr>
      <w:tr>
        <w:trPr>
          <w:trHeight w:val="449"/>
        </w:trPr>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w w:val="87"/>
              </w:rPr>
              <w:t>001-07572</w:t>
            </w:r>
          </w:p>
        </w:tc>
        <w:tc>
          <w:tcPr>
            <w:tcW w:w="920" w:type="dxa"/>
            <w:vAlign w:val="bottom"/>
          </w:tcPr>
          <w:p>
            <w:pPr>
              <w:spacing w:after="0"/>
              <w:rPr>
                <w:sz w:val="24"/>
                <w:szCs w:val="24"/>
                <w:color w:val="auto"/>
              </w:rPr>
            </w:pPr>
          </w:p>
        </w:tc>
        <w:tc>
          <w:tcPr>
            <w:tcW w:w="2900" w:type="dxa"/>
            <w:vAlign w:val="bottom"/>
            <w:gridSpan w:val="7"/>
          </w:tcPr>
          <w:p>
            <w:pPr>
              <w:jc w:val="right"/>
              <w:ind w:right="80"/>
              <w:spacing w:after="0"/>
              <w:rPr>
                <w:sz w:val="20"/>
                <w:szCs w:val="20"/>
                <w:color w:val="auto"/>
              </w:rPr>
            </w:pPr>
            <w:r>
              <w:rPr>
                <w:rFonts w:ascii="Arial" w:cs="Arial" w:eastAsia="Arial" w:hAnsi="Arial"/>
                <w:sz w:val="22"/>
                <w:szCs w:val="22"/>
                <w:color w:val="auto"/>
              </w:rPr>
              <w:t>13-1166910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17"/>
        </w:trPr>
        <w:tc>
          <w:tcPr>
            <w:tcW w:w="2580" w:type="dxa"/>
            <w:vAlign w:val="bottom"/>
            <w:gridSpan w:val="3"/>
          </w:tcPr>
          <w:p>
            <w:pPr>
              <w:jc w:val="center"/>
              <w:ind w:right="180"/>
              <w:spacing w:after="0"/>
              <w:rPr>
                <w:sz w:val="20"/>
                <w:szCs w:val="20"/>
                <w:color w:val="auto"/>
              </w:rPr>
            </w:pPr>
            <w:r>
              <w:rPr>
                <w:rFonts w:ascii="Arial" w:cs="Arial" w:eastAsia="Arial" w:hAnsi="Arial"/>
                <w:sz w:val="22"/>
                <w:szCs w:val="22"/>
                <w:color w:val="auto"/>
                <w:w w:val="91"/>
              </w:rPr>
              <w:t>(Commission File Number)</w:t>
            </w:r>
          </w:p>
        </w:tc>
        <w:tc>
          <w:tcPr>
            <w:tcW w:w="280" w:type="dxa"/>
            <w:vAlign w:val="bottom"/>
          </w:tcPr>
          <w:p>
            <w:pPr>
              <w:spacing w:after="0"/>
              <w:rPr>
                <w:sz w:val="24"/>
                <w:szCs w:val="24"/>
                <w:color w:val="auto"/>
              </w:rPr>
            </w:pPr>
          </w:p>
        </w:tc>
        <w:tc>
          <w:tcPr>
            <w:tcW w:w="4540" w:type="dxa"/>
            <w:vAlign w:val="bottom"/>
            <w:gridSpan w:val="12"/>
          </w:tcPr>
          <w:p>
            <w:pPr>
              <w:ind w:left="180"/>
              <w:spacing w:after="0"/>
              <w:rPr>
                <w:sz w:val="20"/>
                <w:szCs w:val="20"/>
                <w:color w:val="auto"/>
              </w:rPr>
            </w:pPr>
            <w:r>
              <w:rPr>
                <w:rFonts w:ascii="Arial" w:cs="Arial" w:eastAsia="Arial" w:hAnsi="Arial"/>
                <w:sz w:val="22"/>
                <w:szCs w:val="22"/>
                <w:color w:val="auto"/>
              </w:rPr>
              <w:t>(IRS Employer Identification Number)</w:t>
            </w:r>
          </w:p>
        </w:tc>
      </w:tr>
      <w:tr>
        <w:trPr>
          <w:trHeight w:val="881"/>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40" w:type="dxa"/>
            <w:vAlign w:val="bottom"/>
            <w:gridSpan w:val="12"/>
          </w:tcPr>
          <w:p>
            <w:pPr>
              <w:jc w:val="center"/>
              <w:ind w:right="120"/>
              <w:spacing w:after="0"/>
              <w:rPr>
                <w:sz w:val="20"/>
                <w:szCs w:val="20"/>
                <w:color w:val="auto"/>
              </w:rPr>
            </w:pPr>
            <w:r>
              <w:rPr>
                <w:rFonts w:ascii="Arial" w:cs="Arial" w:eastAsia="Arial" w:hAnsi="Arial"/>
                <w:sz w:val="22"/>
                <w:szCs w:val="22"/>
                <w:color w:val="auto"/>
                <w:w w:val="90"/>
              </w:rPr>
              <w:t>200 Madison Avenue, New York, New York 10016</w:t>
            </w:r>
          </w:p>
        </w:tc>
      </w:tr>
      <w:tr>
        <w:trPr>
          <w:trHeight w:val="274"/>
        </w:trPr>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4160" w:type="dxa"/>
            <w:vAlign w:val="bottom"/>
            <w:tcBorders>
              <w:top w:val="single" w:sz="8" w:color="auto"/>
            </w:tcBorders>
            <w:gridSpan w:val="10"/>
          </w:tcPr>
          <w:p>
            <w:pPr>
              <w:jc w:val="center"/>
              <w:ind w:right="240"/>
              <w:spacing w:after="0"/>
              <w:rPr>
                <w:sz w:val="20"/>
                <w:szCs w:val="20"/>
                <w:color w:val="auto"/>
              </w:rPr>
            </w:pPr>
            <w:r>
              <w:rPr>
                <w:rFonts w:ascii="Arial" w:cs="Arial" w:eastAsia="Arial" w:hAnsi="Arial"/>
                <w:sz w:val="22"/>
                <w:szCs w:val="22"/>
                <w:color w:val="auto"/>
                <w:w w:val="91"/>
              </w:rPr>
              <w:t>(Address of Principal Executive Offices)</w:t>
            </w:r>
          </w:p>
        </w:tc>
        <w:tc>
          <w:tcPr>
            <w:tcW w:w="120" w:type="dxa"/>
            <w:vAlign w:val="bottom"/>
          </w:tcPr>
          <w:p>
            <w:pPr>
              <w:spacing w:after="0"/>
              <w:rPr>
                <w:sz w:val="23"/>
                <w:szCs w:val="23"/>
                <w:color w:val="auto"/>
              </w:rPr>
            </w:pPr>
          </w:p>
        </w:tc>
      </w:tr>
      <w:tr>
        <w:trPr>
          <w:trHeight w:val="652"/>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40" w:type="dxa"/>
            <w:vAlign w:val="bottom"/>
            <w:gridSpan w:val="12"/>
          </w:tcPr>
          <w:p>
            <w:pPr>
              <w:jc w:val="center"/>
              <w:ind w:right="120"/>
              <w:spacing w:after="0"/>
              <w:rPr>
                <w:sz w:val="20"/>
                <w:szCs w:val="20"/>
                <w:color w:val="auto"/>
              </w:rPr>
            </w:pPr>
            <w:r>
              <w:rPr>
                <w:rFonts w:ascii="Arial" w:cs="Arial" w:eastAsia="Arial" w:hAnsi="Arial"/>
                <w:sz w:val="22"/>
                <w:szCs w:val="22"/>
                <w:color w:val="auto"/>
                <w:w w:val="88"/>
              </w:rPr>
              <w:t>Registrant’s telephone number (212)-381-3500</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4"/>
          <w:szCs w:val="24"/>
          <w:color w:val="auto"/>
        </w:rPr>
      </w:pPr>
    </w:p>
    <w:p>
      <w:pPr>
        <w:jc w:val="center"/>
        <w:ind w:right="-560"/>
        <w:spacing w:after="0"/>
        <w:rPr>
          <w:sz w:val="20"/>
          <w:szCs w:val="20"/>
          <w:color w:val="auto"/>
        </w:rPr>
      </w:pPr>
      <w:r>
        <w:rPr>
          <w:rFonts w:ascii="Arial" w:cs="Arial" w:eastAsia="Arial" w:hAnsi="Arial"/>
          <w:sz w:val="22"/>
          <w:szCs w:val="22"/>
          <w:u w:val="single" w:color="auto"/>
          <w:color w:val="auto"/>
        </w:rPr>
        <w:t>Not Applicable</w:t>
      </w:r>
    </w:p>
    <w:p>
      <w:pPr>
        <w:spacing w:after="0" w:line="8" w:lineRule="exact"/>
        <w:rPr>
          <w:sz w:val="24"/>
          <w:szCs w:val="24"/>
          <w:color w:val="auto"/>
        </w:rPr>
      </w:pPr>
    </w:p>
    <w:p>
      <w:pPr>
        <w:jc w:val="center"/>
        <w:ind w:right="-560"/>
        <w:spacing w:after="0"/>
        <w:rPr>
          <w:sz w:val="20"/>
          <w:szCs w:val="20"/>
          <w:color w:val="auto"/>
        </w:rPr>
      </w:pPr>
      <w:r>
        <w:rPr>
          <w:rFonts w:ascii="Arial" w:cs="Arial" w:eastAsia="Arial" w:hAnsi="Arial"/>
          <w:sz w:val="19"/>
          <w:szCs w:val="19"/>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1647190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9579"/>
          </w:cols>
          <w:pgMar w:left="880" w:top="453" w:right="1440"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21"/>
          <w:szCs w:val="21"/>
          <w:b w:val="1"/>
          <w:bCs w:val="1"/>
          <w:color w:val="auto"/>
        </w:rPr>
        <w:t>RESULTS OF OPERATIONS AND FINANCIAL CONDITION</w:t>
      </w:r>
    </w:p>
    <w:p>
      <w:pPr>
        <w:spacing w:after="0" w:line="9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On November 20, 2006, Phillips-Van Heusen Corporation (the “Company”), issued a press release to report the Company’s 2006 third quarter earnings, which is set forth in the attached Exhibit 99.1.</w:t>
      </w:r>
    </w:p>
    <w:p>
      <w:pPr>
        <w:spacing w:after="0" w:line="52"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The information in this Form 8-K and the Exhibit attached hereto shall not be deemed “filed” for purposes of Section 18 of the Securities Exchange Act of 1934 or otherwise subject to the liabilities of that section, nor shall it be deemed incorporated by reference in any filing under the Securities Act of 1933, regardless of any general incorporation language in such filing.</w:t>
      </w:r>
    </w:p>
    <w:p>
      <w:pPr>
        <w:spacing w:after="0" w:line="31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21"/>
          <w:szCs w:val="21"/>
          <w:b w:val="1"/>
          <w:bCs w:val="1"/>
          <w:color w:val="auto"/>
        </w:rPr>
        <w:t>FINANCIAL STATEMENTS AND EXHIBITS</w:t>
      </w:r>
    </w:p>
    <w:p>
      <w:pPr>
        <w:spacing w:after="0" w:line="212" w:lineRule="exact"/>
        <w:rPr>
          <w:sz w:val="20"/>
          <w:szCs w:val="20"/>
          <w:color w:val="auto"/>
        </w:rPr>
      </w:pPr>
    </w:p>
    <w:p>
      <w:pPr>
        <w:ind w:left="700" w:hanging="368"/>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i w:val="1"/>
          <w:iCs w:val="1"/>
          <w:color w:val="auto"/>
        </w:rPr>
        <w:t>Exhibits</w:t>
      </w:r>
      <w:r>
        <w:rPr>
          <w:rFonts w:ascii="Arial" w:cs="Arial" w:eastAsia="Arial" w:hAnsi="Arial"/>
          <w:sz w:val="22"/>
          <w:szCs w:val="22"/>
          <w:color w:val="auto"/>
        </w:rPr>
        <w:t>.</w:t>
      </w:r>
    </w:p>
    <w:p>
      <w:pPr>
        <w:spacing w:after="0" w:line="308" w:lineRule="exact"/>
        <w:rPr>
          <w:sz w:val="20"/>
          <w:szCs w:val="20"/>
          <w:color w:val="auto"/>
        </w:rPr>
      </w:pPr>
    </w:p>
    <w:p>
      <w:pPr>
        <w:ind w:left="20"/>
        <w:spacing w:after="0"/>
        <w:tabs>
          <w:tab w:leader="none" w:pos="1780" w:val="left"/>
        </w:tabs>
        <w:rPr>
          <w:sz w:val="20"/>
          <w:szCs w:val="20"/>
          <w:color w:val="auto"/>
        </w:rPr>
      </w:pPr>
      <w:r>
        <w:rPr>
          <w:rFonts w:ascii="Arial" w:cs="Arial" w:eastAsia="Arial" w:hAnsi="Arial"/>
          <w:sz w:val="22"/>
          <w:szCs w:val="22"/>
          <w:b w:val="1"/>
          <w:bCs w:val="1"/>
          <w:color w:val="auto"/>
        </w:rPr>
        <w:t>Exhibit</w:t>
      </w:r>
      <w:r>
        <w:rPr>
          <w:sz w:val="20"/>
          <w:szCs w:val="20"/>
          <w:color w:val="auto"/>
        </w:rPr>
        <w:tab/>
      </w:r>
      <w:r>
        <w:rPr>
          <w:rFonts w:ascii="Arial" w:cs="Arial" w:eastAsia="Arial" w:hAnsi="Arial"/>
          <w:sz w:val="22"/>
          <w:szCs w:val="22"/>
          <w:b w:val="1"/>
          <w:bCs w:val="1"/>
          <w:color w:val="auto"/>
        </w:rPr>
        <w:t>Description</w:t>
      </w:r>
    </w:p>
    <w:p>
      <w:pPr>
        <w:spacing w:after="0" w:line="199" w:lineRule="exact"/>
        <w:rPr>
          <w:sz w:val="20"/>
          <w:szCs w:val="20"/>
          <w:color w:val="auto"/>
        </w:rPr>
      </w:pPr>
    </w:p>
    <w:p>
      <w:pPr>
        <w:ind w:left="20"/>
        <w:spacing w:after="0"/>
        <w:tabs>
          <w:tab w:leader="none" w:pos="178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8"/>
          <w:szCs w:val="18"/>
          <w:color w:val="auto"/>
        </w:rPr>
        <w:t>Press Release, dated November 20,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1233805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160"/>
          </w:cols>
          <w:pgMar w:left="240" w:top="558" w:right="4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color w:val="auto"/>
        </w:rPr>
        <w:t>SIGNATURES</w:t>
      </w:r>
    </w:p>
    <w:p>
      <w:pPr>
        <w:spacing w:after="0" w:line="8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and Exchange Act of 1934, the Registrant has duly caused this report to be signed on its behalf by the undersigned hereunto duly authorized.</w:t>
      </w:r>
    </w:p>
    <w:p>
      <w:pPr>
        <w:spacing w:after="0" w:line="3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PHILLIPS-VAN HEUSEN CORPORATION</w:t>
      </w:r>
    </w:p>
    <w:p>
      <w:pPr>
        <w:spacing w:after="0" w:line="200" w:lineRule="exact"/>
        <w:rPr>
          <w:sz w:val="20"/>
          <w:szCs w:val="20"/>
          <w:color w:val="auto"/>
        </w:rPr>
      </w:pPr>
    </w:p>
    <w:p>
      <w:pPr>
        <w:spacing w:after="0" w:line="222"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Bruce Goldstein</w:t>
      </w:r>
    </w:p>
    <w:p>
      <w:pPr>
        <w:spacing w:after="0" w:line="71"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Bruce Goldstein</w:t>
      </w:r>
    </w:p>
    <w:p>
      <w:pPr>
        <w:spacing w:after="0" w:line="8"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Vice President and Controller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Date: November 20, 2006</w:t>
      </w:r>
    </w:p>
    <w:p>
      <w:pPr>
        <w:sectPr>
          <w:pgSz w:w="11900" w:h="16838" w:orient="portrait"/>
          <w:cols w:equalWidth="0" w:num="1">
            <w:col w:w="11340"/>
          </w:cols>
          <w:pgMar w:left="240" w:top="874"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PHILLIPS-VAN HEUSEN CORPORATION</w:t>
      </w:r>
    </w:p>
    <w:p>
      <w:pPr>
        <w:jc w:val="center"/>
        <w:spacing w:after="0" w:line="236" w:lineRule="auto"/>
        <w:rPr>
          <w:sz w:val="20"/>
          <w:szCs w:val="20"/>
          <w:color w:val="auto"/>
        </w:rPr>
      </w:pPr>
      <w:r>
        <w:rPr>
          <w:rFonts w:ascii="Arial" w:cs="Arial" w:eastAsia="Arial" w:hAnsi="Arial"/>
          <w:sz w:val="25"/>
          <w:szCs w:val="25"/>
          <w:b w:val="1"/>
          <w:bCs w:val="1"/>
          <w:color w:val="auto"/>
        </w:rPr>
        <w:t>200 MADISON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NEW YORK, N.Y. 10016</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November 20, 2006</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Contact:</w:t>
      </w:r>
      <w:r>
        <w:rPr>
          <w:sz w:val="20"/>
          <w:szCs w:val="20"/>
          <w:color w:val="auto"/>
        </w:rPr>
        <w:tab/>
      </w:r>
      <w:r>
        <w:rPr>
          <w:rFonts w:ascii="Arial" w:cs="Arial" w:eastAsia="Arial" w:hAnsi="Arial"/>
          <w:sz w:val="22"/>
          <w:szCs w:val="22"/>
          <w:b w:val="1"/>
          <w:bCs w:val="1"/>
          <w:color w:val="auto"/>
        </w:rPr>
        <w:t>Michael Shaffer</w:t>
      </w:r>
    </w:p>
    <w:p>
      <w:pPr>
        <w:spacing w:after="0" w:line="6"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Executive Vice President and Chief Financial Officer</w:t>
      </w:r>
    </w:p>
    <w:p>
      <w:pPr>
        <w:jc w:val="both"/>
        <w:ind w:left="1960" w:right="7980" w:hanging="7"/>
        <w:spacing w:after="0" w:line="259" w:lineRule="auto"/>
        <w:tabs>
          <w:tab w:leader="none" w:pos="2524"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381-3523 </w:t>
      </w:r>
      <w:r>
        <w:rPr>
          <w:rFonts w:ascii="Arial" w:cs="Arial" w:eastAsia="Arial" w:hAnsi="Arial"/>
          <w:sz w:val="21"/>
          <w:szCs w:val="21"/>
          <w:b w:val="1"/>
          <w:bCs w:val="1"/>
          <w:u w:val="single" w:color="auto"/>
          <w:color w:val="0000FF"/>
        </w:rPr>
        <w:t>www.pvh.com</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PHILLIPS-VAN HEUSEN CORPORATION REPORTS 2006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THIRD QUARTER RESULTS</w:t>
      </w:r>
    </w:p>
    <w:p>
      <w:pPr>
        <w:spacing w:after="0" w:line="309" w:lineRule="exact"/>
        <w:rPr>
          <w:sz w:val="20"/>
          <w:szCs w:val="20"/>
          <w:color w:val="auto"/>
        </w:rPr>
      </w:pPr>
    </w:p>
    <w:p>
      <w:pPr>
        <w:ind w:left="1380" w:hanging="319"/>
        <w:spacing w:after="0"/>
        <w:tabs>
          <w:tab w:leader="none" w:pos="1380" w:val="left"/>
        </w:tabs>
        <w:numPr>
          <w:ilvl w:val="0"/>
          <w:numId w:val="3"/>
        </w:numPr>
        <w:rPr>
          <w:rFonts w:ascii="Arial" w:cs="Arial" w:eastAsia="Arial" w:hAnsi="Arial"/>
          <w:sz w:val="29"/>
          <w:szCs w:val="29"/>
          <w:color w:val="auto"/>
          <w:vertAlign w:val="superscript"/>
        </w:rPr>
      </w:pPr>
      <w:r>
        <w:rPr>
          <w:rFonts w:ascii="Arial" w:cs="Arial" w:eastAsia="Arial" w:hAnsi="Arial"/>
          <w:sz w:val="17"/>
          <w:szCs w:val="17"/>
          <w:b w:val="1"/>
          <w:bCs w:val="1"/>
          <w:color w:val="auto"/>
        </w:rPr>
        <w:t>THIRD QUARTER EPS OF $0.89 EXCEEDS GUIDANCE BY $0.07</w:t>
      </w:r>
    </w:p>
    <w:p>
      <w:pPr>
        <w:spacing w:after="0" w:line="34" w:lineRule="exact"/>
        <w:rPr>
          <w:rFonts w:ascii="Arial" w:cs="Arial" w:eastAsia="Arial" w:hAnsi="Arial"/>
          <w:sz w:val="29"/>
          <w:szCs w:val="29"/>
          <w:color w:val="auto"/>
          <w:vertAlign w:val="superscript"/>
        </w:rPr>
      </w:pPr>
    </w:p>
    <w:p>
      <w:pPr>
        <w:ind w:left="1380" w:hanging="319"/>
        <w:spacing w:after="0" w:line="181" w:lineRule="auto"/>
        <w:tabs>
          <w:tab w:leader="none" w:pos="13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b w:val="1"/>
          <w:bCs w:val="1"/>
          <w:color w:val="auto"/>
        </w:rPr>
        <w:t>FOURTH QUARTER EPS ESTIMATE RAISED TO $0.43 FROM $0.41</w:t>
      </w:r>
    </w:p>
    <w:p>
      <w:pPr>
        <w:spacing w:after="0" w:line="21" w:lineRule="exact"/>
        <w:rPr>
          <w:rFonts w:ascii="Arial" w:cs="Arial" w:eastAsia="Arial" w:hAnsi="Arial"/>
          <w:sz w:val="24"/>
          <w:szCs w:val="24"/>
          <w:color w:val="auto"/>
          <w:vertAlign w:val="superscript"/>
        </w:rPr>
      </w:pPr>
    </w:p>
    <w:p>
      <w:pPr>
        <w:ind w:left="1380" w:hanging="319"/>
        <w:spacing w:after="0" w:line="181" w:lineRule="auto"/>
        <w:tabs>
          <w:tab w:leader="none" w:pos="13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b w:val="1"/>
          <w:bCs w:val="1"/>
          <w:color w:val="auto"/>
        </w:rPr>
        <w:t>FULL YEAR EPS GUIDANCE INCREASED</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 Phillips-Van Heusen Corporation (NYSE: PVH) reported third quarter 2006 results.</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GAAP Earnings</w:t>
      </w:r>
    </w:p>
    <w:p>
      <w:pPr>
        <w:spacing w:after="0" w:line="367" w:lineRule="exact"/>
        <w:rPr>
          <w:sz w:val="20"/>
          <w:szCs w:val="20"/>
          <w:color w:val="auto"/>
        </w:rPr>
      </w:pPr>
    </w:p>
    <w:p>
      <w:pPr>
        <w:jc w:val="both"/>
        <w:spacing w:after="0" w:line="336" w:lineRule="auto"/>
        <w:rPr>
          <w:sz w:val="20"/>
          <w:szCs w:val="20"/>
          <w:color w:val="auto"/>
        </w:rPr>
      </w:pPr>
      <w:r>
        <w:rPr>
          <w:rFonts w:ascii="Arial" w:cs="Arial" w:eastAsia="Arial" w:hAnsi="Arial"/>
          <w:sz w:val="22"/>
          <w:szCs w:val="22"/>
          <w:color w:val="auto"/>
        </w:rPr>
        <w:t>Third quarter 2006 GAAP net income was $50.8 million, or $0.89 per share, compared with third quarter 2005 GAAP net income of $40.3 million, or $0.73 per share. For the nine months, GAAP net income was $128.5 million, or $2.19 per share, in 2006 compared with $88.8 million, or $1.44 per share, in 2005.</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Earnings</w:t>
      </w:r>
    </w:p>
    <w:p>
      <w:pPr>
        <w:spacing w:after="0" w:line="367" w:lineRule="exact"/>
        <w:rPr>
          <w:sz w:val="20"/>
          <w:szCs w:val="20"/>
          <w:color w:val="auto"/>
        </w:rPr>
      </w:pPr>
    </w:p>
    <w:p>
      <w:pPr>
        <w:jc w:val="both"/>
        <w:spacing w:after="0" w:line="339" w:lineRule="auto"/>
        <w:rPr>
          <w:sz w:val="20"/>
          <w:szCs w:val="20"/>
          <w:color w:val="auto"/>
        </w:rPr>
      </w:pPr>
      <w:r>
        <w:rPr>
          <w:rFonts w:ascii="Arial" w:cs="Arial" w:eastAsia="Arial" w:hAnsi="Arial"/>
          <w:sz w:val="22"/>
          <w:szCs w:val="22"/>
          <w:color w:val="auto"/>
        </w:rPr>
        <w:t>The discussions in this release that refer to non-GAAP earnings per share exclude certain items which are described under the heading “Non-GAAP Exclusions.”</w:t>
      </w:r>
    </w:p>
    <w:p>
      <w:pPr>
        <w:spacing w:after="0" w:line="339" w:lineRule="exact"/>
        <w:rPr>
          <w:sz w:val="20"/>
          <w:szCs w:val="20"/>
          <w:color w:val="auto"/>
        </w:rPr>
      </w:pPr>
    </w:p>
    <w:p>
      <w:pPr>
        <w:jc w:val="both"/>
        <w:spacing w:after="0" w:line="339" w:lineRule="auto"/>
        <w:rPr>
          <w:sz w:val="20"/>
          <w:szCs w:val="20"/>
          <w:color w:val="auto"/>
        </w:rPr>
      </w:pPr>
      <w:r>
        <w:rPr>
          <w:rFonts w:ascii="Arial" w:cs="Arial" w:eastAsia="Arial" w:hAnsi="Arial"/>
          <w:sz w:val="22"/>
          <w:szCs w:val="22"/>
          <w:color w:val="auto"/>
        </w:rPr>
        <w:t>For the third quarter of 2006, there were no non-GAAP exclusions and, thus, no non-GAAP earnings per share. GAAP earnings per share of $0.89 was $0.07 to</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09" w:right="239" w:bottom="1440" w:gutter="0" w:footer="0" w:header="0"/>
        </w:sectPr>
      </w:pPr>
    </w:p>
    <w:bookmarkStart w:id="4" w:name="page5"/>
    <w:bookmarkEnd w:id="4"/>
    <w:p>
      <w:pPr>
        <w:jc w:val="both"/>
        <w:spacing w:after="0" w:line="336" w:lineRule="auto"/>
        <w:rPr>
          <w:sz w:val="20"/>
          <w:szCs w:val="20"/>
          <w:color w:val="auto"/>
        </w:rPr>
      </w:pPr>
      <w:r>
        <w:rPr>
          <w:rFonts w:ascii="Arial" w:cs="Arial" w:eastAsia="Arial" w:hAnsi="Arial"/>
          <w:sz w:val="22"/>
          <w:szCs w:val="22"/>
          <w:color w:val="auto"/>
        </w:rPr>
        <w:t>$0.09 ahead of previous guidance and a 25% improvement over third quarter 2005 non-GAAP earnings per share of $0.71. For the nine months, non-GAAP earnings per share was $2.16 in 2006 compared with $1.52 in 2005, an increase of 42%.</w:t>
      </w:r>
    </w:p>
    <w:p>
      <w:pPr>
        <w:spacing w:after="0" w:line="342" w:lineRule="exact"/>
        <w:rPr>
          <w:sz w:val="20"/>
          <w:szCs w:val="20"/>
          <w:color w:val="auto"/>
        </w:rPr>
      </w:pPr>
    </w:p>
    <w:p>
      <w:pPr>
        <w:jc w:val="both"/>
        <w:spacing w:after="0" w:line="334" w:lineRule="auto"/>
        <w:rPr>
          <w:sz w:val="20"/>
          <w:szCs w:val="20"/>
          <w:color w:val="auto"/>
        </w:rPr>
      </w:pPr>
      <w:r>
        <w:rPr>
          <w:rFonts w:ascii="Arial" w:cs="Arial" w:eastAsia="Arial" w:hAnsi="Arial"/>
          <w:sz w:val="22"/>
          <w:szCs w:val="22"/>
          <w:color w:val="auto"/>
        </w:rPr>
        <w:t>The third quarter earnings per share improvement was driven by strong sales performance coupled with a significant improvement in gross margin. In the Calvin Klein licensing business, operating earnings increased 31% and operating margins were up almost 700 basis points, reflecting the significant leverage inherent in the licensing business model. The Company’s wholesale and retail businesses grew operating earnings a combined 17% on 6% sales growth, as strong product sell-throughs drove gross margin improvements in the quarter.</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Revenues</w:t>
      </w:r>
    </w:p>
    <w:p>
      <w:pPr>
        <w:spacing w:after="0" w:line="200" w:lineRule="exact"/>
        <w:rPr>
          <w:sz w:val="20"/>
          <w:szCs w:val="20"/>
          <w:color w:val="auto"/>
        </w:rPr>
      </w:pPr>
    </w:p>
    <w:p>
      <w:pPr>
        <w:spacing w:after="0" w:line="275" w:lineRule="exact"/>
        <w:rPr>
          <w:sz w:val="20"/>
          <w:szCs w:val="20"/>
          <w:color w:val="auto"/>
        </w:rPr>
      </w:pPr>
    </w:p>
    <w:p>
      <w:pPr>
        <w:jc w:val="both"/>
        <w:spacing w:after="0" w:line="333" w:lineRule="auto"/>
        <w:rPr>
          <w:sz w:val="20"/>
          <w:szCs w:val="20"/>
          <w:color w:val="auto"/>
        </w:rPr>
      </w:pPr>
      <w:r>
        <w:rPr>
          <w:rFonts w:ascii="Arial" w:cs="Arial" w:eastAsia="Arial" w:hAnsi="Arial"/>
          <w:sz w:val="22"/>
          <w:szCs w:val="22"/>
          <w:color w:val="auto"/>
        </w:rPr>
        <w:t>Total revenues in the third quarter of 2006 increased 7% to $568.3 million from $533.2 million in the prior year. Revenue growth was driven by an 11% increase in Calvin Klein royalties due to continued growth from existing and new licensees. The licensed Calvin Klein fragrance business showed particular strength, as women’s Euphoria continued to perform exceptionally well and was joined by the global launch of men’s Euphoria. The positive comp store performance that the Company’s outlet retail business experienced in the first half of the year continued and accelerated during the quarter, with comp store sales growth of 11%. In addition, revenues benefited from the growth across all of the Company’s wholesale sportswear businesses, but were partially offset by an anticipated sales decrease in the Company’s wholesale dress shirt business reflecting the residual impact of th e Federated/May door closings for the year.</w:t>
      </w: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auto"/>
        </w:rPr>
        <w:t>For the nine months, total revenues increased 6% to $1,533.6 million in 2006 from $1,448.8 million in 2005.</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87"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Balance Sheet</w:t>
      </w:r>
    </w:p>
    <w:p>
      <w:pPr>
        <w:spacing w:after="0" w:line="367" w:lineRule="exact"/>
        <w:rPr>
          <w:sz w:val="20"/>
          <w:szCs w:val="20"/>
          <w:color w:val="auto"/>
        </w:rPr>
      </w:pPr>
    </w:p>
    <w:p>
      <w:pPr>
        <w:jc w:val="both"/>
        <w:spacing w:after="0" w:line="334" w:lineRule="auto"/>
        <w:rPr>
          <w:sz w:val="20"/>
          <w:szCs w:val="20"/>
          <w:color w:val="auto"/>
        </w:rPr>
      </w:pPr>
      <w:r>
        <w:rPr>
          <w:rFonts w:ascii="Arial" w:cs="Arial" w:eastAsia="Arial" w:hAnsi="Arial"/>
          <w:sz w:val="22"/>
          <w:szCs w:val="22"/>
          <w:color w:val="auto"/>
        </w:rPr>
        <w:t>The Company ended the quarter with $358.6 million in cash, an increase of $188.3 million compared with the prior year’s third quarter. Receivables ended the quarter 11% below prior year levels, reflecting strong collections. Inventories ended the quarter on plan, up 7% from last year and in line with the Company’s sales growth projections for the fourth quarter. The Company’s higher year over year cash position, coupled with higher investment rates of return, resulted in a 46% decrease in net interest expense for the third quarter.</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Comments</w:t>
      </w:r>
    </w:p>
    <w:p>
      <w:pPr>
        <w:spacing w:after="0" w:line="367" w:lineRule="exact"/>
        <w:rPr>
          <w:sz w:val="20"/>
          <w:szCs w:val="20"/>
          <w:color w:val="auto"/>
        </w:rPr>
      </w:pPr>
    </w:p>
    <w:p>
      <w:pPr>
        <w:jc w:val="both"/>
        <w:spacing w:after="0" w:line="334" w:lineRule="auto"/>
        <w:rPr>
          <w:sz w:val="20"/>
          <w:szCs w:val="20"/>
          <w:color w:val="auto"/>
        </w:rPr>
      </w:pPr>
      <w:r>
        <w:rPr>
          <w:rFonts w:ascii="Arial" w:cs="Arial" w:eastAsia="Arial" w:hAnsi="Arial"/>
          <w:sz w:val="22"/>
          <w:szCs w:val="22"/>
          <w:color w:val="auto"/>
        </w:rPr>
        <w:t>Commenting on these results, Emanuel Chirico, Chief Executive Officer, noted, “We are extremely pleased with our third quarter results, which continue the positive trends we experienced in the first half of this year. The strength of the Calvin Klein brand and the execution of our business model for that brand continue to be key drivers in our earnings growth. The performance of Calvin Klein, along with the growth exhibited by our outlet retail and wholesale sportswear businesses, enabled us to again exceed our previous guidance.”</w:t>
      </w:r>
    </w:p>
    <w:p>
      <w:pPr>
        <w:spacing w:after="0" w:line="239" w:lineRule="exact"/>
        <w:rPr>
          <w:sz w:val="20"/>
          <w:szCs w:val="20"/>
          <w:color w:val="auto"/>
        </w:rPr>
      </w:pPr>
    </w:p>
    <w:p>
      <w:pPr>
        <w:jc w:val="both"/>
        <w:spacing w:after="0" w:line="335" w:lineRule="auto"/>
        <w:rPr>
          <w:sz w:val="20"/>
          <w:szCs w:val="20"/>
          <w:color w:val="auto"/>
        </w:rPr>
      </w:pPr>
      <w:r>
        <w:rPr>
          <w:rFonts w:ascii="Arial" w:cs="Arial" w:eastAsia="Arial" w:hAnsi="Arial"/>
          <w:sz w:val="22"/>
          <w:szCs w:val="22"/>
          <w:color w:val="auto"/>
        </w:rPr>
        <w:t>Mr. Chirico continued, “During the third quarter, we announced our agreement to acquire Superba, Inc., a leading neckwear company with estimated 2006 revenues of $140 million. The deal is expected to be effective January 1, 2007 and will be modestly accretive to 2007 earnings. This acquisition is consistent with our strategy of adding brands or product categories that are synergistic and complement our existing businesses, in this case, dress shirts.”</w:t>
      </w:r>
    </w:p>
    <w:p>
      <w:pPr>
        <w:spacing w:after="0" w:line="343" w:lineRule="exact"/>
        <w:rPr>
          <w:sz w:val="20"/>
          <w:szCs w:val="20"/>
          <w:color w:val="auto"/>
        </w:rPr>
      </w:pPr>
    </w:p>
    <w:p>
      <w:pPr>
        <w:jc w:val="both"/>
        <w:spacing w:after="0" w:line="354" w:lineRule="auto"/>
        <w:rPr>
          <w:sz w:val="20"/>
          <w:szCs w:val="20"/>
          <w:color w:val="auto"/>
        </w:rPr>
      </w:pPr>
      <w:r>
        <w:rPr>
          <w:rFonts w:ascii="Arial" w:cs="Arial" w:eastAsia="Arial" w:hAnsi="Arial"/>
          <w:sz w:val="21"/>
          <w:szCs w:val="21"/>
          <w:color w:val="auto"/>
        </w:rPr>
        <w:t>Mr. Chirico concluded, “Our brands continue to perform extremely well across all channels of distribution, enabling us to intensify the investments we are making in marketing our brands. During this upcoming holiday season, we are planning a $20 million increase in national advertising spending to support our Calvin Klein, Van Heusen, IZOD and Arrow brands. We believe that in the context of the changing retail landscape it is critical to take our message directly to</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6" w:name="page7"/>
    <w:bookmarkEnd w:id="6"/>
    <w:p>
      <w:pPr>
        <w:jc w:val="both"/>
        <w:spacing w:after="0" w:line="339" w:lineRule="auto"/>
        <w:rPr>
          <w:sz w:val="20"/>
          <w:szCs w:val="20"/>
          <w:color w:val="auto"/>
        </w:rPr>
      </w:pPr>
      <w:r>
        <w:rPr>
          <w:rFonts w:ascii="Arial" w:cs="Arial" w:eastAsia="Arial" w:hAnsi="Arial"/>
          <w:sz w:val="22"/>
          <w:szCs w:val="22"/>
          <w:color w:val="auto"/>
        </w:rPr>
        <w:t>consumers. We feel that this continued commitment to the long-term strength of our brands will pay dividends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2006 Earnings Guidance</w: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GAAP Earnings Per Share</w:t>
      </w:r>
    </w:p>
    <w:p>
      <w:pPr>
        <w:spacing w:after="0" w:line="341" w:lineRule="exact"/>
        <w:rPr>
          <w:sz w:val="20"/>
          <w:szCs w:val="20"/>
          <w:color w:val="auto"/>
        </w:rPr>
      </w:pPr>
    </w:p>
    <w:p>
      <w:pPr>
        <w:spacing w:after="0"/>
        <w:rPr>
          <w:sz w:val="20"/>
          <w:szCs w:val="20"/>
          <w:color w:val="auto"/>
        </w:rPr>
      </w:pPr>
      <w:r>
        <w:rPr>
          <w:rFonts w:ascii="Arial" w:cs="Arial" w:eastAsia="Arial" w:hAnsi="Arial"/>
          <w:sz w:val="21"/>
          <w:szCs w:val="21"/>
          <w:color w:val="auto"/>
        </w:rPr>
        <w:t>For the fourth quarter of 2006, GAAP earnings per share is projected to be $0.43, which compares with $0.41 in 2005.</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For the full year 2006, GAAP earnings per share is projected to be $2.60, which compares with $1.85 in 2005.</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Non-GAAP Earnings Per Share</w:t>
      </w:r>
    </w:p>
    <w:p>
      <w:pPr>
        <w:spacing w:after="0" w:line="341" w:lineRule="exact"/>
        <w:rPr>
          <w:sz w:val="20"/>
          <w:szCs w:val="20"/>
          <w:color w:val="auto"/>
        </w:rPr>
      </w:pPr>
    </w:p>
    <w:p>
      <w:pPr>
        <w:jc w:val="both"/>
        <w:spacing w:after="0" w:line="335" w:lineRule="auto"/>
        <w:rPr>
          <w:sz w:val="20"/>
          <w:szCs w:val="20"/>
          <w:color w:val="auto"/>
        </w:rPr>
      </w:pPr>
      <w:r>
        <w:rPr>
          <w:rFonts w:ascii="Arial" w:cs="Arial" w:eastAsia="Arial" w:hAnsi="Arial"/>
          <w:sz w:val="22"/>
          <w:szCs w:val="22"/>
          <w:color w:val="auto"/>
        </w:rPr>
        <w:t>For the fourth quarter of 2006, the Company expects no non-GAAP adjustments to projected GAAP earnings per share of $0.43. This represents a 19% improvement over fourth quarter 2005 non-GAAP earnings per share of $0.36. Included in the projection for the fourth quarter of 2006 is a $20 million increase in national advertising expense over the prior year’s fourth quarter.</w:t>
      </w:r>
    </w:p>
    <w:p>
      <w:pPr>
        <w:spacing w:after="0" w:line="235" w:lineRule="exact"/>
        <w:rPr>
          <w:sz w:val="20"/>
          <w:szCs w:val="20"/>
          <w:color w:val="auto"/>
        </w:rPr>
      </w:pPr>
    </w:p>
    <w:p>
      <w:pPr>
        <w:jc w:val="both"/>
        <w:spacing w:after="0" w:line="336" w:lineRule="auto"/>
        <w:rPr>
          <w:sz w:val="20"/>
          <w:szCs w:val="20"/>
          <w:color w:val="auto"/>
        </w:rPr>
      </w:pPr>
      <w:r>
        <w:rPr>
          <w:rFonts w:ascii="Arial" w:cs="Arial" w:eastAsia="Arial" w:hAnsi="Arial"/>
          <w:sz w:val="22"/>
          <w:szCs w:val="22"/>
          <w:color w:val="auto"/>
        </w:rPr>
        <w:t>For the full year 2006, non-GAAP earnings per share estimates are being increased to $2.59 from $2.46 to $2.50. This represents a 38% improvement over full year 2005 non-GAAP earnings per share of $1.88. Included in the 2006 projection is a $22 million increase in national advertising expense over 2005.</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Revenues</w:t>
      </w:r>
    </w:p>
    <w:p>
      <w:pPr>
        <w:spacing w:after="0" w:line="341" w:lineRule="exact"/>
        <w:rPr>
          <w:sz w:val="20"/>
          <w:szCs w:val="20"/>
          <w:color w:val="auto"/>
        </w:rPr>
      </w:pPr>
    </w:p>
    <w:p>
      <w:pPr>
        <w:jc w:val="both"/>
        <w:spacing w:after="0" w:line="336" w:lineRule="auto"/>
        <w:rPr>
          <w:sz w:val="20"/>
          <w:szCs w:val="20"/>
          <w:color w:val="auto"/>
        </w:rPr>
      </w:pPr>
      <w:r>
        <w:rPr>
          <w:rFonts w:ascii="Arial" w:cs="Arial" w:eastAsia="Arial" w:hAnsi="Arial"/>
          <w:sz w:val="22"/>
          <w:szCs w:val="22"/>
          <w:color w:val="auto"/>
        </w:rPr>
        <w:t>The Company projects fourth quarter 2006 revenues to be in a range of $528 million to $532 million, which represents an increase of 15% to 16% over last year. Total revenues for the full year 2006 are expected to be $2.06 billion to $2.07 billion, which represents an increase of 8% over last year.</w:t>
      </w:r>
    </w:p>
    <w:p>
      <w:pPr>
        <w:spacing w:after="0" w:line="342" w:lineRule="exact"/>
        <w:rPr>
          <w:sz w:val="20"/>
          <w:szCs w:val="20"/>
          <w:color w:val="auto"/>
        </w:rPr>
      </w:pPr>
    </w:p>
    <w:p>
      <w:pPr>
        <w:jc w:val="both"/>
        <w:ind w:right="20"/>
        <w:spacing w:after="0" w:line="339" w:lineRule="auto"/>
        <w:rPr>
          <w:sz w:val="20"/>
          <w:szCs w:val="20"/>
          <w:color w:val="auto"/>
        </w:rPr>
      </w:pPr>
      <w:r>
        <w:rPr>
          <w:rFonts w:ascii="Arial" w:cs="Arial" w:eastAsia="Arial" w:hAnsi="Arial"/>
          <w:sz w:val="22"/>
          <w:szCs w:val="22"/>
          <w:color w:val="auto"/>
        </w:rPr>
        <w:t>The Company’s 2006 revenues and earnings guidance does not reflect the impact of the pending acquisition of Superba, Inc., which would not be expected to have a material effect on 2006 revenues and earnings.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87"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2007 Earnings Guidance</w:t>
      </w:r>
    </w:p>
    <w:p>
      <w:pPr>
        <w:spacing w:after="0" w:line="200" w:lineRule="exact"/>
        <w:rPr>
          <w:sz w:val="20"/>
          <w:szCs w:val="20"/>
          <w:color w:val="auto"/>
        </w:rPr>
      </w:pPr>
    </w:p>
    <w:p>
      <w:pPr>
        <w:spacing w:after="0" w:line="275" w:lineRule="exact"/>
        <w:rPr>
          <w:sz w:val="20"/>
          <w:szCs w:val="20"/>
          <w:color w:val="auto"/>
        </w:rPr>
      </w:pPr>
    </w:p>
    <w:p>
      <w:pPr>
        <w:jc w:val="both"/>
        <w:spacing w:after="0" w:line="335" w:lineRule="auto"/>
        <w:rPr>
          <w:sz w:val="20"/>
          <w:szCs w:val="20"/>
          <w:color w:val="auto"/>
        </w:rPr>
      </w:pPr>
      <w:r>
        <w:rPr>
          <w:rFonts w:ascii="Arial" w:cs="Arial" w:eastAsia="Arial" w:hAnsi="Arial"/>
          <w:sz w:val="22"/>
          <w:szCs w:val="22"/>
          <w:color w:val="auto"/>
        </w:rPr>
        <w:t>The Company believes 2007 earnings per share will grow to a range of $2.97 to $3.05, which represents growth of 15% to 18% over 2006 projected non-GAAP earnings per share of $2.59. Revenues are projected to grow 5% to 7% in 2007. The Company’s 2007 revenues and earnings guidance does not reflect the impact of the pending Superba acquisition, which is expected to be modestly accretive to earnings after giving effect to anticipated integration costs.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Exclusions</w:t>
      </w:r>
    </w:p>
    <w:p>
      <w:pPr>
        <w:spacing w:after="0" w:line="367" w:lineRule="exact"/>
        <w:rPr>
          <w:sz w:val="20"/>
          <w:szCs w:val="20"/>
          <w:color w:val="auto"/>
        </w:rPr>
      </w:pPr>
    </w:p>
    <w:p>
      <w:pPr>
        <w:jc w:val="both"/>
        <w:spacing w:after="0" w:line="334" w:lineRule="auto"/>
        <w:rPr>
          <w:sz w:val="20"/>
          <w:szCs w:val="20"/>
          <w:color w:val="auto"/>
        </w:rPr>
      </w:pPr>
      <w:r>
        <w:rPr>
          <w:rFonts w:ascii="Arial" w:cs="Arial" w:eastAsia="Arial" w:hAnsi="Arial"/>
          <w:sz w:val="22"/>
          <w:szCs w:val="22"/>
          <w:color w:val="auto"/>
        </w:rPr>
        <w:t>Non-GAAP earnings per share in 2006 excludes (a) a one time pre-tax gain of $32.0 million associated with the sale on January 31, 2006 by the Company of minority interests in certain entities that operate various licensed Calvin Klein jeans and sportswear businesses in Europe and Asia; (b) pre-tax costs of $11.3 million associated with the closing in May 2006 of the Company’s apparel manufacturing facility in Ozark, Alabama; (c) pre-tax costs of $10.5 million resulting from the departure in February 2006 of Mark Weber, the Company’s former Chief Executive Officer and (d) an inducement payment of $10.2 million and costs of $0.7 million associated with the secondary common stock offering completed in the second quarter of 2006.</w:t>
      </w:r>
    </w:p>
    <w:p>
      <w:pPr>
        <w:spacing w:after="0" w:line="237" w:lineRule="exact"/>
        <w:rPr>
          <w:sz w:val="20"/>
          <w:szCs w:val="20"/>
          <w:color w:val="auto"/>
        </w:rPr>
      </w:pPr>
    </w:p>
    <w:p>
      <w:pPr>
        <w:jc w:val="both"/>
        <w:spacing w:after="0" w:line="354" w:lineRule="auto"/>
        <w:rPr>
          <w:sz w:val="20"/>
          <w:szCs w:val="20"/>
          <w:color w:val="auto"/>
        </w:rPr>
      </w:pPr>
      <w:r>
        <w:rPr>
          <w:rFonts w:ascii="Arial" w:cs="Arial" w:eastAsia="Arial" w:hAnsi="Arial"/>
          <w:sz w:val="21"/>
          <w:szCs w:val="21"/>
          <w:color w:val="auto"/>
        </w:rPr>
        <w:t>Non-GAAP earnings per share in 2005 is presented as if stock options had been expensed under the provisions of SFAS 123 ($0.02 per share effect in the third quarter, $0.10 per share effect in the nine months, $0.05 per share effect in the fourth quarter and $0.15 per share effect for the year) and excludes an inducement payment of $12.9 million and costs of $1.3 million associated with the secondary common stock offering completed in the second quarter of 2005.</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Please see reconciliations of GAAP to non-GAAP earnings per share for 2005 and 2006.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8" w:name="page9"/>
    <w:bookmarkEnd w:id="8"/>
    <w:p>
      <w:pPr>
        <w:spacing w:after="0" w:line="34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155575</wp:posOffset>
            </wp:positionH>
            <wp:positionV relativeFrom="page">
              <wp:posOffset>395605</wp:posOffset>
            </wp:positionV>
            <wp:extent cx="7250430" cy="2353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353945"/>
                    </a:xfrm>
                    <a:prstGeom prst="rect">
                      <a:avLst/>
                    </a:prstGeom>
                    <a:noFill/>
                  </pic:spPr>
                </pic:pic>
              </a:graphicData>
            </a:graphic>
          </wp:anchor>
        </w:drawing>
        <w:t xml:space="preserve">The Company webcasts its conference calls to review its earnings releases. </w:t>
      </w:r>
      <w:r>
        <w:rPr>
          <w:rFonts w:ascii="Arial" w:cs="Arial" w:eastAsia="Arial" w:hAnsi="Arial"/>
          <w:sz w:val="20"/>
          <w:szCs w:val="20"/>
          <w:b w:val="1"/>
          <w:bCs w:val="1"/>
          <w:color w:val="auto"/>
        </w:rPr>
        <w:t>The Company’s conference call to review</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its third quarter earnings release is scheduled for Tuesday, November 21, 2006 at 11:00 a.m. EST. </w:t>
      </w:r>
      <w:r>
        <w:rPr>
          <w:rFonts w:ascii="Arial" w:cs="Arial" w:eastAsia="Arial" w:hAnsi="Arial"/>
          <w:sz w:val="20"/>
          <w:szCs w:val="20"/>
          <w:color w:val="auto"/>
        </w:rPr>
        <w:t>Please log 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either to the Company’s web site at </w:t>
      </w:r>
      <w:r>
        <w:rPr>
          <w:rFonts w:ascii="Arial" w:cs="Arial" w:eastAsia="Arial" w:hAnsi="Arial"/>
          <w:sz w:val="20"/>
          <w:szCs w:val="20"/>
          <w:b w:val="1"/>
          <w:bCs w:val="1"/>
          <w:color w:val="auto"/>
        </w:rPr>
        <w:t>www.pvh.com</w:t>
      </w:r>
      <w:r>
        <w:rPr>
          <w:rFonts w:ascii="Arial" w:cs="Arial" w:eastAsia="Arial" w:hAnsi="Arial"/>
          <w:sz w:val="20"/>
          <w:szCs w:val="20"/>
          <w:color w:val="auto"/>
        </w:rPr>
        <w:t xml:space="preserve"> and go to the News Releases page or to www.companyboardroom.com to listen to the live webcast of the conference call. The webcast will be available for replay for one year after it is held, commencing approximately two hours after the live broadcast ends. Please log on to www.pvh.com or www.companyboardroom.com as described above to listen to the replay. In addition, an audio replay of the conference call is available for 48 hours starting one hour after it is held. The replay of the conference call ca n be accessed by calling 1-888-203-1112 and using passcode #4750129. The conference call and webcast consist of copyrighted material. They may not be re-recorded, reproduced, re-transmitted, rebroadcast or otherwise used without the Company’s express written permission. Your participation represents your consent to these terms and conditions, which are governed by New York law.</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220980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0620"/>
          </w:cols>
          <w:pgMar w:left="960" w:top="720" w:right="319" w:bottom="1440" w:gutter="0" w:footer="0" w:header="0"/>
        </w:sectPr>
      </w:pPr>
    </w:p>
    <w:bookmarkStart w:id="9" w:name="page10"/>
    <w:bookmarkEnd w:id="9"/>
    <w:p>
      <w:pPr>
        <w:spacing w:after="0" w:line="48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395605</wp:posOffset>
            </wp:positionV>
            <wp:extent cx="7250430" cy="5938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5938520"/>
                    </a:xfrm>
                    <a:prstGeom prst="rect">
                      <a:avLst/>
                    </a:prstGeom>
                    <a:noFill/>
                  </pic:spPr>
                </pic:pic>
              </a:graphicData>
            </a:graphic>
          </wp:anchor>
        </w:drawing>
        <w:t>SAFE HARBOR STATEMENT UNDER THE PRIVATE SECURITIES LITIGATION REFORM ACT OF 1995: Forward-looking statements in this press release and made during the conference call / webcast, including, without limitation, statements relating to the Company’s future revenues and earnings, plans, strategies, objectives, expectations and intentions, are made pursuant to the safe harbor provisions of the Private Securities Litigation Reform Act of 1995. Investors are cautioned that such forward-looking statements are inherently subject to risks and uncertainties, many of which cannot be predicted with accuracy, and some of which might not be anticipated, including, without limitation, the following: (i) the Company’s plans, strategies, objectives, expectations and intentions are subject to change at any time at the discretion of the C ompany; (ii) the levels of sales of the Company’s apparel, footwear and related products, both to its wholesale customers and in its retail stores, the levels of sales of the Company’s licensees at wholesale and retail, and the extent of discounts and promotional pricing in which the Company and its licensees and other business partners are required to engage, all of which can be affected by weather conditions, changes in the economy, fuel prices, reductions in travel, fashion trends, consolidations, repositionings and bankruptcies in the retail industries, repositionings of brands by the Company’s licensors and other factors; (iii) the Company’s plans and results of operations will be affected by the Company’s ability to manage its growth and inventory, including the Company’s ability to continue to realize revenue growth from developing and growing Calvin Klein; (iv) the Company’s operations and results could be affected by quota restrictions and the impositio n of safeguard controls (which, among other things, could limit the Company’s ability to produce products in cost-effective countries that have the labor and technical expertise needed), the availability and cost of raw materials (particularly petroleum-based synthetic fabrics, which are currently in high demand), the Company’s ability to adjust timely to changes in trade regulations and the migration and development of manufacturers (which can affect where the Company’s products can best be produced), and civil conflict, war or terrorist acts, the threat of any of the foregoing, or political and labor instability in the United States or any of the countries where the Company’s products are or are planned to be produced; (v) disease epidemics and health related concerns, which could result in closed factories, reduced workforces, scarcity of raw materials and scrutiny or embargoing of goods produced in infected areas; (vi) acquisitions and issues arising with acquisitions and proposed tra nsactions, including without limitation, the ability to integrate an acquired entity into the Company with no substantial adverse affect on the acquired entity’s or the Company’s existing operations, employee relationships, vendor relationships, customer relationships or financial performance; (vii) the failure of the Company’s licensees to market successfully licensed products or to preserve the value of the Company’s brands, or their misuse of the Company’s brands and (viii) other risks and uncertainties indicated from time to time in the Company’s filings with the Securities and Exchange Commission.</w:t>
      </w:r>
    </w:p>
    <w:p>
      <w:pPr>
        <w:spacing w:after="0" w:line="313" w:lineRule="exact"/>
        <w:rPr>
          <w:sz w:val="20"/>
          <w:szCs w:val="20"/>
          <w:color w:val="auto"/>
        </w:rPr>
      </w:pPr>
    </w:p>
    <w:p>
      <w:pPr>
        <w:jc w:val="both"/>
        <w:ind w:right="40"/>
        <w:spacing w:after="0" w:line="491" w:lineRule="auto"/>
        <w:rPr>
          <w:sz w:val="20"/>
          <w:szCs w:val="20"/>
          <w:color w:val="auto"/>
        </w:rPr>
      </w:pPr>
      <w:r>
        <w:rPr>
          <w:rFonts w:ascii="Arial" w:cs="Arial" w:eastAsia="Arial" w:hAnsi="Arial"/>
          <w:sz w:val="14"/>
          <w:szCs w:val="14"/>
          <w:color w:val="auto"/>
        </w:rPr>
        <w:t>This press release includes, and the conference call/webcast will include, certain non-GAAP financial measures, as defined under SEC rules. A reconciliation of these measures is included in the financial information later in this release, as well as in the Company’s Current Report on Form 8-K furnished to the SEC in connection with this earnings release, which is available on the Company’s website at www.pvh.com and on the SEC’s website at www.sec.gov.</w:t>
      </w:r>
    </w:p>
    <w:p>
      <w:pPr>
        <w:spacing w:after="0" w:line="200" w:lineRule="exact"/>
        <w:rPr>
          <w:sz w:val="20"/>
          <w:szCs w:val="20"/>
          <w:color w:val="auto"/>
        </w:rPr>
      </w:pPr>
    </w:p>
    <w:p>
      <w:pPr>
        <w:spacing w:after="0" w:line="243" w:lineRule="exact"/>
        <w:rPr>
          <w:sz w:val="20"/>
          <w:szCs w:val="20"/>
          <w:color w:val="auto"/>
        </w:rPr>
      </w:pPr>
    </w:p>
    <w:p>
      <w:pPr>
        <w:ind w:right="240"/>
        <w:spacing w:after="0" w:line="500" w:lineRule="auto"/>
        <w:rPr>
          <w:sz w:val="20"/>
          <w:szCs w:val="20"/>
          <w:color w:val="auto"/>
        </w:rPr>
      </w:pPr>
      <w:r>
        <w:rPr>
          <w:rFonts w:ascii="Arial" w:cs="Arial" w:eastAsia="Arial" w:hAnsi="Arial"/>
          <w:sz w:val="14"/>
          <w:szCs w:val="14"/>
          <w:color w:val="auto"/>
        </w:rPr>
        <w:t>The Company does not undertake any obligation to update publicly any forward-looking statement, including, without limitation, any estimate regarding revenues or earnings, whether as a result of the receipt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220980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0620"/>
          </w:cols>
          <w:pgMar w:left="960" w:top="779" w:right="31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i w:val="1"/>
          <w:iCs w:val="1"/>
          <w:color w:val="auto"/>
        </w:rPr>
        <w:t>PHILLIPS-VAN HEUSEN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Consolidated Income Statements</w:t>
      </w:r>
    </w:p>
    <w:p>
      <w:pPr>
        <w:spacing w:after="0"/>
        <w:rPr>
          <w:sz w:val="20"/>
          <w:szCs w:val="20"/>
          <w:color w:val="auto"/>
        </w:rPr>
      </w:pPr>
      <w:r>
        <w:rPr>
          <w:rFonts w:ascii="Arial" w:cs="Arial" w:eastAsia="Arial" w:hAnsi="Arial"/>
          <w:sz w:val="25"/>
          <w:szCs w:val="25"/>
          <w:b w:val="1"/>
          <w:bCs w:val="1"/>
          <w:i w:val="1"/>
          <w:iCs w:val="1"/>
          <w:color w:val="auto"/>
        </w:rPr>
        <w:t>(In thousands, except per share data)</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200" w:type="dxa"/>
            <w:vAlign w:val="bottom"/>
          </w:tcPr>
          <w:p>
            <w:pPr>
              <w:spacing w:after="0"/>
              <w:rPr>
                <w:sz w:val="22"/>
                <w:szCs w:val="22"/>
                <w:color w:val="auto"/>
              </w:rPr>
            </w:pPr>
          </w:p>
        </w:tc>
        <w:tc>
          <w:tcPr>
            <w:tcW w:w="2180" w:type="dxa"/>
            <w:vAlign w:val="bottom"/>
            <w:gridSpan w:val="8"/>
          </w:tcPr>
          <w:p>
            <w:pPr>
              <w:jc w:val="center"/>
              <w:spacing w:after="0"/>
              <w:rPr>
                <w:sz w:val="20"/>
                <w:szCs w:val="20"/>
                <w:color w:val="auto"/>
              </w:rPr>
            </w:pPr>
            <w:r>
              <w:rPr>
                <w:rFonts w:ascii="Arial" w:cs="Arial" w:eastAsia="Arial" w:hAnsi="Arial"/>
                <w:sz w:val="20"/>
                <w:szCs w:val="20"/>
                <w:b w:val="1"/>
                <w:bCs w:val="1"/>
                <w:color w:val="auto"/>
                <w:w w:val="97"/>
              </w:rPr>
              <w:t>Quarter Ended</w:t>
            </w:r>
          </w:p>
        </w:tc>
        <w:tc>
          <w:tcPr>
            <w:tcW w:w="1760" w:type="dxa"/>
            <w:vAlign w:val="bottom"/>
            <w:gridSpan w:val="4"/>
          </w:tcPr>
          <w:p>
            <w:pPr>
              <w:jc w:val="right"/>
              <w:spacing w:after="0"/>
              <w:rPr>
                <w:sz w:val="20"/>
                <w:szCs w:val="20"/>
                <w:color w:val="auto"/>
              </w:rPr>
            </w:pPr>
            <w:r>
              <w:rPr>
                <w:rFonts w:ascii="Arial" w:cs="Arial" w:eastAsia="Arial" w:hAnsi="Arial"/>
                <w:sz w:val="20"/>
                <w:szCs w:val="20"/>
                <w:b w:val="1"/>
                <w:bCs w:val="1"/>
                <w:color w:val="auto"/>
              </w:rPr>
              <w:t>Quarter Ended</w:t>
            </w:r>
          </w:p>
        </w:tc>
        <w:tc>
          <w:tcPr>
            <w:tcW w:w="0" w:type="dxa"/>
            <w:vAlign w:val="bottom"/>
          </w:tcPr>
          <w:p>
            <w:pPr>
              <w:spacing w:after="0"/>
              <w:rPr>
                <w:sz w:val="1"/>
                <w:szCs w:val="1"/>
                <w:color w:val="auto"/>
              </w:rPr>
            </w:pPr>
          </w:p>
        </w:tc>
      </w:tr>
      <w:tr>
        <w:trPr>
          <w:trHeight w:val="217"/>
        </w:trPr>
        <w:tc>
          <w:tcPr>
            <w:tcW w:w="5200" w:type="dxa"/>
            <w:vAlign w:val="bottom"/>
          </w:tcPr>
          <w:p>
            <w:pPr>
              <w:spacing w:after="0"/>
              <w:rPr>
                <w:sz w:val="18"/>
                <w:szCs w:val="18"/>
                <w:color w:val="auto"/>
              </w:rPr>
            </w:pPr>
          </w:p>
        </w:tc>
        <w:tc>
          <w:tcPr>
            <w:tcW w:w="1500" w:type="dxa"/>
            <w:vAlign w:val="bottom"/>
            <w:gridSpan w:val="5"/>
          </w:tcPr>
          <w:p>
            <w:pPr>
              <w:jc w:val="right"/>
              <w:spacing w:after="0" w:line="217" w:lineRule="exact"/>
              <w:rPr>
                <w:sz w:val="20"/>
                <w:szCs w:val="20"/>
                <w:color w:val="auto"/>
              </w:rPr>
            </w:pPr>
            <w:r>
              <w:rPr>
                <w:rFonts w:ascii="Arial" w:cs="Arial" w:eastAsia="Arial" w:hAnsi="Arial"/>
                <w:sz w:val="20"/>
                <w:szCs w:val="20"/>
                <w:b w:val="1"/>
                <w:bCs w:val="1"/>
                <w:color w:val="auto"/>
              </w:rPr>
              <w:t>10/29/06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gridSpan w:val="4"/>
          </w:tcPr>
          <w:p>
            <w:pPr>
              <w:jc w:val="right"/>
              <w:ind w:right="300"/>
              <w:spacing w:after="0" w:line="217" w:lineRule="exact"/>
              <w:rPr>
                <w:sz w:val="20"/>
                <w:szCs w:val="20"/>
                <w:color w:val="auto"/>
              </w:rPr>
            </w:pPr>
            <w:r>
              <w:rPr>
                <w:rFonts w:ascii="Arial" w:cs="Arial" w:eastAsia="Arial" w:hAnsi="Arial"/>
                <w:sz w:val="20"/>
                <w:szCs w:val="20"/>
                <w:b w:val="1"/>
                <w:bCs w:val="1"/>
                <w:color w:val="auto"/>
              </w:rPr>
              <w:t>10/30/05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5200" w:type="dxa"/>
            <w:vAlign w:val="bottom"/>
          </w:tcPr>
          <w:p>
            <w:pPr>
              <w:spacing w:after="0"/>
              <w:rPr>
                <w:sz w:val="20"/>
                <w:szCs w:val="20"/>
                <w:color w:val="auto"/>
              </w:rPr>
            </w:pPr>
            <w:r>
              <w:rPr>
                <w:rFonts w:ascii="Arial" w:cs="Arial" w:eastAsia="Arial" w:hAnsi="Arial"/>
                <w:sz w:val="20"/>
                <w:szCs w:val="20"/>
                <w:color w:val="auto"/>
              </w:rPr>
              <w:t>Net sales</w:t>
            </w:r>
          </w:p>
        </w:tc>
        <w:tc>
          <w:tcPr>
            <w:tcW w:w="84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720" w:type="dxa"/>
            <w:vAlign w:val="bottom"/>
            <w:gridSpan w:val="3"/>
          </w:tcPr>
          <w:p>
            <w:pPr>
              <w:jc w:val="right"/>
              <w:spacing w:after="0"/>
              <w:rPr>
                <w:sz w:val="20"/>
                <w:szCs w:val="20"/>
                <w:color w:val="auto"/>
              </w:rPr>
            </w:pPr>
            <w:r>
              <w:rPr>
                <w:rFonts w:ascii="Arial" w:cs="Arial" w:eastAsia="Arial" w:hAnsi="Arial"/>
                <w:sz w:val="20"/>
                <w:szCs w:val="20"/>
                <w:color w:val="auto"/>
                <w:w w:val="96"/>
              </w:rPr>
              <w:t>500,235</w:t>
            </w:r>
          </w:p>
        </w:tc>
        <w:tc>
          <w:tcPr>
            <w:tcW w:w="6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96"/>
              </w:rPr>
              <w:t>471,778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20"/>
                <w:szCs w:val="20"/>
                <w:color w:val="auto"/>
              </w:rPr>
              <w:t>Royalty revenues</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52,037</w:t>
            </w: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47,559</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200" w:type="dxa"/>
            <w:vAlign w:val="bottom"/>
          </w:tcPr>
          <w:p>
            <w:pPr>
              <w:spacing w:after="0" w:line="199" w:lineRule="exact"/>
              <w:rPr>
                <w:sz w:val="20"/>
                <w:szCs w:val="20"/>
                <w:color w:val="auto"/>
              </w:rPr>
            </w:pPr>
            <w:r>
              <w:rPr>
                <w:rFonts w:ascii="Arial" w:cs="Arial" w:eastAsia="Arial" w:hAnsi="Arial"/>
                <w:sz w:val="20"/>
                <w:szCs w:val="20"/>
                <w:color w:val="auto"/>
              </w:rPr>
              <w:t>Advertising and other revenues</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line="199" w:lineRule="exact"/>
              <w:rPr>
                <w:sz w:val="20"/>
                <w:szCs w:val="20"/>
                <w:color w:val="auto"/>
              </w:rPr>
            </w:pPr>
            <w:r>
              <w:rPr>
                <w:rFonts w:ascii="Arial" w:cs="Arial" w:eastAsia="Arial" w:hAnsi="Arial"/>
                <w:sz w:val="20"/>
                <w:szCs w:val="20"/>
                <w:color w:val="auto"/>
              </w:rPr>
              <w:t>15,989</w:t>
            </w: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20"/>
                <w:szCs w:val="20"/>
                <w:color w:val="auto"/>
              </w:rPr>
              <w:t>13,844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line="223" w:lineRule="exact"/>
              <w:rPr>
                <w:sz w:val="20"/>
                <w:szCs w:val="20"/>
                <w:color w:val="auto"/>
              </w:rPr>
            </w:pPr>
            <w:r>
              <w:rPr>
                <w:rFonts w:ascii="Arial" w:cs="Arial" w:eastAsia="Arial" w:hAnsi="Arial"/>
                <w:sz w:val="20"/>
                <w:szCs w:val="20"/>
                <w:color w:val="auto"/>
              </w:rPr>
              <w:t>Total revenues</w:t>
            </w:r>
          </w:p>
        </w:tc>
        <w:tc>
          <w:tcPr>
            <w:tcW w:w="720" w:type="dxa"/>
            <w:vAlign w:val="bottom"/>
            <w:gridSpan w:val="2"/>
          </w:tcPr>
          <w:p>
            <w:pPr>
              <w:spacing w:after="0"/>
              <w:rPr>
                <w:sz w:val="19"/>
                <w:szCs w:val="19"/>
                <w:color w:val="auto"/>
              </w:rPr>
            </w:pPr>
          </w:p>
        </w:tc>
        <w:tc>
          <w:tcPr>
            <w:tcW w:w="12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20"/>
                <w:szCs w:val="20"/>
                <w:u w:val="single" w:color="auto"/>
                <w:color w:val="auto"/>
                <w:w w:val="89"/>
              </w:rPr>
              <w:t>$</w:t>
            </w:r>
          </w:p>
        </w:tc>
        <w:tc>
          <w:tcPr>
            <w:tcW w:w="720" w:type="dxa"/>
            <w:vAlign w:val="bottom"/>
            <w:tcBorders>
              <w:bottom w:val="single" w:sz="8" w:color="auto"/>
            </w:tcBorders>
            <w:gridSpan w:val="3"/>
          </w:tcPr>
          <w:p>
            <w:pPr>
              <w:jc w:val="right"/>
              <w:spacing w:after="0" w:line="223" w:lineRule="exact"/>
              <w:rPr>
                <w:sz w:val="20"/>
                <w:szCs w:val="20"/>
                <w:color w:val="auto"/>
              </w:rPr>
            </w:pPr>
            <w:r>
              <w:rPr>
                <w:rFonts w:ascii="Arial" w:cs="Arial" w:eastAsia="Arial" w:hAnsi="Arial"/>
                <w:sz w:val="20"/>
                <w:szCs w:val="20"/>
                <w:color w:val="auto"/>
                <w:w w:val="96"/>
              </w:rPr>
              <w:t>568,261</w:t>
            </w: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u w:val="single" w:color="auto"/>
                <w:color w:val="auto"/>
                <w:w w:val="89"/>
              </w:rPr>
              <w:t>$</w:t>
            </w:r>
          </w:p>
        </w:tc>
        <w:tc>
          <w:tcPr>
            <w:tcW w:w="7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6"/>
              </w:rPr>
              <w:t>533,181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1"/>
        </w:trPr>
        <w:tc>
          <w:tcPr>
            <w:tcW w:w="5200" w:type="dxa"/>
            <w:vAlign w:val="bottom"/>
          </w:tcPr>
          <w:p>
            <w:pPr>
              <w:spacing w:after="0"/>
              <w:rPr>
                <w:sz w:val="20"/>
                <w:szCs w:val="20"/>
                <w:color w:val="auto"/>
              </w:rPr>
            </w:pPr>
            <w:r>
              <w:rPr>
                <w:rFonts w:ascii="Arial" w:cs="Arial" w:eastAsia="Arial" w:hAnsi="Arial"/>
                <w:sz w:val="20"/>
                <w:szCs w:val="20"/>
                <w:color w:val="auto"/>
              </w:rPr>
              <w:t>Gross profit on net sales</w:t>
            </w:r>
          </w:p>
        </w:tc>
        <w:tc>
          <w:tcPr>
            <w:tcW w:w="84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720" w:type="dxa"/>
            <w:vAlign w:val="bottom"/>
            <w:gridSpan w:val="3"/>
          </w:tcPr>
          <w:p>
            <w:pPr>
              <w:jc w:val="right"/>
              <w:spacing w:after="0"/>
              <w:rPr>
                <w:sz w:val="20"/>
                <w:szCs w:val="20"/>
                <w:color w:val="auto"/>
              </w:rPr>
            </w:pPr>
            <w:r>
              <w:rPr>
                <w:rFonts w:ascii="Arial" w:cs="Arial" w:eastAsia="Arial" w:hAnsi="Arial"/>
                <w:sz w:val="20"/>
                <w:szCs w:val="20"/>
                <w:color w:val="auto"/>
                <w:w w:val="96"/>
              </w:rPr>
              <w:t>212,355</w:t>
            </w:r>
          </w:p>
        </w:tc>
        <w:tc>
          <w:tcPr>
            <w:tcW w:w="6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96"/>
              </w:rPr>
              <w:t>187,843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200" w:type="dxa"/>
            <w:vAlign w:val="bottom"/>
          </w:tcPr>
          <w:p>
            <w:pPr>
              <w:spacing w:after="0" w:line="199" w:lineRule="exact"/>
              <w:rPr>
                <w:sz w:val="20"/>
                <w:szCs w:val="20"/>
                <w:color w:val="auto"/>
              </w:rPr>
            </w:pPr>
            <w:r>
              <w:rPr>
                <w:rFonts w:ascii="Arial" w:cs="Arial" w:eastAsia="Arial" w:hAnsi="Arial"/>
                <w:sz w:val="20"/>
                <w:szCs w:val="20"/>
                <w:color w:val="auto"/>
              </w:rPr>
              <w:t>Gross profit on royalty, advertising and other revenues</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line="199" w:lineRule="exact"/>
              <w:rPr>
                <w:sz w:val="20"/>
                <w:szCs w:val="20"/>
                <w:color w:val="auto"/>
              </w:rPr>
            </w:pPr>
            <w:r>
              <w:rPr>
                <w:rFonts w:ascii="Arial" w:cs="Arial" w:eastAsia="Arial" w:hAnsi="Arial"/>
                <w:sz w:val="20"/>
                <w:szCs w:val="20"/>
                <w:color w:val="auto"/>
              </w:rPr>
              <w:t>68,026</w:t>
            </w: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20"/>
                <w:szCs w:val="20"/>
                <w:color w:val="auto"/>
              </w:rPr>
              <w:t>61,403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5200" w:type="dxa"/>
            <w:vAlign w:val="bottom"/>
          </w:tcPr>
          <w:p>
            <w:pPr>
              <w:spacing w:after="0"/>
              <w:rPr>
                <w:sz w:val="20"/>
                <w:szCs w:val="20"/>
                <w:color w:val="auto"/>
              </w:rPr>
            </w:pPr>
            <w:r>
              <w:rPr>
                <w:rFonts w:ascii="Arial" w:cs="Arial" w:eastAsia="Arial" w:hAnsi="Arial"/>
                <w:sz w:val="20"/>
                <w:szCs w:val="20"/>
                <w:color w:val="auto"/>
              </w:rPr>
              <w:t>Total gross profit</w:t>
            </w:r>
          </w:p>
        </w:tc>
        <w:tc>
          <w:tcPr>
            <w:tcW w:w="1560" w:type="dxa"/>
            <w:vAlign w:val="bottom"/>
            <w:gridSpan w:val="7"/>
          </w:tcPr>
          <w:p>
            <w:pPr>
              <w:jc w:val="right"/>
              <w:ind w:right="20"/>
              <w:spacing w:after="0"/>
              <w:rPr>
                <w:sz w:val="20"/>
                <w:szCs w:val="20"/>
                <w:color w:val="auto"/>
              </w:rPr>
            </w:pPr>
            <w:r>
              <w:rPr>
                <w:rFonts w:ascii="Arial" w:cs="Arial" w:eastAsia="Arial" w:hAnsi="Arial"/>
                <w:sz w:val="20"/>
                <w:szCs w:val="20"/>
                <w:color w:val="auto"/>
              </w:rPr>
              <w:t>280,381</w:t>
            </w:r>
          </w:p>
        </w:tc>
        <w:tc>
          <w:tcPr>
            <w:tcW w:w="620" w:type="dxa"/>
            <w:vAlign w:val="bottom"/>
          </w:tcPr>
          <w:p>
            <w:pPr>
              <w:spacing w:after="0"/>
              <w:rPr>
                <w:sz w:val="23"/>
                <w:szCs w:val="23"/>
                <w:color w:val="auto"/>
              </w:rPr>
            </w:pPr>
          </w:p>
        </w:tc>
        <w:tc>
          <w:tcPr>
            <w:tcW w:w="1460" w:type="dxa"/>
            <w:vAlign w:val="bottom"/>
            <w:gridSpan w:val="3"/>
          </w:tcPr>
          <w:p>
            <w:pPr>
              <w:jc w:val="right"/>
              <w:spacing w:after="0"/>
              <w:rPr>
                <w:sz w:val="20"/>
                <w:szCs w:val="20"/>
                <w:color w:val="auto"/>
              </w:rPr>
            </w:pPr>
            <w:r>
              <w:rPr>
                <w:rFonts w:ascii="Arial" w:cs="Arial" w:eastAsia="Arial" w:hAnsi="Arial"/>
                <w:sz w:val="20"/>
                <w:szCs w:val="20"/>
                <w:color w:val="auto"/>
              </w:rPr>
              <w:t>249,246</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2"/>
        </w:trPr>
        <w:tc>
          <w:tcPr>
            <w:tcW w:w="5200" w:type="dxa"/>
            <w:vAlign w:val="bottom"/>
          </w:tcPr>
          <w:p>
            <w:pPr>
              <w:spacing w:after="0"/>
              <w:rPr>
                <w:sz w:val="20"/>
                <w:szCs w:val="20"/>
                <w:color w:val="auto"/>
              </w:rPr>
            </w:pPr>
            <w:r>
              <w:rPr>
                <w:rFonts w:ascii="Arial" w:cs="Arial" w:eastAsia="Arial" w:hAnsi="Arial"/>
                <w:sz w:val="20"/>
                <w:szCs w:val="20"/>
                <w:color w:val="auto"/>
              </w:rPr>
              <w:t>Selling, general and administrative expenses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w w:val="96"/>
              </w:rPr>
              <w:t>195,738</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177,638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5200" w:type="dxa"/>
            <w:vAlign w:val="bottom"/>
          </w:tcPr>
          <w:p>
            <w:pPr>
              <w:spacing w:after="0"/>
              <w:rPr>
                <w:sz w:val="20"/>
                <w:szCs w:val="20"/>
                <w:color w:val="auto"/>
              </w:rPr>
            </w:pPr>
            <w:r>
              <w:rPr>
                <w:rFonts w:ascii="Arial" w:cs="Arial" w:eastAsia="Arial" w:hAnsi="Arial"/>
                <w:sz w:val="20"/>
                <w:szCs w:val="20"/>
                <w:color w:val="auto"/>
              </w:rPr>
              <w:t>Earnings before interest and taxes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84,643</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71,608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5200" w:type="dxa"/>
            <w:vAlign w:val="bottom"/>
          </w:tcPr>
          <w:p>
            <w:pPr>
              <w:spacing w:after="0"/>
              <w:rPr>
                <w:sz w:val="20"/>
                <w:szCs w:val="20"/>
                <w:color w:val="auto"/>
              </w:rPr>
            </w:pPr>
            <w:r>
              <w:rPr>
                <w:rFonts w:ascii="Arial" w:cs="Arial" w:eastAsia="Arial" w:hAnsi="Arial"/>
                <w:sz w:val="20"/>
                <w:szCs w:val="20"/>
                <w:color w:val="auto"/>
              </w:rPr>
              <w:t>Interest expense, net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3,923</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7,249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5200" w:type="dxa"/>
            <w:vAlign w:val="bottom"/>
          </w:tcPr>
          <w:p>
            <w:pPr>
              <w:spacing w:after="0"/>
              <w:rPr>
                <w:sz w:val="20"/>
                <w:szCs w:val="20"/>
                <w:color w:val="auto"/>
              </w:rPr>
            </w:pPr>
            <w:r>
              <w:rPr>
                <w:rFonts w:ascii="Arial" w:cs="Arial" w:eastAsia="Arial" w:hAnsi="Arial"/>
                <w:sz w:val="20"/>
                <w:szCs w:val="20"/>
                <w:color w:val="auto"/>
              </w:rPr>
              <w:t>Pre-tax income</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80,720</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64,359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5200" w:type="dxa"/>
            <w:vAlign w:val="bottom"/>
          </w:tcPr>
          <w:p>
            <w:pPr>
              <w:spacing w:after="0"/>
              <w:rPr>
                <w:sz w:val="20"/>
                <w:szCs w:val="20"/>
                <w:color w:val="auto"/>
              </w:rPr>
            </w:pPr>
            <w:r>
              <w:rPr>
                <w:rFonts w:ascii="Arial" w:cs="Arial" w:eastAsia="Arial" w:hAnsi="Arial"/>
                <w:sz w:val="20"/>
                <w:szCs w:val="20"/>
                <w:color w:val="auto"/>
              </w:rPr>
              <w:t>Income tax expense</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29,947</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24,070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5200" w:type="dxa"/>
            <w:vAlign w:val="bottom"/>
          </w:tcPr>
          <w:p>
            <w:pPr>
              <w:spacing w:after="0"/>
              <w:rPr>
                <w:sz w:val="20"/>
                <w:szCs w:val="20"/>
                <w:color w:val="auto"/>
              </w:rPr>
            </w:pPr>
            <w:r>
              <w:rPr>
                <w:rFonts w:ascii="Arial" w:cs="Arial" w:eastAsia="Arial" w:hAnsi="Arial"/>
                <w:sz w:val="20"/>
                <w:szCs w:val="20"/>
                <w:color w:val="auto"/>
              </w:rPr>
              <w:t>Net income</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50,773</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40,289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5200" w:type="dxa"/>
            <w:vAlign w:val="bottom"/>
          </w:tcPr>
          <w:p>
            <w:pPr>
              <w:spacing w:after="0"/>
              <w:rPr>
                <w:sz w:val="20"/>
                <w:szCs w:val="20"/>
                <w:color w:val="auto"/>
              </w:rPr>
            </w:pPr>
            <w:r>
              <w:rPr>
                <w:rFonts w:ascii="Arial" w:cs="Arial" w:eastAsia="Arial" w:hAnsi="Arial"/>
                <w:sz w:val="20"/>
                <w:szCs w:val="20"/>
                <w:color w:val="auto"/>
              </w:rPr>
              <w:t>Preferred stock dividends on convertible stock</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3,229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200" w:type="dxa"/>
            <w:vAlign w:val="bottom"/>
          </w:tcPr>
          <w:p>
            <w:pPr>
              <w:spacing w:after="0"/>
              <w:rPr>
                <w:sz w:val="20"/>
                <w:szCs w:val="20"/>
                <w:color w:val="auto"/>
              </w:rPr>
            </w:pPr>
            <w:r>
              <w:rPr>
                <w:rFonts w:ascii="Arial" w:cs="Arial" w:eastAsia="Arial" w:hAnsi="Arial"/>
                <w:sz w:val="20"/>
                <w:szCs w:val="20"/>
                <w:color w:val="auto"/>
              </w:rPr>
              <w:t>Net income available to common stockholders</w:t>
            </w:r>
          </w:p>
        </w:tc>
        <w:tc>
          <w:tcPr>
            <w:tcW w:w="720" w:type="dxa"/>
            <w:vAlign w:val="bottom"/>
            <w:gridSpan w:val="2"/>
          </w:tcPr>
          <w:p>
            <w:pPr>
              <w:spacing w:after="0"/>
              <w:rPr>
                <w:sz w:val="24"/>
                <w:szCs w:val="24"/>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50,773</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37,060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200" w:type="dxa"/>
            <w:vAlign w:val="bottom"/>
            <w:vMerge w:val="restart"/>
          </w:tcPr>
          <w:p>
            <w:pPr>
              <w:spacing w:after="0"/>
              <w:rPr>
                <w:sz w:val="20"/>
                <w:szCs w:val="20"/>
                <w:color w:val="auto"/>
              </w:rPr>
            </w:pPr>
            <w:r>
              <w:rPr>
                <w:rFonts w:ascii="Arial" w:cs="Arial" w:eastAsia="Arial" w:hAnsi="Arial"/>
                <w:sz w:val="20"/>
                <w:szCs w:val="20"/>
                <w:color w:val="auto"/>
              </w:rPr>
              <w:t>Diluted net income per common share</w:t>
            </w:r>
            <w:r>
              <w:rPr>
                <w:rFonts w:ascii="Arial" w:cs="Arial" w:eastAsia="Arial" w:hAnsi="Arial"/>
                <w:sz w:val="33"/>
                <w:szCs w:val="33"/>
                <w:color w:val="auto"/>
                <w:vertAlign w:val="superscript"/>
              </w:rPr>
              <w:t>(1)</w:t>
            </w:r>
          </w:p>
        </w:tc>
        <w:tc>
          <w:tcPr>
            <w:tcW w:w="700" w:type="dxa"/>
            <w:vAlign w:val="bottom"/>
            <w:vMerge w:val="restart"/>
          </w:tcPr>
          <w:p>
            <w:pPr>
              <w:spacing w:after="0"/>
              <w:rPr>
                <w:sz w:val="24"/>
                <w:szCs w:val="24"/>
                <w:color w:val="auto"/>
              </w:rPr>
            </w:pPr>
          </w:p>
        </w:tc>
        <w:tc>
          <w:tcPr>
            <w:tcW w:w="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w w:val="89"/>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0.89</w:t>
            </w:r>
          </w:p>
        </w:tc>
        <w:tc>
          <w:tcPr>
            <w:tcW w:w="20" w:type="dxa"/>
            <w:vAlign w:val="bottom"/>
            <w:vMerge w:val="restart"/>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vMerge w:val="restart"/>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0.73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gridSpan w:val="3"/>
          </w:tcPr>
          <w:p>
            <w:pPr>
              <w:spacing w:after="0"/>
              <w:rPr>
                <w:sz w:val="18"/>
                <w:szCs w:val="18"/>
                <w:color w:val="auto"/>
              </w:rPr>
            </w:pPr>
          </w:p>
        </w:tc>
        <w:tc>
          <w:tcPr>
            <w:tcW w:w="700" w:type="dxa"/>
            <w:vAlign w:val="bottom"/>
            <w:gridSpan w:val="2"/>
          </w:tcPr>
          <w:p>
            <w:pPr>
              <w:spacing w:after="0"/>
              <w:rPr>
                <w:sz w:val="18"/>
                <w:szCs w:val="18"/>
                <w:color w:val="auto"/>
              </w:rPr>
            </w:pPr>
          </w:p>
        </w:tc>
        <w:tc>
          <w:tcPr>
            <w:tcW w:w="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200" w:type="dxa"/>
            <w:vAlign w:val="bottom"/>
          </w:tcPr>
          <w:p>
            <w:pPr>
              <w:spacing w:after="0"/>
              <w:rPr>
                <w:sz w:val="20"/>
                <w:szCs w:val="20"/>
                <w:color w:val="auto"/>
              </w:rPr>
            </w:pPr>
            <w:r>
              <w:rPr>
                <w:rFonts w:ascii="Arial" w:cs="Arial" w:eastAsia="Arial" w:hAnsi="Arial"/>
                <w:sz w:val="20"/>
                <w:szCs w:val="20"/>
                <w:color w:val="auto"/>
              </w:rPr>
              <w:t>Per share impact of expensing stock options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60"/>
              <w:spacing w:after="0" w:line="363" w:lineRule="exact"/>
              <w:rPr>
                <w:sz w:val="20"/>
                <w:szCs w:val="20"/>
                <w:color w:val="auto"/>
              </w:rPr>
            </w:pPr>
            <w:r>
              <w:rPr>
                <w:rFonts w:ascii="Arial" w:cs="Arial" w:eastAsia="Arial" w:hAnsi="Arial"/>
                <w:sz w:val="20"/>
                <w:szCs w:val="20"/>
                <w:color w:val="auto"/>
              </w:rPr>
              <w:t>(0.02)</w:t>
            </w:r>
            <w:r>
              <w:rPr>
                <w:rFonts w:ascii="Arial" w:cs="Arial" w:eastAsia="Arial" w:hAnsi="Arial"/>
                <w:sz w:val="33"/>
                <w:szCs w:val="33"/>
                <w:color w:val="auto"/>
                <w:vertAlign w:val="superscript"/>
              </w:rPr>
              <w:t>(2)</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20"/>
                <w:szCs w:val="20"/>
                <w:color w:val="auto"/>
              </w:rPr>
              <w:t>Diluted net income per common share as adjusted</w:t>
            </w: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20"/>
                <w:szCs w:val="20"/>
                <w:color w:val="auto"/>
              </w:rPr>
              <w:t>0.71</w:t>
            </w:r>
            <w:r>
              <w:rPr>
                <w:rFonts w:ascii="Arial" w:cs="Arial" w:eastAsia="Arial" w:hAnsi="Arial"/>
                <w:sz w:val="33"/>
                <w:szCs w:val="33"/>
                <w:color w:val="auto"/>
                <w:vertAlign w:val="superscript"/>
              </w:rPr>
              <w:t>(2)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20"/>
          <w:szCs w:val="20"/>
          <w:color w:val="auto"/>
        </w:rPr>
        <w:t>Please see the Notes to Consolidated Income Statements for a reconciliation of diluted net income per common share.</w:t>
      </w:r>
    </w:p>
    <w:p>
      <w:pPr>
        <w:spacing w:after="0" w:line="215" w:lineRule="exact"/>
        <w:rPr>
          <w:rFonts w:ascii="Arial" w:cs="Arial" w:eastAsia="Arial" w:hAnsi="Arial"/>
          <w:sz w:val="17"/>
          <w:szCs w:val="17"/>
          <w:color w:val="auto"/>
        </w:rPr>
      </w:pPr>
    </w:p>
    <w:p>
      <w:pPr>
        <w:jc w:val="both"/>
        <w:ind w:left="260" w:hanging="252"/>
        <w:spacing w:after="0" w:line="243" w:lineRule="auto"/>
        <w:tabs>
          <w:tab w:leader="none" w:pos="260" w:val="left"/>
        </w:tabs>
        <w:numPr>
          <w:ilvl w:val="0"/>
          <w:numId w:val="4"/>
        </w:numPr>
        <w:rPr>
          <w:rFonts w:ascii="Arial" w:cs="Arial" w:eastAsia="Arial" w:hAnsi="Arial"/>
          <w:sz w:val="17"/>
          <w:szCs w:val="17"/>
          <w:color w:val="auto"/>
        </w:rPr>
      </w:pPr>
      <w:r>
        <w:rPr>
          <w:rFonts w:ascii="Arial" w:cs="Arial" w:eastAsia="Arial" w:hAnsi="Arial"/>
          <w:sz w:val="20"/>
          <w:szCs w:val="20"/>
          <w:color w:val="auto"/>
        </w:rPr>
        <w:t>The adjustment to include the impact of expensing stock options for 2005 is for illustrative purposes only. The Company did not expense stock options in fiscal 2005. The Company implemented the provisions of SFAS 123R beginning in the first quarter of 2006.</w:t>
      </w: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100"/>
          </w:cols>
          <w:pgMar w:left="240" w:top="111" w:right="559" w:bottom="1440" w:gutter="0" w:footer="0" w:header="0"/>
        </w:sectPr>
      </w:pPr>
    </w:p>
    <w:bookmarkStart w:id="11" w:name="page12"/>
    <w:bookmarkEnd w:id="11"/>
    <w:p>
      <w:pPr>
        <w:spacing w:after="0"/>
        <w:rPr>
          <w:sz w:val="20"/>
          <w:szCs w:val="20"/>
          <w:color w:val="auto"/>
        </w:rPr>
      </w:pPr>
      <w:r>
        <w:rPr>
          <w:rFonts w:ascii="Arial" w:cs="Arial" w:eastAsia="Arial" w:hAnsi="Arial"/>
          <w:sz w:val="25"/>
          <w:szCs w:val="25"/>
          <w:b w:val="1"/>
          <w:bCs w:val="1"/>
          <w:i w:val="1"/>
          <w:iCs w:val="1"/>
          <w:color w:val="auto"/>
        </w:rPr>
        <w:t>PHILLIPS-VAN HEUSEN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Consolidated Income Statements</w:t>
      </w:r>
    </w:p>
    <w:p>
      <w:pPr>
        <w:spacing w:after="0"/>
        <w:rPr>
          <w:sz w:val="20"/>
          <w:szCs w:val="20"/>
          <w:color w:val="auto"/>
        </w:rPr>
      </w:pPr>
      <w:r>
        <w:rPr>
          <w:rFonts w:ascii="Arial" w:cs="Arial" w:eastAsia="Arial" w:hAnsi="Arial"/>
          <w:sz w:val="25"/>
          <w:szCs w:val="25"/>
          <w:b w:val="1"/>
          <w:bCs w:val="1"/>
          <w:i w:val="1"/>
          <w:iCs w:val="1"/>
          <w:color w:val="auto"/>
        </w:rPr>
        <w:t>(In thousands, except per share data)</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gridSpan w:val="12"/>
          </w:tcPr>
          <w:p>
            <w:pPr>
              <w:jc w:val="right"/>
              <w:ind w:right="19"/>
              <w:spacing w:after="0"/>
              <w:rPr>
                <w:sz w:val="20"/>
                <w:szCs w:val="20"/>
                <w:color w:val="auto"/>
              </w:rPr>
            </w:pPr>
            <w:r>
              <w:rPr>
                <w:rFonts w:ascii="Arial" w:cs="Arial" w:eastAsia="Arial" w:hAnsi="Arial"/>
                <w:sz w:val="16"/>
                <w:szCs w:val="16"/>
                <w:b w:val="1"/>
                <w:bCs w:val="1"/>
                <w:color w:val="auto"/>
              </w:rPr>
              <w:t>Nine Months Ended</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10"/>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10/29/06</w:t>
            </w: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6"/>
                <w:szCs w:val="16"/>
                <w:b w:val="1"/>
                <w:bCs w:val="1"/>
                <w:color w:val="auto"/>
              </w:rPr>
              <w:t>10/30/05</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94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rPr>
              <w:t>Results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rPr>
              <w:t>Results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p>
        </w:tc>
        <w:tc>
          <w:tcPr>
            <w:tcW w:w="1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rPr>
              <w:t>Under</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Borders>
              <w:right w:val="single" w:sz="8" w:color="auto"/>
            </w:tcBorders>
            <w:gridSpan w:val="6"/>
          </w:tcPr>
          <w:p>
            <w:pPr>
              <w:ind w:left="80"/>
              <w:spacing w:after="0"/>
              <w:rPr>
                <w:sz w:val="20"/>
                <w:szCs w:val="20"/>
                <w:color w:val="auto"/>
              </w:rPr>
            </w:pPr>
            <w:r>
              <w:rPr>
                <w:rFonts w:ascii="Arial" w:cs="Arial" w:eastAsia="Arial" w:hAnsi="Arial"/>
                <w:sz w:val="16"/>
                <w:szCs w:val="16"/>
                <w:b w:val="1"/>
                <w:bCs w:val="1"/>
                <w:color w:val="auto"/>
              </w:rPr>
              <w:t>Non-GAAP</w:t>
            </w:r>
          </w:p>
        </w:tc>
        <w:tc>
          <w:tcPr>
            <w:tcW w:w="7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9"/>
              </w:rPr>
              <w:t>Under</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right w:val="single" w:sz="8" w:color="auto"/>
            </w:tcBorders>
            <w:gridSpan w:val="4"/>
          </w:tcPr>
          <w:p>
            <w:pPr>
              <w:jc w:val="center"/>
              <w:ind w:right="218"/>
              <w:spacing w:after="0"/>
              <w:rPr>
                <w:sz w:val="20"/>
                <w:szCs w:val="20"/>
                <w:color w:val="auto"/>
              </w:rPr>
            </w:pPr>
            <w:r>
              <w:rPr>
                <w:rFonts w:ascii="Arial" w:cs="Arial" w:eastAsia="Arial" w:hAnsi="Arial"/>
                <w:sz w:val="16"/>
                <w:szCs w:val="16"/>
                <w:b w:val="1"/>
                <w:bCs w:val="1"/>
                <w:color w:val="auto"/>
              </w:rPr>
              <w:t>Non-GAAP</w:t>
            </w: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rPr>
              <w:t>GAAP</w:t>
            </w:r>
          </w:p>
        </w:tc>
        <w:tc>
          <w:tcPr>
            <w:tcW w:w="40" w:type="dxa"/>
            <w:vAlign w:val="bottom"/>
            <w:vMerge w:val="restart"/>
          </w:tcPr>
          <w:p>
            <w:pPr>
              <w:spacing w:after="0"/>
              <w:rPr>
                <w:sz w:val="18"/>
                <w:szCs w:val="18"/>
                <w:color w:val="auto"/>
              </w:rPr>
            </w:pPr>
          </w:p>
        </w:tc>
        <w:tc>
          <w:tcPr>
            <w:tcW w:w="100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Adjustments</w:t>
            </w:r>
          </w:p>
        </w:tc>
        <w:tc>
          <w:tcPr>
            <w:tcW w:w="240" w:type="dxa"/>
            <w:vAlign w:val="bottom"/>
          </w:tcPr>
          <w:p>
            <w:pPr>
              <w:jc w:val="right"/>
              <w:ind w:right="12"/>
              <w:spacing w:after="0"/>
              <w:rPr>
                <w:sz w:val="20"/>
                <w:szCs w:val="20"/>
                <w:color w:val="auto"/>
              </w:rPr>
            </w:pPr>
            <w:r>
              <w:rPr>
                <w:rFonts w:ascii="Arial" w:cs="Arial" w:eastAsia="Arial" w:hAnsi="Arial"/>
                <w:sz w:val="14"/>
                <w:szCs w:val="14"/>
                <w:b w:val="1"/>
                <w:bCs w:val="1"/>
                <w:color w:val="auto"/>
                <w:w w:val="81"/>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restart"/>
          </w:tcPr>
          <w:p>
            <w:pPr>
              <w:spacing w:after="0"/>
              <w:rPr>
                <w:sz w:val="20"/>
                <w:szCs w:val="20"/>
                <w:color w:val="auto"/>
              </w:rPr>
            </w:pPr>
            <w:r>
              <w:rPr>
                <w:rFonts w:ascii="Arial" w:cs="Arial" w:eastAsia="Arial" w:hAnsi="Arial"/>
                <w:sz w:val="16"/>
                <w:szCs w:val="16"/>
                <w:b w:val="1"/>
                <w:bCs w:val="1"/>
                <w:color w:val="auto"/>
                <w:w w:val="96"/>
              </w:rPr>
              <w:t>Results</w:t>
            </w:r>
          </w:p>
        </w:tc>
        <w:tc>
          <w:tcPr>
            <w:tcW w:w="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1"/>
              </w:rPr>
              <w:t>(1)</w:t>
            </w:r>
          </w:p>
        </w:tc>
        <w:tc>
          <w:tcPr>
            <w:tcW w:w="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9"/>
              </w:rPr>
              <w:t>GAAP</w:t>
            </w:r>
          </w:p>
        </w:tc>
        <w:tc>
          <w:tcPr>
            <w:tcW w:w="1140" w:type="dxa"/>
            <w:vAlign w:val="bottom"/>
            <w:gridSpan w:val="6"/>
            <w:vMerge w:val="restart"/>
          </w:tcPr>
          <w:p>
            <w:pPr>
              <w:ind w:left="160"/>
              <w:spacing w:after="0"/>
              <w:rPr>
                <w:sz w:val="20"/>
                <w:szCs w:val="20"/>
                <w:color w:val="auto"/>
              </w:rPr>
            </w:pPr>
            <w:r>
              <w:rPr>
                <w:rFonts w:ascii="Arial" w:cs="Arial" w:eastAsia="Arial" w:hAnsi="Arial"/>
                <w:sz w:val="16"/>
                <w:szCs w:val="16"/>
                <w:b w:val="1"/>
                <w:bCs w:val="1"/>
                <w:color w:val="auto"/>
                <w:w w:val="99"/>
              </w:rPr>
              <w:t>Adjustments</w:t>
            </w:r>
          </w:p>
        </w:tc>
        <w:tc>
          <w:tcPr>
            <w:tcW w:w="440" w:type="dxa"/>
            <w:vAlign w:val="bottom"/>
          </w:tcPr>
          <w:p>
            <w:pPr>
              <w:jc w:val="right"/>
              <w:ind w:right="212"/>
              <w:spacing w:after="0"/>
              <w:rPr>
                <w:sz w:val="20"/>
                <w:szCs w:val="20"/>
                <w:color w:val="auto"/>
              </w:rPr>
            </w:pPr>
            <w:r>
              <w:rPr>
                <w:rFonts w:ascii="Arial" w:cs="Arial" w:eastAsia="Arial" w:hAnsi="Arial"/>
                <w:sz w:val="14"/>
                <w:szCs w:val="14"/>
                <w:b w:val="1"/>
                <w:bCs w:val="1"/>
                <w:color w:val="auto"/>
                <w:w w:val="81"/>
              </w:rPr>
              <w:t>(2)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restart"/>
          </w:tcPr>
          <w:p>
            <w:pPr>
              <w:jc w:val="center"/>
              <w:ind w:right="20"/>
              <w:spacing w:after="0"/>
              <w:rPr>
                <w:sz w:val="20"/>
                <w:szCs w:val="20"/>
                <w:color w:val="auto"/>
              </w:rPr>
            </w:pPr>
            <w:r>
              <w:rPr>
                <w:rFonts w:ascii="Arial" w:cs="Arial" w:eastAsia="Arial" w:hAnsi="Arial"/>
                <w:sz w:val="16"/>
                <w:szCs w:val="16"/>
                <w:b w:val="1"/>
                <w:bCs w:val="1"/>
                <w:color w:val="auto"/>
              </w:rPr>
              <w:t>Results</w:t>
            </w:r>
          </w:p>
        </w:tc>
        <w:tc>
          <w:tcPr>
            <w:tcW w:w="400" w:type="dxa"/>
            <w:vAlign w:val="bottom"/>
            <w:tcBorders>
              <w:right w:val="single" w:sz="8" w:color="auto"/>
            </w:tcBorders>
          </w:tcPr>
          <w:p>
            <w:pPr>
              <w:jc w:val="right"/>
              <w:ind w:right="198"/>
              <w:spacing w:after="0"/>
              <w:rPr>
                <w:sz w:val="20"/>
                <w:szCs w:val="20"/>
                <w:color w:val="auto"/>
              </w:rPr>
            </w:pPr>
            <w:r>
              <w:rPr>
                <w:rFonts w:ascii="Arial" w:cs="Arial" w:eastAsia="Arial" w:hAnsi="Arial"/>
                <w:sz w:val="12"/>
                <w:szCs w:val="12"/>
                <w:b w:val="1"/>
                <w:bCs w:val="1"/>
                <w:color w:val="auto"/>
                <w:w w:val="81"/>
              </w:rPr>
              <w:t>(2)</w:t>
            </w: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1000" w:type="dxa"/>
            <w:vAlign w:val="bottom"/>
            <w:gridSpan w:val="4"/>
            <w:vMerge w:val="continue"/>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6"/>
            <w:vMerge w:val="continue"/>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600" w:type="dxa"/>
            <w:vAlign w:val="bottom"/>
          </w:tcPr>
          <w:p>
            <w:pPr>
              <w:spacing w:after="0"/>
              <w:rPr>
                <w:sz w:val="20"/>
                <w:szCs w:val="20"/>
                <w:color w:val="auto"/>
              </w:rPr>
            </w:pPr>
            <w:r>
              <w:rPr>
                <w:rFonts w:ascii="Arial" w:cs="Arial" w:eastAsia="Arial" w:hAnsi="Arial"/>
                <w:sz w:val="16"/>
                <w:szCs w:val="16"/>
                <w:color w:val="auto"/>
              </w:rPr>
              <w:t>Net sales</w:t>
            </w:r>
          </w:p>
        </w:tc>
        <w:tc>
          <w:tcPr>
            <w:tcW w:w="980" w:type="dxa"/>
            <w:vAlign w:val="bottom"/>
            <w:tcBorders>
              <w:left w:val="single" w:sz="8" w:color="auto"/>
            </w:tcBorders>
            <w:gridSpan w:val="4"/>
          </w:tcPr>
          <w:p>
            <w:pPr>
              <w:jc w:val="right"/>
              <w:spacing w:after="0"/>
              <w:rPr>
                <w:sz w:val="20"/>
                <w:szCs w:val="20"/>
                <w:color w:val="auto"/>
              </w:rPr>
            </w:pPr>
            <w:r>
              <w:rPr>
                <w:rFonts w:ascii="Arial" w:cs="Arial" w:eastAsia="Arial" w:hAnsi="Arial"/>
                <w:sz w:val="16"/>
                <w:szCs w:val="16"/>
                <w:color w:val="auto"/>
              </w:rPr>
              <w:t>$1,361,543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w w:val="98"/>
              </w:rPr>
              <w:t>1,361,543</w:t>
            </w:r>
          </w:p>
        </w:tc>
        <w:tc>
          <w:tcPr>
            <w:tcW w:w="1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1000" w:type="dxa"/>
            <w:vAlign w:val="bottom"/>
            <w:gridSpan w:val="5"/>
          </w:tcPr>
          <w:p>
            <w:pPr>
              <w:jc w:val="right"/>
              <w:ind w:right="60"/>
              <w:spacing w:after="0"/>
              <w:rPr>
                <w:sz w:val="20"/>
                <w:szCs w:val="20"/>
                <w:color w:val="auto"/>
              </w:rPr>
            </w:pPr>
            <w:r>
              <w:rPr>
                <w:rFonts w:ascii="Arial" w:cs="Arial" w:eastAsia="Arial" w:hAnsi="Arial"/>
                <w:sz w:val="16"/>
                <w:szCs w:val="16"/>
                <w:color w:val="auto"/>
              </w:rPr>
              <w:t>$1,292,451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w w:val="98"/>
              </w:rPr>
              <w:t>1,292,451</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6"/>
                <w:szCs w:val="16"/>
                <w:color w:val="auto"/>
              </w:rPr>
              <w:t>Royalty revenues</w:t>
            </w:r>
          </w:p>
        </w:tc>
        <w:tc>
          <w:tcPr>
            <w:tcW w:w="1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130,384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130,384</w:t>
            </w:r>
          </w:p>
        </w:tc>
        <w:tc>
          <w:tcPr>
            <w:tcW w:w="1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117,059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117,059</w:t>
            </w: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600" w:type="dxa"/>
            <w:vAlign w:val="bottom"/>
          </w:tcPr>
          <w:p>
            <w:pPr>
              <w:spacing w:after="0" w:line="181" w:lineRule="exact"/>
              <w:rPr>
                <w:sz w:val="20"/>
                <w:szCs w:val="20"/>
                <w:color w:val="auto"/>
              </w:rPr>
            </w:pPr>
            <w:r>
              <w:rPr>
                <w:rFonts w:ascii="Arial" w:cs="Arial" w:eastAsia="Arial" w:hAnsi="Arial"/>
                <w:sz w:val="16"/>
                <w:szCs w:val="16"/>
                <w:color w:val="auto"/>
              </w:rPr>
              <w:t>Advertising and other revenues</w:t>
            </w:r>
          </w:p>
        </w:tc>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41,700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41,700</w:t>
            </w:r>
          </w:p>
        </w:tc>
        <w:tc>
          <w:tcPr>
            <w:tcW w:w="1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39,249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39,249</w:t>
            </w: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2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Pr>
          <w:p>
            <w:pPr>
              <w:spacing w:after="0"/>
              <w:rPr>
                <w:sz w:val="20"/>
                <w:szCs w:val="20"/>
                <w:color w:val="auto"/>
              </w:rPr>
            </w:pPr>
            <w:r>
              <w:rPr>
                <w:rFonts w:ascii="Arial" w:cs="Arial" w:eastAsia="Arial" w:hAnsi="Arial"/>
                <w:sz w:val="16"/>
                <w:szCs w:val="16"/>
                <w:color w:val="auto"/>
              </w:rPr>
              <w:t>Total revenues</w:t>
            </w:r>
          </w:p>
        </w:tc>
        <w:tc>
          <w:tcPr>
            <w:tcW w:w="160" w:type="dxa"/>
            <w:vAlign w:val="bottom"/>
            <w:tcBorders>
              <w:left w:val="single" w:sz="8" w:color="auto"/>
            </w:tcBorders>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1,533,627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w w:val="98"/>
              </w:rPr>
              <w:t>1,533,627</w:t>
            </w:r>
          </w:p>
        </w:tc>
        <w:tc>
          <w:tcPr>
            <w:tcW w:w="1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0" w:type="dxa"/>
            <w:vAlign w:val="bottom"/>
            <w:gridSpan w:val="5"/>
          </w:tcPr>
          <w:p>
            <w:pPr>
              <w:jc w:val="right"/>
              <w:ind w:right="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1,448,759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gridSpan w:val="3"/>
          </w:tcPr>
          <w:p>
            <w:pPr>
              <w:jc w:val="right"/>
              <w:spacing w:after="0"/>
              <w:rPr>
                <w:sz w:val="20"/>
                <w:szCs w:val="20"/>
                <w:color w:val="auto"/>
              </w:rPr>
            </w:pPr>
            <w:r>
              <w:rPr>
                <w:rFonts w:ascii="Arial" w:cs="Arial" w:eastAsia="Arial" w:hAnsi="Arial"/>
                <w:sz w:val="16"/>
                <w:szCs w:val="16"/>
                <w:u w:val="single" w:color="auto"/>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w w:val="98"/>
              </w:rPr>
              <w:t>1,448,759</w:t>
            </w:r>
          </w:p>
        </w:tc>
        <w:tc>
          <w:tcPr>
            <w:tcW w:w="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600" w:type="dxa"/>
            <w:vAlign w:val="bottom"/>
          </w:tcPr>
          <w:p>
            <w:pPr>
              <w:spacing w:after="0"/>
              <w:rPr>
                <w:sz w:val="20"/>
                <w:szCs w:val="20"/>
                <w:color w:val="auto"/>
              </w:rPr>
            </w:pPr>
            <w:r>
              <w:rPr>
                <w:rFonts w:ascii="Arial" w:cs="Arial" w:eastAsia="Arial" w:hAnsi="Arial"/>
                <w:sz w:val="16"/>
                <w:szCs w:val="16"/>
                <w:color w:val="auto"/>
              </w:rPr>
              <w:t>Gross profit on net sales</w:t>
            </w:r>
          </w:p>
        </w:tc>
        <w:tc>
          <w:tcPr>
            <w:tcW w:w="160" w:type="dxa"/>
            <w:vAlign w:val="bottom"/>
            <w:tcBorders>
              <w:left w:val="single" w:sz="8" w:color="auto"/>
            </w:tcBorders>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578,168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578,168</w:t>
            </w:r>
          </w:p>
        </w:tc>
        <w:tc>
          <w:tcPr>
            <w:tcW w:w="1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30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512,488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512,488</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6"/>
                <w:szCs w:val="16"/>
                <w:color w:val="auto"/>
              </w:rPr>
              <w:t>Gross profit on royalty,</w:t>
            </w:r>
          </w:p>
        </w:tc>
        <w:tc>
          <w:tcPr>
            <w:tcW w:w="1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600" w:type="dxa"/>
            <w:vAlign w:val="bottom"/>
          </w:tcPr>
          <w:p>
            <w:pPr>
              <w:ind w:left="100"/>
              <w:spacing w:after="0" w:line="181" w:lineRule="exact"/>
              <w:rPr>
                <w:sz w:val="20"/>
                <w:szCs w:val="20"/>
                <w:color w:val="auto"/>
              </w:rPr>
            </w:pPr>
            <w:r>
              <w:rPr>
                <w:rFonts w:ascii="Arial" w:cs="Arial" w:eastAsia="Arial" w:hAnsi="Arial"/>
                <w:sz w:val="16"/>
                <w:szCs w:val="16"/>
                <w:color w:val="auto"/>
              </w:rPr>
              <w:t>advertising and other revenues</w:t>
            </w:r>
          </w:p>
        </w:tc>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172,084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172,084</w:t>
            </w:r>
          </w:p>
        </w:tc>
        <w:tc>
          <w:tcPr>
            <w:tcW w:w="1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156,308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156,308</w:t>
            </w: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00" w:type="dxa"/>
            <w:vAlign w:val="bottom"/>
          </w:tcPr>
          <w:p>
            <w:pPr>
              <w:spacing w:after="0"/>
              <w:rPr>
                <w:sz w:val="20"/>
                <w:szCs w:val="20"/>
                <w:color w:val="auto"/>
              </w:rPr>
            </w:pPr>
            <w:r>
              <w:rPr>
                <w:rFonts w:ascii="Arial" w:cs="Arial" w:eastAsia="Arial" w:hAnsi="Arial"/>
                <w:sz w:val="16"/>
                <w:szCs w:val="16"/>
                <w:color w:val="auto"/>
              </w:rPr>
              <w:t>Total gross profit</w:t>
            </w:r>
          </w:p>
        </w:tc>
        <w:tc>
          <w:tcPr>
            <w:tcW w:w="160" w:type="dxa"/>
            <w:vAlign w:val="bottom"/>
            <w:tcBorders>
              <w:left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750,252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750,252</w:t>
            </w:r>
          </w:p>
        </w:tc>
        <w:tc>
          <w:tcPr>
            <w:tcW w:w="1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668,796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668,796</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600" w:type="dxa"/>
            <w:vAlign w:val="bottom"/>
          </w:tcPr>
          <w:p>
            <w:pPr>
              <w:spacing w:after="0"/>
              <w:rPr>
                <w:sz w:val="20"/>
                <w:szCs w:val="20"/>
                <w:color w:val="auto"/>
              </w:rPr>
            </w:pPr>
            <w:r>
              <w:rPr>
                <w:rFonts w:ascii="Arial" w:cs="Arial" w:eastAsia="Arial" w:hAnsi="Arial"/>
                <w:sz w:val="16"/>
                <w:szCs w:val="16"/>
                <w:color w:val="auto"/>
              </w:rPr>
              <w:t>Selling, general and</w:t>
            </w:r>
          </w:p>
        </w:tc>
        <w:tc>
          <w:tcPr>
            <w:tcW w:w="1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Arial" w:cs="Arial" w:eastAsia="Arial" w:hAnsi="Arial"/>
                <w:sz w:val="16"/>
                <w:szCs w:val="16"/>
                <w:color w:val="auto"/>
              </w:rPr>
              <w:t>administrative expenses</w:t>
            </w:r>
          </w:p>
        </w:tc>
        <w:tc>
          <w:tcPr>
            <w:tcW w:w="1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564,148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152"/>
              <w:spacing w:after="0"/>
              <w:rPr>
                <w:sz w:val="20"/>
                <w:szCs w:val="20"/>
                <w:color w:val="auto"/>
              </w:rPr>
            </w:pPr>
            <w:r>
              <w:rPr>
                <w:rFonts w:ascii="Arial" w:cs="Arial" w:eastAsia="Arial" w:hAnsi="Arial"/>
                <w:sz w:val="16"/>
                <w:szCs w:val="16"/>
                <w:color w:val="auto"/>
              </w:rPr>
              <w:t>(21,829)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542,319</w:t>
            </w:r>
          </w:p>
        </w:tc>
        <w:tc>
          <w:tcPr>
            <w:tcW w:w="1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504,437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504,437</w:t>
            </w: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600" w:type="dxa"/>
            <w:vAlign w:val="bottom"/>
          </w:tcPr>
          <w:p>
            <w:pPr>
              <w:spacing w:after="0"/>
              <w:rPr>
                <w:sz w:val="20"/>
                <w:szCs w:val="20"/>
                <w:color w:val="auto"/>
              </w:rPr>
            </w:pPr>
            <w:r>
              <w:rPr>
                <w:rFonts w:ascii="Arial" w:cs="Arial" w:eastAsia="Arial" w:hAnsi="Arial"/>
                <w:sz w:val="16"/>
                <w:szCs w:val="16"/>
                <w:color w:val="auto"/>
              </w:rPr>
              <w:t>Gain on sale of investments</w:t>
            </w:r>
          </w:p>
        </w:tc>
        <w:tc>
          <w:tcPr>
            <w:tcW w:w="1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32,043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(32,043)</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600" w:type="dxa"/>
            <w:vAlign w:val="bottom"/>
          </w:tcPr>
          <w:p>
            <w:pPr>
              <w:spacing w:after="0"/>
              <w:rPr>
                <w:sz w:val="20"/>
                <w:szCs w:val="20"/>
                <w:color w:val="auto"/>
              </w:rPr>
            </w:pPr>
            <w:r>
              <w:rPr>
                <w:rFonts w:ascii="Arial" w:cs="Arial" w:eastAsia="Arial" w:hAnsi="Arial"/>
                <w:sz w:val="16"/>
                <w:szCs w:val="16"/>
                <w:color w:val="auto"/>
              </w:rPr>
              <w:t>Earnings before interest</w:t>
            </w:r>
          </w:p>
        </w:tc>
        <w:tc>
          <w:tcPr>
            <w:tcW w:w="160" w:type="dxa"/>
            <w:vAlign w:val="bottom"/>
            <w:tcBorders>
              <w:left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Arial" w:cs="Arial" w:eastAsia="Arial" w:hAnsi="Arial"/>
                <w:sz w:val="16"/>
                <w:szCs w:val="16"/>
                <w:color w:val="auto"/>
              </w:rPr>
              <w:t>and taxes</w:t>
            </w:r>
          </w:p>
        </w:tc>
        <w:tc>
          <w:tcPr>
            <w:tcW w:w="1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218,147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w w:val="97"/>
              </w:rPr>
              <w:t>(10,214)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207,933</w:t>
            </w:r>
          </w:p>
        </w:tc>
        <w:tc>
          <w:tcPr>
            <w:tcW w:w="1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164,359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164,359</w:t>
            </w: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600" w:type="dxa"/>
            <w:vAlign w:val="bottom"/>
          </w:tcPr>
          <w:p>
            <w:pPr>
              <w:spacing w:after="0"/>
              <w:rPr>
                <w:sz w:val="20"/>
                <w:szCs w:val="20"/>
                <w:color w:val="auto"/>
              </w:rPr>
            </w:pPr>
            <w:r>
              <w:rPr>
                <w:rFonts w:ascii="Arial" w:cs="Arial" w:eastAsia="Arial" w:hAnsi="Arial"/>
                <w:sz w:val="16"/>
                <w:szCs w:val="16"/>
                <w:color w:val="auto"/>
              </w:rPr>
              <w:t>Interest expense, net</w:t>
            </w:r>
          </w:p>
        </w:tc>
        <w:tc>
          <w:tcPr>
            <w:tcW w:w="1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13,901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13,901</w:t>
            </w:r>
          </w:p>
        </w:tc>
        <w:tc>
          <w:tcPr>
            <w:tcW w:w="1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22,555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22,555</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600" w:type="dxa"/>
            <w:vAlign w:val="bottom"/>
          </w:tcPr>
          <w:p>
            <w:pPr>
              <w:spacing w:after="0"/>
              <w:rPr>
                <w:sz w:val="20"/>
                <w:szCs w:val="20"/>
                <w:color w:val="auto"/>
              </w:rPr>
            </w:pPr>
            <w:r>
              <w:rPr>
                <w:rFonts w:ascii="Arial" w:cs="Arial" w:eastAsia="Arial" w:hAnsi="Arial"/>
                <w:sz w:val="16"/>
                <w:szCs w:val="16"/>
                <w:color w:val="auto"/>
              </w:rPr>
              <w:t>Pre-tax income</w:t>
            </w:r>
          </w:p>
        </w:tc>
        <w:tc>
          <w:tcPr>
            <w:tcW w:w="160" w:type="dxa"/>
            <w:vAlign w:val="bottom"/>
            <w:tcBorders>
              <w:left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204,246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97"/>
              </w:rPr>
              <w:t>(10,214)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194,032</w:t>
            </w:r>
          </w:p>
        </w:tc>
        <w:tc>
          <w:tcPr>
            <w:tcW w:w="1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141,804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141,804</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600" w:type="dxa"/>
            <w:vAlign w:val="bottom"/>
          </w:tcPr>
          <w:p>
            <w:pPr>
              <w:spacing w:after="0"/>
              <w:rPr>
                <w:sz w:val="20"/>
                <w:szCs w:val="20"/>
                <w:color w:val="auto"/>
              </w:rPr>
            </w:pPr>
            <w:r>
              <w:rPr>
                <w:rFonts w:ascii="Arial" w:cs="Arial" w:eastAsia="Arial" w:hAnsi="Arial"/>
                <w:sz w:val="16"/>
                <w:szCs w:val="16"/>
                <w:color w:val="auto"/>
              </w:rPr>
              <w:t>Income tax expense</w:t>
            </w:r>
          </w:p>
        </w:tc>
        <w:tc>
          <w:tcPr>
            <w:tcW w:w="1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75,775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(3,789)</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71,986</w:t>
            </w:r>
          </w:p>
        </w:tc>
        <w:tc>
          <w:tcPr>
            <w:tcW w:w="1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53,035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53,035</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600" w:type="dxa"/>
            <w:vAlign w:val="bottom"/>
          </w:tcPr>
          <w:p>
            <w:pPr>
              <w:spacing w:after="0"/>
              <w:rPr>
                <w:sz w:val="20"/>
                <w:szCs w:val="20"/>
                <w:color w:val="auto"/>
              </w:rPr>
            </w:pPr>
            <w:r>
              <w:rPr>
                <w:rFonts w:ascii="Arial" w:cs="Arial" w:eastAsia="Arial" w:hAnsi="Arial"/>
                <w:sz w:val="16"/>
                <w:szCs w:val="16"/>
                <w:color w:val="auto"/>
              </w:rPr>
              <w:t>Net income</w:t>
            </w:r>
          </w:p>
        </w:tc>
        <w:tc>
          <w:tcPr>
            <w:tcW w:w="1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128,471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(6,425)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122,046</w:t>
            </w:r>
          </w:p>
        </w:tc>
        <w:tc>
          <w:tcPr>
            <w:tcW w:w="1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88,769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tcPr>
          <w:p>
            <w:pPr>
              <w:jc w:val="center"/>
              <w:ind w:left="99"/>
              <w:spacing w:after="0"/>
              <w:rPr>
                <w:sz w:val="20"/>
                <w:szCs w:val="20"/>
                <w:color w:val="auto"/>
              </w:rPr>
            </w:pPr>
            <w:r>
              <w:rPr>
                <w:rFonts w:ascii="Arial" w:cs="Arial" w:eastAsia="Arial" w:hAnsi="Arial"/>
                <w:sz w:val="16"/>
                <w:szCs w:val="16"/>
                <w:color w:val="auto"/>
              </w:rPr>
              <w:t>88,769</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00" w:type="dxa"/>
            <w:vAlign w:val="bottom"/>
          </w:tcPr>
          <w:p>
            <w:pPr>
              <w:spacing w:after="0"/>
              <w:rPr>
                <w:sz w:val="20"/>
                <w:szCs w:val="20"/>
                <w:color w:val="auto"/>
              </w:rPr>
            </w:pPr>
            <w:r>
              <w:rPr>
                <w:rFonts w:ascii="Arial" w:cs="Arial" w:eastAsia="Arial" w:hAnsi="Arial"/>
                <w:sz w:val="16"/>
                <w:szCs w:val="16"/>
                <w:color w:val="auto"/>
              </w:rPr>
              <w:t>Preferred stock dividends on</w:t>
            </w:r>
          </w:p>
        </w:tc>
        <w:tc>
          <w:tcPr>
            <w:tcW w:w="1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Arial" w:cs="Arial" w:eastAsia="Arial" w:hAnsi="Arial"/>
                <w:sz w:val="16"/>
                <w:szCs w:val="16"/>
                <w:color w:val="auto"/>
              </w:rPr>
              <w:t>convertible stock</w:t>
            </w:r>
          </w:p>
        </w:tc>
        <w:tc>
          <w:tcPr>
            <w:tcW w:w="1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9,688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9,688</w:t>
            </w:r>
          </w:p>
        </w:tc>
        <w:tc>
          <w:tcPr>
            <w:tcW w:w="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600" w:type="dxa"/>
            <w:vAlign w:val="bottom"/>
          </w:tcPr>
          <w:p>
            <w:pPr>
              <w:spacing w:after="0"/>
              <w:rPr>
                <w:sz w:val="20"/>
                <w:szCs w:val="20"/>
                <w:color w:val="auto"/>
              </w:rPr>
            </w:pPr>
            <w:r>
              <w:rPr>
                <w:rFonts w:ascii="Arial" w:cs="Arial" w:eastAsia="Arial" w:hAnsi="Arial"/>
                <w:sz w:val="16"/>
                <w:szCs w:val="16"/>
                <w:color w:val="auto"/>
              </w:rPr>
              <w:t>Preferred stock dividends on</w:t>
            </w:r>
          </w:p>
        </w:tc>
        <w:tc>
          <w:tcPr>
            <w:tcW w:w="1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Arial" w:cs="Arial" w:eastAsia="Arial" w:hAnsi="Arial"/>
                <w:sz w:val="16"/>
                <w:szCs w:val="16"/>
                <w:color w:val="auto"/>
              </w:rPr>
              <w:t>converted stock</w:t>
            </w:r>
          </w:p>
        </w:tc>
        <w:tc>
          <w:tcPr>
            <w:tcW w:w="1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3,230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3,230</w:t>
            </w:r>
          </w:p>
        </w:tc>
        <w:tc>
          <w:tcPr>
            <w:tcW w:w="1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2,051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2,051</w:t>
            </w:r>
          </w:p>
        </w:tc>
        <w:tc>
          <w:tcPr>
            <w:tcW w:w="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600" w:type="dxa"/>
            <w:vAlign w:val="bottom"/>
          </w:tcPr>
          <w:p>
            <w:pPr>
              <w:spacing w:after="0"/>
              <w:rPr>
                <w:sz w:val="20"/>
                <w:szCs w:val="20"/>
                <w:color w:val="auto"/>
              </w:rPr>
            </w:pPr>
            <w:r>
              <w:rPr>
                <w:rFonts w:ascii="Arial" w:cs="Arial" w:eastAsia="Arial" w:hAnsi="Arial"/>
                <w:sz w:val="16"/>
                <w:szCs w:val="16"/>
                <w:color w:val="auto"/>
              </w:rPr>
              <w:t>Inducement payment and</w:t>
            </w:r>
          </w:p>
        </w:tc>
        <w:tc>
          <w:tcPr>
            <w:tcW w:w="1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00" w:type="dxa"/>
            <w:vAlign w:val="bottom"/>
          </w:tcPr>
          <w:p>
            <w:pPr>
              <w:ind w:left="100"/>
              <w:spacing w:after="0" w:line="181" w:lineRule="exact"/>
              <w:rPr>
                <w:sz w:val="20"/>
                <w:szCs w:val="20"/>
                <w:color w:val="auto"/>
              </w:rPr>
            </w:pPr>
            <w:r>
              <w:rPr>
                <w:rFonts w:ascii="Arial" w:cs="Arial" w:eastAsia="Arial" w:hAnsi="Arial"/>
                <w:sz w:val="16"/>
                <w:szCs w:val="16"/>
                <w:color w:val="auto"/>
              </w:rPr>
              <w:t>offering costs</w:t>
            </w:r>
          </w:p>
        </w:tc>
        <w:tc>
          <w:tcPr>
            <w:tcW w:w="1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10,948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(10,948)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14,205</w:t>
            </w:r>
          </w:p>
        </w:tc>
        <w:tc>
          <w:tcPr>
            <w:tcW w:w="100" w:type="dxa"/>
            <w:vAlign w:val="bottom"/>
          </w:tcPr>
          <w:p>
            <w:pPr>
              <w:spacing w:after="0"/>
              <w:rPr>
                <w:sz w:val="15"/>
                <w:szCs w:val="15"/>
                <w:color w:val="auto"/>
              </w:rPr>
            </w:pPr>
          </w:p>
        </w:tc>
        <w:tc>
          <w:tcPr>
            <w:tcW w:w="40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(14,205)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74"/>
        </w:trPr>
        <w:tc>
          <w:tcPr>
            <w:tcW w:w="2600" w:type="dxa"/>
            <w:vAlign w:val="bottom"/>
          </w:tcPr>
          <w:p>
            <w:pPr>
              <w:spacing w:after="0"/>
              <w:rPr>
                <w:sz w:val="20"/>
                <w:szCs w:val="20"/>
                <w:color w:val="auto"/>
              </w:rPr>
            </w:pPr>
            <w:r>
              <w:rPr>
                <w:rFonts w:ascii="Arial" w:cs="Arial" w:eastAsia="Arial" w:hAnsi="Arial"/>
                <w:sz w:val="16"/>
                <w:szCs w:val="16"/>
                <w:color w:val="auto"/>
              </w:rPr>
              <w:t>Net income available to</w:t>
            </w:r>
          </w:p>
        </w:tc>
        <w:tc>
          <w:tcPr>
            <w:tcW w:w="160" w:type="dxa"/>
            <w:vAlign w:val="bottom"/>
            <w:tcBorders>
              <w:left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00" w:type="dxa"/>
            <w:vAlign w:val="bottom"/>
          </w:tcPr>
          <w:p>
            <w:pPr>
              <w:ind w:left="100"/>
              <w:spacing w:after="0" w:line="181" w:lineRule="exact"/>
              <w:rPr>
                <w:sz w:val="20"/>
                <w:szCs w:val="20"/>
                <w:color w:val="auto"/>
              </w:rPr>
            </w:pPr>
            <w:r>
              <w:rPr>
                <w:rFonts w:ascii="Arial" w:cs="Arial" w:eastAsia="Arial" w:hAnsi="Arial"/>
                <w:sz w:val="16"/>
                <w:szCs w:val="16"/>
                <w:color w:val="auto"/>
              </w:rPr>
              <w:t>common stockholders</w:t>
            </w:r>
          </w:p>
        </w:tc>
        <w:tc>
          <w:tcPr>
            <w:tcW w:w="320" w:type="dxa"/>
            <w:vAlign w:val="bottom"/>
            <w:tcBorders>
              <w:left w:val="single" w:sz="8" w:color="auto"/>
            </w:tcBorders>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114,293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3"/>
          </w:tcPr>
          <w:p>
            <w:pPr>
              <w:ind w:left="320"/>
              <w:spacing w:after="0" w:line="181" w:lineRule="exact"/>
              <w:rPr>
                <w:sz w:val="20"/>
                <w:szCs w:val="20"/>
                <w:color w:val="auto"/>
              </w:rPr>
            </w:pPr>
            <w:r>
              <w:rPr>
                <w:rFonts w:ascii="Arial" w:cs="Arial" w:eastAsia="Arial" w:hAnsi="Arial"/>
                <w:sz w:val="16"/>
                <w:szCs w:val="16"/>
                <w:color w:val="auto"/>
                <w:w w:val="89"/>
              </w:rPr>
              <w:t>$</w:t>
            </w:r>
          </w:p>
        </w:tc>
        <w:tc>
          <w:tcPr>
            <w:tcW w:w="860" w:type="dxa"/>
            <w:vAlign w:val="bottom"/>
            <w:gridSpan w:val="3"/>
          </w:tcPr>
          <w:p>
            <w:pPr>
              <w:jc w:val="right"/>
              <w:ind w:right="172"/>
              <w:spacing w:after="0" w:line="181" w:lineRule="exact"/>
              <w:rPr>
                <w:sz w:val="20"/>
                <w:szCs w:val="20"/>
                <w:color w:val="auto"/>
              </w:rPr>
            </w:pPr>
            <w:r>
              <w:rPr>
                <w:rFonts w:ascii="Arial" w:cs="Arial" w:eastAsia="Arial" w:hAnsi="Arial"/>
                <w:sz w:val="16"/>
                <w:szCs w:val="16"/>
                <w:color w:val="auto"/>
              </w:rPr>
              <w:t>4,523</w:t>
            </w:r>
          </w:p>
        </w:tc>
        <w:tc>
          <w:tcPr>
            <w:tcW w:w="20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118,816</w:t>
            </w:r>
          </w:p>
        </w:tc>
        <w:tc>
          <w:tcPr>
            <w:tcW w:w="1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300" w:type="dxa"/>
            <w:vAlign w:val="bottom"/>
            <w:gridSpan w:val="2"/>
          </w:tcPr>
          <w:p>
            <w:pPr>
              <w:jc w:val="right"/>
              <w:ind w:right="2"/>
              <w:spacing w:after="0" w:line="181" w:lineRule="exact"/>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62,825</w:t>
            </w:r>
          </w:p>
        </w:tc>
        <w:tc>
          <w:tcPr>
            <w:tcW w:w="100" w:type="dxa"/>
            <w:vAlign w:val="bottom"/>
          </w:tcPr>
          <w:p>
            <w:pPr>
              <w:spacing w:after="0"/>
              <w:rPr>
                <w:sz w:val="15"/>
                <w:szCs w:val="15"/>
                <w:color w:val="auto"/>
              </w:rPr>
            </w:pPr>
          </w:p>
        </w:tc>
        <w:tc>
          <w:tcPr>
            <w:tcW w:w="40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120"/>
              <w:spacing w:after="0" w:line="181" w:lineRule="exact"/>
              <w:rPr>
                <w:sz w:val="20"/>
                <w:szCs w:val="20"/>
                <w:color w:val="auto"/>
              </w:rPr>
            </w:pPr>
            <w:r>
              <w:rPr>
                <w:rFonts w:ascii="Arial" w:cs="Arial" w:eastAsia="Arial" w:hAnsi="Arial"/>
                <w:sz w:val="16"/>
                <w:szCs w:val="16"/>
                <w:color w:val="auto"/>
              </w:rPr>
              <w:t>14,205</w:t>
            </w:r>
          </w:p>
        </w:tc>
        <w:tc>
          <w:tcPr>
            <w:tcW w:w="440" w:type="dxa"/>
            <w:vAlign w:val="bottom"/>
          </w:tcPr>
          <w:p>
            <w:pPr>
              <w:spacing w:after="0"/>
              <w:rPr>
                <w:sz w:val="15"/>
                <w:szCs w:val="15"/>
                <w:color w:val="auto"/>
              </w:rPr>
            </w:pPr>
          </w:p>
        </w:tc>
        <w:tc>
          <w:tcPr>
            <w:tcW w:w="14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77,030</w:t>
            </w: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74"/>
        </w:trPr>
        <w:tc>
          <w:tcPr>
            <w:tcW w:w="2600" w:type="dxa"/>
            <w:vAlign w:val="bottom"/>
          </w:tcPr>
          <w:p>
            <w:pPr>
              <w:spacing w:after="0"/>
              <w:rPr>
                <w:sz w:val="20"/>
                <w:szCs w:val="20"/>
                <w:color w:val="auto"/>
              </w:rPr>
            </w:pPr>
            <w:r>
              <w:rPr>
                <w:rFonts w:ascii="Arial" w:cs="Arial" w:eastAsia="Arial" w:hAnsi="Arial"/>
                <w:sz w:val="16"/>
                <w:szCs w:val="16"/>
                <w:color w:val="auto"/>
              </w:rPr>
              <w:t>Diluted net income per</w:t>
            </w:r>
          </w:p>
        </w:tc>
        <w:tc>
          <w:tcPr>
            <w:tcW w:w="160" w:type="dxa"/>
            <w:vAlign w:val="bottom"/>
            <w:tcBorders>
              <w:left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600" w:type="dxa"/>
            <w:vAlign w:val="bottom"/>
            <w:vMerge w:val="restart"/>
          </w:tcPr>
          <w:p>
            <w:pPr>
              <w:ind w:left="100"/>
              <w:spacing w:after="0"/>
              <w:rPr>
                <w:sz w:val="20"/>
                <w:szCs w:val="20"/>
                <w:color w:val="auto"/>
              </w:rPr>
            </w:pPr>
            <w:r>
              <w:rPr>
                <w:rFonts w:ascii="Arial" w:cs="Arial" w:eastAsia="Arial" w:hAnsi="Arial"/>
                <w:sz w:val="16"/>
                <w:szCs w:val="16"/>
                <w:color w:val="auto"/>
              </w:rPr>
              <w:t>common share</w:t>
            </w:r>
            <w:r>
              <w:rPr>
                <w:rFonts w:ascii="Arial" w:cs="Arial" w:eastAsia="Arial" w:hAnsi="Arial"/>
                <w:sz w:val="27"/>
                <w:szCs w:val="27"/>
                <w:color w:val="auto"/>
                <w:vertAlign w:val="superscript"/>
              </w:rPr>
              <w:t>(3)</w:t>
            </w:r>
          </w:p>
        </w:tc>
        <w:tc>
          <w:tcPr>
            <w:tcW w:w="160" w:type="dxa"/>
            <w:vAlign w:val="bottom"/>
            <w:tcBorders>
              <w:left w:val="single" w:sz="8" w:color="auto"/>
            </w:tcBorders>
            <w:vMerge w:val="restart"/>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2.19</w:t>
            </w:r>
          </w:p>
        </w:tc>
        <w:tc>
          <w:tcPr>
            <w:tcW w:w="6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2.16</w:t>
            </w:r>
          </w:p>
        </w:tc>
        <w:tc>
          <w:tcPr>
            <w:tcW w:w="1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00" w:type="dxa"/>
            <w:vAlign w:val="bottom"/>
            <w:vMerge w:val="restart"/>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1.44</w:t>
            </w:r>
          </w:p>
        </w:tc>
        <w:tc>
          <w:tcPr>
            <w:tcW w:w="10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1.62</w:t>
            </w: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00" w:type="dxa"/>
            <w:vAlign w:val="bottom"/>
            <w:vMerge w:val="continue"/>
          </w:tcPr>
          <w:p>
            <w:pPr>
              <w:spacing w:after="0"/>
              <w:rPr>
                <w:sz w:val="14"/>
                <w:szCs w:val="14"/>
                <w:color w:val="auto"/>
              </w:rPr>
            </w:pPr>
          </w:p>
        </w:tc>
        <w:tc>
          <w:tcPr>
            <w:tcW w:w="160" w:type="dxa"/>
            <w:vAlign w:val="bottom"/>
            <w:tcBorders>
              <w:left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spacing w:after="0"/>
              <w:rPr>
                <w:sz w:val="14"/>
                <w:szCs w:val="14"/>
                <w:color w:val="auto"/>
              </w:rPr>
            </w:pPr>
          </w:p>
        </w:tc>
        <w:tc>
          <w:tcPr>
            <w:tcW w:w="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gridSpan w:val="2"/>
          </w:tcPr>
          <w:p>
            <w:pPr>
              <w:spacing w:after="0"/>
              <w:rPr>
                <w:sz w:val="14"/>
                <w:szCs w:val="14"/>
                <w:color w:val="auto"/>
              </w:rPr>
            </w:pPr>
          </w:p>
        </w:tc>
        <w:tc>
          <w:tcPr>
            <w:tcW w:w="720" w:type="dxa"/>
            <w:vAlign w:val="bottom"/>
            <w:gridSpan w:val="2"/>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600" w:type="dxa"/>
            <w:vAlign w:val="bottom"/>
            <w:vMerge w:val="restart"/>
          </w:tcPr>
          <w:p>
            <w:pPr>
              <w:spacing w:after="0"/>
              <w:rPr>
                <w:sz w:val="20"/>
                <w:szCs w:val="20"/>
                <w:color w:val="auto"/>
              </w:rPr>
            </w:pPr>
            <w:r>
              <w:rPr>
                <w:rFonts w:ascii="Arial" w:cs="Arial" w:eastAsia="Arial" w:hAnsi="Arial"/>
                <w:sz w:val="16"/>
                <w:szCs w:val="16"/>
                <w:color w:val="auto"/>
              </w:rPr>
              <w:t>Per share impact of</w:t>
            </w:r>
          </w:p>
        </w:tc>
        <w:tc>
          <w:tcPr>
            <w:tcW w:w="160" w:type="dxa"/>
            <w:vAlign w:val="bottom"/>
            <w:tcBorders>
              <w:left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600" w:type="dxa"/>
            <w:vAlign w:val="bottom"/>
          </w:tcPr>
          <w:p>
            <w:pPr>
              <w:ind w:left="100"/>
              <w:spacing w:after="0"/>
              <w:rPr>
                <w:sz w:val="20"/>
                <w:szCs w:val="20"/>
                <w:color w:val="auto"/>
              </w:rPr>
            </w:pPr>
            <w:r>
              <w:rPr>
                <w:rFonts w:ascii="Arial" w:cs="Arial" w:eastAsia="Arial" w:hAnsi="Arial"/>
                <w:sz w:val="16"/>
                <w:szCs w:val="16"/>
                <w:color w:val="auto"/>
              </w:rPr>
              <w:t>expensing stock options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Borders>
              <w:right w:val="single" w:sz="8" w:color="auto"/>
            </w:tcBorders>
            <w:gridSpan w:val="4"/>
          </w:tcPr>
          <w:p>
            <w:pPr>
              <w:jc w:val="right"/>
              <w:ind w:right="158"/>
              <w:spacing w:after="0" w:line="249" w:lineRule="exact"/>
              <w:rPr>
                <w:sz w:val="20"/>
                <w:szCs w:val="20"/>
                <w:color w:val="auto"/>
              </w:rPr>
            </w:pPr>
            <w:r>
              <w:rPr>
                <w:rFonts w:ascii="Arial" w:cs="Arial" w:eastAsia="Arial" w:hAnsi="Arial"/>
                <w:sz w:val="16"/>
                <w:szCs w:val="16"/>
                <w:color w:val="auto"/>
              </w:rPr>
              <w:t>(0.10)</w:t>
            </w:r>
            <w:r>
              <w:rPr>
                <w:rFonts w:ascii="Arial" w:cs="Arial" w:eastAsia="Arial" w:hAnsi="Arial"/>
                <w:sz w:val="27"/>
                <w:szCs w:val="27"/>
                <w:color w:val="auto"/>
                <w:vertAlign w:val="superscript"/>
              </w:rPr>
              <w:t>(4)</w:t>
            </w:r>
          </w:p>
        </w:tc>
        <w:tc>
          <w:tcPr>
            <w:tcW w:w="0" w:type="dxa"/>
            <w:vAlign w:val="bottom"/>
          </w:tcPr>
          <w:p>
            <w:pPr>
              <w:spacing w:after="0"/>
              <w:rPr>
                <w:sz w:val="1"/>
                <w:szCs w:val="1"/>
                <w:color w:val="auto"/>
              </w:rPr>
            </w:pPr>
          </w:p>
        </w:tc>
      </w:tr>
      <w:tr>
        <w:trPr>
          <w:trHeight w:val="474"/>
        </w:trPr>
        <w:tc>
          <w:tcPr>
            <w:tcW w:w="2600" w:type="dxa"/>
            <w:vAlign w:val="bottom"/>
          </w:tcPr>
          <w:p>
            <w:pPr>
              <w:spacing w:after="0"/>
              <w:rPr>
                <w:sz w:val="20"/>
                <w:szCs w:val="20"/>
                <w:color w:val="auto"/>
              </w:rPr>
            </w:pPr>
            <w:r>
              <w:rPr>
                <w:rFonts w:ascii="Arial" w:cs="Arial" w:eastAsia="Arial" w:hAnsi="Arial"/>
                <w:sz w:val="16"/>
                <w:szCs w:val="16"/>
                <w:color w:val="auto"/>
              </w:rPr>
              <w:t>Diluted net income per</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00" w:type="dxa"/>
            <w:vAlign w:val="bottom"/>
          </w:tcPr>
          <w:p>
            <w:pPr>
              <w:ind w:left="100"/>
              <w:spacing w:after="0"/>
              <w:rPr>
                <w:sz w:val="20"/>
                <w:szCs w:val="20"/>
                <w:color w:val="auto"/>
              </w:rPr>
            </w:pPr>
            <w:r>
              <w:rPr>
                <w:rFonts w:ascii="Arial" w:cs="Arial" w:eastAsia="Arial" w:hAnsi="Arial"/>
                <w:sz w:val="16"/>
                <w:szCs w:val="16"/>
                <w:color w:val="auto"/>
              </w:rPr>
              <w:t>common share as adjusted</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gridSpan w:val="3"/>
          </w:tcPr>
          <w:p>
            <w:pPr>
              <w:jc w:val="right"/>
              <w:ind w:right="40"/>
              <w:spacing w:after="0"/>
              <w:rPr>
                <w:sz w:val="20"/>
                <w:szCs w:val="20"/>
                <w:color w:val="auto"/>
              </w:rPr>
            </w:pPr>
            <w:r>
              <w:rPr>
                <w:rFonts w:ascii="Arial" w:cs="Arial" w:eastAsia="Arial" w:hAnsi="Arial"/>
                <w:sz w:val="16"/>
                <w:szCs w:val="16"/>
                <w:color w:val="auto"/>
                <w:w w:val="89"/>
              </w:rPr>
              <w:t>$</w:t>
            </w:r>
          </w:p>
        </w:tc>
        <w:tc>
          <w:tcPr>
            <w:tcW w:w="1120" w:type="dxa"/>
            <w:vAlign w:val="bottom"/>
            <w:tcBorders>
              <w:right w:val="single" w:sz="8" w:color="auto"/>
            </w:tcBorders>
            <w:gridSpan w:val="4"/>
          </w:tcPr>
          <w:p>
            <w:pPr>
              <w:jc w:val="right"/>
              <w:ind w:right="218"/>
              <w:spacing w:after="0" w:line="249" w:lineRule="exact"/>
              <w:rPr>
                <w:sz w:val="20"/>
                <w:szCs w:val="20"/>
                <w:color w:val="auto"/>
              </w:rPr>
            </w:pPr>
            <w:r>
              <w:rPr>
                <w:rFonts w:ascii="Arial" w:cs="Arial" w:eastAsia="Arial" w:hAnsi="Arial"/>
                <w:sz w:val="16"/>
                <w:szCs w:val="16"/>
                <w:color w:val="auto"/>
              </w:rPr>
              <w:t>1.52</w:t>
            </w:r>
            <w:r>
              <w:rPr>
                <w:rFonts w:ascii="Arial" w:cs="Arial" w:eastAsia="Arial" w:hAnsi="Arial"/>
                <w:sz w:val="27"/>
                <w:szCs w:val="27"/>
                <w:color w:val="auto"/>
                <w:vertAlign w:val="superscript"/>
              </w:rPr>
              <w:t>(4)</w:t>
            </w: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-4921885</wp:posOffset>
            </wp:positionV>
            <wp:extent cx="285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1" w:lineRule="exact"/>
        <w:rPr>
          <w:sz w:val="20"/>
          <w:szCs w:val="20"/>
          <w:color w:val="auto"/>
        </w:rPr>
      </w:pPr>
    </w:p>
    <w:p>
      <w:pPr>
        <w:jc w:val="both"/>
        <w:ind w:left="260" w:right="20" w:hanging="252"/>
        <w:spacing w:after="0" w:line="246" w:lineRule="auto"/>
        <w:tabs>
          <w:tab w:leader="none" w:pos="260" w:val="left"/>
        </w:tabs>
        <w:numPr>
          <w:ilvl w:val="0"/>
          <w:numId w:val="5"/>
        </w:numPr>
        <w:rPr>
          <w:rFonts w:ascii="Arial" w:cs="Arial" w:eastAsia="Arial" w:hAnsi="Arial"/>
          <w:sz w:val="14"/>
          <w:szCs w:val="14"/>
          <w:color w:val="auto"/>
        </w:rPr>
      </w:pPr>
      <w:r>
        <w:rPr>
          <w:rFonts w:ascii="Arial" w:cs="Arial" w:eastAsia="Arial" w:hAnsi="Arial"/>
          <w:sz w:val="16"/>
          <w:szCs w:val="16"/>
          <w:color w:val="auto"/>
        </w:rPr>
        <w:t>Adjustments for the nine months ended October 29, 2006 consist of (a) a one time pre-tax gain of $32.0 million associated with the sale by the Company on January 31, 2006 of minority interests in certain entities that operate various licensed Calvin Klein jeans and sportswear businesses in Europe and Asia;</w:t>
      </w:r>
    </w:p>
    <w:p>
      <w:pPr>
        <w:jc w:val="both"/>
        <w:ind w:left="260"/>
        <w:spacing w:after="0" w:line="253" w:lineRule="auto"/>
        <w:rPr>
          <w:rFonts w:ascii="Arial" w:cs="Arial" w:eastAsia="Arial" w:hAnsi="Arial"/>
          <w:sz w:val="14"/>
          <w:szCs w:val="14"/>
          <w:color w:val="auto"/>
        </w:rPr>
      </w:pPr>
      <w:r>
        <w:rPr>
          <w:rFonts w:ascii="Arial" w:cs="Arial" w:eastAsia="Arial" w:hAnsi="Arial"/>
          <w:sz w:val="16"/>
          <w:szCs w:val="16"/>
          <w:color w:val="auto"/>
        </w:rPr>
        <w:t>(b) pre-tax costs of $10.5 million resulting from the departure in February 2006 of Mark Weber, the Company’s former Chief Executive Officer; (c) pre-tax costs of $11.3 million associated with closing the Company’s apparel manufacturing facility in Ozark, Alabama in May 2006; and (d) an inducement payment and offering costs of</w:t>
      </w:r>
    </w:p>
    <w:p>
      <w:pPr>
        <w:sectPr>
          <w:pgSz w:w="11900" w:h="16838" w:orient="portrait"/>
          <w:cols w:equalWidth="0" w:num="1">
            <w:col w:w="11420"/>
          </w:cols>
          <w:pgMar w:left="240" w:top="111" w:right="239" w:bottom="989"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11" w:right="239" w:bottom="989" w:gutter="0" w:footer="0" w:header="0"/>
          <w:type w:val="continuous"/>
        </w:sectPr>
      </w:pPr>
    </w:p>
    <w:bookmarkStart w:id="12" w:name="page13"/>
    <w:bookmarkEnd w:id="12"/>
    <w:p>
      <w:pPr>
        <w:jc w:val="both"/>
        <w:ind w:left="260"/>
        <w:spacing w:after="0" w:line="248" w:lineRule="auto"/>
        <w:rPr>
          <w:sz w:val="20"/>
          <w:szCs w:val="20"/>
          <w:color w:val="auto"/>
        </w:rPr>
      </w:pPr>
      <w:r>
        <w:rPr>
          <w:rFonts w:ascii="Arial" w:cs="Arial" w:eastAsia="Arial" w:hAnsi="Arial"/>
          <w:sz w:val="16"/>
          <w:szCs w:val="16"/>
          <w:color w:val="auto"/>
        </w:rPr>
        <w:t>$10.9 million. The inducement payment and offering costs related to the conversion of the Company’s remaining outstanding shares of Series B convertible preferred stock by the holders of such stock into 11.6 million shares of common stock and the subsequent sale of 10.1 million shares of such stock by the holders in May 2006. The inducement payment and offering costs include (a) an inducement payment of $0.88 per share of common stock received upon conversion, or an aggregate of $10.2 million and (b) certain costs, totaling $0.7 million, incurred by the Company in connection with the secondary common stock offering. The inducement payment was based on the net present value of the dividends that the Company would have been obligated to pay the holders of the Series B convertible preferred stock through the earliest date on which it was estimated that the Company wou ld have had the right to convert the Series B convertible preferred stock, net of the net present value of the dividends payable on the shares of common stock into which the Series B convertible preferred stock was convertible over the same period.</w:t>
      </w:r>
    </w:p>
    <w:p>
      <w:pPr>
        <w:spacing w:after="0" w:line="181" w:lineRule="exact"/>
        <w:rPr>
          <w:sz w:val="20"/>
          <w:szCs w:val="20"/>
          <w:color w:val="auto"/>
        </w:rPr>
      </w:pPr>
    </w:p>
    <w:p>
      <w:pPr>
        <w:jc w:val="both"/>
        <w:ind w:left="260" w:hanging="252"/>
        <w:spacing w:after="0" w:line="248" w:lineRule="auto"/>
        <w:tabs>
          <w:tab w:leader="none" w:pos="260" w:val="left"/>
        </w:tabs>
        <w:numPr>
          <w:ilvl w:val="0"/>
          <w:numId w:val="6"/>
        </w:numPr>
        <w:rPr>
          <w:rFonts w:ascii="Arial" w:cs="Arial" w:eastAsia="Arial" w:hAnsi="Arial"/>
          <w:sz w:val="14"/>
          <w:szCs w:val="14"/>
          <w:color w:val="auto"/>
        </w:rPr>
      </w:pPr>
      <w:r>
        <w:rPr>
          <w:rFonts w:ascii="Arial" w:cs="Arial" w:eastAsia="Arial" w:hAnsi="Arial"/>
          <w:sz w:val="16"/>
          <w:szCs w:val="16"/>
          <w:color w:val="auto"/>
        </w:rPr>
        <w:t>Adjustments for the nine months ended October 30, 2005 consist of the inducement payment and offering costs related to the conversion of a portion of the Company's Series B convertible preferred stock by certain holders of such stock into 7.3 million shares of common stock and the subsequent sale of the 7.3 million common shares by the holders in July 2005. The inducement payment and offering costs include (a) an inducement payment of $1.75 per share of common stock sold in the secondary common stock offering, or an aggregate of $12.9 million and (b) certain costs, totaling $1.3 million, incurred by the Company in connection with the secondary common stock offering. The inducement payment was based on the net present value of the dividends that the Company would have been obligated to pay the holders of the Series B convertible preferred stock through the earliest date on which it was estimated that the Company would have had the right to convert the Series B convertible preferred stock, net of the net present value of the dividends payable on the shares of common stock into which the Series B convertible preferred stock was convertible over the same period.</w:t>
      </w:r>
    </w:p>
    <w:p>
      <w:pPr>
        <w:spacing w:after="0" w:line="78" w:lineRule="exact"/>
        <w:rPr>
          <w:rFonts w:ascii="Arial" w:cs="Arial" w:eastAsia="Arial" w:hAnsi="Arial"/>
          <w:sz w:val="14"/>
          <w:szCs w:val="14"/>
          <w:color w:val="auto"/>
        </w:rPr>
      </w:pPr>
    </w:p>
    <w:p>
      <w:pPr>
        <w:ind w:left="260" w:hanging="252"/>
        <w:spacing w:after="0"/>
        <w:tabs>
          <w:tab w:leader="none" w:pos="260" w:val="left"/>
        </w:tabs>
        <w:numPr>
          <w:ilvl w:val="0"/>
          <w:numId w:val="6"/>
        </w:numPr>
        <w:rPr>
          <w:rFonts w:ascii="Arial" w:cs="Arial" w:eastAsia="Arial" w:hAnsi="Arial"/>
          <w:sz w:val="27"/>
          <w:szCs w:val="27"/>
          <w:color w:val="auto"/>
          <w:vertAlign w:val="superscript"/>
        </w:rPr>
      </w:pPr>
      <w:r>
        <w:rPr>
          <w:rFonts w:ascii="Arial" w:cs="Arial" w:eastAsia="Arial" w:hAnsi="Arial"/>
          <w:sz w:val="16"/>
          <w:szCs w:val="16"/>
          <w:color w:val="auto"/>
        </w:rPr>
        <w:t>Please see the Notes to Consolidated Income Statements for a reconciliation of diluted net income per common share.</w:t>
      </w:r>
    </w:p>
    <w:p>
      <w:pPr>
        <w:spacing w:after="0" w:line="183" w:lineRule="exact"/>
        <w:rPr>
          <w:rFonts w:ascii="Arial" w:cs="Arial" w:eastAsia="Arial" w:hAnsi="Arial"/>
          <w:sz w:val="27"/>
          <w:szCs w:val="27"/>
          <w:color w:val="auto"/>
          <w:vertAlign w:val="superscript"/>
        </w:rPr>
      </w:pPr>
    </w:p>
    <w:p>
      <w:pPr>
        <w:ind w:left="260" w:hanging="252"/>
        <w:spacing w:after="0" w:line="260" w:lineRule="auto"/>
        <w:tabs>
          <w:tab w:leader="none" w:pos="260" w:val="left"/>
        </w:tabs>
        <w:numPr>
          <w:ilvl w:val="0"/>
          <w:numId w:val="6"/>
        </w:numPr>
        <w:rPr>
          <w:rFonts w:ascii="Arial" w:cs="Arial" w:eastAsia="Arial" w:hAnsi="Arial"/>
          <w:sz w:val="14"/>
          <w:szCs w:val="14"/>
          <w:color w:val="auto"/>
        </w:rPr>
      </w:pPr>
      <w:r>
        <w:rPr>
          <w:rFonts w:ascii="Arial" w:cs="Arial" w:eastAsia="Arial" w:hAnsi="Arial"/>
          <w:sz w:val="16"/>
          <w:szCs w:val="16"/>
          <w:color w:val="auto"/>
        </w:rPr>
        <w:t>The adjustment to include the impact of expensing stock options for 2005 is for illustrative purposes only. The Company did not expense stock options in fiscal 2005. The Company implemented the provisions of SFAS 123R beginning in the first quarter of 2006.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3" w:name="page14"/>
    <w:bookmarkEnd w:id="13"/>
    <w:p>
      <w:pPr>
        <w:spacing w:after="0"/>
        <w:rPr>
          <w:sz w:val="20"/>
          <w:szCs w:val="20"/>
          <w:color w:val="auto"/>
        </w:rPr>
      </w:pPr>
      <w:r>
        <w:rPr>
          <w:rFonts w:ascii="Arial" w:cs="Arial" w:eastAsia="Arial" w:hAnsi="Arial"/>
          <w:sz w:val="29"/>
          <w:szCs w:val="29"/>
          <w:u w:val="single" w:color="auto"/>
          <w:color w:val="auto"/>
        </w:rPr>
        <w:t>Notes to Consolidated Income Statements:</w:t>
      </w:r>
    </w:p>
    <w:p>
      <w:pPr>
        <w:spacing w:after="0" w:line="207" w:lineRule="exact"/>
        <w:rPr>
          <w:sz w:val="20"/>
          <w:szCs w:val="20"/>
          <w:color w:val="auto"/>
        </w:rPr>
      </w:pPr>
    </w:p>
    <w:p>
      <w:pPr>
        <w:jc w:val="both"/>
        <w:ind w:firstLine="8"/>
        <w:spacing w:after="0"/>
        <w:tabs>
          <w:tab w:leader="none" w:pos="324"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believes presenting non-GAAP results for the nine months ended October 29, 2006 and October 30, 2005 provides useful information to investors because many investors make decisions based on the ongoing operations of an enterprise. The Company believes that investors often look at ongoing operations as a measure of assessing performance and as a basis for comparing past results against future results. Thus, the Company believes that the following items do not represent normal operating items and, as such, has provided reconciliations to present its ongoing results of operations excluding these items: (a) the gain associated with the sale by the Company on January 31, 2006 of minority interests in certain entities that operate various licensed Calvin Klein jeans and sportswear businesses in Europe and Asia; (b) costs resulting from the departure in February 2006 of Mark Weber, the Company ’s former Chief Executive Officer; (c) costs associated with the May 2006 closing of the Company’s apparel manufacturing facility in Ozark, Alabama; and (d) the May 2006 and July 2005 inducement payments and offering costs discussed in footnotes (3) and (4) to Note 2b below. The results excluding these items are the basis for certain incentive compensation calculations. The Company believes that presenting its results including the impact of expensing stock options for 2005 provides useful information to investors because this allows investors to compare the Company’s results for 2005 as if stock options were expensed, to its results for 2006 which include the impact of expensing stock options. The Company also uses its results excluding items (a) through (d) listed above and including the impact of expensing stock options to discuss its business with investment institutions, the Company’s Board of Directors and others.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2a. The Company computed its quarterly diluted net income per common share as follows:</w:t>
      </w:r>
    </w:p>
    <w:p>
      <w:pPr>
        <w:spacing w:after="0"/>
        <w:rPr>
          <w:sz w:val="20"/>
          <w:szCs w:val="20"/>
          <w:color w:val="auto"/>
        </w:rPr>
      </w:pPr>
      <w:r>
        <w:rPr>
          <w:rFonts w:ascii="Arial" w:cs="Arial" w:eastAsia="Arial" w:hAnsi="Arial"/>
          <w:sz w:val="20"/>
          <w:szCs w:val="20"/>
          <w:color w:val="auto"/>
        </w:rPr>
        <w:t>(In thousands, except per share data)</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360" w:type="dxa"/>
            <w:vAlign w:val="bottom"/>
          </w:tcPr>
          <w:p>
            <w:pPr>
              <w:spacing w:after="0"/>
              <w:rPr>
                <w:sz w:val="22"/>
                <w:szCs w:val="22"/>
                <w:color w:val="auto"/>
              </w:rPr>
            </w:pPr>
          </w:p>
        </w:tc>
        <w:tc>
          <w:tcPr>
            <w:tcW w:w="2120" w:type="dxa"/>
            <w:vAlign w:val="bottom"/>
            <w:gridSpan w:val="6"/>
          </w:tcPr>
          <w:p>
            <w:pPr>
              <w:ind w:left="280"/>
              <w:spacing w:after="0"/>
              <w:rPr>
                <w:sz w:val="20"/>
                <w:szCs w:val="20"/>
                <w:color w:val="auto"/>
              </w:rPr>
            </w:pPr>
            <w:r>
              <w:rPr>
                <w:rFonts w:ascii="Arial" w:cs="Arial" w:eastAsia="Arial" w:hAnsi="Arial"/>
                <w:sz w:val="20"/>
                <w:szCs w:val="20"/>
                <w:b w:val="1"/>
                <w:bCs w:val="1"/>
                <w:color w:val="auto"/>
              </w:rPr>
              <w:t>Quarter Ended</w:t>
            </w:r>
          </w:p>
        </w:tc>
        <w:tc>
          <w:tcPr>
            <w:tcW w:w="1860" w:type="dxa"/>
            <w:vAlign w:val="bottom"/>
            <w:gridSpan w:val="6"/>
          </w:tcPr>
          <w:p>
            <w:pPr>
              <w:jc w:val="right"/>
              <w:spacing w:after="0"/>
              <w:rPr>
                <w:sz w:val="20"/>
                <w:szCs w:val="20"/>
                <w:color w:val="auto"/>
              </w:rPr>
            </w:pPr>
            <w:r>
              <w:rPr>
                <w:rFonts w:ascii="Arial" w:cs="Arial" w:eastAsia="Arial" w:hAnsi="Arial"/>
                <w:sz w:val="20"/>
                <w:szCs w:val="20"/>
                <w:b w:val="1"/>
                <w:bCs w:val="1"/>
                <w:color w:val="auto"/>
              </w:rPr>
              <w:t>Quarter Ended</w:t>
            </w:r>
          </w:p>
        </w:tc>
        <w:tc>
          <w:tcPr>
            <w:tcW w:w="0" w:type="dxa"/>
            <w:vAlign w:val="bottom"/>
          </w:tcPr>
          <w:p>
            <w:pPr>
              <w:spacing w:after="0"/>
              <w:rPr>
                <w:sz w:val="1"/>
                <w:szCs w:val="1"/>
                <w:color w:val="auto"/>
              </w:rPr>
            </w:pPr>
          </w:p>
        </w:tc>
      </w:tr>
      <w:tr>
        <w:trPr>
          <w:trHeight w:val="217"/>
        </w:trPr>
        <w:tc>
          <w:tcPr>
            <w:tcW w:w="5360" w:type="dxa"/>
            <w:vAlign w:val="bottom"/>
          </w:tcPr>
          <w:p>
            <w:pPr>
              <w:spacing w:after="0"/>
              <w:rPr>
                <w:sz w:val="18"/>
                <w:szCs w:val="18"/>
                <w:color w:val="auto"/>
              </w:rPr>
            </w:pPr>
          </w:p>
        </w:tc>
        <w:tc>
          <w:tcPr>
            <w:tcW w:w="2120" w:type="dxa"/>
            <w:vAlign w:val="bottom"/>
            <w:gridSpan w:val="6"/>
          </w:tcPr>
          <w:p>
            <w:pPr>
              <w:ind w:left="580"/>
              <w:spacing w:after="0" w:line="217" w:lineRule="exact"/>
              <w:rPr>
                <w:sz w:val="20"/>
                <w:szCs w:val="20"/>
                <w:color w:val="auto"/>
              </w:rPr>
            </w:pPr>
            <w:r>
              <w:rPr>
                <w:rFonts w:ascii="Arial" w:cs="Arial" w:eastAsia="Arial" w:hAnsi="Arial"/>
                <w:sz w:val="20"/>
                <w:szCs w:val="20"/>
                <w:b w:val="1"/>
                <w:bCs w:val="1"/>
                <w:color w:val="auto"/>
              </w:rPr>
              <w:t>10/29/06</w:t>
            </w:r>
          </w:p>
        </w:tc>
        <w:tc>
          <w:tcPr>
            <w:tcW w:w="1560" w:type="dxa"/>
            <w:vAlign w:val="bottom"/>
            <w:gridSpan w:val="5"/>
          </w:tcPr>
          <w:p>
            <w:pPr>
              <w:jc w:val="right"/>
              <w:spacing w:after="0" w:line="217" w:lineRule="exact"/>
              <w:rPr>
                <w:sz w:val="20"/>
                <w:szCs w:val="20"/>
                <w:color w:val="auto"/>
              </w:rPr>
            </w:pPr>
            <w:r>
              <w:rPr>
                <w:rFonts w:ascii="Arial" w:cs="Arial" w:eastAsia="Arial" w:hAnsi="Arial"/>
                <w:sz w:val="20"/>
                <w:szCs w:val="20"/>
                <w:b w:val="1"/>
                <w:bCs w:val="1"/>
                <w:color w:val="auto"/>
              </w:rPr>
              <w:t>10/30/05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360" w:type="dxa"/>
            <w:vAlign w:val="bottom"/>
          </w:tcPr>
          <w:p>
            <w:pPr>
              <w:spacing w:after="0"/>
              <w:rPr>
                <w:sz w:val="20"/>
                <w:szCs w:val="20"/>
                <w:color w:val="auto"/>
              </w:rPr>
            </w:pPr>
            <w:r>
              <w:rPr>
                <w:rFonts w:ascii="Arial" w:cs="Arial" w:eastAsia="Arial" w:hAnsi="Arial"/>
                <w:sz w:val="20"/>
                <w:szCs w:val="20"/>
                <w:color w:val="auto"/>
              </w:rPr>
              <w:t>Net income</w:t>
            </w: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20"/>
                <w:szCs w:val="20"/>
                <w:u w:val="single" w:color="auto"/>
                <w:color w:val="auto"/>
                <w:w w:val="89"/>
              </w:rPr>
              <w:t>$</w:t>
            </w: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0"/>
                <w:szCs w:val="20"/>
                <w:color w:val="auto"/>
                <w:w w:val="94"/>
              </w:rPr>
              <w:t>50,773</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u w:val="single" w:color="auto"/>
                <w:color w:val="auto"/>
                <w:w w:val="96"/>
              </w:rPr>
              <w:t>$</w:t>
            </w:r>
            <w:r>
              <w:rPr>
                <w:rFonts w:ascii="Arial" w:cs="Arial" w:eastAsia="Arial" w:hAnsi="Arial"/>
                <w:sz w:val="20"/>
                <w:szCs w:val="20"/>
                <w:color w:val="auto"/>
                <w:w w:val="96"/>
              </w:rPr>
              <w:t>40,289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5360" w:type="dxa"/>
            <w:vAlign w:val="bottom"/>
          </w:tcPr>
          <w:p>
            <w:pPr>
              <w:spacing w:after="0"/>
              <w:rPr>
                <w:sz w:val="20"/>
                <w:szCs w:val="20"/>
                <w:color w:val="auto"/>
              </w:rPr>
            </w:pPr>
            <w:r>
              <w:rPr>
                <w:rFonts w:ascii="Arial" w:cs="Arial" w:eastAsia="Arial" w:hAnsi="Arial"/>
                <w:sz w:val="20"/>
                <w:szCs w:val="20"/>
                <w:color w:val="auto"/>
              </w:rPr>
              <w:t>Weighted average common shares outstanding</w:t>
            </w:r>
          </w:p>
        </w:tc>
        <w:tc>
          <w:tcPr>
            <w:tcW w:w="1300" w:type="dxa"/>
            <w:vAlign w:val="bottom"/>
            <w:gridSpan w:val="4"/>
          </w:tcPr>
          <w:p>
            <w:pPr>
              <w:jc w:val="right"/>
              <w:spacing w:after="0"/>
              <w:rPr>
                <w:sz w:val="20"/>
                <w:szCs w:val="20"/>
                <w:color w:val="auto"/>
              </w:rPr>
            </w:pPr>
            <w:r>
              <w:rPr>
                <w:rFonts w:ascii="Arial" w:cs="Arial" w:eastAsia="Arial" w:hAnsi="Arial"/>
                <w:sz w:val="20"/>
                <w:szCs w:val="20"/>
                <w:color w:val="auto"/>
              </w:rPr>
              <w:t>55,430</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gridSpan w:val="5"/>
          </w:tcPr>
          <w:p>
            <w:pPr>
              <w:jc w:val="right"/>
              <w:spacing w:after="0"/>
              <w:rPr>
                <w:sz w:val="20"/>
                <w:szCs w:val="20"/>
                <w:color w:val="auto"/>
              </w:rPr>
            </w:pPr>
            <w:r>
              <w:rPr>
                <w:rFonts w:ascii="Arial" w:cs="Arial" w:eastAsia="Arial" w:hAnsi="Arial"/>
                <w:sz w:val="20"/>
                <w:szCs w:val="20"/>
                <w:color w:val="auto"/>
              </w:rPr>
              <w:t>42,063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0"/>
                <w:szCs w:val="20"/>
                <w:color w:val="auto"/>
              </w:rPr>
            </w:pPr>
            <w:r>
              <w:rPr>
                <w:rFonts w:ascii="Arial" w:cs="Arial" w:eastAsia="Arial" w:hAnsi="Arial"/>
                <w:sz w:val="20"/>
                <w:szCs w:val="20"/>
                <w:color w:val="auto"/>
              </w:rPr>
              <w:t>Impact of dilutive stock options and warrants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20"/>
                <w:szCs w:val="20"/>
                <w:color w:val="auto"/>
              </w:rPr>
              <w:t>1,383</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1,777</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360" w:type="dxa"/>
            <w:vAlign w:val="bottom"/>
          </w:tcPr>
          <w:p>
            <w:pPr>
              <w:spacing w:after="0" w:line="199" w:lineRule="exact"/>
              <w:rPr>
                <w:sz w:val="20"/>
                <w:szCs w:val="20"/>
                <w:color w:val="auto"/>
              </w:rPr>
            </w:pPr>
            <w:r>
              <w:rPr>
                <w:rFonts w:ascii="Arial" w:cs="Arial" w:eastAsia="Arial" w:hAnsi="Arial"/>
                <w:sz w:val="20"/>
                <w:szCs w:val="20"/>
                <w:color w:val="auto"/>
              </w:rPr>
              <w:t>Impact of assumed convertible preferred stock conversion</w:t>
            </w:r>
          </w:p>
        </w:tc>
        <w:tc>
          <w:tcPr>
            <w:tcW w:w="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680" w:type="dxa"/>
            <w:vAlign w:val="bottom"/>
            <w:tcBorders>
              <w:bottom w:val="single" w:sz="8" w:color="auto"/>
            </w:tcBorders>
            <w:gridSpan w:val="3"/>
          </w:tcPr>
          <w:p>
            <w:pPr>
              <w:jc w:val="right"/>
              <w:spacing w:after="0" w:line="199" w:lineRule="exact"/>
              <w:rPr>
                <w:sz w:val="20"/>
                <w:szCs w:val="20"/>
                <w:color w:val="auto"/>
              </w:rPr>
            </w:pPr>
            <w:r>
              <w:rPr>
                <w:rFonts w:ascii="Arial" w:cs="Arial" w:eastAsia="Arial" w:hAnsi="Arial"/>
                <w:sz w:val="20"/>
                <w:szCs w:val="20"/>
                <w:color w:val="auto"/>
              </w:rPr>
              <w:t>11,566</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5360" w:type="dxa"/>
            <w:vAlign w:val="bottom"/>
          </w:tcPr>
          <w:p>
            <w:pPr>
              <w:spacing w:after="0"/>
              <w:rPr>
                <w:sz w:val="20"/>
                <w:szCs w:val="20"/>
                <w:color w:val="auto"/>
              </w:rPr>
            </w:pPr>
            <w:r>
              <w:rPr>
                <w:rFonts w:ascii="Arial" w:cs="Arial" w:eastAsia="Arial" w:hAnsi="Arial"/>
                <w:sz w:val="20"/>
                <w:szCs w:val="20"/>
                <w:color w:val="auto"/>
              </w:rPr>
              <w:t>Total shares</w:t>
            </w: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0"/>
                <w:szCs w:val="20"/>
                <w:color w:val="auto"/>
                <w:w w:val="94"/>
              </w:rPr>
              <w:t>56,813</w:t>
            </w:r>
          </w:p>
        </w:tc>
        <w:tc>
          <w:tcPr>
            <w:tcW w:w="78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55,406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360" w:type="dxa"/>
            <w:vAlign w:val="bottom"/>
          </w:tcPr>
          <w:p>
            <w:pPr>
              <w:spacing w:after="0"/>
              <w:rPr>
                <w:sz w:val="20"/>
                <w:szCs w:val="20"/>
                <w:color w:val="auto"/>
              </w:rPr>
            </w:pPr>
            <w:r>
              <w:rPr>
                <w:rFonts w:ascii="Arial" w:cs="Arial" w:eastAsia="Arial" w:hAnsi="Arial"/>
                <w:sz w:val="20"/>
                <w:szCs w:val="20"/>
                <w:color w:val="auto"/>
              </w:rPr>
              <w:t>Diluted net income per common share</w:t>
            </w:r>
          </w:p>
        </w:tc>
        <w:tc>
          <w:tcPr>
            <w:tcW w:w="700" w:type="dxa"/>
            <w:vAlign w:val="bottom"/>
            <w:gridSpan w:val="2"/>
          </w:tcPr>
          <w:p>
            <w:pPr>
              <w:ind w:left="560"/>
              <w:spacing w:after="0"/>
              <w:rPr>
                <w:sz w:val="20"/>
                <w:szCs w:val="20"/>
                <w:color w:val="auto"/>
              </w:rPr>
            </w:pPr>
            <w:r>
              <w:rPr>
                <w:rFonts w:ascii="Arial" w:cs="Arial" w:eastAsia="Arial" w:hAnsi="Arial"/>
                <w:sz w:val="20"/>
                <w:szCs w:val="20"/>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20"/>
                <w:szCs w:val="20"/>
                <w:color w:val="auto"/>
              </w:rPr>
              <w:t>0.89</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rPr>
              <w:t>0.73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20"/>
                <w:szCs w:val="20"/>
                <w:color w:val="auto"/>
              </w:rPr>
              <w:t>Per share impact of expensing stock options</w:t>
            </w:r>
          </w:p>
        </w:tc>
        <w:tc>
          <w:tcPr>
            <w:tcW w:w="5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3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(0.02)</w:t>
            </w:r>
            <w:r>
              <w:rPr>
                <w:rFonts w:ascii="Arial" w:cs="Arial" w:eastAsia="Arial" w:hAnsi="Arial"/>
                <w:sz w:val="33"/>
                <w:szCs w:val="33"/>
                <w:color w:val="auto"/>
                <w:vertAlign w:val="superscript"/>
              </w:rPr>
              <w:t>(1)</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20"/>
                <w:szCs w:val="20"/>
                <w:color w:val="auto"/>
              </w:rPr>
              <w:t>Diluted net income per common share as adjusted</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3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20"/>
                <w:szCs w:val="20"/>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20"/>
                <w:szCs w:val="20"/>
                <w:color w:val="auto"/>
              </w:rPr>
              <w:t>0.71</w:t>
            </w:r>
            <w:r>
              <w:rPr>
                <w:rFonts w:ascii="Arial" w:cs="Arial" w:eastAsia="Arial" w:hAnsi="Arial"/>
                <w:sz w:val="33"/>
                <w:szCs w:val="33"/>
                <w:color w:val="auto"/>
                <w:vertAlign w:val="superscript"/>
              </w:rPr>
              <w:t>(1)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jc w:val="both"/>
        <w:ind w:left="260" w:hanging="252"/>
        <w:spacing w:after="0" w:line="243" w:lineRule="auto"/>
        <w:tabs>
          <w:tab w:leader="none" w:pos="260" w:val="left"/>
        </w:tabs>
        <w:numPr>
          <w:ilvl w:val="0"/>
          <w:numId w:val="8"/>
        </w:numPr>
        <w:rPr>
          <w:rFonts w:ascii="Arial" w:cs="Arial" w:eastAsia="Arial" w:hAnsi="Arial"/>
          <w:sz w:val="17"/>
          <w:szCs w:val="17"/>
          <w:color w:val="auto"/>
        </w:rPr>
      </w:pPr>
      <w:r>
        <w:rPr>
          <w:rFonts w:ascii="Arial" w:cs="Arial" w:eastAsia="Arial" w:hAnsi="Arial"/>
          <w:sz w:val="20"/>
          <w:szCs w:val="20"/>
          <w:color w:val="auto"/>
        </w:rPr>
        <w:t>The adjustment to include the impact of expensing stock options for 2005 is for illustrative purposes only. The Company did not expense stock options in fiscal 2005. The Company implemented the provisions of SFAS 123R beginning in the first quarter of 2006.</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36" w:right="239" w:bottom="1440" w:gutter="0" w:footer="0" w:header="0"/>
        </w:sectPr>
      </w:pPr>
    </w:p>
    <w:bookmarkStart w:id="14" w:name="page15"/>
    <w:bookmarkEnd w:id="14"/>
    <w:p>
      <w:pPr>
        <w:spacing w:after="0"/>
        <w:rPr>
          <w:sz w:val="20"/>
          <w:szCs w:val="20"/>
          <w:color w:val="auto"/>
        </w:rPr>
      </w:pPr>
      <w:r>
        <w:rPr>
          <w:rFonts w:ascii="Arial" w:cs="Arial" w:eastAsia="Arial" w:hAnsi="Arial"/>
          <w:sz w:val="20"/>
          <w:szCs w:val="20"/>
          <w:color w:val="auto"/>
        </w:rPr>
        <w:t>2b. The Company computed its year to date diluted net income per common share as follows:</w:t>
      </w:r>
    </w:p>
    <w:p>
      <w:pPr>
        <w:spacing w:after="0"/>
        <w:rPr>
          <w:sz w:val="20"/>
          <w:szCs w:val="20"/>
          <w:color w:val="auto"/>
        </w:rPr>
      </w:pPr>
      <w:r>
        <w:rPr>
          <w:rFonts w:ascii="Arial" w:cs="Arial" w:eastAsia="Arial" w:hAnsi="Arial"/>
          <w:sz w:val="20"/>
          <w:szCs w:val="20"/>
          <w:color w:val="auto"/>
        </w:rPr>
        <w:t>(In thousands, except per share data)</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9"/>
          </w:tcPr>
          <w:p>
            <w:pPr>
              <w:ind w:left="120"/>
              <w:spacing w:after="0"/>
              <w:rPr>
                <w:sz w:val="20"/>
                <w:szCs w:val="20"/>
                <w:color w:val="auto"/>
              </w:rPr>
            </w:pPr>
            <w:r>
              <w:rPr>
                <w:rFonts w:ascii="Arial" w:cs="Arial" w:eastAsia="Arial" w:hAnsi="Arial"/>
                <w:sz w:val="16"/>
                <w:szCs w:val="16"/>
                <w:b w:val="1"/>
                <w:bCs w:val="1"/>
                <w:color w:val="auto"/>
              </w:rPr>
              <w:t>Nine Months Ended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9"/>
          </w:tcPr>
          <w:p>
            <w:pPr>
              <w:jc w:val="center"/>
              <w:ind w:right="60"/>
              <w:spacing w:after="0"/>
              <w:rPr>
                <w:sz w:val="20"/>
                <w:szCs w:val="20"/>
                <w:color w:val="auto"/>
              </w:rPr>
            </w:pPr>
            <w:r>
              <w:rPr>
                <w:rFonts w:ascii="Arial" w:cs="Arial" w:eastAsia="Arial" w:hAnsi="Arial"/>
                <w:sz w:val="16"/>
                <w:szCs w:val="16"/>
                <w:b w:val="1"/>
                <w:bCs w:val="1"/>
                <w:color w:val="auto"/>
              </w:rPr>
              <w:t>Nine Months Ended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6"/>
                <w:szCs w:val="16"/>
                <w:b w:val="1"/>
                <w:bCs w:val="1"/>
                <w:color w:val="auto"/>
              </w:rPr>
              <w:t>10/29/06</w:t>
            </w:r>
          </w:p>
        </w:tc>
        <w:tc>
          <w:tcPr>
            <w:tcW w:w="3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6"/>
                <w:szCs w:val="16"/>
                <w:b w:val="1"/>
                <w:bCs w:val="1"/>
                <w:color w:val="auto"/>
              </w:rPr>
              <w:t>10/30/05</w:t>
            </w: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rPr>
              <w:t>Results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gridSpan w:val="4"/>
          </w:tcPr>
          <w:p>
            <w:pPr>
              <w:jc w:val="center"/>
              <w:ind w:right="320"/>
              <w:spacing w:after="0"/>
              <w:rPr>
                <w:sz w:val="20"/>
                <w:szCs w:val="20"/>
                <w:color w:val="auto"/>
              </w:rPr>
            </w:pPr>
            <w:r>
              <w:rPr>
                <w:rFonts w:ascii="Arial" w:cs="Arial" w:eastAsia="Arial" w:hAnsi="Arial"/>
                <w:sz w:val="16"/>
                <w:szCs w:val="16"/>
                <w:b w:val="1"/>
                <w:bCs w:val="1"/>
                <w:color w:val="auto"/>
                <w:w w:val="98"/>
              </w:rPr>
              <w:t>Non-</w:t>
            </w:r>
          </w:p>
        </w:tc>
        <w:tc>
          <w:tcPr>
            <w:tcW w:w="1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6"/>
          </w:tcPr>
          <w:p>
            <w:pPr>
              <w:jc w:val="center"/>
              <w:spacing w:after="0"/>
              <w:rPr>
                <w:sz w:val="20"/>
                <w:szCs w:val="20"/>
                <w:color w:val="auto"/>
              </w:rPr>
            </w:pPr>
            <w:r>
              <w:rPr>
                <w:rFonts w:ascii="Arial" w:cs="Arial" w:eastAsia="Arial" w:hAnsi="Arial"/>
                <w:sz w:val="16"/>
                <w:szCs w:val="16"/>
                <w:b w:val="1"/>
                <w:bCs w:val="1"/>
                <w:color w:val="auto"/>
              </w:rPr>
              <w:t>Results</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right w:val="single" w:sz="8" w:color="auto"/>
            </w:tcBorders>
            <w:gridSpan w:val="6"/>
          </w:tcPr>
          <w:p>
            <w:pPr>
              <w:jc w:val="center"/>
              <w:ind w:right="180"/>
              <w:spacing w:after="0"/>
              <w:rPr>
                <w:sz w:val="20"/>
                <w:szCs w:val="20"/>
                <w:color w:val="auto"/>
              </w:rPr>
            </w:pPr>
            <w:r>
              <w:rPr>
                <w:rFonts w:ascii="Arial" w:cs="Arial" w:eastAsia="Arial" w:hAnsi="Arial"/>
                <w:sz w:val="16"/>
                <w:szCs w:val="16"/>
                <w:b w:val="1"/>
                <w:bCs w:val="1"/>
                <w:color w:val="auto"/>
                <w:w w:val="98"/>
              </w:rPr>
              <w:t>Non-</w:t>
            </w: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p>
        </w:tc>
        <w:tc>
          <w:tcPr>
            <w:tcW w:w="1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Under</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right w:val="single" w:sz="8" w:color="auto"/>
            </w:tcBorders>
            <w:gridSpan w:val="4"/>
          </w:tcPr>
          <w:p>
            <w:pPr>
              <w:jc w:val="center"/>
              <w:ind w:right="320"/>
              <w:spacing w:after="0"/>
              <w:rPr>
                <w:sz w:val="20"/>
                <w:szCs w:val="20"/>
                <w:color w:val="auto"/>
              </w:rPr>
            </w:pPr>
            <w:r>
              <w:rPr>
                <w:rFonts w:ascii="Arial" w:cs="Arial" w:eastAsia="Arial" w:hAnsi="Arial"/>
                <w:sz w:val="16"/>
                <w:szCs w:val="16"/>
                <w:b w:val="1"/>
                <w:bCs w:val="1"/>
                <w:color w:val="auto"/>
              </w:rPr>
              <w:t>GAAP</w:t>
            </w:r>
          </w:p>
        </w:tc>
        <w:tc>
          <w:tcPr>
            <w:tcW w:w="11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99"/>
              </w:rPr>
              <w:t>Under</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Borders>
              <w:right w:val="single" w:sz="8" w:color="auto"/>
            </w:tcBorders>
            <w:gridSpan w:val="6"/>
          </w:tcPr>
          <w:p>
            <w:pPr>
              <w:jc w:val="center"/>
              <w:ind w:right="180"/>
              <w:spacing w:after="0"/>
              <w:rPr>
                <w:sz w:val="20"/>
                <w:szCs w:val="20"/>
                <w:color w:val="auto"/>
              </w:rPr>
            </w:pPr>
            <w:r>
              <w:rPr>
                <w:rFonts w:ascii="Arial" w:cs="Arial" w:eastAsia="Arial" w:hAnsi="Arial"/>
                <w:sz w:val="16"/>
                <w:szCs w:val="16"/>
                <w:b w:val="1"/>
                <w:bCs w:val="1"/>
                <w:color w:val="auto"/>
              </w:rPr>
              <w:t>GAAP</w:t>
            </w: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6"/>
                <w:szCs w:val="16"/>
                <w:b w:val="1"/>
                <w:bCs w:val="1"/>
                <w:color w:val="auto"/>
              </w:rPr>
              <w:t>GAAP</w:t>
            </w:r>
          </w:p>
        </w:tc>
        <w:tc>
          <w:tcPr>
            <w:tcW w:w="20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6"/>
                <w:szCs w:val="16"/>
                <w:b w:val="1"/>
                <w:bCs w:val="1"/>
                <w:color w:val="auto"/>
                <w:w w:val="99"/>
              </w:rPr>
              <w:t>Adjustments</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Arial" w:cs="Arial" w:eastAsia="Arial" w:hAnsi="Arial"/>
                <w:sz w:val="16"/>
                <w:szCs w:val="16"/>
                <w:b w:val="1"/>
                <w:bCs w:val="1"/>
                <w:color w:val="auto"/>
              </w:rPr>
              <w:t>Results</w:t>
            </w:r>
          </w:p>
        </w:tc>
        <w:tc>
          <w:tcPr>
            <w:tcW w:w="30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99"/>
              </w:rPr>
              <w:t>GAAP</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7"/>
          </w:tcPr>
          <w:p>
            <w:pPr>
              <w:ind w:left="140"/>
              <w:spacing w:after="0"/>
              <w:rPr>
                <w:sz w:val="20"/>
                <w:szCs w:val="20"/>
                <w:color w:val="auto"/>
              </w:rPr>
            </w:pPr>
            <w:r>
              <w:rPr>
                <w:rFonts w:ascii="Arial" w:cs="Arial" w:eastAsia="Arial" w:hAnsi="Arial"/>
                <w:sz w:val="16"/>
                <w:szCs w:val="16"/>
                <w:b w:val="1"/>
                <w:bCs w:val="1"/>
                <w:color w:val="auto"/>
              </w:rPr>
              <w:t>Adjustments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right w:val="single" w:sz="8" w:color="auto"/>
            </w:tcBorders>
            <w:gridSpan w:val="6"/>
          </w:tcPr>
          <w:p>
            <w:pPr>
              <w:jc w:val="center"/>
              <w:ind w:right="180"/>
              <w:spacing w:after="0"/>
              <w:rPr>
                <w:sz w:val="20"/>
                <w:szCs w:val="20"/>
                <w:color w:val="auto"/>
              </w:rPr>
            </w:pPr>
            <w:r>
              <w:rPr>
                <w:rFonts w:ascii="Arial" w:cs="Arial" w:eastAsia="Arial" w:hAnsi="Arial"/>
                <w:sz w:val="16"/>
                <w:szCs w:val="16"/>
                <w:b w:val="1"/>
                <w:bCs w:val="1"/>
                <w:color w:val="auto"/>
              </w:rPr>
              <w:t>Results</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60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Borders>
              <w:left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4"/>
          </w:tcPr>
          <w:p>
            <w:pPr>
              <w:jc w:val="right"/>
              <w:ind w:right="20"/>
              <w:spacing w:after="0"/>
              <w:rPr>
                <w:sz w:val="20"/>
                <w:szCs w:val="20"/>
                <w:color w:val="auto"/>
              </w:rPr>
            </w:pPr>
            <w:r>
              <w:rPr>
                <w:rFonts w:ascii="Arial" w:cs="Arial" w:eastAsia="Arial" w:hAnsi="Arial"/>
                <w:sz w:val="16"/>
                <w:szCs w:val="16"/>
                <w:color w:val="auto"/>
                <w:w w:val="96"/>
              </w:rPr>
              <w:t>128,471</w:t>
            </w:r>
          </w:p>
        </w:tc>
        <w:tc>
          <w:tcPr>
            <w:tcW w:w="160" w:type="dxa"/>
            <w:vAlign w:val="bottom"/>
          </w:tcPr>
          <w:p>
            <w:pPr>
              <w:spacing w:after="0"/>
              <w:rPr>
                <w:sz w:val="24"/>
                <w:szCs w:val="24"/>
                <w:color w:val="auto"/>
              </w:rPr>
            </w:pPr>
          </w:p>
        </w:tc>
        <w:tc>
          <w:tcPr>
            <w:tcW w:w="1040" w:type="dxa"/>
            <w:vAlign w:val="bottom"/>
            <w:gridSpan w:val="7"/>
          </w:tcPr>
          <w:p>
            <w:pPr>
              <w:jc w:val="right"/>
              <w:ind w:right="20"/>
              <w:spacing w:after="0"/>
              <w:rPr>
                <w:sz w:val="20"/>
                <w:szCs w:val="20"/>
                <w:color w:val="auto"/>
              </w:rPr>
            </w:pPr>
            <w:r>
              <w:rPr>
                <w:rFonts w:ascii="Arial" w:cs="Arial" w:eastAsia="Arial" w:hAnsi="Arial"/>
                <w:sz w:val="16"/>
                <w:szCs w:val="16"/>
                <w:color w:val="auto"/>
              </w:rPr>
              <w:t>$ (6,425)</w:t>
            </w:r>
            <w:r>
              <w:rPr>
                <w:rFonts w:ascii="Arial" w:cs="Arial" w:eastAsia="Arial" w:hAnsi="Arial"/>
                <w:sz w:val="27"/>
                <w:szCs w:val="27"/>
                <w:color w:val="auto"/>
                <w:vertAlign w:val="superscript"/>
              </w:rPr>
              <w:t>(1)</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4"/>
          </w:tcPr>
          <w:p>
            <w:pPr>
              <w:jc w:val="right"/>
              <w:ind w:right="80"/>
              <w:spacing w:after="0"/>
              <w:rPr>
                <w:sz w:val="20"/>
                <w:szCs w:val="20"/>
                <w:color w:val="auto"/>
              </w:rPr>
            </w:pPr>
            <w:r>
              <w:rPr>
                <w:rFonts w:ascii="Arial" w:cs="Arial" w:eastAsia="Arial" w:hAnsi="Arial"/>
                <w:sz w:val="16"/>
                <w:szCs w:val="16"/>
                <w:color w:val="auto"/>
                <w:w w:val="96"/>
              </w:rPr>
              <w:t>122,046</w:t>
            </w:r>
          </w:p>
        </w:tc>
        <w:tc>
          <w:tcPr>
            <w:tcW w:w="30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20" w:type="dxa"/>
            <w:vAlign w:val="bottom"/>
            <w:gridSpan w:val="6"/>
          </w:tcPr>
          <w:p>
            <w:pPr>
              <w:jc w:val="right"/>
              <w:ind w:right="20"/>
              <w:spacing w:after="0"/>
              <w:rPr>
                <w:sz w:val="20"/>
                <w:szCs w:val="20"/>
                <w:color w:val="auto"/>
              </w:rPr>
            </w:pPr>
            <w:r>
              <w:rPr>
                <w:rFonts w:ascii="Arial" w:cs="Arial" w:eastAsia="Arial" w:hAnsi="Arial"/>
                <w:sz w:val="16"/>
                <w:szCs w:val="16"/>
                <w:color w:val="auto"/>
              </w:rPr>
              <w:t>$88,769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7"/>
          </w:tcPr>
          <w:p>
            <w:pPr>
              <w:jc w:val="right"/>
              <w:ind w:right="20"/>
              <w:spacing w:after="0"/>
              <w:rPr>
                <w:sz w:val="20"/>
                <w:szCs w:val="20"/>
                <w:color w:val="auto"/>
              </w:rPr>
            </w:pPr>
            <w:r>
              <w:rPr>
                <w:rFonts w:ascii="Arial" w:cs="Arial" w:eastAsia="Arial" w:hAnsi="Arial"/>
                <w:sz w:val="16"/>
                <w:szCs w:val="16"/>
                <w:color w:val="auto"/>
              </w:rPr>
              <w:t>$88,769</w:t>
            </w:r>
          </w:p>
        </w:tc>
        <w:tc>
          <w:tcPr>
            <w:tcW w:w="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600" w:type="dxa"/>
            <w:vAlign w:val="bottom"/>
          </w:tcPr>
          <w:p>
            <w:pPr>
              <w:spacing w:after="0"/>
              <w:rPr>
                <w:sz w:val="20"/>
                <w:szCs w:val="20"/>
                <w:color w:val="auto"/>
              </w:rPr>
            </w:pPr>
            <w:r>
              <w:rPr>
                <w:rFonts w:ascii="Arial" w:cs="Arial" w:eastAsia="Arial" w:hAnsi="Arial"/>
                <w:sz w:val="16"/>
                <w:szCs w:val="16"/>
                <w:color w:val="auto"/>
              </w:rPr>
              <w:t>Less:</w:t>
            </w:r>
          </w:p>
        </w:tc>
        <w:tc>
          <w:tcPr>
            <w:tcW w:w="10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Arial" w:cs="Arial" w:eastAsia="Arial" w:hAnsi="Arial"/>
                <w:sz w:val="16"/>
                <w:szCs w:val="16"/>
                <w:color w:val="auto"/>
              </w:rPr>
              <w:t>Preferred stock dividends</w:t>
            </w:r>
          </w:p>
        </w:tc>
        <w:tc>
          <w:tcPr>
            <w:tcW w:w="10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600" w:type="dxa"/>
            <w:vAlign w:val="bottom"/>
          </w:tcPr>
          <w:p>
            <w:pPr>
              <w:ind w:left="180"/>
              <w:spacing w:after="0"/>
              <w:rPr>
                <w:sz w:val="20"/>
                <w:szCs w:val="20"/>
                <w:color w:val="auto"/>
              </w:rPr>
            </w:pPr>
            <w:r>
              <w:rPr>
                <w:rFonts w:ascii="Arial" w:cs="Arial" w:eastAsia="Arial" w:hAnsi="Arial"/>
                <w:sz w:val="16"/>
                <w:szCs w:val="16"/>
                <w:color w:val="auto"/>
              </w:rPr>
              <w:t>on converted stock</w:t>
            </w:r>
          </w:p>
        </w:tc>
        <w:tc>
          <w:tcPr>
            <w:tcW w:w="10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3,230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7"/>
          </w:tcPr>
          <w:p>
            <w:pPr>
              <w:jc w:val="right"/>
              <w:ind w:right="40"/>
              <w:spacing w:after="0" w:line="277" w:lineRule="exact"/>
              <w:rPr>
                <w:sz w:val="20"/>
                <w:szCs w:val="20"/>
                <w:color w:val="auto"/>
              </w:rPr>
            </w:pPr>
            <w:r>
              <w:rPr>
                <w:rFonts w:ascii="Arial" w:cs="Arial" w:eastAsia="Arial" w:hAnsi="Arial"/>
                <w:sz w:val="16"/>
                <w:szCs w:val="16"/>
                <w:color w:val="auto"/>
              </w:rPr>
              <w:t>(3,230)</w:t>
            </w:r>
            <w:r>
              <w:rPr>
                <w:rFonts w:ascii="Arial" w:cs="Arial" w:eastAsia="Arial" w:hAnsi="Arial"/>
                <w:sz w:val="27"/>
                <w:szCs w:val="27"/>
                <w:color w:val="auto"/>
                <w:vertAlign w:val="superscript"/>
              </w:rPr>
              <w:t>(2)</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00" w:type="dxa"/>
            <w:vAlign w:val="bottom"/>
            <w:gridSpan w:val="5"/>
          </w:tcPr>
          <w:p>
            <w:pPr>
              <w:jc w:val="right"/>
              <w:ind w:right="20"/>
              <w:spacing w:after="0"/>
              <w:rPr>
                <w:sz w:val="20"/>
                <w:szCs w:val="20"/>
                <w:color w:val="auto"/>
              </w:rPr>
            </w:pPr>
            <w:r>
              <w:rPr>
                <w:rFonts w:ascii="Arial" w:cs="Arial" w:eastAsia="Arial" w:hAnsi="Arial"/>
                <w:sz w:val="16"/>
                <w:szCs w:val="16"/>
                <w:color w:val="auto"/>
              </w:rPr>
              <w:t>2,051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6"/>
          </w:tcPr>
          <w:p>
            <w:pPr>
              <w:jc w:val="right"/>
              <w:ind w:right="20"/>
              <w:spacing w:after="0" w:line="277" w:lineRule="exact"/>
              <w:rPr>
                <w:sz w:val="20"/>
                <w:szCs w:val="20"/>
                <w:color w:val="auto"/>
              </w:rPr>
            </w:pPr>
            <w:r>
              <w:rPr>
                <w:rFonts w:ascii="Arial" w:cs="Arial" w:eastAsia="Arial" w:hAnsi="Arial"/>
                <w:sz w:val="16"/>
                <w:szCs w:val="16"/>
                <w:color w:val="auto"/>
              </w:rPr>
              <w:t>$ (2,051)</w:t>
            </w:r>
            <w:r>
              <w:rPr>
                <w:rFonts w:ascii="Arial" w:cs="Arial" w:eastAsia="Arial" w:hAnsi="Arial"/>
                <w:sz w:val="27"/>
                <w:szCs w:val="27"/>
                <w:color w:val="auto"/>
                <w:vertAlign w:val="superscript"/>
              </w:rPr>
              <w:t>(2)</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600" w:type="dxa"/>
            <w:vAlign w:val="bottom"/>
          </w:tcPr>
          <w:p>
            <w:pPr>
              <w:ind w:left="100"/>
              <w:spacing w:after="0"/>
              <w:rPr>
                <w:sz w:val="20"/>
                <w:szCs w:val="20"/>
                <w:color w:val="auto"/>
              </w:rPr>
            </w:pPr>
            <w:r>
              <w:rPr>
                <w:rFonts w:ascii="Arial" w:cs="Arial" w:eastAsia="Arial" w:hAnsi="Arial"/>
                <w:sz w:val="16"/>
                <w:szCs w:val="16"/>
                <w:color w:val="auto"/>
              </w:rPr>
              <w:t>Inducement payment and</w:t>
            </w:r>
          </w:p>
        </w:tc>
        <w:tc>
          <w:tcPr>
            <w:tcW w:w="1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600" w:type="dxa"/>
            <w:vAlign w:val="bottom"/>
            <w:vMerge w:val="restart"/>
          </w:tcPr>
          <w:p>
            <w:pPr>
              <w:ind w:left="180"/>
              <w:spacing w:after="0"/>
              <w:rPr>
                <w:sz w:val="20"/>
                <w:szCs w:val="20"/>
                <w:color w:val="auto"/>
              </w:rPr>
            </w:pPr>
            <w:r>
              <w:rPr>
                <w:rFonts w:ascii="Arial" w:cs="Arial" w:eastAsia="Arial" w:hAnsi="Arial"/>
                <w:sz w:val="16"/>
                <w:szCs w:val="16"/>
                <w:color w:val="auto"/>
              </w:rPr>
              <w:t>offering costs</w:t>
            </w:r>
          </w:p>
        </w:tc>
        <w:tc>
          <w:tcPr>
            <w:tcW w:w="1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3"/>
          </w:tcPr>
          <w:p>
            <w:pPr>
              <w:jc w:val="right"/>
              <w:spacing w:after="0" w:line="161" w:lineRule="exact"/>
              <w:rPr>
                <w:sz w:val="20"/>
                <w:szCs w:val="20"/>
                <w:color w:val="auto"/>
              </w:rPr>
            </w:pPr>
            <w:r>
              <w:rPr>
                <w:rFonts w:ascii="Arial" w:cs="Arial" w:eastAsia="Arial" w:hAnsi="Arial"/>
                <w:sz w:val="16"/>
                <w:szCs w:val="16"/>
                <w:color w:val="auto"/>
              </w:rPr>
              <w:t>10,948</w:t>
            </w:r>
          </w:p>
        </w:tc>
        <w:tc>
          <w:tcPr>
            <w:tcW w:w="2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1040" w:type="dxa"/>
            <w:vAlign w:val="bottom"/>
            <w:gridSpan w:val="7"/>
            <w:vMerge w:val="restart"/>
          </w:tcPr>
          <w:p>
            <w:pPr>
              <w:jc w:val="right"/>
              <w:ind w:right="20"/>
              <w:spacing w:after="0" w:line="222" w:lineRule="exact"/>
              <w:rPr>
                <w:sz w:val="20"/>
                <w:szCs w:val="20"/>
                <w:color w:val="auto"/>
              </w:rPr>
            </w:pPr>
            <w:r>
              <w:rPr>
                <w:rFonts w:ascii="Arial" w:cs="Arial" w:eastAsia="Arial" w:hAnsi="Arial"/>
                <w:sz w:val="15"/>
                <w:szCs w:val="15"/>
                <w:color w:val="auto"/>
              </w:rPr>
              <w:t>(10,948)</w:t>
            </w:r>
            <w:r>
              <w:rPr>
                <w:rFonts w:ascii="Arial" w:cs="Arial" w:eastAsia="Arial" w:hAnsi="Arial"/>
                <w:sz w:val="25"/>
                <w:szCs w:val="25"/>
                <w:color w:val="auto"/>
                <w:vertAlign w:val="superscript"/>
              </w:rPr>
              <w:t>(3)</w:t>
            </w:r>
          </w:p>
        </w:tc>
        <w:tc>
          <w:tcPr>
            <w:tcW w:w="30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580" w:type="dxa"/>
            <w:vAlign w:val="bottom"/>
            <w:tcBorders>
              <w:bottom w:val="single" w:sz="8" w:color="auto"/>
            </w:tcBorders>
            <w:gridSpan w:val="3"/>
          </w:tcPr>
          <w:p>
            <w:pPr>
              <w:jc w:val="right"/>
              <w:spacing w:after="0" w:line="161" w:lineRule="exact"/>
              <w:rPr>
                <w:sz w:val="20"/>
                <w:szCs w:val="20"/>
                <w:color w:val="auto"/>
              </w:rPr>
            </w:pPr>
            <w:r>
              <w:rPr>
                <w:rFonts w:ascii="Arial" w:cs="Arial" w:eastAsia="Arial" w:hAnsi="Arial"/>
                <w:sz w:val="16"/>
                <w:szCs w:val="16"/>
                <w:color w:val="auto"/>
              </w:rPr>
              <w:t>14,205</w:t>
            </w:r>
          </w:p>
        </w:tc>
        <w:tc>
          <w:tcPr>
            <w:tcW w:w="2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6"/>
            <w:vMerge w:val="restart"/>
          </w:tcPr>
          <w:p>
            <w:pPr>
              <w:jc w:val="right"/>
              <w:ind w:right="20"/>
              <w:spacing w:after="0" w:line="222" w:lineRule="exact"/>
              <w:rPr>
                <w:sz w:val="20"/>
                <w:szCs w:val="20"/>
                <w:color w:val="auto"/>
              </w:rPr>
            </w:pPr>
            <w:r>
              <w:rPr>
                <w:rFonts w:ascii="Arial" w:cs="Arial" w:eastAsia="Arial" w:hAnsi="Arial"/>
                <w:sz w:val="15"/>
                <w:szCs w:val="15"/>
                <w:color w:val="auto"/>
              </w:rPr>
              <w:t>(14,205)</w:t>
            </w:r>
            <w:r>
              <w:rPr>
                <w:rFonts w:ascii="Arial" w:cs="Arial" w:eastAsia="Arial" w:hAnsi="Arial"/>
                <w:sz w:val="25"/>
                <w:szCs w:val="25"/>
                <w:color w:val="auto"/>
                <w:vertAlign w:val="superscript"/>
              </w:rPr>
              <w:t>(4)</w:t>
            </w:r>
          </w:p>
        </w:tc>
        <w:tc>
          <w:tcPr>
            <w:tcW w:w="30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600" w:type="dxa"/>
            <w:vAlign w:val="bottom"/>
            <w:vMerge w:val="continue"/>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40" w:type="dxa"/>
            <w:vAlign w:val="bottom"/>
            <w:gridSpan w:val="7"/>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6"/>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4"/>
        </w:trPr>
        <w:tc>
          <w:tcPr>
            <w:tcW w:w="2600" w:type="dxa"/>
            <w:vAlign w:val="bottom"/>
          </w:tcPr>
          <w:p>
            <w:pPr>
              <w:spacing w:after="0"/>
              <w:rPr>
                <w:sz w:val="20"/>
                <w:szCs w:val="20"/>
                <w:color w:val="auto"/>
              </w:rPr>
            </w:pPr>
            <w:r>
              <w:rPr>
                <w:rFonts w:ascii="Arial" w:cs="Arial" w:eastAsia="Arial" w:hAnsi="Arial"/>
                <w:sz w:val="16"/>
                <w:szCs w:val="16"/>
                <w:color w:val="auto"/>
              </w:rPr>
              <w:t>Net income available to</w:t>
            </w:r>
          </w:p>
        </w:tc>
        <w:tc>
          <w:tcPr>
            <w:tcW w:w="10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00" w:type="dxa"/>
            <w:vAlign w:val="bottom"/>
          </w:tcPr>
          <w:p>
            <w:pPr>
              <w:ind w:left="100"/>
              <w:spacing w:after="0" w:line="181" w:lineRule="exact"/>
              <w:rPr>
                <w:sz w:val="20"/>
                <w:szCs w:val="20"/>
                <w:color w:val="auto"/>
              </w:rPr>
            </w:pPr>
            <w:r>
              <w:rPr>
                <w:rFonts w:ascii="Arial" w:cs="Arial" w:eastAsia="Arial" w:hAnsi="Arial"/>
                <w:sz w:val="16"/>
                <w:szCs w:val="16"/>
                <w:color w:val="auto"/>
              </w:rPr>
              <w:t>common stockholders</w:t>
            </w:r>
          </w:p>
        </w:tc>
        <w:tc>
          <w:tcPr>
            <w:tcW w:w="240" w:type="dxa"/>
            <w:vAlign w:val="bottom"/>
            <w:tcBorders>
              <w:left w:val="single" w:sz="8" w:color="auto"/>
            </w:tcBorders>
            <w:gridSpan w:val="3"/>
          </w:tcPr>
          <w:p>
            <w:pPr>
              <w:jc w:val="right"/>
              <w:spacing w:after="0" w:line="181" w:lineRule="exact"/>
              <w:rPr>
                <w:sz w:val="20"/>
                <w:szCs w:val="20"/>
                <w:color w:val="auto"/>
              </w:rPr>
            </w:pPr>
            <w:r>
              <w:rPr>
                <w:rFonts w:ascii="Arial" w:cs="Arial" w:eastAsia="Arial" w:hAnsi="Arial"/>
                <w:sz w:val="16"/>
                <w:szCs w:val="16"/>
                <w:u w:val="single" w:color="auto"/>
                <w:color w:val="auto"/>
              </w:rPr>
              <w:t>$</w:t>
            </w:r>
          </w:p>
        </w:tc>
        <w:tc>
          <w:tcPr>
            <w:tcW w:w="60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w w:val="96"/>
              </w:rPr>
              <w:t>114,293</w:t>
            </w:r>
          </w:p>
        </w:tc>
        <w:tc>
          <w:tcPr>
            <w:tcW w:w="160" w:type="dxa"/>
            <w:vAlign w:val="bottom"/>
          </w:tcPr>
          <w:p>
            <w:pPr>
              <w:spacing w:after="0"/>
              <w:rPr>
                <w:sz w:val="15"/>
                <w:szCs w:val="15"/>
                <w:color w:val="auto"/>
              </w:rPr>
            </w:pPr>
          </w:p>
        </w:tc>
        <w:tc>
          <w:tcPr>
            <w:tcW w:w="1340" w:type="dxa"/>
            <w:vAlign w:val="bottom"/>
            <w:gridSpan w:val="8"/>
          </w:tcPr>
          <w:p>
            <w:pPr>
              <w:jc w:val="right"/>
              <w:ind w:right="300"/>
              <w:spacing w:after="0" w:line="181" w:lineRule="exact"/>
              <w:rPr>
                <w:sz w:val="20"/>
                <w:szCs w:val="20"/>
                <w:color w:val="auto"/>
              </w:rPr>
            </w:pPr>
            <w:r>
              <w:rPr>
                <w:rFonts w:ascii="Arial" w:cs="Arial" w:eastAsia="Arial" w:hAnsi="Arial"/>
                <w:sz w:val="16"/>
                <w:szCs w:val="16"/>
                <w:color w:val="auto"/>
              </w:rPr>
              <w:t>$ 7,753</w:t>
            </w:r>
          </w:p>
        </w:tc>
        <w:tc>
          <w:tcPr>
            <w:tcW w:w="320" w:type="dxa"/>
            <w:vAlign w:val="bottom"/>
          </w:tcPr>
          <w:p>
            <w:pPr>
              <w:spacing w:after="0"/>
              <w:rPr>
                <w:sz w:val="15"/>
                <w:szCs w:val="15"/>
                <w:color w:val="auto"/>
              </w:rPr>
            </w:pPr>
          </w:p>
        </w:tc>
        <w:tc>
          <w:tcPr>
            <w:tcW w:w="140" w:type="dxa"/>
            <w:vAlign w:val="bottom"/>
            <w:gridSpan w:val="2"/>
          </w:tcPr>
          <w:p>
            <w:pPr>
              <w:jc w:val="right"/>
              <w:spacing w:after="0" w:line="181" w:lineRule="exact"/>
              <w:rPr>
                <w:sz w:val="20"/>
                <w:szCs w:val="20"/>
                <w:color w:val="auto"/>
              </w:rPr>
            </w:pPr>
            <w:r>
              <w:rPr>
                <w:rFonts w:ascii="Arial" w:cs="Arial" w:eastAsia="Arial" w:hAnsi="Arial"/>
                <w:sz w:val="16"/>
                <w:szCs w:val="16"/>
                <w:u w:val="single" w:color="auto"/>
                <w:color w:val="auto"/>
              </w:rPr>
              <w:t>$</w:t>
            </w:r>
          </w:p>
        </w:tc>
        <w:tc>
          <w:tcPr>
            <w:tcW w:w="660" w:type="dxa"/>
            <w:vAlign w:val="bottom"/>
            <w:gridSpan w:val="4"/>
          </w:tcPr>
          <w:p>
            <w:pPr>
              <w:jc w:val="right"/>
              <w:ind w:right="80"/>
              <w:spacing w:after="0" w:line="181" w:lineRule="exact"/>
              <w:rPr>
                <w:sz w:val="20"/>
                <w:szCs w:val="20"/>
                <w:color w:val="auto"/>
              </w:rPr>
            </w:pPr>
            <w:r>
              <w:rPr>
                <w:rFonts w:ascii="Arial" w:cs="Arial" w:eastAsia="Arial" w:hAnsi="Arial"/>
                <w:sz w:val="16"/>
                <w:szCs w:val="16"/>
                <w:color w:val="auto"/>
                <w:w w:val="96"/>
              </w:rPr>
              <w:t>122,046</w:t>
            </w:r>
          </w:p>
        </w:tc>
        <w:tc>
          <w:tcPr>
            <w:tcW w:w="300" w:type="dxa"/>
            <w:vAlign w:val="bottom"/>
            <w:tcBorders>
              <w:right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720" w:type="dxa"/>
            <w:vAlign w:val="bottom"/>
            <w:gridSpan w:val="6"/>
          </w:tcPr>
          <w:p>
            <w:pPr>
              <w:jc w:val="right"/>
              <w:ind w:right="20"/>
              <w:spacing w:after="0" w:line="181"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72,513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6"/>
          </w:tcPr>
          <w:p>
            <w:pPr>
              <w:jc w:val="right"/>
              <w:spacing w:after="0" w:line="181" w:lineRule="exact"/>
              <w:rPr>
                <w:sz w:val="20"/>
                <w:szCs w:val="20"/>
                <w:color w:val="auto"/>
              </w:rPr>
            </w:pPr>
            <w:r>
              <w:rPr>
                <w:rFonts w:ascii="Arial" w:cs="Arial" w:eastAsia="Arial" w:hAnsi="Arial"/>
                <w:sz w:val="16"/>
                <w:szCs w:val="16"/>
                <w:color w:val="auto"/>
              </w:rPr>
              <w:t>$ 16,256</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gridSpan w:val="7"/>
          </w:tcPr>
          <w:p>
            <w:pPr>
              <w:jc w:val="right"/>
              <w:ind w:right="20"/>
              <w:spacing w:after="0" w:line="181"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88,769</w:t>
            </w: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74"/>
        </w:trPr>
        <w:tc>
          <w:tcPr>
            <w:tcW w:w="2600" w:type="dxa"/>
            <w:vAlign w:val="bottom"/>
          </w:tcPr>
          <w:p>
            <w:pPr>
              <w:spacing w:after="0"/>
              <w:rPr>
                <w:sz w:val="20"/>
                <w:szCs w:val="20"/>
                <w:color w:val="auto"/>
              </w:rPr>
            </w:pPr>
            <w:r>
              <w:rPr>
                <w:rFonts w:ascii="Arial" w:cs="Arial" w:eastAsia="Arial" w:hAnsi="Arial"/>
                <w:sz w:val="16"/>
                <w:szCs w:val="16"/>
                <w:color w:val="auto"/>
              </w:rPr>
              <w:t>Weighted average common</w:t>
            </w:r>
          </w:p>
        </w:tc>
        <w:tc>
          <w:tcPr>
            <w:tcW w:w="10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Arial" w:cs="Arial" w:eastAsia="Arial" w:hAnsi="Arial"/>
                <w:sz w:val="16"/>
                <w:szCs w:val="16"/>
                <w:color w:val="auto"/>
              </w:rPr>
              <w:t>shares outstanding</w:t>
            </w:r>
          </w:p>
        </w:tc>
        <w:tc>
          <w:tcPr>
            <w:tcW w:w="10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rPr>
              <w:t>50,921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rPr>
              <w:t>50,921</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Arial" w:cs="Arial" w:eastAsia="Arial" w:hAnsi="Arial"/>
                <w:sz w:val="16"/>
                <w:szCs w:val="16"/>
                <w:color w:val="auto"/>
              </w:rPr>
              <w:t>36,845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center"/>
              <w:spacing w:after="0"/>
              <w:rPr>
                <w:sz w:val="20"/>
                <w:szCs w:val="20"/>
                <w:color w:val="auto"/>
              </w:rPr>
            </w:pPr>
            <w:r>
              <w:rPr>
                <w:rFonts w:ascii="Arial" w:cs="Arial" w:eastAsia="Arial" w:hAnsi="Arial"/>
                <w:sz w:val="16"/>
                <w:szCs w:val="16"/>
                <w:color w:val="auto"/>
                <w:w w:val="98"/>
              </w:rPr>
              <w:t>36,845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6"/>
                <w:szCs w:val="16"/>
                <w:color w:val="auto"/>
              </w:rPr>
              <w:t>Impact of dilutive stock options</w:t>
            </w:r>
          </w:p>
        </w:tc>
        <w:tc>
          <w:tcPr>
            <w:tcW w:w="10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Arial" w:cs="Arial" w:eastAsia="Arial" w:hAnsi="Arial"/>
                <w:sz w:val="16"/>
                <w:szCs w:val="16"/>
                <w:color w:val="auto"/>
              </w:rPr>
              <w:t>and warrants</w:t>
            </w:r>
          </w:p>
        </w:tc>
        <w:tc>
          <w:tcPr>
            <w:tcW w:w="10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1,287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center"/>
              <w:ind w:left="39"/>
              <w:spacing w:after="0"/>
              <w:rPr>
                <w:sz w:val="20"/>
                <w:szCs w:val="20"/>
                <w:color w:val="auto"/>
              </w:rPr>
            </w:pPr>
            <w:r>
              <w:rPr>
                <w:rFonts w:ascii="Arial" w:cs="Arial" w:eastAsia="Arial" w:hAnsi="Arial"/>
                <w:sz w:val="16"/>
                <w:szCs w:val="16"/>
                <w:color w:val="auto"/>
              </w:rPr>
              <w:t>1,287</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Arial" w:cs="Arial" w:eastAsia="Arial" w:hAnsi="Arial"/>
                <w:sz w:val="16"/>
                <w:szCs w:val="16"/>
                <w:color w:val="auto"/>
              </w:rPr>
              <w:t>1,928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ind w:left="120"/>
              <w:spacing w:after="0"/>
              <w:rPr>
                <w:sz w:val="20"/>
                <w:szCs w:val="20"/>
                <w:color w:val="auto"/>
              </w:rPr>
            </w:pPr>
            <w:r>
              <w:rPr>
                <w:rFonts w:ascii="Arial" w:cs="Arial" w:eastAsia="Arial" w:hAnsi="Arial"/>
                <w:sz w:val="16"/>
                <w:szCs w:val="16"/>
                <w:color w:val="auto"/>
                <w:w w:val="99"/>
              </w:rPr>
              <w:t>1,928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6"/>
                <w:szCs w:val="16"/>
                <w:color w:val="auto"/>
              </w:rPr>
              <w:t>Impact of assumed convertible</w:t>
            </w:r>
          </w:p>
        </w:tc>
        <w:tc>
          <w:tcPr>
            <w:tcW w:w="10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Arial" w:cs="Arial" w:eastAsia="Arial" w:hAnsi="Arial"/>
                <w:sz w:val="16"/>
                <w:szCs w:val="16"/>
                <w:color w:val="auto"/>
              </w:rPr>
              <w:t>preferred stock conversion</w:t>
            </w:r>
          </w:p>
        </w:tc>
        <w:tc>
          <w:tcPr>
            <w:tcW w:w="10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Arial" w:cs="Arial" w:eastAsia="Arial" w:hAnsi="Arial"/>
                <w:sz w:val="16"/>
                <w:szCs w:val="16"/>
                <w:color w:val="auto"/>
              </w:rPr>
              <w:t>11,566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center"/>
              <w:spacing w:after="0"/>
              <w:rPr>
                <w:sz w:val="20"/>
                <w:szCs w:val="20"/>
                <w:color w:val="auto"/>
              </w:rPr>
            </w:pPr>
            <w:r>
              <w:rPr>
                <w:rFonts w:ascii="Arial" w:cs="Arial" w:eastAsia="Arial" w:hAnsi="Arial"/>
                <w:sz w:val="16"/>
                <w:szCs w:val="16"/>
                <w:color w:val="auto"/>
                <w:w w:val="98"/>
              </w:rPr>
              <w:t>11,566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6"/>
                <w:szCs w:val="16"/>
                <w:color w:val="auto"/>
              </w:rPr>
              <w:t>Impact of converted preferred</w:t>
            </w:r>
          </w:p>
        </w:tc>
        <w:tc>
          <w:tcPr>
            <w:tcW w:w="10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600" w:type="dxa"/>
            <w:vAlign w:val="bottom"/>
            <w:vMerge w:val="restart"/>
          </w:tcPr>
          <w:p>
            <w:pPr>
              <w:ind w:left="100"/>
              <w:spacing w:after="0"/>
              <w:rPr>
                <w:sz w:val="20"/>
                <w:szCs w:val="20"/>
                <w:color w:val="auto"/>
              </w:rPr>
            </w:pPr>
            <w:r>
              <w:rPr>
                <w:rFonts w:ascii="Arial" w:cs="Arial" w:eastAsia="Arial" w:hAnsi="Arial"/>
                <w:sz w:val="16"/>
                <w:szCs w:val="16"/>
                <w:color w:val="auto"/>
              </w:rPr>
              <w:t>stock</w:t>
            </w:r>
          </w:p>
        </w:tc>
        <w:tc>
          <w:tcPr>
            <w:tcW w:w="1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gridSpan w:val="2"/>
            <w:vMerge w:val="restart"/>
          </w:tcPr>
          <w:p>
            <w:pPr>
              <w:spacing w:after="0"/>
              <w:rPr>
                <w:sz w:val="15"/>
                <w:szCs w:val="15"/>
                <w:color w:val="auto"/>
              </w:rPr>
            </w:pPr>
          </w:p>
        </w:tc>
        <w:tc>
          <w:tcPr>
            <w:tcW w:w="760" w:type="dxa"/>
            <w:vAlign w:val="bottom"/>
            <w:gridSpan w:val="5"/>
            <w:vMerge w:val="restart"/>
          </w:tcPr>
          <w:p>
            <w:pPr>
              <w:jc w:val="right"/>
              <w:ind w:right="20"/>
              <w:spacing w:after="0" w:line="222" w:lineRule="exact"/>
              <w:rPr>
                <w:sz w:val="20"/>
                <w:szCs w:val="20"/>
                <w:color w:val="auto"/>
              </w:rPr>
            </w:pPr>
            <w:r>
              <w:rPr>
                <w:rFonts w:ascii="Arial" w:cs="Arial" w:eastAsia="Arial" w:hAnsi="Arial"/>
                <w:sz w:val="15"/>
                <w:szCs w:val="15"/>
                <w:color w:val="auto"/>
              </w:rPr>
              <w:t>4,321</w:t>
            </w:r>
            <w:r>
              <w:rPr>
                <w:rFonts w:ascii="Arial" w:cs="Arial" w:eastAsia="Arial" w:hAnsi="Arial"/>
                <w:sz w:val="25"/>
                <w:szCs w:val="25"/>
                <w:color w:val="auto"/>
                <w:vertAlign w:val="superscript"/>
              </w:rPr>
              <w:t>(5)</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3"/>
          </w:tcPr>
          <w:p>
            <w:pPr>
              <w:jc w:val="right"/>
              <w:spacing w:after="0" w:line="161" w:lineRule="exact"/>
              <w:rPr>
                <w:sz w:val="20"/>
                <w:szCs w:val="20"/>
                <w:color w:val="auto"/>
              </w:rPr>
            </w:pPr>
            <w:r>
              <w:rPr>
                <w:rFonts w:ascii="Arial" w:cs="Arial" w:eastAsia="Arial" w:hAnsi="Arial"/>
                <w:sz w:val="16"/>
                <w:szCs w:val="16"/>
                <w:color w:val="auto"/>
              </w:rPr>
              <w:t>4,321</w:t>
            </w:r>
          </w:p>
        </w:tc>
        <w:tc>
          <w:tcPr>
            <w:tcW w:w="80" w:type="dxa"/>
            <w:vAlign w:val="bottom"/>
            <w:vMerge w:val="restart"/>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6"/>
            <w:vMerge w:val="restart"/>
          </w:tcPr>
          <w:p>
            <w:pPr>
              <w:jc w:val="right"/>
              <w:ind w:right="20"/>
              <w:spacing w:after="0" w:line="222" w:lineRule="exact"/>
              <w:rPr>
                <w:sz w:val="20"/>
                <w:szCs w:val="20"/>
                <w:color w:val="auto"/>
              </w:rPr>
            </w:pPr>
            <w:r>
              <w:rPr>
                <w:rFonts w:ascii="Arial" w:cs="Arial" w:eastAsia="Arial" w:hAnsi="Arial"/>
                <w:sz w:val="15"/>
                <w:szCs w:val="15"/>
                <w:color w:val="auto"/>
              </w:rPr>
              <w:t>4,463</w:t>
            </w:r>
            <w:r>
              <w:rPr>
                <w:rFonts w:ascii="Arial" w:cs="Arial" w:eastAsia="Arial" w:hAnsi="Arial"/>
                <w:sz w:val="25"/>
                <w:szCs w:val="25"/>
                <w:color w:val="auto"/>
                <w:vertAlign w:val="superscript"/>
              </w:rPr>
              <w:t>(5)</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right"/>
              <w:spacing w:after="0" w:line="161" w:lineRule="exact"/>
              <w:rPr>
                <w:sz w:val="20"/>
                <w:szCs w:val="20"/>
                <w:color w:val="auto"/>
              </w:rPr>
            </w:pPr>
            <w:r>
              <w:rPr>
                <w:rFonts w:ascii="Arial" w:cs="Arial" w:eastAsia="Arial" w:hAnsi="Arial"/>
                <w:sz w:val="16"/>
                <w:szCs w:val="16"/>
                <w:color w:val="auto"/>
              </w:rPr>
              <w:t>4,463</w:t>
            </w:r>
          </w:p>
        </w:tc>
        <w:tc>
          <w:tcPr>
            <w:tcW w:w="2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600" w:type="dxa"/>
            <w:vAlign w:val="bottom"/>
            <w:vMerge w:val="continue"/>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760" w:type="dxa"/>
            <w:vAlign w:val="bottom"/>
            <w:gridSpan w:val="5"/>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6"/>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600" w:type="dxa"/>
            <w:vAlign w:val="bottom"/>
          </w:tcPr>
          <w:p>
            <w:pPr>
              <w:spacing w:after="0"/>
              <w:rPr>
                <w:sz w:val="20"/>
                <w:szCs w:val="20"/>
                <w:color w:val="auto"/>
              </w:rPr>
            </w:pPr>
            <w:r>
              <w:rPr>
                <w:rFonts w:ascii="Arial" w:cs="Arial" w:eastAsia="Arial" w:hAnsi="Arial"/>
                <w:sz w:val="16"/>
                <w:szCs w:val="16"/>
                <w:color w:val="auto"/>
              </w:rPr>
              <w:t>Total shares</w:t>
            </w:r>
          </w:p>
        </w:tc>
        <w:tc>
          <w:tcPr>
            <w:tcW w:w="10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6"/>
                <w:szCs w:val="16"/>
                <w:color w:val="auto"/>
              </w:rPr>
              <w:t>52,208</w:t>
            </w:r>
          </w:p>
        </w:tc>
        <w:tc>
          <w:tcPr>
            <w:tcW w:w="16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1060" w:type="dxa"/>
            <w:vAlign w:val="bottom"/>
            <w:gridSpan w:val="6"/>
          </w:tcPr>
          <w:p>
            <w:pPr>
              <w:jc w:val="right"/>
              <w:ind w:right="300"/>
              <w:spacing w:after="0"/>
              <w:rPr>
                <w:sz w:val="20"/>
                <w:szCs w:val="20"/>
                <w:color w:val="auto"/>
              </w:rPr>
            </w:pPr>
            <w:r>
              <w:rPr>
                <w:rFonts w:ascii="Arial" w:cs="Arial" w:eastAsia="Arial" w:hAnsi="Arial"/>
                <w:sz w:val="16"/>
                <w:szCs w:val="16"/>
                <w:color w:val="auto"/>
              </w:rPr>
              <w:t>4,321</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6"/>
                <w:szCs w:val="16"/>
                <w:color w:val="auto"/>
              </w:rPr>
              <w:t>56,529</w:t>
            </w:r>
          </w:p>
        </w:tc>
        <w:tc>
          <w:tcPr>
            <w:tcW w:w="30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20" w:type="dxa"/>
            <w:vAlign w:val="bottom"/>
            <w:gridSpan w:val="6"/>
          </w:tcPr>
          <w:p>
            <w:pPr>
              <w:jc w:val="right"/>
              <w:ind w:right="20"/>
              <w:spacing w:after="0"/>
              <w:rPr>
                <w:sz w:val="20"/>
                <w:szCs w:val="20"/>
                <w:color w:val="auto"/>
              </w:rPr>
            </w:pPr>
            <w:r>
              <w:rPr>
                <w:rFonts w:ascii="Arial" w:cs="Arial" w:eastAsia="Arial" w:hAnsi="Arial"/>
                <w:sz w:val="16"/>
                <w:szCs w:val="16"/>
                <w:color w:val="auto"/>
              </w:rPr>
              <w:t>50,339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6"/>
          </w:tcPr>
          <w:p>
            <w:pPr>
              <w:jc w:val="right"/>
              <w:spacing w:after="0"/>
              <w:rPr>
                <w:sz w:val="20"/>
                <w:szCs w:val="20"/>
                <w:color w:val="auto"/>
              </w:rPr>
            </w:pPr>
            <w:r>
              <w:rPr>
                <w:rFonts w:ascii="Arial" w:cs="Arial" w:eastAsia="Arial" w:hAnsi="Arial"/>
                <w:sz w:val="16"/>
                <w:szCs w:val="16"/>
                <w:color w:val="auto"/>
              </w:rPr>
              <w:t>4,463</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6"/>
                <w:szCs w:val="16"/>
                <w:color w:val="auto"/>
              </w:rPr>
              <w:t>54,802</w:t>
            </w:r>
          </w:p>
        </w:tc>
        <w:tc>
          <w:tcPr>
            <w:tcW w:w="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600" w:type="dxa"/>
            <w:vAlign w:val="bottom"/>
          </w:tcPr>
          <w:p>
            <w:pPr>
              <w:spacing w:after="0"/>
              <w:rPr>
                <w:sz w:val="20"/>
                <w:szCs w:val="20"/>
                <w:color w:val="auto"/>
              </w:rPr>
            </w:pPr>
            <w:r>
              <w:rPr>
                <w:rFonts w:ascii="Arial" w:cs="Arial" w:eastAsia="Arial" w:hAnsi="Arial"/>
                <w:sz w:val="16"/>
                <w:szCs w:val="16"/>
                <w:color w:val="auto"/>
              </w:rPr>
              <w:t>Diluted net income per</w:t>
            </w:r>
          </w:p>
        </w:tc>
        <w:tc>
          <w:tcPr>
            <w:tcW w:w="10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00" w:type="dxa"/>
            <w:vAlign w:val="bottom"/>
          </w:tcPr>
          <w:p>
            <w:pPr>
              <w:ind w:left="100"/>
              <w:spacing w:after="0" w:line="181" w:lineRule="exact"/>
              <w:rPr>
                <w:sz w:val="20"/>
                <w:szCs w:val="20"/>
                <w:color w:val="auto"/>
              </w:rPr>
            </w:pPr>
            <w:r>
              <w:rPr>
                <w:rFonts w:ascii="Arial" w:cs="Arial" w:eastAsia="Arial" w:hAnsi="Arial"/>
                <w:sz w:val="16"/>
                <w:szCs w:val="16"/>
                <w:color w:val="auto"/>
              </w:rPr>
              <w:t>common share</w:t>
            </w:r>
          </w:p>
        </w:tc>
        <w:tc>
          <w:tcPr>
            <w:tcW w:w="240" w:type="dxa"/>
            <w:vAlign w:val="bottom"/>
            <w:tcBorders>
              <w:left w:val="single" w:sz="8" w:color="auto"/>
            </w:tcBorders>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2.19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w w:val="89"/>
              </w:rPr>
              <w:t>$</w:t>
            </w:r>
          </w:p>
        </w:tc>
        <w:tc>
          <w:tcPr>
            <w:tcW w:w="580" w:type="dxa"/>
            <w:vAlign w:val="bottom"/>
            <w:gridSpan w:val="3"/>
          </w:tcPr>
          <w:p>
            <w:pPr>
              <w:jc w:val="center"/>
              <w:ind w:left="99"/>
              <w:spacing w:after="0" w:line="181" w:lineRule="exact"/>
              <w:rPr>
                <w:sz w:val="20"/>
                <w:szCs w:val="20"/>
                <w:color w:val="auto"/>
              </w:rPr>
            </w:pPr>
            <w:r>
              <w:rPr>
                <w:rFonts w:ascii="Arial" w:cs="Arial" w:eastAsia="Arial" w:hAnsi="Arial"/>
                <w:sz w:val="16"/>
                <w:szCs w:val="16"/>
                <w:color w:val="auto"/>
              </w:rPr>
              <w:t>2.16</w:t>
            </w:r>
          </w:p>
        </w:tc>
        <w:tc>
          <w:tcPr>
            <w:tcW w:w="8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700" w:type="dxa"/>
            <w:vAlign w:val="bottom"/>
            <w:gridSpan w:val="5"/>
          </w:tcPr>
          <w:p>
            <w:pPr>
              <w:jc w:val="right"/>
              <w:ind w:right="40"/>
              <w:spacing w:after="0" w:line="181" w:lineRule="exact"/>
              <w:rPr>
                <w:sz w:val="20"/>
                <w:szCs w:val="20"/>
                <w:color w:val="auto"/>
              </w:rPr>
            </w:pPr>
            <w:r>
              <w:rPr>
                <w:rFonts w:ascii="Arial" w:cs="Arial" w:eastAsia="Arial" w:hAnsi="Arial"/>
                <w:sz w:val="16"/>
                <w:szCs w:val="16"/>
                <w:color w:val="auto"/>
              </w:rPr>
              <w:t>$  1.44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gridSpan w:val="3"/>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ind w:left="180"/>
              <w:spacing w:after="0" w:line="181" w:lineRule="exact"/>
              <w:rPr>
                <w:sz w:val="20"/>
                <w:szCs w:val="20"/>
                <w:color w:val="auto"/>
              </w:rPr>
            </w:pPr>
            <w:r>
              <w:rPr>
                <w:rFonts w:ascii="Arial" w:cs="Arial" w:eastAsia="Arial" w:hAnsi="Arial"/>
                <w:sz w:val="16"/>
                <w:szCs w:val="16"/>
                <w:color w:val="auto"/>
              </w:rPr>
              <w:t>1.62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600" w:type="dxa"/>
            <w:vAlign w:val="bottom"/>
            <w:vMerge w:val="restart"/>
          </w:tcPr>
          <w:p>
            <w:pPr>
              <w:spacing w:after="0"/>
              <w:rPr>
                <w:sz w:val="20"/>
                <w:szCs w:val="20"/>
                <w:color w:val="auto"/>
              </w:rPr>
            </w:pPr>
            <w:r>
              <w:rPr>
                <w:rFonts w:ascii="Arial" w:cs="Arial" w:eastAsia="Arial" w:hAnsi="Arial"/>
                <w:sz w:val="16"/>
                <w:szCs w:val="16"/>
                <w:color w:val="auto"/>
              </w:rPr>
              <w:t>Per share impact of</w:t>
            </w:r>
          </w:p>
        </w:tc>
        <w:tc>
          <w:tcPr>
            <w:tcW w:w="100" w:type="dxa"/>
            <w:vAlign w:val="bottom"/>
            <w:tcBorders>
              <w:left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600" w:type="dxa"/>
            <w:vAlign w:val="bottom"/>
          </w:tcPr>
          <w:p>
            <w:pPr>
              <w:ind w:left="100"/>
              <w:spacing w:after="0"/>
              <w:rPr>
                <w:sz w:val="20"/>
                <w:szCs w:val="20"/>
                <w:color w:val="auto"/>
              </w:rPr>
            </w:pPr>
            <w:r>
              <w:rPr>
                <w:rFonts w:ascii="Arial" w:cs="Arial" w:eastAsia="Arial" w:hAnsi="Arial"/>
                <w:sz w:val="16"/>
                <w:szCs w:val="16"/>
                <w:color w:val="auto"/>
              </w:rPr>
              <w:t>expensing stock options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Borders>
              <w:right w:val="single" w:sz="8" w:color="auto"/>
            </w:tcBorders>
            <w:gridSpan w:val="6"/>
          </w:tcPr>
          <w:p>
            <w:pPr>
              <w:ind w:left="120"/>
              <w:spacing w:after="0" w:line="249" w:lineRule="exact"/>
              <w:rPr>
                <w:sz w:val="20"/>
                <w:szCs w:val="20"/>
                <w:color w:val="auto"/>
              </w:rPr>
            </w:pPr>
            <w:r>
              <w:rPr>
                <w:rFonts w:ascii="Arial" w:cs="Arial" w:eastAsia="Arial" w:hAnsi="Arial"/>
                <w:sz w:val="16"/>
                <w:szCs w:val="16"/>
                <w:color w:val="auto"/>
                <w:w w:val="97"/>
              </w:rPr>
              <w:t>(0.10)</w:t>
            </w:r>
            <w:r>
              <w:rPr>
                <w:rFonts w:ascii="Arial" w:cs="Arial" w:eastAsia="Arial" w:hAnsi="Arial"/>
                <w:sz w:val="27"/>
                <w:szCs w:val="27"/>
                <w:color w:val="auto"/>
                <w:w w:val="97"/>
                <w:vertAlign w:val="superscript"/>
              </w:rPr>
              <w:t>(6)</w:t>
            </w:r>
          </w:p>
        </w:tc>
        <w:tc>
          <w:tcPr>
            <w:tcW w:w="0" w:type="dxa"/>
            <w:vAlign w:val="bottom"/>
          </w:tcPr>
          <w:p>
            <w:pPr>
              <w:spacing w:after="0"/>
              <w:rPr>
                <w:sz w:val="1"/>
                <w:szCs w:val="1"/>
                <w:color w:val="auto"/>
              </w:rPr>
            </w:pPr>
          </w:p>
        </w:tc>
      </w:tr>
      <w:tr>
        <w:trPr>
          <w:trHeight w:val="474"/>
        </w:trPr>
        <w:tc>
          <w:tcPr>
            <w:tcW w:w="2600" w:type="dxa"/>
            <w:vAlign w:val="bottom"/>
          </w:tcPr>
          <w:p>
            <w:pPr>
              <w:spacing w:after="0"/>
              <w:rPr>
                <w:sz w:val="20"/>
                <w:szCs w:val="20"/>
                <w:color w:val="auto"/>
              </w:rPr>
            </w:pPr>
            <w:r>
              <w:rPr>
                <w:rFonts w:ascii="Arial" w:cs="Arial" w:eastAsia="Arial" w:hAnsi="Arial"/>
                <w:sz w:val="16"/>
                <w:szCs w:val="16"/>
                <w:color w:val="auto"/>
              </w:rPr>
              <w:t>Diluted net income per</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00" w:type="dxa"/>
            <w:vAlign w:val="bottom"/>
          </w:tcPr>
          <w:p>
            <w:pPr>
              <w:ind w:left="100"/>
              <w:spacing w:after="0"/>
              <w:rPr>
                <w:sz w:val="20"/>
                <w:szCs w:val="20"/>
                <w:color w:val="auto"/>
              </w:rPr>
            </w:pPr>
            <w:r>
              <w:rPr>
                <w:rFonts w:ascii="Arial" w:cs="Arial" w:eastAsia="Arial" w:hAnsi="Arial"/>
                <w:sz w:val="16"/>
                <w:szCs w:val="16"/>
                <w:color w:val="auto"/>
              </w:rPr>
              <w:t>common share as adjusted</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gridSpan w:val="3"/>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6"/>
          </w:tcPr>
          <w:p>
            <w:pPr>
              <w:ind w:left="180"/>
              <w:spacing w:after="0" w:line="249" w:lineRule="exact"/>
              <w:rPr>
                <w:sz w:val="20"/>
                <w:szCs w:val="20"/>
                <w:color w:val="auto"/>
              </w:rPr>
            </w:pPr>
            <w:r>
              <w:rPr>
                <w:rFonts w:ascii="Arial" w:cs="Arial" w:eastAsia="Arial" w:hAnsi="Arial"/>
                <w:sz w:val="16"/>
                <w:szCs w:val="16"/>
                <w:color w:val="auto"/>
              </w:rPr>
              <w:t>1.52</w:t>
            </w:r>
            <w:r>
              <w:rPr>
                <w:rFonts w:ascii="Arial" w:cs="Arial" w:eastAsia="Arial" w:hAnsi="Arial"/>
                <w:sz w:val="27"/>
                <w:szCs w:val="27"/>
                <w:color w:val="auto"/>
                <w:vertAlign w:val="superscript"/>
              </w:rPr>
              <w:t>(6)</w:t>
            </w: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260" w:hanging="252"/>
        <w:spacing w:after="0" w:line="242" w:lineRule="auto"/>
        <w:tabs>
          <w:tab w:leader="none" w:pos="260" w:val="left"/>
        </w:tabs>
        <w:numPr>
          <w:ilvl w:val="0"/>
          <w:numId w:val="9"/>
        </w:numPr>
        <w:rPr>
          <w:rFonts w:ascii="Arial" w:cs="Arial" w:eastAsia="Arial" w:hAnsi="Arial"/>
          <w:sz w:val="17"/>
          <w:szCs w:val="17"/>
          <w:color w:val="auto"/>
        </w:rPr>
      </w:pPr>
      <w:r>
        <w:rPr>
          <w:rFonts w:ascii="Arial" w:cs="Arial" w:eastAsia="Arial" w:hAnsi="Arial"/>
          <w:sz w:val="20"/>
          <w:szCs w:val="20"/>
          <w:color w:val="auto"/>
        </w:rPr>
        <w:t>Includes (a) the gain associated with the sale by the Company on January 31, 2006 of minority interests in certain entities that operate various licensed Calvin Klein jeans and sportswear businesses in Europe and Asia; (b) costs resulting from the departure in February 2006 of Mark Weber, the Company’s former Chief Executive Officer; and (c) costs associated with the closing in May 2006 of the Company’s apparel manufacturing facility in Ozark, Alabama.</w:t>
      </w:r>
    </w:p>
    <w:p>
      <w:pPr>
        <w:spacing w:after="0" w:line="206" w:lineRule="exact"/>
        <w:rPr>
          <w:rFonts w:ascii="Arial" w:cs="Arial" w:eastAsia="Arial" w:hAnsi="Arial"/>
          <w:sz w:val="17"/>
          <w:szCs w:val="17"/>
          <w:color w:val="auto"/>
        </w:rPr>
      </w:pPr>
    </w:p>
    <w:p>
      <w:pPr>
        <w:jc w:val="both"/>
        <w:ind w:left="260" w:hanging="252"/>
        <w:spacing w:after="0" w:line="243" w:lineRule="auto"/>
        <w:tabs>
          <w:tab w:leader="none" w:pos="260" w:val="left"/>
        </w:tabs>
        <w:numPr>
          <w:ilvl w:val="0"/>
          <w:numId w:val="9"/>
        </w:numPr>
        <w:rPr>
          <w:rFonts w:ascii="Arial" w:cs="Arial" w:eastAsia="Arial" w:hAnsi="Arial"/>
          <w:sz w:val="17"/>
          <w:szCs w:val="17"/>
          <w:color w:val="auto"/>
        </w:rPr>
      </w:pPr>
      <w:r>
        <w:rPr>
          <w:rFonts w:ascii="Arial" w:cs="Arial" w:eastAsia="Arial" w:hAnsi="Arial"/>
          <w:sz w:val="20"/>
          <w:szCs w:val="20"/>
          <w:color w:val="auto"/>
        </w:rPr>
        <w:t>Elimination of dividends on preferred stock which would not have been included in the EPS computation under the if-converted method if the inducement payment and offering costs had not been incurred. Eliminating such costs requires an EPS recalculation when applying the if-converted method of calculating diluted earnings per share.</w:t>
      </w:r>
    </w:p>
    <w:p>
      <w:pPr>
        <w:spacing w:after="0" w:line="219" w:lineRule="exact"/>
        <w:rPr>
          <w:rFonts w:ascii="Arial" w:cs="Arial" w:eastAsia="Arial" w:hAnsi="Arial"/>
          <w:sz w:val="17"/>
          <w:szCs w:val="17"/>
          <w:color w:val="auto"/>
        </w:rPr>
      </w:pPr>
    </w:p>
    <w:p>
      <w:pPr>
        <w:jc w:val="both"/>
        <w:ind w:left="260" w:hanging="252"/>
        <w:spacing w:after="0" w:line="242" w:lineRule="auto"/>
        <w:tabs>
          <w:tab w:leader="none" w:pos="260" w:val="left"/>
        </w:tabs>
        <w:numPr>
          <w:ilvl w:val="0"/>
          <w:numId w:val="9"/>
        </w:numPr>
        <w:rPr>
          <w:rFonts w:ascii="Arial" w:cs="Arial" w:eastAsia="Arial" w:hAnsi="Arial"/>
          <w:sz w:val="17"/>
          <w:szCs w:val="17"/>
          <w:color w:val="auto"/>
        </w:rPr>
      </w:pPr>
      <w:r>
        <w:rPr>
          <w:rFonts w:ascii="Arial" w:cs="Arial" w:eastAsia="Arial" w:hAnsi="Arial"/>
          <w:sz w:val="20"/>
          <w:szCs w:val="20"/>
          <w:color w:val="auto"/>
        </w:rPr>
        <w:t>Elimination of May 2006 inducement payment and offering costs associated with the conversion of preferred shares and the sale of shares of common stock issued upon conversion. The inducement payment and offering costs include (a) an inducement payment of $0.88 per share of common stock received upon conversion, or an aggregate of $10.2 million, and (b) certain costs, totaling $0.7 million, incurred by the Company in connection with the secondary common stock offering.</w:t>
      </w:r>
    </w:p>
    <w:p>
      <w:pPr>
        <w:sectPr>
          <w:pgSz w:w="11900" w:h="16838" w:orient="portrait"/>
          <w:cols w:equalWidth="0" w:num="1">
            <w:col w:w="11420"/>
          </w:cols>
          <w:pgMar w:left="240" w:top="1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36" w:right="239" w:bottom="1440" w:gutter="0" w:footer="0" w:header="0"/>
          <w:type w:val="continuous"/>
        </w:sectPr>
      </w:pPr>
    </w:p>
    <w:bookmarkStart w:id="15" w:name="page16"/>
    <w:bookmarkEnd w:id="15"/>
    <w:p>
      <w:pPr>
        <w:jc w:val="both"/>
        <w:ind w:left="260" w:hanging="252"/>
        <w:spacing w:after="0" w:line="241"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20"/>
          <w:szCs w:val="20"/>
          <w:color w:val="auto"/>
        </w:rPr>
        <w:t>Elimination of July 2005 inducement payment and offering costs associated with the conversion of preferred shares and the sale of the shares of common stock issued upon conversion. The inducement payment and offering costs include (a) an inducement payment of $1.75 per share of common stock sold in the secondary common stock offering, or an aggregate of $12.9 million, and (b) certain costs, totaling $1.3 million, incurred by the Company in connection with the secondary common stock offering.</w:t>
      </w:r>
    </w:p>
    <w:p>
      <w:pPr>
        <w:spacing w:after="0" w:line="209" w:lineRule="exact"/>
        <w:rPr>
          <w:rFonts w:ascii="Arial" w:cs="Arial" w:eastAsia="Arial" w:hAnsi="Arial"/>
          <w:sz w:val="17"/>
          <w:szCs w:val="17"/>
          <w:color w:val="auto"/>
        </w:rPr>
      </w:pPr>
    </w:p>
    <w:p>
      <w:pPr>
        <w:ind w:left="260" w:right="20" w:hanging="252"/>
        <w:spacing w:after="0" w:line="247"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20"/>
          <w:szCs w:val="20"/>
          <w:color w:val="auto"/>
        </w:rPr>
        <w:t>Additional shares which would have been included in the EPS computation under the if-converted method if the inducement payment and offering costs had not been incurred.</w:t>
      </w:r>
    </w:p>
    <w:p>
      <w:pPr>
        <w:spacing w:after="0" w:line="215" w:lineRule="exact"/>
        <w:rPr>
          <w:rFonts w:ascii="Arial" w:cs="Arial" w:eastAsia="Arial" w:hAnsi="Arial"/>
          <w:sz w:val="17"/>
          <w:szCs w:val="17"/>
          <w:color w:val="auto"/>
        </w:rPr>
      </w:pPr>
    </w:p>
    <w:p>
      <w:pPr>
        <w:jc w:val="both"/>
        <w:ind w:left="260" w:hanging="252"/>
        <w:spacing w:after="0" w:line="243"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20"/>
          <w:szCs w:val="20"/>
          <w:color w:val="auto"/>
        </w:rPr>
        <w:t>The adjustment to include the impact of expensing stock options for 2005 is for illustrative purposes only. The Company did not expense stock options in fiscal 2005. The Company implemented the provisions of SFAS 123R beginning in the first quarter of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49" w:right="239" w:bottom="1440" w:gutter="0" w:footer="0" w:header="0"/>
        </w:sectPr>
      </w:pPr>
    </w:p>
    <w:bookmarkStart w:id="16" w:name="page17"/>
    <w:bookmarkEnd w:id="16"/>
    <w:p>
      <w:pPr>
        <w:spacing w:after="0"/>
        <w:rPr>
          <w:sz w:val="20"/>
          <w:szCs w:val="20"/>
          <w:color w:val="auto"/>
        </w:rPr>
      </w:pPr>
      <w:r>
        <w:rPr>
          <w:rFonts w:ascii="Arial" w:cs="Arial" w:eastAsia="Arial" w:hAnsi="Arial"/>
          <w:sz w:val="25"/>
          <w:szCs w:val="25"/>
          <w:b w:val="1"/>
          <w:bCs w:val="1"/>
          <w:i w:val="1"/>
          <w:iCs w:val="1"/>
          <w:color w:val="auto"/>
        </w:rPr>
        <w:t>PHILLIPS-VAN HEUSEN CORPORATION</w:t>
      </w:r>
    </w:p>
    <w:p>
      <w:pPr>
        <w:spacing w:after="0" w:line="9"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Consolidated Balance Sheets</w:t>
      </w:r>
    </w:p>
    <w:p>
      <w:pPr>
        <w:spacing w:after="0"/>
        <w:rPr>
          <w:sz w:val="20"/>
          <w:szCs w:val="20"/>
          <w:color w:val="auto"/>
        </w:rPr>
      </w:pPr>
      <w:r>
        <w:rPr>
          <w:rFonts w:ascii="Arial" w:cs="Arial" w:eastAsia="Arial" w:hAnsi="Arial"/>
          <w:sz w:val="25"/>
          <w:szCs w:val="25"/>
          <w:b w:val="1"/>
          <w:bCs w:val="1"/>
          <w:i w:val="1"/>
          <w:iCs w:val="1"/>
          <w:color w:val="auto"/>
        </w:rPr>
        <w:t>(In thousands)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640" w:type="dxa"/>
            <w:vAlign w:val="bottom"/>
          </w:tcPr>
          <w:p>
            <w:pPr>
              <w:spacing w:after="0"/>
              <w:rPr>
                <w:sz w:val="22"/>
                <w:szCs w:val="22"/>
                <w:color w:val="auto"/>
              </w:rPr>
            </w:pPr>
          </w:p>
        </w:tc>
        <w:tc>
          <w:tcPr>
            <w:tcW w:w="1860" w:type="dxa"/>
            <w:vAlign w:val="bottom"/>
            <w:gridSpan w:val="6"/>
          </w:tcPr>
          <w:p>
            <w:pPr>
              <w:ind w:left="460"/>
              <w:spacing w:after="0"/>
              <w:rPr>
                <w:sz w:val="20"/>
                <w:szCs w:val="20"/>
                <w:color w:val="auto"/>
              </w:rPr>
            </w:pPr>
            <w:r>
              <w:rPr>
                <w:rFonts w:ascii="Arial" w:cs="Arial" w:eastAsia="Arial" w:hAnsi="Arial"/>
                <w:sz w:val="20"/>
                <w:szCs w:val="20"/>
                <w:b w:val="1"/>
                <w:bCs w:val="1"/>
                <w:color w:val="auto"/>
              </w:rPr>
              <w:t>October 29,</w:t>
            </w:r>
          </w:p>
        </w:tc>
        <w:tc>
          <w:tcPr>
            <w:tcW w:w="1100" w:type="dxa"/>
            <w:vAlign w:val="bottom"/>
            <w:gridSpan w:val="6"/>
          </w:tcPr>
          <w:p>
            <w:pPr>
              <w:ind w:left="20"/>
              <w:spacing w:after="0"/>
              <w:rPr>
                <w:sz w:val="20"/>
                <w:szCs w:val="20"/>
                <w:color w:val="auto"/>
              </w:rPr>
            </w:pPr>
            <w:r>
              <w:rPr>
                <w:rFonts w:ascii="Arial" w:cs="Arial" w:eastAsia="Arial" w:hAnsi="Arial"/>
                <w:sz w:val="20"/>
                <w:szCs w:val="20"/>
                <w:b w:val="1"/>
                <w:bCs w:val="1"/>
                <w:color w:val="auto"/>
                <w:w w:val="96"/>
              </w:rPr>
              <w:t>October 30,</w:t>
            </w:r>
          </w:p>
        </w:tc>
      </w:tr>
      <w:tr>
        <w:trPr>
          <w:trHeight w:val="217"/>
        </w:trPr>
        <w:tc>
          <w:tcPr>
            <w:tcW w:w="5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40"/>
              <w:spacing w:after="0" w:line="217" w:lineRule="exact"/>
              <w:rPr>
                <w:sz w:val="20"/>
                <w:szCs w:val="20"/>
                <w:color w:val="auto"/>
              </w:rPr>
            </w:pPr>
            <w:r>
              <w:rPr>
                <w:rFonts w:ascii="Arial" w:cs="Arial" w:eastAsia="Arial" w:hAnsi="Arial"/>
                <w:sz w:val="20"/>
                <w:szCs w:val="20"/>
                <w:b w:val="1"/>
                <w:bCs w:val="1"/>
                <w:color w:val="auto"/>
              </w:rPr>
              <w:t>2006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line="217" w:lineRule="exact"/>
              <w:rPr>
                <w:sz w:val="20"/>
                <w:szCs w:val="20"/>
                <w:color w:val="auto"/>
              </w:rPr>
            </w:pPr>
            <w:r>
              <w:rPr>
                <w:rFonts w:ascii="Arial" w:cs="Arial" w:eastAsia="Arial" w:hAnsi="Arial"/>
                <w:sz w:val="20"/>
                <w:szCs w:val="20"/>
                <w:b w:val="1"/>
                <w:bCs w:val="1"/>
                <w:color w:val="auto"/>
              </w:rPr>
              <w:t>2005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81"/>
        </w:trPr>
        <w:tc>
          <w:tcPr>
            <w:tcW w:w="5640" w:type="dxa"/>
            <w:vAlign w:val="bottom"/>
          </w:tcPr>
          <w:p>
            <w:pPr>
              <w:spacing w:after="0"/>
              <w:rPr>
                <w:sz w:val="20"/>
                <w:szCs w:val="20"/>
                <w:color w:val="auto"/>
              </w:rPr>
            </w:pPr>
            <w:r>
              <w:rPr>
                <w:rFonts w:ascii="Arial" w:cs="Arial" w:eastAsia="Arial" w:hAnsi="Arial"/>
                <w:sz w:val="20"/>
                <w:szCs w:val="20"/>
                <w:color w:val="auto"/>
              </w:rPr>
              <w:t>ASSETS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20"/>
                <w:szCs w:val="20"/>
                <w:color w:val="auto"/>
              </w:rPr>
              <w:t>Current Assets: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7"/>
        </w:trPr>
        <w:tc>
          <w:tcPr>
            <w:tcW w:w="5640" w:type="dxa"/>
            <w:vAlign w:val="bottom"/>
          </w:tcPr>
          <w:p>
            <w:pPr>
              <w:ind w:left="320"/>
              <w:spacing w:after="0"/>
              <w:rPr>
                <w:sz w:val="20"/>
                <w:szCs w:val="20"/>
                <w:color w:val="auto"/>
              </w:rPr>
            </w:pPr>
            <w:r>
              <w:rPr>
                <w:rFonts w:ascii="Arial" w:cs="Arial" w:eastAsia="Arial" w:hAnsi="Arial"/>
                <w:sz w:val="20"/>
                <w:szCs w:val="20"/>
                <w:color w:val="auto"/>
              </w:rPr>
              <w:t>Cash and Cash Equivalents</w:t>
            </w:r>
          </w:p>
        </w:tc>
        <w:tc>
          <w:tcPr>
            <w:tcW w:w="580" w:type="dxa"/>
            <w:vAlign w:val="bottom"/>
            <w:gridSpan w:val="2"/>
          </w:tcPr>
          <w:p>
            <w:pPr>
              <w:ind w:left="460"/>
              <w:spacing w:after="0"/>
              <w:rPr>
                <w:sz w:val="20"/>
                <w:szCs w:val="20"/>
                <w:color w:val="auto"/>
              </w:rPr>
            </w:pPr>
            <w:r>
              <w:rPr>
                <w:rFonts w:ascii="Arial" w:cs="Arial" w:eastAsia="Arial" w:hAnsi="Arial"/>
                <w:sz w:val="20"/>
                <w:szCs w:val="20"/>
                <w:color w:val="auto"/>
                <w:w w:val="89"/>
              </w:rPr>
              <w:t>$</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358,602</w:t>
            </w:r>
          </w:p>
        </w:tc>
        <w:tc>
          <w:tcPr>
            <w:tcW w:w="40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900" w:type="dxa"/>
            <w:vAlign w:val="bottom"/>
            <w:gridSpan w:val="4"/>
          </w:tcPr>
          <w:p>
            <w:pPr>
              <w:jc w:val="right"/>
              <w:ind w:right="20"/>
              <w:spacing w:after="0"/>
              <w:rPr>
                <w:sz w:val="20"/>
                <w:szCs w:val="20"/>
                <w:color w:val="auto"/>
              </w:rPr>
            </w:pPr>
            <w:r>
              <w:rPr>
                <w:rFonts w:ascii="Arial" w:cs="Arial" w:eastAsia="Arial" w:hAnsi="Arial"/>
                <w:sz w:val="20"/>
                <w:szCs w:val="20"/>
                <w:color w:val="auto"/>
              </w:rPr>
              <w:t>170,265</w:t>
            </w:r>
          </w:p>
        </w:tc>
        <w:tc>
          <w:tcPr>
            <w:tcW w:w="80" w:type="dxa"/>
            <w:vAlign w:val="bottom"/>
          </w:tcPr>
          <w:p>
            <w:pPr>
              <w:spacing w:after="0"/>
              <w:rPr>
                <w:sz w:val="22"/>
                <w:szCs w:val="22"/>
                <w:color w:val="auto"/>
              </w:rPr>
            </w:pPr>
          </w:p>
        </w:tc>
      </w:tr>
      <w:tr>
        <w:trPr>
          <w:trHeight w:val="257"/>
        </w:trPr>
        <w:tc>
          <w:tcPr>
            <w:tcW w:w="5640" w:type="dxa"/>
            <w:vAlign w:val="bottom"/>
          </w:tcPr>
          <w:p>
            <w:pPr>
              <w:ind w:left="320"/>
              <w:spacing w:after="0"/>
              <w:rPr>
                <w:sz w:val="20"/>
                <w:szCs w:val="20"/>
                <w:color w:val="auto"/>
              </w:rPr>
            </w:pPr>
            <w:r>
              <w:rPr>
                <w:rFonts w:ascii="Arial" w:cs="Arial" w:eastAsia="Arial" w:hAnsi="Arial"/>
                <w:sz w:val="20"/>
                <w:szCs w:val="20"/>
                <w:color w:val="auto"/>
              </w:rPr>
              <w:t>Receivables</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20"/>
                <w:szCs w:val="20"/>
                <w:color w:val="auto"/>
              </w:rPr>
              <w:t>168,742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20"/>
                <w:szCs w:val="20"/>
                <w:color w:val="auto"/>
              </w:rPr>
              <w:t>189,679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7"/>
        </w:trPr>
        <w:tc>
          <w:tcPr>
            <w:tcW w:w="5640" w:type="dxa"/>
            <w:vAlign w:val="bottom"/>
          </w:tcPr>
          <w:p>
            <w:pPr>
              <w:ind w:left="320"/>
              <w:spacing w:after="0"/>
              <w:rPr>
                <w:sz w:val="20"/>
                <w:szCs w:val="20"/>
                <w:color w:val="auto"/>
              </w:rPr>
            </w:pPr>
            <w:r>
              <w:rPr>
                <w:rFonts w:ascii="Arial" w:cs="Arial" w:eastAsia="Arial" w:hAnsi="Arial"/>
                <w:sz w:val="20"/>
                <w:szCs w:val="20"/>
                <w:color w:val="auto"/>
              </w:rPr>
              <w:t>Inventories</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20"/>
                <w:szCs w:val="20"/>
                <w:color w:val="auto"/>
              </w:rPr>
              <w:t>280,762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20"/>
                <w:szCs w:val="20"/>
                <w:color w:val="auto"/>
              </w:rPr>
              <w:t>262,874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2"/>
        </w:trPr>
        <w:tc>
          <w:tcPr>
            <w:tcW w:w="5640" w:type="dxa"/>
            <w:vAlign w:val="bottom"/>
          </w:tcPr>
          <w:p>
            <w:pPr>
              <w:ind w:left="320"/>
              <w:spacing w:after="0" w:line="212" w:lineRule="exact"/>
              <w:rPr>
                <w:sz w:val="20"/>
                <w:szCs w:val="20"/>
                <w:color w:val="auto"/>
              </w:rPr>
            </w:pPr>
            <w:r>
              <w:rPr>
                <w:rFonts w:ascii="Arial" w:cs="Arial" w:eastAsia="Arial" w:hAnsi="Arial"/>
                <w:sz w:val="20"/>
                <w:szCs w:val="20"/>
                <w:color w:val="auto"/>
              </w:rPr>
              <w:t>Other, including deferred taxes of $23,435 and $13,666</w:t>
            </w: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line="212" w:lineRule="exact"/>
              <w:rPr>
                <w:sz w:val="20"/>
                <w:szCs w:val="20"/>
                <w:color w:val="auto"/>
              </w:rPr>
            </w:pPr>
            <w:r>
              <w:rPr>
                <w:rFonts w:ascii="Arial" w:cs="Arial" w:eastAsia="Arial" w:hAnsi="Arial"/>
                <w:sz w:val="20"/>
                <w:szCs w:val="20"/>
                <w:color w:val="auto"/>
              </w:rPr>
              <w:t>34,397</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line="212" w:lineRule="exact"/>
              <w:rPr>
                <w:sz w:val="20"/>
                <w:szCs w:val="20"/>
                <w:color w:val="auto"/>
              </w:rPr>
            </w:pPr>
            <w:r>
              <w:rPr>
                <w:rFonts w:ascii="Arial" w:cs="Arial" w:eastAsia="Arial" w:hAnsi="Arial"/>
                <w:sz w:val="20"/>
                <w:szCs w:val="20"/>
                <w:color w:val="auto"/>
              </w:rPr>
              <w:t>22,667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81"/>
        </w:trPr>
        <w:tc>
          <w:tcPr>
            <w:tcW w:w="5640" w:type="dxa"/>
            <w:vAlign w:val="bottom"/>
          </w:tcPr>
          <w:p>
            <w:pPr>
              <w:ind w:left="720"/>
              <w:spacing w:after="0"/>
              <w:rPr>
                <w:sz w:val="20"/>
                <w:szCs w:val="20"/>
                <w:color w:val="auto"/>
              </w:rPr>
            </w:pPr>
            <w:r>
              <w:rPr>
                <w:rFonts w:ascii="Arial" w:cs="Arial" w:eastAsia="Arial" w:hAnsi="Arial"/>
                <w:sz w:val="20"/>
                <w:szCs w:val="20"/>
                <w:color w:val="auto"/>
              </w:rPr>
              <w:t>Total Current Assets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20"/>
                <w:szCs w:val="20"/>
                <w:color w:val="auto"/>
              </w:rPr>
              <w:t>842,503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20"/>
                <w:szCs w:val="20"/>
                <w:color w:val="auto"/>
              </w:rPr>
              <w:t>645,485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20"/>
                <w:szCs w:val="20"/>
                <w:color w:val="auto"/>
              </w:rPr>
              <w:t>Property, Plant and Equipment</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20"/>
                <w:szCs w:val="20"/>
                <w:color w:val="auto"/>
              </w:rPr>
              <w:t>157,689</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20"/>
                <w:szCs w:val="20"/>
                <w:color w:val="auto"/>
              </w:rPr>
              <w:t>155,566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20"/>
                <w:szCs w:val="20"/>
                <w:color w:val="auto"/>
              </w:rPr>
              <w:t>Goodwill and Other Intangible Assets</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20"/>
                <w:szCs w:val="20"/>
                <w:color w:val="auto"/>
              </w:rPr>
              <w:t>920,409</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20"/>
                <w:szCs w:val="20"/>
                <w:color w:val="auto"/>
              </w:rPr>
              <w:t>893,225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2"/>
        </w:trPr>
        <w:tc>
          <w:tcPr>
            <w:tcW w:w="5640" w:type="dxa"/>
            <w:vAlign w:val="bottom"/>
          </w:tcPr>
          <w:p>
            <w:pPr>
              <w:spacing w:after="0" w:line="212" w:lineRule="exact"/>
              <w:rPr>
                <w:sz w:val="20"/>
                <w:szCs w:val="20"/>
                <w:color w:val="auto"/>
              </w:rPr>
            </w:pPr>
            <w:r>
              <w:rPr>
                <w:rFonts w:ascii="Arial" w:cs="Arial" w:eastAsia="Arial" w:hAnsi="Arial"/>
                <w:sz w:val="20"/>
                <w:szCs w:val="20"/>
                <w:color w:val="auto"/>
              </w:rPr>
              <w:t>Other</w:t>
            </w: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line="212" w:lineRule="exact"/>
              <w:rPr>
                <w:sz w:val="20"/>
                <w:szCs w:val="20"/>
                <w:color w:val="auto"/>
              </w:rPr>
            </w:pPr>
            <w:r>
              <w:rPr>
                <w:rFonts w:ascii="Arial" w:cs="Arial" w:eastAsia="Arial" w:hAnsi="Arial"/>
                <w:sz w:val="20"/>
                <w:szCs w:val="20"/>
                <w:color w:val="auto"/>
              </w:rPr>
              <w:t>24,308</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line="212" w:lineRule="exact"/>
              <w:rPr>
                <w:sz w:val="20"/>
                <w:szCs w:val="20"/>
                <w:color w:val="auto"/>
              </w:rPr>
            </w:pPr>
            <w:r>
              <w:rPr>
                <w:rFonts w:ascii="Arial" w:cs="Arial" w:eastAsia="Arial" w:hAnsi="Arial"/>
                <w:sz w:val="20"/>
                <w:szCs w:val="20"/>
                <w:color w:val="auto"/>
              </w:rPr>
              <w:t>29,448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5640" w:type="dxa"/>
            <w:vAlign w:val="bottom"/>
          </w:tcPr>
          <w:p>
            <w:pPr>
              <w:spacing w:after="0"/>
              <w:rPr>
                <w:sz w:val="20"/>
                <w:szCs w:val="20"/>
                <w:color w:val="auto"/>
              </w:rPr>
            </w:pPr>
          </w:p>
        </w:tc>
        <w:tc>
          <w:tcPr>
            <w:tcW w:w="580" w:type="dxa"/>
            <w:vAlign w:val="bottom"/>
            <w:gridSpan w:val="2"/>
          </w:tcPr>
          <w:p>
            <w:pPr>
              <w:ind w:left="460"/>
              <w:spacing w:after="0"/>
              <w:rPr>
                <w:sz w:val="20"/>
                <w:szCs w:val="20"/>
                <w:color w:val="auto"/>
              </w:rPr>
            </w:pPr>
            <w:r>
              <w:rPr>
                <w:rFonts w:ascii="Arial" w:cs="Arial" w:eastAsia="Arial" w:hAnsi="Arial"/>
                <w:sz w:val="20"/>
                <w:szCs w:val="20"/>
                <w:u w:val="single" w:color="auto"/>
                <w:color w:val="auto"/>
                <w:w w:val="89"/>
              </w:rPr>
              <w:t>$</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w w:val="96"/>
              </w:rPr>
              <w:t>1,944,909</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20"/>
                <w:szCs w:val="20"/>
                <w:u w:val="single" w:color="auto"/>
                <w:color w:val="auto"/>
                <w:w w:val="89"/>
              </w:rPr>
              <w:t>$</w:t>
            </w:r>
          </w:p>
        </w:tc>
        <w:tc>
          <w:tcPr>
            <w:tcW w:w="980" w:type="dxa"/>
            <w:vAlign w:val="bottom"/>
            <w:gridSpan w:val="5"/>
          </w:tcPr>
          <w:p>
            <w:pPr>
              <w:jc w:val="right"/>
              <w:ind w:right="100"/>
              <w:spacing w:after="0"/>
              <w:rPr>
                <w:sz w:val="20"/>
                <w:szCs w:val="20"/>
                <w:color w:val="auto"/>
              </w:rPr>
            </w:pPr>
            <w:r>
              <w:rPr>
                <w:rFonts w:ascii="Arial" w:cs="Arial" w:eastAsia="Arial" w:hAnsi="Arial"/>
                <w:sz w:val="20"/>
                <w:szCs w:val="20"/>
                <w:color w:val="auto"/>
                <w:w w:val="96"/>
              </w:rPr>
              <w:t>1,723,724</w:t>
            </w:r>
          </w:p>
        </w:tc>
      </w:tr>
      <w:tr>
        <w:trPr>
          <w:trHeight w:val="538"/>
        </w:trPr>
        <w:tc>
          <w:tcPr>
            <w:tcW w:w="5640" w:type="dxa"/>
            <w:vAlign w:val="bottom"/>
          </w:tcPr>
          <w:p>
            <w:pPr>
              <w:spacing w:after="0"/>
              <w:rPr>
                <w:sz w:val="20"/>
                <w:szCs w:val="20"/>
                <w:color w:val="auto"/>
              </w:rPr>
            </w:pPr>
            <w:r>
              <w:rPr>
                <w:rFonts w:ascii="Arial" w:cs="Arial" w:eastAsia="Arial" w:hAnsi="Arial"/>
                <w:sz w:val="20"/>
                <w:szCs w:val="20"/>
                <w:color w:val="auto"/>
              </w:rPr>
              <w:t>LIABILITIES AND STOCKHOLDERS’ EQUITY</w:t>
            </w: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20"/>
                <w:szCs w:val="20"/>
                <w:color w:val="auto"/>
              </w:rPr>
              <w:t>Accounts Payable and Accrued Expenses</w:t>
            </w:r>
          </w:p>
        </w:tc>
        <w:tc>
          <w:tcPr>
            <w:tcW w:w="580" w:type="dxa"/>
            <w:vAlign w:val="bottom"/>
            <w:gridSpan w:val="2"/>
          </w:tcPr>
          <w:p>
            <w:pPr>
              <w:ind w:left="460"/>
              <w:spacing w:after="0"/>
              <w:rPr>
                <w:sz w:val="20"/>
                <w:szCs w:val="20"/>
                <w:color w:val="auto"/>
              </w:rPr>
            </w:pPr>
            <w:r>
              <w:rPr>
                <w:rFonts w:ascii="Arial" w:cs="Arial" w:eastAsia="Arial" w:hAnsi="Arial"/>
                <w:sz w:val="20"/>
                <w:szCs w:val="20"/>
                <w:color w:val="auto"/>
                <w:w w:val="89"/>
              </w:rPr>
              <w:t>$</w:t>
            </w: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248,074</w:t>
            </w:r>
          </w:p>
        </w:tc>
        <w:tc>
          <w:tcPr>
            <w:tcW w:w="40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900" w:type="dxa"/>
            <w:vAlign w:val="bottom"/>
            <w:gridSpan w:val="4"/>
          </w:tcPr>
          <w:p>
            <w:pPr>
              <w:jc w:val="right"/>
              <w:ind w:right="20"/>
              <w:spacing w:after="0"/>
              <w:rPr>
                <w:sz w:val="20"/>
                <w:szCs w:val="20"/>
                <w:color w:val="auto"/>
              </w:rPr>
            </w:pPr>
            <w:r>
              <w:rPr>
                <w:rFonts w:ascii="Arial" w:cs="Arial" w:eastAsia="Arial" w:hAnsi="Arial"/>
                <w:sz w:val="20"/>
                <w:szCs w:val="20"/>
                <w:color w:val="auto"/>
              </w:rPr>
              <w:t>217,170</w:t>
            </w:r>
          </w:p>
        </w:tc>
        <w:tc>
          <w:tcPr>
            <w:tcW w:w="80" w:type="dxa"/>
            <w:vAlign w:val="bottom"/>
          </w:tcPr>
          <w:p>
            <w:pPr>
              <w:spacing w:after="0"/>
              <w:rPr>
                <w:sz w:val="22"/>
                <w:szCs w:val="22"/>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20"/>
                <w:szCs w:val="20"/>
                <w:color w:val="auto"/>
              </w:rPr>
              <w:t>Other Liabilities, including deferred taxes of $265,704</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7"/>
        </w:trPr>
        <w:tc>
          <w:tcPr>
            <w:tcW w:w="5640" w:type="dxa"/>
            <w:vAlign w:val="bottom"/>
          </w:tcPr>
          <w:p>
            <w:pPr>
              <w:ind w:left="120"/>
              <w:spacing w:after="0"/>
              <w:rPr>
                <w:sz w:val="20"/>
                <w:szCs w:val="20"/>
                <w:color w:val="auto"/>
              </w:rPr>
            </w:pPr>
            <w:r>
              <w:rPr>
                <w:rFonts w:ascii="Arial" w:cs="Arial" w:eastAsia="Arial" w:hAnsi="Arial"/>
                <w:sz w:val="20"/>
                <w:szCs w:val="20"/>
                <w:color w:val="auto"/>
              </w:rPr>
              <w:t>and $233,141</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20"/>
                <w:szCs w:val="20"/>
                <w:color w:val="auto"/>
              </w:rPr>
              <w:t>393,916</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20"/>
                <w:szCs w:val="20"/>
                <w:color w:val="auto"/>
              </w:rPr>
              <w:t>381,665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20"/>
                <w:szCs w:val="20"/>
                <w:color w:val="auto"/>
              </w:rPr>
              <w:t>Long-Term Debt</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20"/>
                <w:szCs w:val="20"/>
                <w:color w:val="auto"/>
              </w:rPr>
              <w:t>399,535</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20"/>
                <w:szCs w:val="20"/>
                <w:color w:val="auto"/>
              </w:rPr>
              <w:t>399,522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20"/>
                <w:szCs w:val="20"/>
                <w:color w:val="auto"/>
              </w:rPr>
              <w:t>Series B Convertible Preferred Stock</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20"/>
                <w:szCs w:val="20"/>
                <w:color w:val="auto"/>
              </w:rPr>
              <w:t>161,926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2"/>
        </w:trPr>
        <w:tc>
          <w:tcPr>
            <w:tcW w:w="5640" w:type="dxa"/>
            <w:vAlign w:val="bottom"/>
          </w:tcPr>
          <w:p>
            <w:pPr>
              <w:spacing w:after="0" w:line="212" w:lineRule="exact"/>
              <w:rPr>
                <w:sz w:val="20"/>
                <w:szCs w:val="20"/>
                <w:color w:val="auto"/>
              </w:rPr>
            </w:pPr>
            <w:r>
              <w:rPr>
                <w:rFonts w:ascii="Arial" w:cs="Arial" w:eastAsia="Arial" w:hAnsi="Arial"/>
                <w:sz w:val="20"/>
                <w:szCs w:val="20"/>
                <w:color w:val="auto"/>
              </w:rPr>
              <w:t>Stockholders’ Equity</w:t>
            </w: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line="212" w:lineRule="exact"/>
              <w:rPr>
                <w:sz w:val="20"/>
                <w:szCs w:val="20"/>
                <w:color w:val="auto"/>
              </w:rPr>
            </w:pPr>
            <w:r>
              <w:rPr>
                <w:rFonts w:ascii="Arial" w:cs="Arial" w:eastAsia="Arial" w:hAnsi="Arial"/>
                <w:sz w:val="20"/>
                <w:szCs w:val="20"/>
                <w:color w:val="auto"/>
              </w:rPr>
              <w:t>903,384</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line="212" w:lineRule="exact"/>
              <w:rPr>
                <w:sz w:val="20"/>
                <w:szCs w:val="20"/>
                <w:color w:val="auto"/>
              </w:rPr>
            </w:pPr>
            <w:r>
              <w:rPr>
                <w:rFonts w:ascii="Arial" w:cs="Arial" w:eastAsia="Arial" w:hAnsi="Arial"/>
                <w:sz w:val="20"/>
                <w:szCs w:val="20"/>
                <w:color w:val="auto"/>
              </w:rPr>
              <w:t>563,441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5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20"/>
                <w:szCs w:val="20"/>
                <w:u w:val="single" w:color="auto"/>
                <w:color w:val="auto"/>
                <w:w w:val="89"/>
              </w:rPr>
              <w:t>$</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w w:val="96"/>
              </w:rPr>
              <w:t>1,944,909</w:t>
            </w: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20"/>
                <w:szCs w:val="20"/>
                <w:u w:val="single" w:color="auto"/>
                <w:color w:val="auto"/>
                <w:w w:val="89"/>
              </w:rPr>
              <w:t>$</w:t>
            </w:r>
          </w:p>
        </w:tc>
        <w:tc>
          <w:tcPr>
            <w:tcW w:w="9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20"/>
                <w:szCs w:val="20"/>
                <w:color w:val="auto"/>
                <w:w w:val="96"/>
              </w:rPr>
              <w:t>1,723,724</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0219"/>
          </w:cols>
          <w:pgMar w:left="240" w:top="84" w:right="1440"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i w:val="1"/>
          <w:iCs w:val="1"/>
          <w:color w:val="auto"/>
        </w:rPr>
        <w:t>PHILLIPS-VAN HEUSEN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Business Data</w:t>
      </w:r>
    </w:p>
    <w:p>
      <w:pPr>
        <w:spacing w:after="0"/>
        <w:rPr>
          <w:sz w:val="20"/>
          <w:szCs w:val="20"/>
          <w:color w:val="auto"/>
        </w:rPr>
      </w:pPr>
      <w:r>
        <w:rPr>
          <w:rFonts w:ascii="Arial" w:cs="Arial" w:eastAsia="Arial" w:hAnsi="Arial"/>
          <w:sz w:val="25"/>
          <w:szCs w:val="25"/>
          <w:b w:val="1"/>
          <w:bCs w:val="1"/>
          <w:i w:val="1"/>
          <w:iCs w:val="1"/>
          <w:color w:val="auto"/>
        </w:rPr>
        <w:t>(In thousands)</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13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20"/>
                <w:szCs w:val="20"/>
                <w:b w:val="1"/>
                <w:bCs w:val="1"/>
                <w:color w:val="auto"/>
                <w:w w:val="99"/>
              </w:rPr>
              <w:t>Quarter</w:t>
            </w:r>
          </w:p>
        </w:tc>
        <w:tc>
          <w:tcPr>
            <w:tcW w:w="440" w:type="dxa"/>
            <w:vAlign w:val="bottom"/>
          </w:tcPr>
          <w:p>
            <w:pPr>
              <w:spacing w:after="0"/>
              <w:rPr>
                <w:sz w:val="22"/>
                <w:szCs w:val="22"/>
                <w:color w:val="auto"/>
              </w:rPr>
            </w:pPr>
          </w:p>
        </w:tc>
        <w:tc>
          <w:tcPr>
            <w:tcW w:w="860" w:type="dxa"/>
            <w:vAlign w:val="bottom"/>
            <w:gridSpan w:val="4"/>
          </w:tcPr>
          <w:p>
            <w:pPr>
              <w:ind w:left="20"/>
              <w:spacing w:after="0"/>
              <w:rPr>
                <w:sz w:val="20"/>
                <w:szCs w:val="20"/>
                <w:color w:val="auto"/>
              </w:rPr>
            </w:pPr>
            <w:r>
              <w:rPr>
                <w:rFonts w:ascii="Arial" w:cs="Arial" w:eastAsia="Arial" w:hAnsi="Arial"/>
                <w:sz w:val="20"/>
                <w:szCs w:val="20"/>
                <w:b w:val="1"/>
                <w:bCs w:val="1"/>
                <w:color w:val="auto"/>
              </w:rPr>
              <w:t>Quarter</w:t>
            </w:r>
          </w:p>
        </w:tc>
      </w:tr>
      <w:tr>
        <w:trPr>
          <w:trHeight w:val="257"/>
        </w:trPr>
        <w:tc>
          <w:tcPr>
            <w:tcW w:w="13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20"/>
                <w:szCs w:val="20"/>
                <w:b w:val="1"/>
                <w:bCs w:val="1"/>
                <w:color w:val="auto"/>
                <w:w w:val="98"/>
              </w:rPr>
              <w:t>Ended</w:t>
            </w: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20"/>
                <w:szCs w:val="20"/>
                <w:b w:val="1"/>
                <w:bCs w:val="1"/>
                <w:color w:val="auto"/>
                <w:w w:val="98"/>
              </w:rPr>
              <w:t>Ended</w:t>
            </w:r>
          </w:p>
        </w:tc>
      </w:tr>
      <w:tr>
        <w:trPr>
          <w:trHeight w:val="217"/>
        </w:trPr>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00" w:type="dxa"/>
            <w:vAlign w:val="bottom"/>
            <w:gridSpan w:val="5"/>
          </w:tcPr>
          <w:p>
            <w:pPr>
              <w:jc w:val="center"/>
              <w:ind w:right="340"/>
              <w:spacing w:after="0" w:line="217" w:lineRule="exact"/>
              <w:rPr>
                <w:sz w:val="20"/>
                <w:szCs w:val="20"/>
                <w:color w:val="auto"/>
              </w:rPr>
            </w:pPr>
            <w:r>
              <w:rPr>
                <w:rFonts w:ascii="Arial" w:cs="Arial" w:eastAsia="Arial" w:hAnsi="Arial"/>
                <w:sz w:val="20"/>
                <w:szCs w:val="20"/>
                <w:b w:val="1"/>
                <w:bCs w:val="1"/>
                <w:color w:val="auto"/>
                <w:w w:val="97"/>
              </w:rPr>
              <w:t>10/29/06</w:t>
            </w:r>
          </w:p>
        </w:tc>
        <w:tc>
          <w:tcPr>
            <w:tcW w:w="1220" w:type="dxa"/>
            <w:vAlign w:val="bottom"/>
            <w:gridSpan w:val="4"/>
          </w:tcPr>
          <w:p>
            <w:pPr>
              <w:jc w:val="right"/>
              <w:spacing w:after="0" w:line="217" w:lineRule="exact"/>
              <w:rPr>
                <w:sz w:val="20"/>
                <w:szCs w:val="20"/>
                <w:color w:val="auto"/>
              </w:rPr>
            </w:pPr>
            <w:r>
              <w:rPr>
                <w:rFonts w:ascii="Arial" w:cs="Arial" w:eastAsia="Arial" w:hAnsi="Arial"/>
                <w:sz w:val="20"/>
                <w:szCs w:val="20"/>
                <w:b w:val="1"/>
                <w:bCs w:val="1"/>
                <w:color w:val="auto"/>
              </w:rPr>
              <w:t>10/30/05</w:t>
            </w:r>
          </w:p>
        </w:tc>
        <w:tc>
          <w:tcPr>
            <w:tcW w:w="80" w:type="dxa"/>
            <w:vAlign w:val="bottom"/>
          </w:tcPr>
          <w:p>
            <w:pPr>
              <w:spacing w:after="0"/>
              <w:rPr>
                <w:sz w:val="18"/>
                <w:szCs w:val="18"/>
                <w:color w:val="auto"/>
              </w:rPr>
            </w:pPr>
          </w:p>
        </w:tc>
      </w:tr>
      <w:tr>
        <w:trPr>
          <w:trHeight w:val="237"/>
        </w:trPr>
        <w:tc>
          <w:tcPr>
            <w:tcW w:w="6000" w:type="dxa"/>
            <w:vAlign w:val="bottom"/>
            <w:gridSpan w:val="4"/>
          </w:tcPr>
          <w:p>
            <w:pPr>
              <w:spacing w:after="0"/>
              <w:rPr>
                <w:sz w:val="20"/>
                <w:szCs w:val="20"/>
                <w:color w:val="auto"/>
              </w:rPr>
            </w:pPr>
            <w:r>
              <w:rPr>
                <w:rFonts w:ascii="Arial" w:cs="Arial" w:eastAsia="Arial" w:hAnsi="Arial"/>
                <w:sz w:val="20"/>
                <w:szCs w:val="20"/>
                <w:color w:val="auto"/>
              </w:rPr>
              <w:t>Revenues – Wholesale and Retail</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68"/>
        </w:trPr>
        <w:tc>
          <w:tcPr>
            <w:tcW w:w="298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Net sales</w:t>
            </w:r>
          </w:p>
        </w:tc>
        <w:tc>
          <w:tcPr>
            <w:tcW w:w="3020" w:type="dxa"/>
            <w:vAlign w:val="bottom"/>
            <w:gridSpan w:val="2"/>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720" w:type="dxa"/>
            <w:vAlign w:val="bottom"/>
          </w:tcPr>
          <w:p>
            <w:pPr>
              <w:jc w:val="right"/>
              <w:spacing w:after="0"/>
              <w:rPr>
                <w:sz w:val="20"/>
                <w:szCs w:val="20"/>
                <w:color w:val="auto"/>
              </w:rPr>
            </w:pPr>
            <w:r>
              <w:rPr>
                <w:rFonts w:ascii="Arial" w:cs="Arial" w:eastAsia="Arial" w:hAnsi="Arial"/>
                <w:sz w:val="20"/>
                <w:szCs w:val="20"/>
                <w:color w:val="auto"/>
                <w:w w:val="96"/>
              </w:rPr>
              <w:t>500,235</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gridSpan w:val="3"/>
          </w:tcPr>
          <w:p>
            <w:pPr>
              <w:ind w:left="480"/>
              <w:spacing w:after="0"/>
              <w:rPr>
                <w:sz w:val="20"/>
                <w:szCs w:val="20"/>
                <w:color w:val="auto"/>
              </w:rPr>
            </w:pPr>
            <w:r>
              <w:rPr>
                <w:rFonts w:ascii="Arial" w:cs="Arial" w:eastAsia="Arial" w:hAnsi="Arial"/>
                <w:sz w:val="20"/>
                <w:szCs w:val="20"/>
                <w:color w:val="auto"/>
                <w:w w:val="89"/>
              </w:rPr>
              <w:t>$</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w w:val="94"/>
              </w:rPr>
              <w:t>471,778</w:t>
            </w:r>
          </w:p>
        </w:tc>
      </w:tr>
      <w:tr>
        <w:trPr>
          <w:trHeight w:val="243"/>
        </w:trPr>
        <w:tc>
          <w:tcPr>
            <w:tcW w:w="6000" w:type="dxa"/>
            <w:vAlign w:val="bottom"/>
            <w:gridSpan w:val="4"/>
          </w:tcPr>
          <w:p>
            <w:pPr>
              <w:spacing w:after="0"/>
              <w:rPr>
                <w:sz w:val="20"/>
                <w:szCs w:val="20"/>
                <w:color w:val="auto"/>
              </w:rPr>
            </w:pPr>
            <w:r>
              <w:rPr>
                <w:rFonts w:ascii="Arial" w:cs="Arial" w:eastAsia="Arial" w:hAnsi="Arial"/>
                <w:sz w:val="20"/>
                <w:szCs w:val="20"/>
                <w:color w:val="auto"/>
              </w:rPr>
              <w:t>Royalty revenues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7,098</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20"/>
                <w:szCs w:val="20"/>
                <w:color w:val="auto"/>
              </w:rPr>
              <w:t>6,954</w:t>
            </w:r>
          </w:p>
        </w:tc>
      </w:tr>
      <w:tr>
        <w:trPr>
          <w:trHeight w:val="199"/>
        </w:trPr>
        <w:tc>
          <w:tcPr>
            <w:tcW w:w="6000" w:type="dxa"/>
            <w:vAlign w:val="bottom"/>
            <w:gridSpan w:val="4"/>
          </w:tcPr>
          <w:p>
            <w:pPr>
              <w:spacing w:after="0" w:line="199" w:lineRule="exact"/>
              <w:rPr>
                <w:sz w:val="20"/>
                <w:szCs w:val="20"/>
                <w:color w:val="auto"/>
              </w:rPr>
            </w:pPr>
            <w:r>
              <w:rPr>
                <w:rFonts w:ascii="Arial" w:cs="Arial" w:eastAsia="Arial" w:hAnsi="Arial"/>
                <w:sz w:val="20"/>
                <w:szCs w:val="20"/>
                <w:color w:val="auto"/>
              </w:rPr>
              <w:t>Advertising and other revenues</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20"/>
                <w:szCs w:val="20"/>
                <w:color w:val="auto"/>
              </w:rPr>
              <w:t>1,639</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line="199" w:lineRule="exact"/>
              <w:rPr>
                <w:sz w:val="20"/>
                <w:szCs w:val="20"/>
                <w:color w:val="auto"/>
              </w:rPr>
            </w:pPr>
            <w:r>
              <w:rPr>
                <w:rFonts w:ascii="Arial" w:cs="Arial" w:eastAsia="Arial" w:hAnsi="Arial"/>
                <w:sz w:val="20"/>
                <w:szCs w:val="20"/>
                <w:color w:val="auto"/>
              </w:rPr>
              <w:t>1,480</w:t>
            </w:r>
          </w:p>
        </w:tc>
      </w:tr>
      <w:tr>
        <w:trPr>
          <w:trHeight w:val="268"/>
        </w:trPr>
        <w:tc>
          <w:tcPr>
            <w:tcW w:w="6000" w:type="dxa"/>
            <w:vAlign w:val="bottom"/>
            <w:gridSpan w:val="4"/>
          </w:tcPr>
          <w:p>
            <w:pPr>
              <w:spacing w:after="0"/>
              <w:rPr>
                <w:sz w:val="20"/>
                <w:szCs w:val="20"/>
                <w:color w:val="auto"/>
              </w:rPr>
            </w:pPr>
            <w:r>
              <w:rPr>
                <w:rFonts w:ascii="Arial" w:cs="Arial" w:eastAsia="Arial" w:hAnsi="Arial"/>
                <w:sz w:val="20"/>
                <w:szCs w:val="20"/>
                <w:color w:val="auto"/>
              </w:rPr>
              <w:t>Total</w:t>
            </w:r>
          </w:p>
        </w:tc>
        <w:tc>
          <w:tcPr>
            <w:tcW w:w="840" w:type="dxa"/>
            <w:vAlign w:val="bottom"/>
            <w:gridSpan w:val="3"/>
          </w:tcPr>
          <w:p>
            <w:pPr>
              <w:jc w:val="center"/>
              <w:spacing w:after="0"/>
              <w:rPr>
                <w:sz w:val="20"/>
                <w:szCs w:val="20"/>
                <w:color w:val="auto"/>
              </w:rPr>
            </w:pPr>
            <w:r>
              <w:rPr>
                <w:rFonts w:ascii="Arial" w:cs="Arial" w:eastAsia="Arial" w:hAnsi="Arial"/>
                <w:sz w:val="20"/>
                <w:szCs w:val="20"/>
                <w:color w:val="auto"/>
                <w:w w:val="99"/>
              </w:rPr>
              <w:t>508,972</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00" w:type="dxa"/>
            <w:vAlign w:val="bottom"/>
            <w:gridSpan w:val="5"/>
          </w:tcPr>
          <w:p>
            <w:pPr>
              <w:jc w:val="right"/>
              <w:spacing w:after="0"/>
              <w:rPr>
                <w:sz w:val="20"/>
                <w:szCs w:val="20"/>
                <w:color w:val="auto"/>
              </w:rPr>
            </w:pPr>
            <w:r>
              <w:rPr>
                <w:rFonts w:ascii="Arial" w:cs="Arial" w:eastAsia="Arial" w:hAnsi="Arial"/>
                <w:sz w:val="20"/>
                <w:szCs w:val="20"/>
                <w:color w:val="auto"/>
              </w:rPr>
              <w:t>480,212</w:t>
            </w:r>
          </w:p>
        </w:tc>
      </w:tr>
      <w:tr>
        <w:trPr>
          <w:trHeight w:val="442"/>
        </w:trPr>
        <w:tc>
          <w:tcPr>
            <w:tcW w:w="6000" w:type="dxa"/>
            <w:vAlign w:val="bottom"/>
            <w:gridSpan w:val="4"/>
          </w:tcPr>
          <w:p>
            <w:pPr>
              <w:spacing w:after="0"/>
              <w:rPr>
                <w:sz w:val="20"/>
                <w:szCs w:val="20"/>
                <w:color w:val="auto"/>
              </w:rPr>
            </w:pPr>
            <w:r>
              <w:rPr>
                <w:rFonts w:ascii="Arial" w:cs="Arial" w:eastAsia="Arial" w:hAnsi="Arial"/>
                <w:sz w:val="20"/>
                <w:szCs w:val="20"/>
                <w:color w:val="auto"/>
              </w:rPr>
              <w:t>Revenues – Calvin Klein Licensing</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8"/>
        </w:trPr>
        <w:tc>
          <w:tcPr>
            <w:tcW w:w="304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Royalty revenues</w:t>
            </w:r>
          </w:p>
        </w:tc>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rPr>
              <w:t>44,939</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20"/>
                <w:szCs w:val="20"/>
                <w:color w:val="auto"/>
              </w:rPr>
              <w:t>40,605</w:t>
            </w:r>
          </w:p>
        </w:tc>
      </w:tr>
      <w:tr>
        <w:trPr>
          <w:trHeight w:val="199"/>
        </w:trPr>
        <w:tc>
          <w:tcPr>
            <w:tcW w:w="6000" w:type="dxa"/>
            <w:vAlign w:val="bottom"/>
            <w:gridSpan w:val="4"/>
          </w:tcPr>
          <w:p>
            <w:pPr>
              <w:spacing w:after="0" w:line="199" w:lineRule="exact"/>
              <w:rPr>
                <w:sz w:val="20"/>
                <w:szCs w:val="20"/>
                <w:color w:val="auto"/>
              </w:rPr>
            </w:pPr>
            <w:r>
              <w:rPr>
                <w:rFonts w:ascii="Arial" w:cs="Arial" w:eastAsia="Arial" w:hAnsi="Arial"/>
                <w:sz w:val="20"/>
                <w:szCs w:val="20"/>
                <w:color w:val="auto"/>
              </w:rPr>
              <w:t>Advertising and other revenues</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20"/>
                <w:szCs w:val="20"/>
                <w:color w:val="auto"/>
              </w:rPr>
              <w:t>14,350</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line="199" w:lineRule="exact"/>
              <w:rPr>
                <w:sz w:val="20"/>
                <w:szCs w:val="20"/>
                <w:color w:val="auto"/>
              </w:rPr>
            </w:pPr>
            <w:r>
              <w:rPr>
                <w:rFonts w:ascii="Arial" w:cs="Arial" w:eastAsia="Arial" w:hAnsi="Arial"/>
                <w:sz w:val="20"/>
                <w:szCs w:val="20"/>
                <w:color w:val="auto"/>
              </w:rPr>
              <w:t>12,364</w:t>
            </w:r>
          </w:p>
        </w:tc>
      </w:tr>
      <w:tr>
        <w:trPr>
          <w:trHeight w:val="268"/>
        </w:trPr>
        <w:tc>
          <w:tcPr>
            <w:tcW w:w="6000" w:type="dxa"/>
            <w:vAlign w:val="bottom"/>
            <w:gridSpan w:val="4"/>
          </w:tcPr>
          <w:p>
            <w:pPr>
              <w:spacing w:after="0"/>
              <w:rPr>
                <w:sz w:val="20"/>
                <w:szCs w:val="20"/>
                <w:color w:val="auto"/>
              </w:rPr>
            </w:pPr>
            <w:r>
              <w:rPr>
                <w:rFonts w:ascii="Arial" w:cs="Arial" w:eastAsia="Arial" w:hAnsi="Arial"/>
                <w:sz w:val="20"/>
                <w:szCs w:val="20"/>
                <w:color w:val="auto"/>
              </w:rPr>
              <w:t>Total</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rPr>
              <w:t>59,289</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20"/>
                <w:szCs w:val="20"/>
                <w:color w:val="auto"/>
              </w:rPr>
              <w:t>52,969</w:t>
            </w:r>
          </w:p>
        </w:tc>
      </w:tr>
      <w:tr>
        <w:trPr>
          <w:trHeight w:val="442"/>
        </w:trPr>
        <w:tc>
          <w:tcPr>
            <w:tcW w:w="6000" w:type="dxa"/>
            <w:vAlign w:val="bottom"/>
            <w:gridSpan w:val="4"/>
          </w:tcPr>
          <w:p>
            <w:pPr>
              <w:spacing w:after="0"/>
              <w:rPr>
                <w:sz w:val="20"/>
                <w:szCs w:val="20"/>
                <w:color w:val="auto"/>
              </w:rPr>
            </w:pPr>
            <w:r>
              <w:rPr>
                <w:rFonts w:ascii="Arial" w:cs="Arial" w:eastAsia="Arial" w:hAnsi="Arial"/>
                <w:sz w:val="20"/>
                <w:szCs w:val="20"/>
                <w:color w:val="auto"/>
              </w:rPr>
              <w:t>Total Revenues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8"/>
        </w:trPr>
        <w:tc>
          <w:tcPr>
            <w:tcW w:w="13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Net sales</w:t>
            </w:r>
          </w:p>
        </w:tc>
        <w:tc>
          <w:tcPr>
            <w:tcW w:w="4640" w:type="dxa"/>
            <w:vAlign w:val="bottom"/>
            <w:gridSpan w:val="3"/>
          </w:tcPr>
          <w:p>
            <w:pPr>
              <w:spacing w:after="0"/>
              <w:rPr>
                <w:sz w:val="23"/>
                <w:szCs w:val="23"/>
                <w:color w:val="auto"/>
              </w:rPr>
            </w:pPr>
          </w:p>
        </w:tc>
        <w:tc>
          <w:tcPr>
            <w:tcW w:w="840" w:type="dxa"/>
            <w:vAlign w:val="bottom"/>
            <w:gridSpan w:val="3"/>
          </w:tcPr>
          <w:p>
            <w:pPr>
              <w:jc w:val="center"/>
              <w:spacing w:after="0"/>
              <w:rPr>
                <w:sz w:val="20"/>
                <w:szCs w:val="20"/>
                <w:color w:val="auto"/>
              </w:rPr>
            </w:pPr>
            <w:r>
              <w:rPr>
                <w:rFonts w:ascii="Arial" w:cs="Arial" w:eastAsia="Arial" w:hAnsi="Arial"/>
                <w:sz w:val="20"/>
                <w:szCs w:val="20"/>
                <w:color w:val="auto"/>
                <w:w w:val="99"/>
              </w:rPr>
              <w:t>500,235</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00" w:type="dxa"/>
            <w:vAlign w:val="bottom"/>
            <w:gridSpan w:val="5"/>
          </w:tcPr>
          <w:p>
            <w:pPr>
              <w:jc w:val="right"/>
              <w:spacing w:after="0"/>
              <w:rPr>
                <w:sz w:val="20"/>
                <w:szCs w:val="20"/>
                <w:color w:val="auto"/>
              </w:rPr>
            </w:pPr>
            <w:r>
              <w:rPr>
                <w:rFonts w:ascii="Arial" w:cs="Arial" w:eastAsia="Arial" w:hAnsi="Arial"/>
                <w:sz w:val="20"/>
                <w:szCs w:val="20"/>
                <w:color w:val="auto"/>
              </w:rPr>
              <w:t>471,778</w:t>
            </w:r>
          </w:p>
        </w:tc>
      </w:tr>
      <w:tr>
        <w:trPr>
          <w:trHeight w:val="243"/>
        </w:trPr>
        <w:tc>
          <w:tcPr>
            <w:tcW w:w="6000" w:type="dxa"/>
            <w:vAlign w:val="bottom"/>
            <w:gridSpan w:val="4"/>
          </w:tcPr>
          <w:p>
            <w:pPr>
              <w:spacing w:after="0"/>
              <w:rPr>
                <w:sz w:val="20"/>
                <w:szCs w:val="20"/>
                <w:color w:val="auto"/>
              </w:rPr>
            </w:pPr>
            <w:r>
              <w:rPr>
                <w:rFonts w:ascii="Arial" w:cs="Arial" w:eastAsia="Arial" w:hAnsi="Arial"/>
                <w:sz w:val="20"/>
                <w:szCs w:val="20"/>
                <w:color w:val="auto"/>
              </w:rPr>
              <w:t>Royalty revenues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rPr>
              <w:t>52,037</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20"/>
                <w:szCs w:val="20"/>
                <w:color w:val="auto"/>
              </w:rPr>
              <w:t>47,559</w:t>
            </w:r>
          </w:p>
        </w:tc>
      </w:tr>
      <w:tr>
        <w:trPr>
          <w:trHeight w:val="199"/>
        </w:trPr>
        <w:tc>
          <w:tcPr>
            <w:tcW w:w="6000" w:type="dxa"/>
            <w:vAlign w:val="bottom"/>
            <w:gridSpan w:val="4"/>
          </w:tcPr>
          <w:p>
            <w:pPr>
              <w:spacing w:after="0" w:line="199" w:lineRule="exact"/>
              <w:rPr>
                <w:sz w:val="20"/>
                <w:szCs w:val="20"/>
                <w:color w:val="auto"/>
              </w:rPr>
            </w:pPr>
            <w:r>
              <w:rPr>
                <w:rFonts w:ascii="Arial" w:cs="Arial" w:eastAsia="Arial" w:hAnsi="Arial"/>
                <w:sz w:val="20"/>
                <w:szCs w:val="20"/>
                <w:color w:val="auto"/>
              </w:rPr>
              <w:t>Advertising and other revenues</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20"/>
                <w:szCs w:val="20"/>
                <w:color w:val="auto"/>
              </w:rPr>
              <w:t>15,989</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line="199" w:lineRule="exact"/>
              <w:rPr>
                <w:sz w:val="20"/>
                <w:szCs w:val="20"/>
                <w:color w:val="auto"/>
              </w:rPr>
            </w:pPr>
            <w:r>
              <w:rPr>
                <w:rFonts w:ascii="Arial" w:cs="Arial" w:eastAsia="Arial" w:hAnsi="Arial"/>
                <w:sz w:val="20"/>
                <w:szCs w:val="20"/>
                <w:color w:val="auto"/>
              </w:rPr>
              <w:t>13,844</w:t>
            </w:r>
          </w:p>
        </w:tc>
      </w:tr>
      <w:tr>
        <w:trPr>
          <w:trHeight w:val="223"/>
        </w:trPr>
        <w:tc>
          <w:tcPr>
            <w:tcW w:w="6000" w:type="dxa"/>
            <w:vAlign w:val="bottom"/>
            <w:gridSpan w:val="4"/>
          </w:tcPr>
          <w:p>
            <w:pPr>
              <w:spacing w:after="0" w:line="223" w:lineRule="exact"/>
              <w:rPr>
                <w:sz w:val="20"/>
                <w:szCs w:val="20"/>
                <w:color w:val="auto"/>
              </w:rPr>
            </w:pPr>
            <w:r>
              <w:rPr>
                <w:rFonts w:ascii="Arial" w:cs="Arial" w:eastAsia="Arial" w:hAnsi="Arial"/>
                <w:sz w:val="20"/>
                <w:szCs w:val="20"/>
                <w:color w:val="auto"/>
              </w:rPr>
              <w:t>Total</w:t>
            </w:r>
          </w:p>
        </w:tc>
        <w:tc>
          <w:tcPr>
            <w:tcW w:w="12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20"/>
                <w:szCs w:val="20"/>
                <w:u w:val="single" w:color="auto"/>
                <w:color w:val="auto"/>
                <w:w w:val="89"/>
              </w:rPr>
              <w:t>$</w:t>
            </w:r>
          </w:p>
        </w:tc>
        <w:tc>
          <w:tcPr>
            <w:tcW w:w="7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6"/>
              </w:rPr>
              <w:t>568,261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u w:val="single" w:color="auto"/>
                <w:color w:val="auto"/>
                <w:w w:val="89"/>
              </w:rPr>
              <w:t>$</w:t>
            </w:r>
          </w:p>
        </w:tc>
        <w:tc>
          <w:tcPr>
            <w:tcW w:w="70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20"/>
                <w:szCs w:val="20"/>
                <w:color w:val="auto"/>
                <w:w w:val="94"/>
              </w:rPr>
              <w:t>533,181</w:t>
            </w:r>
          </w:p>
        </w:tc>
      </w:tr>
      <w:tr>
        <w:trPr>
          <w:trHeight w:val="754"/>
        </w:trPr>
        <w:tc>
          <w:tcPr>
            <w:tcW w:w="6000" w:type="dxa"/>
            <w:vAlign w:val="bottom"/>
            <w:gridSpan w:val="4"/>
          </w:tcPr>
          <w:p>
            <w:pPr>
              <w:spacing w:after="0"/>
              <w:rPr>
                <w:sz w:val="20"/>
                <w:szCs w:val="20"/>
                <w:color w:val="auto"/>
              </w:rPr>
            </w:pPr>
            <w:r>
              <w:rPr>
                <w:rFonts w:ascii="Arial" w:cs="Arial" w:eastAsia="Arial" w:hAnsi="Arial"/>
                <w:sz w:val="20"/>
                <w:szCs w:val="20"/>
                <w:color w:val="auto"/>
              </w:rPr>
              <w:t>Operating earnings – Wholesale and Retail</w:t>
            </w:r>
          </w:p>
        </w:tc>
        <w:tc>
          <w:tcPr>
            <w:tcW w:w="12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69,953</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gridSpan w:val="3"/>
          </w:tcPr>
          <w:p>
            <w:pPr>
              <w:ind w:left="480"/>
              <w:spacing w:after="0"/>
              <w:rPr>
                <w:sz w:val="20"/>
                <w:szCs w:val="20"/>
                <w:color w:val="auto"/>
              </w:rPr>
            </w:pPr>
            <w:r>
              <w:rPr>
                <w:rFonts w:ascii="Arial" w:cs="Arial" w:eastAsia="Arial" w:hAnsi="Arial"/>
                <w:sz w:val="20"/>
                <w:szCs w:val="20"/>
                <w:color w:val="auto"/>
                <w:w w:val="89"/>
              </w:rPr>
              <w:t>$</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59,988</w:t>
            </w:r>
          </w:p>
        </w:tc>
      </w:tr>
      <w:tr>
        <w:trPr>
          <w:trHeight w:val="486"/>
        </w:trPr>
        <w:tc>
          <w:tcPr>
            <w:tcW w:w="6000" w:type="dxa"/>
            <w:vAlign w:val="bottom"/>
            <w:gridSpan w:val="4"/>
          </w:tcPr>
          <w:p>
            <w:pPr>
              <w:spacing w:after="0"/>
              <w:rPr>
                <w:sz w:val="20"/>
                <w:szCs w:val="20"/>
                <w:color w:val="auto"/>
              </w:rPr>
            </w:pPr>
            <w:r>
              <w:rPr>
                <w:rFonts w:ascii="Arial" w:cs="Arial" w:eastAsia="Arial" w:hAnsi="Arial"/>
                <w:sz w:val="20"/>
                <w:szCs w:val="20"/>
                <w:color w:val="auto"/>
              </w:rPr>
              <w:t>Operating earnings – Calvin Klein Licensing</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rPr>
              <w:t>27,690</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20"/>
                <w:szCs w:val="20"/>
                <w:color w:val="auto"/>
              </w:rPr>
              <w:t>21,129</w:t>
            </w:r>
          </w:p>
        </w:tc>
      </w:tr>
      <w:tr>
        <w:trPr>
          <w:trHeight w:val="442"/>
        </w:trPr>
        <w:tc>
          <w:tcPr>
            <w:tcW w:w="6000" w:type="dxa"/>
            <w:vAlign w:val="bottom"/>
            <w:gridSpan w:val="4"/>
          </w:tcPr>
          <w:p>
            <w:pPr>
              <w:spacing w:after="0"/>
              <w:rPr>
                <w:sz w:val="20"/>
                <w:szCs w:val="20"/>
                <w:color w:val="auto"/>
              </w:rPr>
            </w:pPr>
            <w:r>
              <w:rPr>
                <w:rFonts w:ascii="Arial" w:cs="Arial" w:eastAsia="Arial" w:hAnsi="Arial"/>
                <w:sz w:val="20"/>
                <w:szCs w:val="20"/>
                <w:color w:val="auto"/>
              </w:rPr>
              <w:t>Corporate expenses</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13,000</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9,509</w:t>
            </w:r>
          </w:p>
        </w:tc>
      </w:tr>
      <w:tr>
        <w:trPr>
          <w:trHeight w:val="709"/>
        </w:trPr>
        <w:tc>
          <w:tcPr>
            <w:tcW w:w="6000" w:type="dxa"/>
            <w:vAlign w:val="bottom"/>
            <w:gridSpan w:val="4"/>
          </w:tcPr>
          <w:p>
            <w:pPr>
              <w:spacing w:after="0"/>
              <w:rPr>
                <w:sz w:val="20"/>
                <w:szCs w:val="20"/>
                <w:color w:val="auto"/>
              </w:rPr>
            </w:pPr>
            <w:r>
              <w:rPr>
                <w:rFonts w:ascii="Arial" w:cs="Arial" w:eastAsia="Arial" w:hAnsi="Arial"/>
                <w:sz w:val="20"/>
                <w:szCs w:val="20"/>
                <w:color w:val="auto"/>
              </w:rPr>
              <w:t>Earnings before interest and taxes</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84,643</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71,608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18" w:name="page19"/>
    <w:bookmarkEnd w:id="18"/>
    <w:p>
      <w:pPr>
        <w:spacing w:after="0"/>
        <w:rPr>
          <w:sz w:val="20"/>
          <w:szCs w:val="20"/>
          <w:color w:val="auto"/>
        </w:rPr>
      </w:pPr>
      <w:r>
        <w:rPr>
          <w:rFonts w:ascii="Arial" w:cs="Arial" w:eastAsia="Arial" w:hAnsi="Arial"/>
          <w:sz w:val="25"/>
          <w:szCs w:val="25"/>
          <w:b w:val="1"/>
          <w:bCs w:val="1"/>
          <w:i w:val="1"/>
          <w:iCs w:val="1"/>
          <w:color w:val="auto"/>
        </w:rPr>
        <w:t>PHILLIPS-VAN HEUSEN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Business Data</w:t>
      </w:r>
    </w:p>
    <w:p>
      <w:pPr>
        <w:spacing w:after="0"/>
        <w:rPr>
          <w:sz w:val="20"/>
          <w:szCs w:val="20"/>
          <w:color w:val="auto"/>
        </w:rPr>
      </w:pPr>
      <w:r>
        <w:rPr>
          <w:rFonts w:ascii="Arial" w:cs="Arial" w:eastAsia="Arial" w:hAnsi="Arial"/>
          <w:sz w:val="25"/>
          <w:szCs w:val="25"/>
          <w:b w:val="1"/>
          <w:bCs w:val="1"/>
          <w:i w:val="1"/>
          <w:iCs w:val="1"/>
          <w:color w:val="auto"/>
        </w:rPr>
        <w:t>(In thousands)</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7"/>
          </w:tcPr>
          <w:p>
            <w:pPr>
              <w:jc w:val="center"/>
              <w:ind w:left="339"/>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6"/>
                <w:szCs w:val="16"/>
                <w:b w:val="1"/>
                <w:bCs w:val="1"/>
                <w:color w:val="auto"/>
              </w:rPr>
              <w:t>10/29/06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Results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360" w:type="dxa"/>
            <w:vAlign w:val="bottom"/>
            <w:gridSpan w:val="7"/>
          </w:tcPr>
          <w:p>
            <w:pPr>
              <w:jc w:val="center"/>
              <w:ind w:left="319"/>
              <w:spacing w:after="0"/>
              <w:rPr>
                <w:sz w:val="20"/>
                <w:szCs w:val="20"/>
                <w:color w:val="auto"/>
              </w:rPr>
            </w:pPr>
            <w:r>
              <w:rPr>
                <w:rFonts w:ascii="Arial" w:cs="Arial" w:eastAsia="Arial" w:hAnsi="Arial"/>
                <w:sz w:val="16"/>
                <w:szCs w:val="16"/>
                <w:b w:val="1"/>
                <w:bCs w:val="1"/>
                <w:color w:val="auto"/>
                <w:w w:val="99"/>
              </w:rPr>
              <w:t>Nine Months</w:t>
            </w: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5"/>
              </w:rPr>
              <w:t>Under</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Non-GAAP</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rPr>
              <w:t>Ended</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5"/>
              </w:rPr>
              <w:t>GAAP</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Arial" w:cs="Arial" w:eastAsia="Arial" w:hAnsi="Arial"/>
                <w:sz w:val="16"/>
                <w:szCs w:val="16"/>
                <w:b w:val="1"/>
                <w:bCs w:val="1"/>
                <w:color w:val="auto"/>
              </w:rPr>
              <w:t>Adjustments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Results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10/30/05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2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Revenues – Wholesale and Retail</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4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Net sales</w:t>
            </w:r>
          </w:p>
        </w:tc>
        <w:tc>
          <w:tcPr>
            <w:tcW w:w="1080" w:type="dxa"/>
            <w:vAlign w:val="bottom"/>
            <w:tcBorders>
              <w:right w:val="single" w:sz="8" w:color="auto"/>
            </w:tcBorders>
            <w:gridSpan w:val="2"/>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w w:val="98"/>
              </w:rPr>
              <w:t>1,361,543</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gridSpan w:val="5"/>
          </w:tcPr>
          <w:p>
            <w:pPr>
              <w:jc w:val="right"/>
              <w:ind w:right="460"/>
              <w:spacing w:after="0"/>
              <w:rPr>
                <w:sz w:val="20"/>
                <w:szCs w:val="20"/>
                <w:color w:val="auto"/>
              </w:rPr>
            </w:pPr>
            <w:r>
              <w:rPr>
                <w:rFonts w:ascii="Arial" w:cs="Arial" w:eastAsia="Arial" w:hAnsi="Arial"/>
                <w:sz w:val="16"/>
                <w:szCs w:val="16"/>
                <w:color w:val="auto"/>
                <w:w w:val="98"/>
              </w:rPr>
              <w:t>1,361,543</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5"/>
          </w:tcPr>
          <w:p>
            <w:pPr>
              <w:jc w:val="right"/>
              <w:ind w:right="100"/>
              <w:spacing w:after="0"/>
              <w:rPr>
                <w:sz w:val="20"/>
                <w:szCs w:val="20"/>
                <w:color w:val="auto"/>
              </w:rPr>
            </w:pPr>
            <w:r>
              <w:rPr>
                <w:rFonts w:ascii="Arial" w:cs="Arial" w:eastAsia="Arial" w:hAnsi="Arial"/>
                <w:sz w:val="16"/>
                <w:szCs w:val="16"/>
                <w:color w:val="auto"/>
              </w:rPr>
              <w:t>1,292,451</w:t>
            </w:r>
          </w:p>
        </w:tc>
        <w:tc>
          <w:tcPr>
            <w:tcW w:w="0" w:type="dxa"/>
            <w:vAlign w:val="bottom"/>
          </w:tcPr>
          <w:p>
            <w:pPr>
              <w:spacing w:after="0"/>
              <w:rPr>
                <w:sz w:val="1"/>
                <w:szCs w:val="1"/>
                <w:color w:val="auto"/>
              </w:rPr>
            </w:pPr>
          </w:p>
        </w:tc>
      </w:tr>
      <w:tr>
        <w:trPr>
          <w:trHeight w:val="216"/>
        </w:trPr>
        <w:tc>
          <w:tcPr>
            <w:tcW w:w="352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Royalty revenues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19,823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19,823</w:t>
            </w:r>
          </w:p>
        </w:tc>
        <w:tc>
          <w:tcPr>
            <w:tcW w:w="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18,650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20" w:type="dxa"/>
            <w:vAlign w:val="bottom"/>
            <w:tcBorders>
              <w:right w:val="single" w:sz="8" w:color="auto"/>
            </w:tcBorders>
            <w:gridSpan w:val="4"/>
          </w:tcPr>
          <w:p>
            <w:pPr>
              <w:spacing w:after="0" w:line="181" w:lineRule="exact"/>
              <w:rPr>
                <w:sz w:val="20"/>
                <w:szCs w:val="20"/>
                <w:color w:val="auto"/>
              </w:rPr>
            </w:pPr>
            <w:r>
              <w:rPr>
                <w:rFonts w:ascii="Arial" w:cs="Arial" w:eastAsia="Arial" w:hAnsi="Arial"/>
                <w:sz w:val="16"/>
                <w:szCs w:val="16"/>
                <w:color w:val="auto"/>
              </w:rPr>
              <w:t>Advertising and other revenues</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spacing w:after="0" w:line="181" w:lineRule="exact"/>
              <w:rPr>
                <w:sz w:val="20"/>
                <w:szCs w:val="20"/>
                <w:color w:val="auto"/>
              </w:rPr>
            </w:pPr>
            <w:r>
              <w:rPr>
                <w:rFonts w:ascii="Arial" w:cs="Arial" w:eastAsia="Arial" w:hAnsi="Arial"/>
                <w:sz w:val="16"/>
                <w:szCs w:val="16"/>
                <w:color w:val="auto"/>
              </w:rPr>
              <w:t>4,977</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spacing w:after="0" w:line="181" w:lineRule="exact"/>
              <w:rPr>
                <w:sz w:val="20"/>
                <w:szCs w:val="20"/>
                <w:color w:val="auto"/>
              </w:rPr>
            </w:pPr>
            <w:r>
              <w:rPr>
                <w:rFonts w:ascii="Arial" w:cs="Arial" w:eastAsia="Arial" w:hAnsi="Arial"/>
                <w:sz w:val="16"/>
                <w:szCs w:val="16"/>
                <w:color w:val="auto"/>
              </w:rPr>
              <w:t>4,977</w:t>
            </w:r>
          </w:p>
        </w:tc>
        <w:tc>
          <w:tcPr>
            <w:tcW w:w="460" w:type="dxa"/>
            <w:vAlign w:val="bottom"/>
            <w:tcBorders>
              <w:right w:val="single" w:sz="8" w:color="auto"/>
            </w:tcBorders>
            <w:gridSpan w:val="2"/>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spacing w:after="0" w:line="181" w:lineRule="exact"/>
              <w:rPr>
                <w:sz w:val="20"/>
                <w:szCs w:val="20"/>
                <w:color w:val="auto"/>
              </w:rPr>
            </w:pPr>
            <w:r>
              <w:rPr>
                <w:rFonts w:ascii="Arial" w:cs="Arial" w:eastAsia="Arial" w:hAnsi="Arial"/>
                <w:sz w:val="16"/>
                <w:szCs w:val="16"/>
                <w:color w:val="auto"/>
              </w:rPr>
              <w:t>3,886</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2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Total</w:t>
            </w:r>
          </w:p>
        </w:tc>
        <w:tc>
          <w:tcPr>
            <w:tcW w:w="960" w:type="dxa"/>
            <w:vAlign w:val="bottom"/>
            <w:gridSpan w:val="5"/>
          </w:tcPr>
          <w:p>
            <w:pPr>
              <w:jc w:val="right"/>
              <w:spacing w:after="0"/>
              <w:rPr>
                <w:sz w:val="20"/>
                <w:szCs w:val="20"/>
                <w:color w:val="auto"/>
              </w:rPr>
            </w:pPr>
            <w:r>
              <w:rPr>
                <w:rFonts w:ascii="Arial" w:cs="Arial" w:eastAsia="Arial" w:hAnsi="Arial"/>
                <w:sz w:val="16"/>
                <w:szCs w:val="16"/>
                <w:color w:val="auto"/>
              </w:rPr>
              <w:t>1,386,343</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6"/>
                <w:szCs w:val="16"/>
                <w:color w:val="auto"/>
              </w:rPr>
              <w:t>1,386,343</w:t>
            </w:r>
          </w:p>
        </w:tc>
        <w:tc>
          <w:tcPr>
            <w:tcW w:w="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260" w:type="dxa"/>
            <w:vAlign w:val="bottom"/>
            <w:gridSpan w:val="5"/>
          </w:tcPr>
          <w:p>
            <w:pPr>
              <w:jc w:val="center"/>
              <w:ind w:left="419"/>
              <w:spacing w:after="0"/>
              <w:rPr>
                <w:sz w:val="20"/>
                <w:szCs w:val="20"/>
                <w:color w:val="auto"/>
              </w:rPr>
            </w:pPr>
            <w:r>
              <w:rPr>
                <w:rFonts w:ascii="Arial" w:cs="Arial" w:eastAsia="Arial" w:hAnsi="Arial"/>
                <w:sz w:val="16"/>
                <w:szCs w:val="16"/>
                <w:color w:val="auto"/>
              </w:rPr>
              <w:t>1,314,987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5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Revenues – Calvin Klein Licensing</w:t>
            </w:r>
          </w:p>
        </w:tc>
        <w:tc>
          <w:tcPr>
            <w:tcW w:w="10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52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Royalty revenues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110,561</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110,561</w:t>
            </w:r>
          </w:p>
        </w:tc>
        <w:tc>
          <w:tcPr>
            <w:tcW w:w="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98,409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520" w:type="dxa"/>
            <w:vAlign w:val="bottom"/>
            <w:tcBorders>
              <w:right w:val="single" w:sz="8" w:color="auto"/>
            </w:tcBorders>
            <w:gridSpan w:val="4"/>
          </w:tcPr>
          <w:p>
            <w:pPr>
              <w:spacing w:after="0" w:line="181" w:lineRule="exact"/>
              <w:rPr>
                <w:sz w:val="20"/>
                <w:szCs w:val="20"/>
                <w:color w:val="auto"/>
              </w:rPr>
            </w:pPr>
            <w:r>
              <w:rPr>
                <w:rFonts w:ascii="Arial" w:cs="Arial" w:eastAsia="Arial" w:hAnsi="Arial"/>
                <w:sz w:val="16"/>
                <w:szCs w:val="16"/>
                <w:color w:val="auto"/>
              </w:rPr>
              <w:t>Advertising and other revenues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36,723</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right w:val="single" w:sz="8" w:color="auto"/>
            </w:tcBorders>
            <w:gridSpan w:val="5"/>
          </w:tcPr>
          <w:p>
            <w:pPr>
              <w:jc w:val="right"/>
              <w:ind w:right="460"/>
              <w:spacing w:after="0" w:line="181" w:lineRule="exact"/>
              <w:rPr>
                <w:sz w:val="20"/>
                <w:szCs w:val="20"/>
                <w:color w:val="auto"/>
              </w:rPr>
            </w:pPr>
            <w:r>
              <w:rPr>
                <w:rFonts w:ascii="Arial" w:cs="Arial" w:eastAsia="Arial" w:hAnsi="Arial"/>
                <w:sz w:val="16"/>
                <w:szCs w:val="16"/>
                <w:color w:val="auto"/>
              </w:rPr>
              <w:t>36,723</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5"/>
          </w:tcPr>
          <w:p>
            <w:pPr>
              <w:jc w:val="right"/>
              <w:ind w:right="100"/>
              <w:spacing w:after="0" w:line="181" w:lineRule="exact"/>
              <w:rPr>
                <w:sz w:val="20"/>
                <w:szCs w:val="20"/>
                <w:color w:val="auto"/>
              </w:rPr>
            </w:pPr>
            <w:r>
              <w:rPr>
                <w:rFonts w:ascii="Arial" w:cs="Arial" w:eastAsia="Arial" w:hAnsi="Arial"/>
                <w:sz w:val="16"/>
                <w:szCs w:val="16"/>
                <w:color w:val="auto"/>
              </w:rPr>
              <w:t>35,363</w:t>
            </w:r>
          </w:p>
        </w:tc>
        <w:tc>
          <w:tcPr>
            <w:tcW w:w="0" w:type="dxa"/>
            <w:vAlign w:val="bottom"/>
          </w:tcPr>
          <w:p>
            <w:pPr>
              <w:spacing w:after="0"/>
              <w:rPr>
                <w:sz w:val="1"/>
                <w:szCs w:val="1"/>
                <w:color w:val="auto"/>
              </w:rPr>
            </w:pPr>
          </w:p>
        </w:tc>
      </w:tr>
      <w:tr>
        <w:trPr>
          <w:trHeight w:val="231"/>
        </w:trPr>
        <w:tc>
          <w:tcPr>
            <w:tcW w:w="352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147,284</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147,284</w:t>
            </w:r>
          </w:p>
        </w:tc>
        <w:tc>
          <w:tcPr>
            <w:tcW w:w="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133,772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8"/>
              </w:rPr>
              <w:t>Total Revenues</w:t>
            </w:r>
          </w:p>
        </w:tc>
        <w:tc>
          <w:tcPr>
            <w:tcW w:w="2400" w:type="dxa"/>
            <w:vAlign w:val="bottom"/>
            <w:tcBorders>
              <w:right w:val="single" w:sz="8" w:color="auto"/>
            </w:tcBorders>
            <w:gridSpan w:val="3"/>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52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Net sales</w:t>
            </w:r>
          </w:p>
        </w:tc>
        <w:tc>
          <w:tcPr>
            <w:tcW w:w="960" w:type="dxa"/>
            <w:vAlign w:val="bottom"/>
            <w:gridSpan w:val="5"/>
          </w:tcPr>
          <w:p>
            <w:pPr>
              <w:jc w:val="right"/>
              <w:spacing w:after="0"/>
              <w:rPr>
                <w:sz w:val="20"/>
                <w:szCs w:val="20"/>
                <w:color w:val="auto"/>
              </w:rPr>
            </w:pPr>
            <w:r>
              <w:rPr>
                <w:rFonts w:ascii="Arial" w:cs="Arial" w:eastAsia="Arial" w:hAnsi="Arial"/>
                <w:sz w:val="16"/>
                <w:szCs w:val="16"/>
                <w:color w:val="auto"/>
              </w:rPr>
              <w:t>1,361,543</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6"/>
                <w:szCs w:val="16"/>
                <w:color w:val="auto"/>
              </w:rPr>
              <w:t>1,361,543</w:t>
            </w:r>
          </w:p>
        </w:tc>
        <w:tc>
          <w:tcPr>
            <w:tcW w:w="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260" w:type="dxa"/>
            <w:vAlign w:val="bottom"/>
            <w:gridSpan w:val="5"/>
          </w:tcPr>
          <w:p>
            <w:pPr>
              <w:jc w:val="center"/>
              <w:ind w:left="419"/>
              <w:spacing w:after="0"/>
              <w:rPr>
                <w:sz w:val="20"/>
                <w:szCs w:val="20"/>
                <w:color w:val="auto"/>
              </w:rPr>
            </w:pPr>
            <w:r>
              <w:rPr>
                <w:rFonts w:ascii="Arial" w:cs="Arial" w:eastAsia="Arial" w:hAnsi="Arial"/>
                <w:sz w:val="16"/>
                <w:szCs w:val="16"/>
                <w:color w:val="auto"/>
              </w:rPr>
              <w:t>1,292,451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Royalty revenues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130,384</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130,384</w:t>
            </w:r>
          </w:p>
        </w:tc>
        <w:tc>
          <w:tcPr>
            <w:tcW w:w="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117,059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20" w:type="dxa"/>
            <w:vAlign w:val="bottom"/>
            <w:tcBorders>
              <w:right w:val="single" w:sz="8" w:color="auto"/>
            </w:tcBorders>
            <w:gridSpan w:val="4"/>
          </w:tcPr>
          <w:p>
            <w:pPr>
              <w:spacing w:after="0" w:line="181" w:lineRule="exact"/>
              <w:rPr>
                <w:sz w:val="20"/>
                <w:szCs w:val="20"/>
                <w:color w:val="auto"/>
              </w:rPr>
            </w:pPr>
            <w:r>
              <w:rPr>
                <w:rFonts w:ascii="Arial" w:cs="Arial" w:eastAsia="Arial" w:hAnsi="Arial"/>
                <w:sz w:val="16"/>
                <w:szCs w:val="16"/>
                <w:color w:val="auto"/>
              </w:rPr>
              <w:t>Advertising and other revenues</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spacing w:after="0" w:line="181" w:lineRule="exact"/>
              <w:rPr>
                <w:sz w:val="20"/>
                <w:szCs w:val="20"/>
                <w:color w:val="auto"/>
              </w:rPr>
            </w:pPr>
            <w:r>
              <w:rPr>
                <w:rFonts w:ascii="Arial" w:cs="Arial" w:eastAsia="Arial" w:hAnsi="Arial"/>
                <w:sz w:val="16"/>
                <w:szCs w:val="16"/>
                <w:color w:val="auto"/>
              </w:rPr>
              <w:t>41,700</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spacing w:after="0" w:line="181" w:lineRule="exact"/>
              <w:rPr>
                <w:sz w:val="20"/>
                <w:szCs w:val="20"/>
                <w:color w:val="auto"/>
              </w:rPr>
            </w:pPr>
            <w:r>
              <w:rPr>
                <w:rFonts w:ascii="Arial" w:cs="Arial" w:eastAsia="Arial" w:hAnsi="Arial"/>
                <w:sz w:val="16"/>
                <w:szCs w:val="16"/>
                <w:color w:val="auto"/>
              </w:rPr>
              <w:t>41,700</w:t>
            </w:r>
          </w:p>
        </w:tc>
        <w:tc>
          <w:tcPr>
            <w:tcW w:w="460" w:type="dxa"/>
            <w:vAlign w:val="bottom"/>
            <w:tcBorders>
              <w:right w:val="single" w:sz="8" w:color="auto"/>
            </w:tcBorders>
            <w:gridSpan w:val="2"/>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spacing w:after="0" w:line="181" w:lineRule="exact"/>
              <w:rPr>
                <w:sz w:val="20"/>
                <w:szCs w:val="20"/>
                <w:color w:val="auto"/>
              </w:rPr>
            </w:pPr>
            <w:r>
              <w:rPr>
                <w:rFonts w:ascii="Arial" w:cs="Arial" w:eastAsia="Arial" w:hAnsi="Arial"/>
                <w:sz w:val="16"/>
                <w:szCs w:val="16"/>
                <w:color w:val="auto"/>
              </w:rPr>
              <w:t>39,249</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2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w w:val="98"/>
              </w:rPr>
              <w:t>1,533,627</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gridSpan w:val="2"/>
          </w:tcPr>
          <w:p>
            <w:pPr>
              <w:ind w:left="120"/>
              <w:spacing w:after="0"/>
              <w:rPr>
                <w:sz w:val="20"/>
                <w:szCs w:val="20"/>
                <w:color w:val="auto"/>
              </w:rPr>
            </w:pPr>
            <w:r>
              <w:rPr>
                <w:rFonts w:ascii="Arial" w:cs="Arial" w:eastAsia="Arial" w:hAnsi="Arial"/>
                <w:sz w:val="16"/>
                <w:szCs w:val="16"/>
                <w:u w:val="single" w:color="auto"/>
                <w:color w:val="auto"/>
                <w:w w:val="89"/>
              </w:rPr>
              <w:t>$</w:t>
            </w:r>
          </w:p>
        </w:tc>
        <w:tc>
          <w:tcPr>
            <w:tcW w:w="1180" w:type="dxa"/>
            <w:vAlign w:val="bottom"/>
            <w:tcBorders>
              <w:right w:val="single" w:sz="8" w:color="auto"/>
            </w:tcBorders>
            <w:gridSpan w:val="5"/>
          </w:tcPr>
          <w:p>
            <w:pPr>
              <w:jc w:val="right"/>
              <w:ind w:right="460"/>
              <w:spacing w:after="0"/>
              <w:rPr>
                <w:sz w:val="20"/>
                <w:szCs w:val="20"/>
                <w:color w:val="auto"/>
              </w:rPr>
            </w:pPr>
            <w:r>
              <w:rPr>
                <w:rFonts w:ascii="Arial" w:cs="Arial" w:eastAsia="Arial" w:hAnsi="Arial"/>
                <w:sz w:val="16"/>
                <w:szCs w:val="16"/>
                <w:color w:val="auto"/>
                <w:w w:val="98"/>
              </w:rPr>
              <w:t>1,533,627</w:t>
            </w:r>
          </w:p>
        </w:tc>
        <w:tc>
          <w:tcPr>
            <w:tcW w:w="52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40" w:type="dxa"/>
            <w:vAlign w:val="bottom"/>
            <w:gridSpan w:val="5"/>
          </w:tcPr>
          <w:p>
            <w:pPr>
              <w:jc w:val="right"/>
              <w:ind w:right="100"/>
              <w:spacing w:after="0"/>
              <w:rPr>
                <w:sz w:val="20"/>
                <w:szCs w:val="20"/>
                <w:color w:val="auto"/>
              </w:rPr>
            </w:pPr>
            <w:r>
              <w:rPr>
                <w:rFonts w:ascii="Arial" w:cs="Arial" w:eastAsia="Arial" w:hAnsi="Arial"/>
                <w:sz w:val="16"/>
                <w:szCs w:val="16"/>
                <w:color w:val="auto"/>
              </w:rPr>
              <w:t>1,448,759</w:t>
            </w:r>
          </w:p>
        </w:tc>
        <w:tc>
          <w:tcPr>
            <w:tcW w:w="0" w:type="dxa"/>
            <w:vAlign w:val="bottom"/>
          </w:tcPr>
          <w:p>
            <w:pPr>
              <w:spacing w:after="0"/>
              <w:rPr>
                <w:sz w:val="1"/>
                <w:szCs w:val="1"/>
                <w:color w:val="auto"/>
              </w:rPr>
            </w:pPr>
          </w:p>
        </w:tc>
      </w:tr>
      <w:tr>
        <w:trPr>
          <w:trHeight w:val="20"/>
        </w:trPr>
        <w:tc>
          <w:tcPr>
            <w:tcW w:w="3520" w:type="dxa"/>
            <w:vAlign w:val="bottom"/>
            <w:tcBorders>
              <w:right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580" w:type="dxa"/>
            <w:vAlign w:val="bottom"/>
            <w:gridSpan w:val="6"/>
            <w:vMerge w:val="restart"/>
          </w:tcPr>
          <w:p>
            <w:pPr>
              <w:jc w:val="right"/>
              <w:ind w:right="140"/>
              <w:spacing w:after="0"/>
              <w:rPr>
                <w:sz w:val="20"/>
                <w:szCs w:val="20"/>
                <w:color w:val="auto"/>
              </w:rPr>
            </w:pPr>
            <w:r>
              <w:rPr>
                <w:rFonts w:ascii="Arial" w:cs="Arial" w:eastAsia="Arial" w:hAnsi="Arial"/>
                <w:sz w:val="16"/>
                <w:szCs w:val="16"/>
                <w:color w:val="auto"/>
              </w:rPr>
              <w:t>$ 11,294</w:t>
            </w:r>
            <w:r>
              <w:rPr>
                <w:rFonts w:ascii="Arial" w:cs="Arial" w:eastAsia="Arial" w:hAnsi="Arial"/>
                <w:sz w:val="27"/>
                <w:szCs w:val="27"/>
                <w:color w:val="auto"/>
                <w:vertAlign w:val="superscript"/>
              </w:rPr>
              <w:t>(1)</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52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Operating earnings – Wholesale and Retail</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164,980</w:t>
            </w:r>
          </w:p>
        </w:tc>
        <w:tc>
          <w:tcPr>
            <w:tcW w:w="1580" w:type="dxa"/>
            <w:vAlign w:val="bottom"/>
            <w:gridSpan w:val="6"/>
            <w:vMerge w:val="continue"/>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gridSpan w:val="5"/>
          </w:tcPr>
          <w:p>
            <w:pPr>
              <w:jc w:val="right"/>
              <w:ind w:right="460"/>
              <w:spacing w:after="0"/>
              <w:rPr>
                <w:sz w:val="20"/>
                <w:szCs w:val="20"/>
                <w:color w:val="auto"/>
              </w:rPr>
            </w:pPr>
            <w:r>
              <w:rPr>
                <w:rFonts w:ascii="Arial" w:cs="Arial" w:eastAsia="Arial" w:hAnsi="Arial"/>
                <w:sz w:val="16"/>
                <w:szCs w:val="16"/>
                <w:color w:val="auto"/>
              </w:rPr>
              <w:t>176,274</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5"/>
          </w:tcPr>
          <w:p>
            <w:pPr>
              <w:jc w:val="right"/>
              <w:ind w:right="100"/>
              <w:spacing w:after="0"/>
              <w:rPr>
                <w:sz w:val="20"/>
                <w:szCs w:val="20"/>
                <w:color w:val="auto"/>
              </w:rPr>
            </w:pPr>
            <w:r>
              <w:rPr>
                <w:rFonts w:ascii="Arial" w:cs="Arial" w:eastAsia="Arial" w:hAnsi="Arial"/>
                <w:sz w:val="16"/>
                <w:szCs w:val="16"/>
                <w:color w:val="auto"/>
              </w:rPr>
              <w:t>138,817</w:t>
            </w:r>
          </w:p>
        </w:tc>
        <w:tc>
          <w:tcPr>
            <w:tcW w:w="0" w:type="dxa"/>
            <w:vAlign w:val="bottom"/>
          </w:tcPr>
          <w:p>
            <w:pPr>
              <w:spacing w:after="0"/>
              <w:rPr>
                <w:sz w:val="1"/>
                <w:szCs w:val="1"/>
                <w:color w:val="auto"/>
              </w:rPr>
            </w:pPr>
          </w:p>
        </w:tc>
      </w:tr>
      <w:tr>
        <w:trPr>
          <w:trHeight w:val="500"/>
        </w:trPr>
        <w:tc>
          <w:tcPr>
            <w:tcW w:w="352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Operating earnings – Calvin Klein Licensing</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100,735</w:t>
            </w:r>
          </w:p>
        </w:tc>
        <w:tc>
          <w:tcPr>
            <w:tcW w:w="1580" w:type="dxa"/>
            <w:vAlign w:val="bottom"/>
            <w:gridSpan w:val="6"/>
          </w:tcPr>
          <w:p>
            <w:pPr>
              <w:jc w:val="right"/>
              <w:ind w:right="140"/>
              <w:spacing w:after="0"/>
              <w:rPr>
                <w:sz w:val="20"/>
                <w:szCs w:val="20"/>
                <w:color w:val="auto"/>
              </w:rPr>
            </w:pPr>
            <w:r>
              <w:rPr>
                <w:rFonts w:ascii="Arial" w:cs="Arial" w:eastAsia="Arial" w:hAnsi="Arial"/>
                <w:sz w:val="16"/>
                <w:szCs w:val="16"/>
                <w:color w:val="auto"/>
              </w:rPr>
              <w:t>(32,043)</w:t>
            </w:r>
            <w:r>
              <w:rPr>
                <w:rFonts w:ascii="Arial" w:cs="Arial" w:eastAsia="Arial" w:hAnsi="Arial"/>
                <w:sz w:val="27"/>
                <w:szCs w:val="27"/>
                <w:color w:val="auto"/>
                <w:vertAlign w:val="superscript"/>
              </w:rPr>
              <w:t>(2)</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68,692</w:t>
            </w:r>
          </w:p>
        </w:tc>
        <w:tc>
          <w:tcPr>
            <w:tcW w:w="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54,131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52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6"/>
                <w:szCs w:val="16"/>
                <w:color w:val="auto"/>
              </w:rPr>
              <w:t>Corporate expenses</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47,568</w:t>
            </w:r>
          </w:p>
        </w:tc>
        <w:tc>
          <w:tcPr>
            <w:tcW w:w="580" w:type="dxa"/>
            <w:vAlign w:val="bottom"/>
            <w:vMerge w:val="restart"/>
          </w:tcPr>
          <w:p>
            <w:pPr>
              <w:spacing w:after="0"/>
              <w:rPr>
                <w:sz w:val="24"/>
                <w:szCs w:val="24"/>
                <w:color w:val="auto"/>
              </w:rPr>
            </w:pPr>
          </w:p>
        </w:tc>
        <w:tc>
          <w:tcPr>
            <w:tcW w:w="1000" w:type="dxa"/>
            <w:vAlign w:val="bottom"/>
            <w:gridSpan w:val="5"/>
            <w:vMerge w:val="restart"/>
          </w:tcPr>
          <w:p>
            <w:pPr>
              <w:jc w:val="right"/>
              <w:ind w:right="140"/>
              <w:spacing w:after="0"/>
              <w:rPr>
                <w:sz w:val="20"/>
                <w:szCs w:val="20"/>
                <w:color w:val="auto"/>
              </w:rPr>
            </w:pPr>
            <w:r>
              <w:rPr>
                <w:rFonts w:ascii="Arial" w:cs="Arial" w:eastAsia="Arial" w:hAnsi="Arial"/>
                <w:sz w:val="16"/>
                <w:szCs w:val="16"/>
                <w:color w:val="auto"/>
              </w:rPr>
              <w:t>(10,535)</w:t>
            </w:r>
            <w:r>
              <w:rPr>
                <w:rFonts w:ascii="Arial" w:cs="Arial" w:eastAsia="Arial" w:hAnsi="Arial"/>
                <w:sz w:val="27"/>
                <w:szCs w:val="27"/>
                <w:color w:val="auto"/>
                <w:vertAlign w:val="superscript"/>
              </w:rPr>
              <w:t>(3)</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37,033</w:t>
            </w:r>
          </w:p>
        </w:tc>
        <w:tc>
          <w:tcPr>
            <w:tcW w:w="460" w:type="dxa"/>
            <w:vAlign w:val="bottom"/>
            <w:tcBorders>
              <w:right w:val="single" w:sz="8" w:color="auto"/>
            </w:tcBorders>
            <w:gridSpan w:val="2"/>
            <w:vMerge w:val="restart"/>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28,589</w:t>
            </w:r>
          </w:p>
        </w:tc>
        <w:tc>
          <w:tcPr>
            <w:tcW w:w="1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520" w:type="dxa"/>
            <w:vAlign w:val="bottom"/>
            <w:tcBorders>
              <w:right w:val="single" w:sz="8" w:color="auto"/>
            </w:tcBorders>
            <w:gridSpan w:val="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1000" w:type="dxa"/>
            <w:vAlign w:val="bottom"/>
            <w:gridSpan w:val="5"/>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60" w:type="dxa"/>
            <w:vAlign w:val="bottom"/>
            <w:tcBorders>
              <w:right w:val="single" w:sz="8" w:color="auto"/>
            </w:tcBorders>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20" w:type="dxa"/>
            <w:vAlign w:val="bottom"/>
            <w:tcBorders>
              <w:right w:val="single" w:sz="8" w:color="auto"/>
            </w:tcBorders>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Borders>
              <w:right w:val="single" w:sz="8" w:color="auto"/>
            </w:tcBorders>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352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Earnings before interest and taxes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218,147</w:t>
            </w:r>
          </w:p>
        </w:tc>
        <w:tc>
          <w:tcPr>
            <w:tcW w:w="580" w:type="dxa"/>
            <w:vAlign w:val="bottom"/>
          </w:tcPr>
          <w:p>
            <w:pPr>
              <w:spacing w:after="0"/>
              <w:rPr>
                <w:sz w:val="24"/>
                <w:szCs w:val="24"/>
                <w:color w:val="auto"/>
              </w:rPr>
            </w:pPr>
          </w:p>
        </w:tc>
        <w:tc>
          <w:tcPr>
            <w:tcW w:w="1000" w:type="dxa"/>
            <w:vAlign w:val="bottom"/>
            <w:gridSpan w:val="5"/>
          </w:tcPr>
          <w:p>
            <w:pPr>
              <w:jc w:val="right"/>
              <w:ind w:right="12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(10,214)</w:t>
            </w:r>
          </w:p>
        </w:tc>
        <w:tc>
          <w:tcPr>
            <w:tcW w:w="620" w:type="dxa"/>
            <w:vAlign w:val="bottom"/>
          </w:tcPr>
          <w:p>
            <w:pPr>
              <w:spacing w:after="0"/>
              <w:rPr>
                <w:sz w:val="24"/>
                <w:szCs w:val="24"/>
                <w:color w:val="auto"/>
              </w:rPr>
            </w:pP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auto"/>
            </w:tcBorders>
            <w:gridSpan w:val="5"/>
          </w:tcPr>
          <w:p>
            <w:pPr>
              <w:jc w:val="right"/>
              <w:ind w:right="460"/>
              <w:spacing w:after="0"/>
              <w:rPr>
                <w:sz w:val="20"/>
                <w:szCs w:val="20"/>
                <w:color w:val="auto"/>
              </w:rPr>
            </w:pPr>
            <w:r>
              <w:rPr>
                <w:rFonts w:ascii="Arial" w:cs="Arial" w:eastAsia="Arial" w:hAnsi="Arial"/>
                <w:sz w:val="16"/>
                <w:szCs w:val="16"/>
                <w:color w:val="auto"/>
              </w:rPr>
              <w:t>207,933</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5"/>
          </w:tcPr>
          <w:p>
            <w:pPr>
              <w:jc w:val="right"/>
              <w:ind w:right="100"/>
              <w:spacing w:after="0"/>
              <w:rPr>
                <w:sz w:val="20"/>
                <w:szCs w:val="20"/>
                <w:color w:val="auto"/>
              </w:rPr>
            </w:pPr>
            <w:r>
              <w:rPr>
                <w:rFonts w:ascii="Arial" w:cs="Arial" w:eastAsia="Arial" w:hAnsi="Arial"/>
                <w:sz w:val="16"/>
                <w:szCs w:val="16"/>
                <w:color w:val="auto"/>
              </w:rPr>
              <w:t>164,359</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6"/>
          <w:szCs w:val="16"/>
          <w:color w:val="auto"/>
        </w:rPr>
        <w:t>Consists of costs associated with the May 2006 closing of the Company’s apparel manufacturing facility in Ozark, Alabama.</w:t>
      </w:r>
    </w:p>
    <w:p>
      <w:pPr>
        <w:spacing w:after="0" w:line="207" w:lineRule="exact"/>
        <w:rPr>
          <w:rFonts w:ascii="Arial" w:cs="Arial" w:eastAsia="Arial" w:hAnsi="Arial"/>
          <w:sz w:val="14"/>
          <w:szCs w:val="14"/>
          <w:color w:val="auto"/>
        </w:rPr>
      </w:pPr>
    </w:p>
    <w:p>
      <w:pPr>
        <w:ind w:left="260" w:hanging="252"/>
        <w:spacing w:after="0" w:line="186" w:lineRule="auto"/>
        <w:tabs>
          <w:tab w:leader="none" w:pos="260" w:val="left"/>
        </w:tabs>
        <w:numPr>
          <w:ilvl w:val="0"/>
          <w:numId w:val="11"/>
        </w:numPr>
        <w:rPr>
          <w:rFonts w:ascii="Arial" w:cs="Arial" w:eastAsia="Arial" w:hAnsi="Arial"/>
          <w:sz w:val="27"/>
          <w:szCs w:val="27"/>
          <w:color w:val="auto"/>
          <w:vertAlign w:val="superscript"/>
        </w:rPr>
      </w:pPr>
      <w:r>
        <w:rPr>
          <w:rFonts w:ascii="Arial" w:cs="Arial" w:eastAsia="Arial" w:hAnsi="Arial"/>
          <w:sz w:val="16"/>
          <w:szCs w:val="16"/>
          <w:color w:val="auto"/>
        </w:rPr>
        <w:t>Consists of the one time gain associated with the sale by the Company on January 31, 2006 of minority interests in certain entities that operate various licensed Calvin Klein jeans and sportswear businesses in Europe and Asia.</w:t>
      </w:r>
    </w:p>
    <w:p>
      <w:pPr>
        <w:spacing w:after="0" w:line="184" w:lineRule="exact"/>
        <w:rPr>
          <w:rFonts w:ascii="Arial" w:cs="Arial" w:eastAsia="Arial" w:hAnsi="Arial"/>
          <w:sz w:val="27"/>
          <w:szCs w:val="27"/>
          <w:color w:val="auto"/>
          <w:vertAlign w:val="superscript"/>
        </w:rPr>
      </w:pPr>
    </w:p>
    <w:p>
      <w:pPr>
        <w:ind w:left="260" w:hanging="252"/>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6"/>
          <w:szCs w:val="16"/>
          <w:color w:val="auto"/>
        </w:rPr>
        <w:t>Consists of costs resulting from the departure in February 2006 of Mark Weber, the Company’s former Chief Executive Officer.</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i w:val="1"/>
          <w:iCs w:val="1"/>
          <w:color w:val="auto"/>
        </w:rPr>
        <w:t>PHILLIPS-VAN HEUSEN CORPORATION</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Reconciliation of GAAP to non-GAAP 2006 Earnings Per Share Estimate</w:t>
      </w:r>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Set forth below is the Company’s reconciliation of its 2006 full year GAAP diluted earnings per share estimate to diluted earnings per share excluding the following: (a) the gain associated with the sale by the Company on January 31, 2006 of minority interests in certain entities that operate various licensed Calvin Klein jeans and sportswear businesses in Europe and Asia; (b) costs resulting from the departure of Mark Weber, the Company’s former Chief Executive Officer; (c) costs associated in February 2006 with the May 2006 closing of the Company’s apparel manufacturing facility in Ozark, Alabama; and (d) the May 2006 inducement payment and offering costs described in footnote (1) below. The Company believes that investors often look at ongoing operations as a measure of assessing performance and as a basis for comparing past results against future results. Therefore, the Company believe s presenting its results excluding items (a) through (d) listed above for its 2006 full year earnings estimate provides useful information to investors because this allows investors to make decisions based on the ongoing operations of the enterprise. The Company uses its results excluding the items listed above to discuss its business with investment institutions, the Company’s Board of Directors and others. Such results are also the basis for certain incentive compensation calculations.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(In thousands, except per share data)</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9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2006 Full Year</w:t>
            </w:r>
          </w:p>
        </w:tc>
        <w:tc>
          <w:tcPr>
            <w:tcW w:w="3620" w:type="dxa"/>
            <w:vAlign w:val="bottom"/>
            <w:tcBorders>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80" w:type="dxa"/>
            <w:vAlign w:val="bottom"/>
            <w:tcBorders>
              <w:top w:val="single" w:sz="8" w:color="auto"/>
              <w:right w:val="single" w:sz="8" w:color="auto"/>
            </w:tcBorders>
            <w:gridSpan w:val="3"/>
          </w:tcPr>
          <w:p>
            <w:pPr>
              <w:jc w:val="center"/>
              <w:ind w:right="240"/>
              <w:spacing w:after="0"/>
              <w:rPr>
                <w:sz w:val="20"/>
                <w:szCs w:val="20"/>
                <w:color w:val="auto"/>
              </w:rPr>
            </w:pPr>
            <w:r>
              <w:rPr>
                <w:rFonts w:ascii="Arial" w:cs="Arial" w:eastAsia="Arial" w:hAnsi="Arial"/>
                <w:sz w:val="14"/>
                <w:szCs w:val="14"/>
                <w:color w:val="auto"/>
              </w:rPr>
              <w:t>GAAP</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60" w:type="dxa"/>
            <w:vAlign w:val="bottom"/>
            <w:tcBorders>
              <w:top w:val="single" w:sz="8" w:color="auto"/>
              <w:right w:val="single" w:sz="8" w:color="auto"/>
            </w:tcBorders>
            <w:gridSpan w:val="6"/>
          </w:tcPr>
          <w:p>
            <w:pPr>
              <w:jc w:val="center"/>
              <w:ind w:right="20"/>
              <w:spacing w:after="0"/>
              <w:rPr>
                <w:sz w:val="20"/>
                <w:szCs w:val="20"/>
                <w:color w:val="auto"/>
              </w:rPr>
            </w:pPr>
            <w:r>
              <w:rPr>
                <w:rFonts w:ascii="Arial" w:cs="Arial" w:eastAsia="Arial" w:hAnsi="Arial"/>
                <w:sz w:val="14"/>
                <w:szCs w:val="14"/>
                <w:color w:val="auto"/>
              </w:rPr>
              <w:t>Non-GAAP</w:t>
            </w:r>
          </w:p>
        </w:tc>
        <w:tc>
          <w:tcPr>
            <w:tcW w:w="0" w:type="dxa"/>
            <w:vAlign w:val="bottom"/>
          </w:tcPr>
          <w:p>
            <w:pPr>
              <w:spacing w:after="0"/>
              <w:rPr>
                <w:sz w:val="1"/>
                <w:szCs w:val="1"/>
                <w:color w:val="auto"/>
              </w:rPr>
            </w:pPr>
          </w:p>
        </w:tc>
      </w:tr>
      <w:tr>
        <w:trPr>
          <w:trHeight w:val="56"/>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362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4"/>
                <w:szCs w:val="14"/>
                <w:color w:val="auto"/>
              </w:rPr>
              <w:t>Earnings</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right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Adjustments</w:t>
            </w:r>
          </w:p>
        </w:tc>
        <w:tc>
          <w:tcPr>
            <w:tcW w:w="28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Borders>
              <w:right w:val="single" w:sz="8" w:color="auto"/>
            </w:tcBorders>
            <w:gridSpan w:val="5"/>
          </w:tcPr>
          <w:p>
            <w:pPr>
              <w:jc w:val="center"/>
              <w:ind w:right="340"/>
              <w:spacing w:after="0"/>
              <w:rPr>
                <w:sz w:val="20"/>
                <w:szCs w:val="20"/>
                <w:color w:val="auto"/>
              </w:rPr>
            </w:pPr>
            <w:r>
              <w:rPr>
                <w:rFonts w:ascii="Arial" w:cs="Arial" w:eastAsia="Arial" w:hAnsi="Arial"/>
                <w:sz w:val="14"/>
                <w:szCs w:val="14"/>
                <w:color w:val="auto"/>
              </w:rPr>
              <w:t>Earnings</w:t>
            </w:r>
          </w:p>
        </w:tc>
        <w:tc>
          <w:tcPr>
            <w:tcW w:w="0" w:type="dxa"/>
            <w:vAlign w:val="bottom"/>
          </w:tcPr>
          <w:p>
            <w:pPr>
              <w:spacing w:after="0"/>
              <w:rPr>
                <w:sz w:val="1"/>
                <w:szCs w:val="1"/>
                <w:color w:val="auto"/>
              </w:rPr>
            </w:pPr>
          </w:p>
        </w:tc>
      </w:tr>
      <w:tr>
        <w:trPr>
          <w:trHeight w:val="39"/>
        </w:trPr>
        <w:tc>
          <w:tcPr>
            <w:tcW w:w="5560" w:type="dxa"/>
            <w:vAlign w:val="bottom"/>
            <w:tcBorders>
              <w:right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56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5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Net income</w:t>
            </w:r>
          </w:p>
        </w:tc>
        <w:tc>
          <w:tcPr>
            <w:tcW w:w="1100" w:type="dxa"/>
            <w:vAlign w:val="bottom"/>
            <w:gridSpan w:val="6"/>
          </w:tcPr>
          <w:p>
            <w:pPr>
              <w:jc w:val="right"/>
              <w:ind w:right="340"/>
              <w:spacing w:after="0"/>
              <w:rPr>
                <w:sz w:val="20"/>
                <w:szCs w:val="20"/>
                <w:color w:val="auto"/>
              </w:rPr>
            </w:pPr>
            <w:r>
              <w:rPr>
                <w:rFonts w:ascii="Arial" w:cs="Arial" w:eastAsia="Arial" w:hAnsi="Arial"/>
                <w:sz w:val="14"/>
                <w:szCs w:val="14"/>
                <w:color w:val="auto"/>
              </w:rPr>
              <w:t>$153,375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Borders>
              <w:right w:val="single" w:sz="8" w:color="auto"/>
            </w:tcBorders>
            <w:gridSpan w:val="6"/>
          </w:tcPr>
          <w:p>
            <w:pPr>
              <w:jc w:val="right"/>
              <w:ind w:right="320"/>
              <w:spacing w:after="0"/>
              <w:rPr>
                <w:sz w:val="20"/>
                <w:szCs w:val="20"/>
                <w:color w:val="auto"/>
              </w:rPr>
            </w:pPr>
            <w:r>
              <w:rPr>
                <w:rFonts w:ascii="Arial" w:cs="Arial" w:eastAsia="Arial" w:hAnsi="Arial"/>
                <w:sz w:val="14"/>
                <w:szCs w:val="14"/>
                <w:color w:val="auto"/>
              </w:rPr>
              <w:t>$153,375</w:t>
            </w:r>
          </w:p>
        </w:tc>
        <w:tc>
          <w:tcPr>
            <w:tcW w:w="0" w:type="dxa"/>
            <w:vAlign w:val="bottom"/>
          </w:tcPr>
          <w:p>
            <w:pPr>
              <w:spacing w:after="0"/>
              <w:rPr>
                <w:sz w:val="1"/>
                <w:szCs w:val="1"/>
                <w:color w:val="auto"/>
              </w:rPr>
            </w:pPr>
          </w:p>
        </w:tc>
      </w:tr>
      <w:tr>
        <w:trPr>
          <w:trHeight w:val="486"/>
        </w:trPr>
        <w:tc>
          <w:tcPr>
            <w:tcW w:w="55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One time net gain associated with the sale of minority interests in certain entities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7"/>
          </w:tcPr>
          <w:p>
            <w:pPr>
              <w:jc w:val="right"/>
              <w:spacing w:after="0"/>
              <w:rPr>
                <w:sz w:val="20"/>
                <w:szCs w:val="20"/>
                <w:color w:val="auto"/>
              </w:rPr>
            </w:pPr>
            <w:r>
              <w:rPr>
                <w:rFonts w:ascii="Arial" w:cs="Arial" w:eastAsia="Arial" w:hAnsi="Arial"/>
                <w:sz w:val="14"/>
                <w:szCs w:val="14"/>
                <w:color w:val="auto"/>
              </w:rPr>
              <w:t>$(20,155)</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4"/>
                <w:szCs w:val="14"/>
                <w:color w:val="auto"/>
              </w:rPr>
              <w:t>(20,155)</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5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Departure costs associated with Mark Weber, the Company’s former CEO</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7"/>
          </w:tcPr>
          <w:p>
            <w:pPr>
              <w:jc w:val="right"/>
              <w:ind w:right="20"/>
              <w:spacing w:after="0"/>
              <w:rPr>
                <w:sz w:val="20"/>
                <w:szCs w:val="20"/>
                <w:color w:val="auto"/>
              </w:rPr>
            </w:pPr>
            <w:r>
              <w:rPr>
                <w:rFonts w:ascii="Arial" w:cs="Arial" w:eastAsia="Arial" w:hAnsi="Arial"/>
                <w:sz w:val="14"/>
                <w:szCs w:val="14"/>
                <w:color w:val="auto"/>
              </w:rPr>
              <w:t>6,626</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4"/>
                <w:szCs w:val="14"/>
                <w:color w:val="auto"/>
              </w:rPr>
              <w:t>6,626</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55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Restructuring costs associated with manufacturing facility closing</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4"/>
          </w:tcPr>
          <w:p>
            <w:pPr>
              <w:spacing w:after="0"/>
              <w:rPr>
                <w:sz w:val="24"/>
                <w:szCs w:val="24"/>
                <w:color w:val="auto"/>
              </w:rPr>
            </w:pPr>
          </w:p>
        </w:tc>
        <w:tc>
          <w:tcPr>
            <w:tcW w:w="920" w:type="dxa"/>
            <w:vAlign w:val="bottom"/>
            <w:gridSpan w:val="4"/>
          </w:tcPr>
          <w:p>
            <w:pPr>
              <w:jc w:val="right"/>
              <w:ind w:right="360"/>
              <w:spacing w:after="0"/>
              <w:rPr>
                <w:sz w:val="20"/>
                <w:szCs w:val="20"/>
                <w:color w:val="auto"/>
              </w:rPr>
            </w:pPr>
            <w:r>
              <w:rPr>
                <w:rFonts w:ascii="Arial" w:cs="Arial" w:eastAsia="Arial" w:hAnsi="Arial"/>
                <w:sz w:val="14"/>
                <w:szCs w:val="14"/>
                <w:color w:val="auto"/>
              </w:rPr>
              <w:t>7,104</w:t>
            </w:r>
          </w:p>
        </w:tc>
        <w:tc>
          <w:tcPr>
            <w:tcW w:w="280" w:type="dxa"/>
            <w:vAlign w:val="bottom"/>
          </w:tcPr>
          <w:p>
            <w:pPr>
              <w:spacing w:after="0"/>
              <w:rPr>
                <w:sz w:val="24"/>
                <w:szCs w:val="24"/>
                <w:color w:val="auto"/>
              </w:rPr>
            </w:pPr>
          </w:p>
        </w:tc>
        <w:tc>
          <w:tcPr>
            <w:tcW w:w="940" w:type="dxa"/>
            <w:vAlign w:val="bottom"/>
            <w:gridSpan w:val="5"/>
          </w:tcPr>
          <w:p>
            <w:pPr>
              <w:jc w:val="right"/>
              <w:spacing w:after="0"/>
              <w:rPr>
                <w:sz w:val="20"/>
                <w:szCs w:val="20"/>
                <w:color w:val="auto"/>
              </w:rPr>
            </w:pPr>
            <w:r>
              <w:rPr>
                <w:rFonts w:ascii="Arial" w:cs="Arial" w:eastAsia="Arial" w:hAnsi="Arial"/>
                <w:sz w:val="14"/>
                <w:szCs w:val="14"/>
                <w:color w:val="auto"/>
              </w:rPr>
              <w:t>7,104</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55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Net income as adjusted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153,375</w:t>
            </w:r>
          </w:p>
        </w:tc>
        <w:tc>
          <w:tcPr>
            <w:tcW w:w="340" w:type="dxa"/>
            <w:vAlign w:val="bottom"/>
          </w:tcPr>
          <w:p>
            <w:pPr>
              <w:spacing w:after="0"/>
              <w:rPr>
                <w:sz w:val="24"/>
                <w:szCs w:val="24"/>
                <w:color w:val="auto"/>
              </w:rPr>
            </w:pPr>
          </w:p>
        </w:tc>
        <w:tc>
          <w:tcPr>
            <w:tcW w:w="600" w:type="dxa"/>
            <w:vAlign w:val="bottom"/>
            <w:gridSpan w:val="4"/>
          </w:tcPr>
          <w:p>
            <w:pPr>
              <w:spacing w:after="0"/>
              <w:rPr>
                <w:sz w:val="24"/>
                <w:szCs w:val="24"/>
                <w:color w:val="auto"/>
              </w:rPr>
            </w:pPr>
          </w:p>
        </w:tc>
        <w:tc>
          <w:tcPr>
            <w:tcW w:w="5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(6,425)</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6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146,950</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5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Less: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560" w:type="dxa"/>
            <w:vAlign w:val="bottom"/>
            <w:tcBorders>
              <w:left w:val="single" w:sz="8" w:color="auto"/>
            </w:tcBorders>
            <w:gridSpan w:val="2"/>
          </w:tcPr>
          <w:p>
            <w:pPr>
              <w:ind w:left="240"/>
              <w:spacing w:after="0"/>
              <w:rPr>
                <w:sz w:val="20"/>
                <w:szCs w:val="20"/>
                <w:color w:val="auto"/>
              </w:rPr>
            </w:pPr>
            <w:r>
              <w:rPr>
                <w:rFonts w:ascii="Arial" w:cs="Arial" w:eastAsia="Arial" w:hAnsi="Arial"/>
                <w:sz w:val="14"/>
                <w:szCs w:val="14"/>
                <w:color w:val="auto"/>
              </w:rPr>
              <w:t>Inducement payment and offering costs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rPr>
              <w:t>10,948</w:t>
            </w:r>
          </w:p>
        </w:tc>
        <w:tc>
          <w:tcPr>
            <w:tcW w:w="340" w:type="dxa"/>
            <w:vAlign w:val="bottom"/>
          </w:tcPr>
          <w:p>
            <w:pPr>
              <w:spacing w:after="0"/>
              <w:rPr>
                <w:sz w:val="24"/>
                <w:szCs w:val="24"/>
                <w:color w:val="auto"/>
              </w:rPr>
            </w:pPr>
          </w:p>
        </w:tc>
        <w:tc>
          <w:tcPr>
            <w:tcW w:w="1160" w:type="dxa"/>
            <w:vAlign w:val="bottom"/>
            <w:gridSpan w:val="7"/>
          </w:tcPr>
          <w:p>
            <w:pPr>
              <w:jc w:val="right"/>
              <w:ind w:right="20"/>
              <w:spacing w:after="0"/>
              <w:rPr>
                <w:sz w:val="20"/>
                <w:szCs w:val="20"/>
                <w:color w:val="auto"/>
              </w:rPr>
            </w:pPr>
            <w:r>
              <w:rPr>
                <w:rFonts w:ascii="Arial" w:cs="Arial" w:eastAsia="Arial" w:hAnsi="Arial"/>
                <w:sz w:val="14"/>
                <w:szCs w:val="14"/>
                <w:color w:val="auto"/>
              </w:rPr>
              <w:t>(10,948)</w:t>
            </w:r>
            <w:r>
              <w:rPr>
                <w:rFonts w:ascii="Arial" w:cs="Arial" w:eastAsia="Arial" w:hAnsi="Arial"/>
                <w:sz w:val="23"/>
                <w:szCs w:val="23"/>
                <w:color w:val="auto"/>
                <w:vertAlign w:val="superscript"/>
              </w:rPr>
              <w:t>(1)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560" w:type="dxa"/>
            <w:vAlign w:val="bottom"/>
            <w:tcBorders>
              <w:left w:val="single" w:sz="8" w:color="auto"/>
            </w:tcBorders>
            <w:gridSpan w:val="2"/>
            <w:vMerge w:val="restart"/>
          </w:tcPr>
          <w:p>
            <w:pPr>
              <w:ind w:left="240"/>
              <w:spacing w:after="0"/>
              <w:rPr>
                <w:sz w:val="20"/>
                <w:szCs w:val="20"/>
                <w:color w:val="auto"/>
              </w:rPr>
            </w:pPr>
            <w:r>
              <w:rPr>
                <w:rFonts w:ascii="Arial" w:cs="Arial" w:eastAsia="Arial" w:hAnsi="Arial"/>
                <w:sz w:val="14"/>
                <w:szCs w:val="14"/>
                <w:color w:val="auto"/>
              </w:rPr>
              <w:t>Preferred stock dividends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spacing w:after="0" w:line="124" w:lineRule="exact"/>
              <w:rPr>
                <w:sz w:val="20"/>
                <w:szCs w:val="20"/>
                <w:color w:val="auto"/>
              </w:rPr>
            </w:pPr>
            <w:r>
              <w:rPr>
                <w:rFonts w:ascii="Arial" w:cs="Arial" w:eastAsia="Arial" w:hAnsi="Arial"/>
                <w:sz w:val="14"/>
                <w:szCs w:val="14"/>
                <w:color w:val="auto"/>
              </w:rPr>
              <w:t>3,230</w:t>
            </w:r>
          </w:p>
        </w:tc>
        <w:tc>
          <w:tcPr>
            <w:tcW w:w="340" w:type="dxa"/>
            <w:vAlign w:val="bottom"/>
          </w:tcPr>
          <w:p>
            <w:pPr>
              <w:spacing w:after="0"/>
              <w:rPr>
                <w:sz w:val="12"/>
                <w:szCs w:val="12"/>
                <w:color w:val="auto"/>
              </w:rPr>
            </w:pPr>
          </w:p>
        </w:tc>
        <w:tc>
          <w:tcPr>
            <w:tcW w:w="380" w:type="dxa"/>
            <w:vAlign w:val="bottom"/>
            <w:gridSpan w:val="2"/>
            <w:vMerge w:val="restart"/>
          </w:tcPr>
          <w:p>
            <w:pPr>
              <w:spacing w:after="0"/>
              <w:rPr>
                <w:sz w:val="12"/>
                <w:szCs w:val="12"/>
                <w:color w:val="auto"/>
              </w:rPr>
            </w:pPr>
          </w:p>
        </w:tc>
        <w:tc>
          <w:tcPr>
            <w:tcW w:w="780" w:type="dxa"/>
            <w:vAlign w:val="bottom"/>
            <w:gridSpan w:val="5"/>
            <w:vMerge w:val="restart"/>
          </w:tcPr>
          <w:p>
            <w:pPr>
              <w:jc w:val="right"/>
              <w:ind w:right="20"/>
              <w:spacing w:after="0" w:line="185" w:lineRule="exact"/>
              <w:rPr>
                <w:sz w:val="20"/>
                <w:szCs w:val="20"/>
                <w:color w:val="auto"/>
              </w:rPr>
            </w:pPr>
            <w:r>
              <w:rPr>
                <w:rFonts w:ascii="Arial" w:cs="Arial" w:eastAsia="Arial" w:hAnsi="Arial"/>
                <w:sz w:val="13"/>
                <w:szCs w:val="13"/>
                <w:color w:val="auto"/>
              </w:rPr>
              <w:t>(3,230)</w:t>
            </w:r>
            <w:r>
              <w:rPr>
                <w:rFonts w:ascii="Arial" w:cs="Arial" w:eastAsia="Arial" w:hAnsi="Arial"/>
                <w:sz w:val="21"/>
                <w:szCs w:val="21"/>
                <w:color w:val="auto"/>
                <w:vertAlign w:val="superscript"/>
              </w:rPr>
              <w:t>(2)</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560" w:type="dxa"/>
            <w:vAlign w:val="bottom"/>
            <w:tcBorders>
              <w:left w:val="single" w:sz="8" w:color="auto"/>
            </w:tcBorders>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vMerge w:val="continue"/>
          </w:tcPr>
          <w:p>
            <w:pPr>
              <w:spacing w:after="0" w:line="20" w:lineRule="exact"/>
              <w:rPr>
                <w:sz w:val="1"/>
                <w:szCs w:val="1"/>
                <w:color w:val="auto"/>
              </w:rPr>
            </w:pPr>
          </w:p>
        </w:tc>
        <w:tc>
          <w:tcPr>
            <w:tcW w:w="780" w:type="dxa"/>
            <w:vAlign w:val="bottom"/>
            <w:gridSpan w:val="5"/>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6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Net income available to common stockholders for diluted earnings per share</w:t>
            </w:r>
          </w:p>
        </w:tc>
        <w:tc>
          <w:tcPr>
            <w:tcW w:w="1100" w:type="dxa"/>
            <w:vAlign w:val="bottom"/>
            <w:gridSpan w:val="6"/>
          </w:tcPr>
          <w:p>
            <w:pPr>
              <w:jc w:val="right"/>
              <w:ind w:right="3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139,197</w:t>
            </w:r>
          </w:p>
        </w:tc>
        <w:tc>
          <w:tcPr>
            <w:tcW w:w="380" w:type="dxa"/>
            <w:vAlign w:val="bottom"/>
            <w:gridSpan w:val="2"/>
          </w:tcPr>
          <w:p>
            <w:pPr>
              <w:spacing w:after="0"/>
              <w:rPr>
                <w:sz w:val="24"/>
                <w:szCs w:val="24"/>
                <w:color w:val="auto"/>
              </w:rPr>
            </w:pPr>
          </w:p>
        </w:tc>
        <w:tc>
          <w:tcPr>
            <w:tcW w:w="1140" w:type="dxa"/>
            <w:vAlign w:val="bottom"/>
            <w:gridSpan w:val="6"/>
          </w:tcPr>
          <w:p>
            <w:pPr>
              <w:jc w:val="right"/>
              <w:ind w:right="360"/>
              <w:spacing w:after="0"/>
              <w:rPr>
                <w:sz w:val="20"/>
                <w:szCs w:val="20"/>
                <w:color w:val="auto"/>
              </w:rPr>
            </w:pPr>
            <w:r>
              <w:rPr>
                <w:rFonts w:ascii="Arial" w:cs="Arial" w:eastAsia="Arial" w:hAnsi="Arial"/>
                <w:sz w:val="14"/>
                <w:szCs w:val="14"/>
                <w:color w:val="auto"/>
              </w:rPr>
              <w:t>$  7,753</w:t>
            </w:r>
          </w:p>
        </w:tc>
        <w:tc>
          <w:tcPr>
            <w:tcW w:w="280" w:type="dxa"/>
            <w:vAlign w:val="bottom"/>
          </w:tcPr>
          <w:p>
            <w:pPr>
              <w:spacing w:after="0"/>
              <w:rPr>
                <w:sz w:val="24"/>
                <w:szCs w:val="24"/>
                <w:color w:val="auto"/>
              </w:rPr>
            </w:pPr>
          </w:p>
        </w:tc>
        <w:tc>
          <w:tcPr>
            <w:tcW w:w="1260" w:type="dxa"/>
            <w:vAlign w:val="bottom"/>
            <w:tcBorders>
              <w:right w:val="single" w:sz="8" w:color="auto"/>
            </w:tcBorders>
            <w:gridSpan w:val="6"/>
          </w:tcPr>
          <w:p>
            <w:pPr>
              <w:jc w:val="right"/>
              <w:ind w:right="32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146,950</w:t>
            </w:r>
          </w:p>
        </w:tc>
        <w:tc>
          <w:tcPr>
            <w:tcW w:w="0" w:type="dxa"/>
            <w:vAlign w:val="bottom"/>
          </w:tcPr>
          <w:p>
            <w:pPr>
              <w:spacing w:after="0"/>
              <w:rPr>
                <w:sz w:val="1"/>
                <w:szCs w:val="1"/>
                <w:color w:val="auto"/>
              </w:rPr>
            </w:pPr>
          </w:p>
        </w:tc>
      </w:tr>
      <w:tr>
        <w:trPr>
          <w:trHeight w:val="495"/>
        </w:trPr>
        <w:tc>
          <w:tcPr>
            <w:tcW w:w="55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Shares outstanding:</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60" w:type="dxa"/>
            <w:vAlign w:val="bottom"/>
            <w:tcBorders>
              <w:left w:val="single" w:sz="8" w:color="auto"/>
            </w:tcBorders>
            <w:gridSpan w:val="2"/>
          </w:tcPr>
          <w:p>
            <w:pPr>
              <w:ind w:left="240"/>
              <w:spacing w:after="0"/>
              <w:rPr>
                <w:sz w:val="20"/>
                <w:szCs w:val="20"/>
                <w:color w:val="auto"/>
              </w:rPr>
            </w:pPr>
            <w:r>
              <w:rPr>
                <w:rFonts w:ascii="Arial" w:cs="Arial" w:eastAsia="Arial" w:hAnsi="Arial"/>
                <w:sz w:val="14"/>
                <w:szCs w:val="14"/>
                <w:color w:val="auto"/>
              </w:rPr>
              <w:t>Weighted average common shares outstanding</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rPr>
              <w:t>52,100</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4"/>
                <w:szCs w:val="14"/>
                <w:color w:val="auto"/>
              </w:rPr>
              <w:t>52,100</w:t>
            </w:r>
          </w:p>
        </w:tc>
        <w:tc>
          <w:tcPr>
            <w:tcW w:w="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Borders>
              <w:left w:val="single" w:sz="8" w:color="auto"/>
            </w:tcBorders>
            <w:gridSpan w:val="2"/>
          </w:tcPr>
          <w:p>
            <w:pPr>
              <w:ind w:left="240"/>
              <w:spacing w:after="0"/>
              <w:rPr>
                <w:sz w:val="20"/>
                <w:szCs w:val="20"/>
                <w:color w:val="auto"/>
              </w:rPr>
            </w:pPr>
            <w:r>
              <w:rPr>
                <w:rFonts w:ascii="Arial" w:cs="Arial" w:eastAsia="Arial" w:hAnsi="Arial"/>
                <w:sz w:val="14"/>
                <w:szCs w:val="14"/>
                <w:color w:val="auto"/>
              </w:rPr>
              <w:t>Impact of diluted stock options and warrant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jc w:val="center"/>
              <w:ind w:left="68"/>
              <w:spacing w:after="0"/>
              <w:rPr>
                <w:sz w:val="20"/>
                <w:szCs w:val="20"/>
                <w:color w:val="auto"/>
              </w:rPr>
            </w:pPr>
            <w:r>
              <w:rPr>
                <w:rFonts w:ascii="Arial" w:cs="Arial" w:eastAsia="Arial" w:hAnsi="Arial"/>
                <w:sz w:val="14"/>
                <w:szCs w:val="14"/>
                <w:color w:val="auto"/>
              </w:rPr>
              <w:t>1,400</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4"/>
                <w:szCs w:val="14"/>
                <w:color w:val="auto"/>
              </w:rPr>
              <w:t>1,400</w:t>
            </w:r>
          </w:p>
        </w:tc>
        <w:tc>
          <w:tcPr>
            <w:tcW w:w="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560" w:type="dxa"/>
            <w:vAlign w:val="bottom"/>
            <w:tcBorders>
              <w:left w:val="single" w:sz="8" w:color="auto"/>
            </w:tcBorders>
            <w:gridSpan w:val="2"/>
            <w:vMerge w:val="restart"/>
          </w:tcPr>
          <w:p>
            <w:pPr>
              <w:ind w:left="240"/>
              <w:spacing w:after="0"/>
              <w:rPr>
                <w:sz w:val="20"/>
                <w:szCs w:val="20"/>
                <w:color w:val="auto"/>
              </w:rPr>
            </w:pPr>
            <w:r>
              <w:rPr>
                <w:rFonts w:ascii="Arial" w:cs="Arial" w:eastAsia="Arial" w:hAnsi="Arial"/>
                <w:sz w:val="14"/>
                <w:szCs w:val="14"/>
                <w:color w:val="auto"/>
              </w:rPr>
              <w:t>Impact of preferred stock</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3"/>
            <w:vMerge w:val="restart"/>
          </w:tcPr>
          <w:p>
            <w:pPr>
              <w:spacing w:after="0"/>
              <w:rPr>
                <w:sz w:val="18"/>
                <w:szCs w:val="18"/>
                <w:color w:val="auto"/>
              </w:rPr>
            </w:pPr>
          </w:p>
        </w:tc>
        <w:tc>
          <w:tcPr>
            <w:tcW w:w="680" w:type="dxa"/>
            <w:vAlign w:val="bottom"/>
            <w:gridSpan w:val="4"/>
            <w:vMerge w:val="restart"/>
          </w:tcPr>
          <w:p>
            <w:pPr>
              <w:jc w:val="right"/>
              <w:ind w:right="20"/>
              <w:spacing w:after="0" w:line="255" w:lineRule="exact"/>
              <w:rPr>
                <w:sz w:val="20"/>
                <w:szCs w:val="20"/>
                <w:color w:val="auto"/>
              </w:rPr>
            </w:pPr>
            <w:r>
              <w:rPr>
                <w:rFonts w:ascii="Arial" w:cs="Arial" w:eastAsia="Arial" w:hAnsi="Arial"/>
                <w:sz w:val="14"/>
                <w:szCs w:val="14"/>
                <w:color w:val="auto"/>
              </w:rPr>
              <w:t>3,241</w:t>
            </w:r>
            <w:r>
              <w:rPr>
                <w:rFonts w:ascii="Arial" w:cs="Arial" w:eastAsia="Arial" w:hAnsi="Arial"/>
                <w:sz w:val="23"/>
                <w:szCs w:val="23"/>
                <w:color w:val="auto"/>
                <w:vertAlign w:val="superscript"/>
              </w:rPr>
              <w:t>(3)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vMerge w:val="restart"/>
          </w:tcPr>
          <w:p>
            <w:pPr>
              <w:spacing w:after="0"/>
              <w:rPr>
                <w:sz w:val="18"/>
                <w:szCs w:val="18"/>
                <w:color w:val="auto"/>
              </w:rPr>
            </w:pPr>
          </w:p>
        </w:tc>
        <w:tc>
          <w:tcPr>
            <w:tcW w:w="60" w:type="dxa"/>
            <w:vAlign w:val="bottom"/>
            <w:gridSpan w:val="2"/>
            <w:vMerge w:val="restart"/>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3,241</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60" w:type="dxa"/>
            <w:vAlign w:val="bottom"/>
            <w:tcBorders>
              <w:left w:val="single" w:sz="8" w:color="auto"/>
            </w:tcBorders>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3"/>
            <w:vMerge w:val="continue"/>
          </w:tcPr>
          <w:p>
            <w:pPr>
              <w:spacing w:after="0" w:line="20" w:lineRule="exact"/>
              <w:rPr>
                <w:sz w:val="1"/>
                <w:szCs w:val="1"/>
                <w:color w:val="auto"/>
              </w:rPr>
            </w:pPr>
          </w:p>
        </w:tc>
        <w:tc>
          <w:tcPr>
            <w:tcW w:w="680" w:type="dxa"/>
            <w:vAlign w:val="bottom"/>
            <w:gridSpan w:val="4"/>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6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Total shares outstanding for calculation</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53,500</w:t>
            </w:r>
          </w:p>
        </w:tc>
        <w:tc>
          <w:tcPr>
            <w:tcW w:w="340" w:type="dxa"/>
            <w:vAlign w:val="bottom"/>
          </w:tcPr>
          <w:p>
            <w:pPr>
              <w:spacing w:after="0"/>
              <w:rPr>
                <w:sz w:val="15"/>
                <w:szCs w:val="15"/>
                <w:color w:val="auto"/>
              </w:rPr>
            </w:pPr>
          </w:p>
        </w:tc>
        <w:tc>
          <w:tcPr>
            <w:tcW w:w="48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3,241</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3"/>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56,741</w:t>
            </w: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55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Diluted earnings per share</w:t>
            </w:r>
          </w:p>
        </w:tc>
        <w:tc>
          <w:tcPr>
            <w:tcW w:w="2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2.60</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5"/>
          </w:tcPr>
          <w:p>
            <w:pPr>
              <w:jc w:val="center"/>
              <w:ind w:left="188"/>
              <w:spacing w:after="0"/>
              <w:rPr>
                <w:sz w:val="20"/>
                <w:szCs w:val="20"/>
                <w:color w:val="auto"/>
              </w:rPr>
            </w:pPr>
            <w:r>
              <w:rPr>
                <w:rFonts w:ascii="Arial" w:cs="Arial" w:eastAsia="Arial" w:hAnsi="Arial"/>
                <w:sz w:val="14"/>
                <w:szCs w:val="14"/>
                <w:color w:val="auto"/>
              </w:rPr>
              <w:t>$   2.59</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940" w:type="dxa"/>
            <w:vAlign w:val="bottom"/>
            <w:tcBorders>
              <w:left w:val="single" w:sz="8" w:color="auto"/>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280" w:right="20" w:hanging="272"/>
        <w:spacing w:after="0" w:line="261" w:lineRule="auto"/>
        <w:tabs>
          <w:tab w:leader="none" w:pos="242" w:val="left"/>
        </w:tabs>
        <w:numPr>
          <w:ilvl w:val="0"/>
          <w:numId w:val="12"/>
        </w:numPr>
        <w:rPr>
          <w:rFonts w:ascii="Arial" w:cs="Arial" w:eastAsia="Arial" w:hAnsi="Arial"/>
          <w:sz w:val="12"/>
          <w:szCs w:val="12"/>
          <w:color w:val="auto"/>
        </w:rPr>
      </w:pPr>
      <w:r>
        <w:rPr>
          <w:rFonts w:ascii="Arial" w:cs="Arial" w:eastAsia="Arial" w:hAnsi="Arial"/>
          <w:sz w:val="14"/>
          <w:szCs w:val="14"/>
          <w:color w:val="auto"/>
        </w:rPr>
        <w:t>Elimination of inducement payment and offering costs associated with the conversion of preferred shares and the sale of shares of common stock issued upon conversion. The inducement payment and offering costs include (a) an inducement payment of $0.88 per share of common stock converted by the preferred stockholders, or an aggregate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of $10.2 million, and (b) certain costs, totaling $0.7 million, incurred by the Company in connection with the secondary common stock offering.</w:t>
      </w:r>
    </w:p>
    <w:p>
      <w:pPr>
        <w:spacing w:after="0" w:line="1" w:lineRule="exact"/>
        <w:rPr>
          <w:sz w:val="20"/>
          <w:szCs w:val="20"/>
          <w:color w:val="auto"/>
        </w:rPr>
      </w:pPr>
    </w:p>
    <w:p>
      <w:pPr>
        <w:ind w:left="260" w:hanging="219"/>
        <w:spacing w:after="0" w:line="261" w:lineRule="auto"/>
        <w:tabs>
          <w:tab w:leader="none" w:pos="260" w:val="left"/>
        </w:tabs>
        <w:numPr>
          <w:ilvl w:val="1"/>
          <w:numId w:val="13"/>
        </w:numPr>
        <w:rPr>
          <w:rFonts w:ascii="Arial" w:cs="Arial" w:eastAsia="Arial" w:hAnsi="Arial"/>
          <w:sz w:val="12"/>
          <w:szCs w:val="12"/>
          <w:color w:val="auto"/>
        </w:rPr>
      </w:pPr>
      <w:r>
        <w:rPr>
          <w:rFonts w:ascii="Arial" w:cs="Arial" w:eastAsia="Arial" w:hAnsi="Arial"/>
          <w:sz w:val="14"/>
          <w:szCs w:val="14"/>
          <w:color w:val="auto"/>
        </w:rPr>
        <w:t>Elimination of dividends on preferred stock which would not have been included in the EPS computation under the if-converted method if the inducement payment and offering costs had not been incurred. Eliminating such costs requires an EPS recalculation when applying the if-converted method of calculating diluted earnings per share.</w:t>
      </w:r>
    </w:p>
    <w:p>
      <w:pPr>
        <w:ind w:left="260" w:hanging="252"/>
        <w:spacing w:after="0"/>
        <w:tabs>
          <w:tab w:leader="none" w:pos="2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Additional shares which would have been included in the EPS computation under the if-converted method if the inducement payment and offering costs had not been incurred.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spacing w:after="0"/>
        <w:rPr>
          <w:sz w:val="20"/>
          <w:szCs w:val="20"/>
          <w:color w:val="auto"/>
        </w:rPr>
      </w:pPr>
      <w:r>
        <w:rPr>
          <w:rFonts w:ascii="Arial" w:cs="Arial" w:eastAsia="Arial" w:hAnsi="Arial"/>
          <w:sz w:val="25"/>
          <w:szCs w:val="25"/>
          <w:b w:val="1"/>
          <w:bCs w:val="1"/>
          <w:i w:val="1"/>
          <w:iCs w:val="1"/>
          <w:color w:val="auto"/>
        </w:rPr>
        <w:t>PHILLIPS-VAN HEUSEN CORPORATION</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Reconciliation of GAAP to non-GAAP 2005 Earnings Per Share</w:t>
      </w:r>
    </w:p>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Set forth below is the Company's reconciliation of its 2005 full year GAAP diluted earnings per share to: (i) diluted earnings per share excluding the July 2005 inducement and offering costs and (ii) diluted earnings per share excluding the July 2005 inducement and offering costs and including the impact of expensing stock options. The Company believes that investors often look at ongoing operations as a measure of assessing performance and as a basis for comparing past results against future results. Therefore, the Company believes that presenting its results excluding the July 2005 inducement and offering costs provides useful information to investors because this allows investors to make decisions based on the ongoing operations of the enterprise. Such results were the basis for certain incentive compensation calculations. Further, the Company believes that presenting its results excluding the J uly 2005 inducement payment and offering costs and including the impact of expensing stock options provides useful information to investors because this allows investors to compare the Company's results for 2005 to its estimates for 2006 which include the impact of expensing stock options, as required by SFAS 123R. The Company uses its results excluding the July 2005 inducement and offering costs and including the impact of expensing stock options to discuss its business with investment institutions, the Company's Board of Directors and others.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(In thousands, except per share data)</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9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2005 Full Year</w:t>
            </w:r>
          </w:p>
        </w:tc>
        <w:tc>
          <w:tcPr>
            <w:tcW w:w="3620" w:type="dxa"/>
            <w:vAlign w:val="bottom"/>
            <w:tcBorders>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gridSpan w:val="2"/>
          </w:tcPr>
          <w:p>
            <w:pPr>
              <w:jc w:val="center"/>
              <w:ind w:right="320"/>
              <w:spacing w:after="0"/>
              <w:rPr>
                <w:sz w:val="20"/>
                <w:szCs w:val="20"/>
                <w:color w:val="auto"/>
              </w:rPr>
            </w:pPr>
            <w:r>
              <w:rPr>
                <w:rFonts w:ascii="Arial" w:cs="Arial" w:eastAsia="Arial" w:hAnsi="Arial"/>
                <w:sz w:val="14"/>
                <w:szCs w:val="14"/>
                <w:color w:val="auto"/>
              </w:rPr>
              <w:t>GAAP</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right w:val="single" w:sz="8" w:color="auto"/>
            </w:tcBorders>
            <w:gridSpan w:val="5"/>
          </w:tcPr>
          <w:p>
            <w:pPr>
              <w:jc w:val="center"/>
              <w:ind w:right="280"/>
              <w:spacing w:after="0"/>
              <w:rPr>
                <w:sz w:val="20"/>
                <w:szCs w:val="20"/>
                <w:color w:val="auto"/>
              </w:rPr>
            </w:pPr>
            <w:r>
              <w:rPr>
                <w:rFonts w:ascii="Arial" w:cs="Arial" w:eastAsia="Arial" w:hAnsi="Arial"/>
                <w:sz w:val="14"/>
                <w:szCs w:val="14"/>
                <w:color w:val="auto"/>
              </w:rPr>
              <w:t>Non-GAAP</w:t>
            </w:r>
          </w:p>
        </w:tc>
        <w:tc>
          <w:tcPr>
            <w:tcW w:w="0" w:type="dxa"/>
            <w:vAlign w:val="bottom"/>
          </w:tcPr>
          <w:p>
            <w:pPr>
              <w:spacing w:after="0"/>
              <w:rPr>
                <w:sz w:val="1"/>
                <w:szCs w:val="1"/>
                <w:color w:val="auto"/>
              </w:rPr>
            </w:pPr>
          </w:p>
        </w:tc>
      </w:tr>
      <w:tr>
        <w:trPr>
          <w:trHeight w:val="56"/>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362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36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color w:val="auto"/>
              </w:rPr>
              <w:t>Earnings</w:t>
            </w:r>
          </w:p>
        </w:tc>
        <w:tc>
          <w:tcPr>
            <w:tcW w:w="2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right w:val="single" w:sz="8" w:color="auto"/>
            </w:tcBorders>
            <w:gridSpan w:val="5"/>
          </w:tcPr>
          <w:p>
            <w:pPr>
              <w:ind w:left="40"/>
              <w:spacing w:after="0"/>
              <w:rPr>
                <w:sz w:val="20"/>
                <w:szCs w:val="20"/>
                <w:color w:val="auto"/>
              </w:rPr>
            </w:pPr>
            <w:r>
              <w:rPr>
                <w:rFonts w:ascii="Arial" w:cs="Arial" w:eastAsia="Arial" w:hAnsi="Arial"/>
                <w:sz w:val="14"/>
                <w:szCs w:val="14"/>
                <w:color w:val="auto"/>
              </w:rPr>
              <w:t>Adjustments</w:t>
            </w:r>
          </w:p>
        </w:tc>
        <w:tc>
          <w:tcPr>
            <w:tcW w:w="2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4"/>
                <w:szCs w:val="14"/>
                <w:color w:val="auto"/>
              </w:rPr>
              <w:t>Earnings</w:t>
            </w:r>
          </w:p>
        </w:tc>
        <w:tc>
          <w:tcPr>
            <w:tcW w:w="0" w:type="dxa"/>
            <w:vAlign w:val="bottom"/>
          </w:tcPr>
          <w:p>
            <w:pPr>
              <w:spacing w:after="0"/>
              <w:rPr>
                <w:sz w:val="1"/>
                <w:szCs w:val="1"/>
                <w:color w:val="auto"/>
              </w:rPr>
            </w:pPr>
          </w:p>
        </w:tc>
      </w:tr>
      <w:tr>
        <w:trPr>
          <w:trHeight w:val="39"/>
        </w:trPr>
        <w:tc>
          <w:tcPr>
            <w:tcW w:w="5560" w:type="dxa"/>
            <w:vAlign w:val="bottom"/>
            <w:tcBorders>
              <w:right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56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55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Net income</w:t>
            </w:r>
          </w:p>
        </w:tc>
        <w:tc>
          <w:tcPr>
            <w:tcW w:w="780" w:type="dxa"/>
            <w:vAlign w:val="bottom"/>
            <w:gridSpan w:val="4"/>
          </w:tcPr>
          <w:p>
            <w:pPr>
              <w:jc w:val="right"/>
              <w:spacing w:after="0"/>
              <w:rPr>
                <w:sz w:val="20"/>
                <w:szCs w:val="20"/>
                <w:color w:val="auto"/>
              </w:rPr>
            </w:pPr>
            <w:r>
              <w:rPr>
                <w:rFonts w:ascii="Arial" w:cs="Arial" w:eastAsia="Arial" w:hAnsi="Arial"/>
                <w:sz w:val="14"/>
                <w:szCs w:val="14"/>
                <w:color w:val="auto"/>
              </w:rPr>
              <w:t>$111,688</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Borders>
              <w:right w:val="single" w:sz="8" w:color="auto"/>
            </w:tcBorders>
            <w:gridSpan w:val="9"/>
          </w:tcPr>
          <w:p>
            <w:pPr>
              <w:jc w:val="right"/>
              <w:ind w:right="400"/>
              <w:spacing w:after="0"/>
              <w:rPr>
                <w:sz w:val="20"/>
                <w:szCs w:val="20"/>
                <w:color w:val="auto"/>
              </w:rPr>
            </w:pPr>
            <w:r>
              <w:rPr>
                <w:rFonts w:ascii="Arial" w:cs="Arial" w:eastAsia="Arial" w:hAnsi="Arial"/>
                <w:sz w:val="14"/>
                <w:szCs w:val="14"/>
                <w:color w:val="auto"/>
              </w:rPr>
              <w:t>$111,688</w:t>
            </w:r>
          </w:p>
        </w:tc>
        <w:tc>
          <w:tcPr>
            <w:tcW w:w="0" w:type="dxa"/>
            <w:vAlign w:val="bottom"/>
          </w:tcPr>
          <w:p>
            <w:pPr>
              <w:spacing w:after="0"/>
              <w:rPr>
                <w:sz w:val="1"/>
                <w:szCs w:val="1"/>
                <w:color w:val="auto"/>
              </w:rPr>
            </w:pPr>
          </w:p>
        </w:tc>
      </w:tr>
      <w:tr>
        <w:trPr>
          <w:trHeight w:val="446"/>
        </w:trPr>
        <w:tc>
          <w:tcPr>
            <w:tcW w:w="55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Less: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560" w:type="dxa"/>
            <w:vAlign w:val="bottom"/>
            <w:tcBorders>
              <w:left w:val="single" w:sz="8" w:color="auto"/>
            </w:tcBorders>
            <w:gridSpan w:val="2"/>
          </w:tcPr>
          <w:p>
            <w:pPr>
              <w:ind w:left="240"/>
              <w:spacing w:after="0"/>
              <w:rPr>
                <w:sz w:val="20"/>
                <w:szCs w:val="20"/>
                <w:color w:val="auto"/>
              </w:rPr>
            </w:pPr>
            <w:r>
              <w:rPr>
                <w:rFonts w:ascii="Arial" w:cs="Arial" w:eastAsia="Arial" w:hAnsi="Arial"/>
                <w:sz w:val="14"/>
                <w:szCs w:val="14"/>
                <w:color w:val="auto"/>
              </w:rPr>
              <w:t>Preferred dividends on converted preferred stock</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2,051</w:t>
            </w:r>
          </w:p>
        </w:tc>
        <w:tc>
          <w:tcPr>
            <w:tcW w:w="320" w:type="dxa"/>
            <w:vAlign w:val="bottom"/>
          </w:tcPr>
          <w:p>
            <w:pPr>
              <w:spacing w:after="0"/>
              <w:rPr>
                <w:sz w:val="24"/>
                <w:szCs w:val="24"/>
                <w:color w:val="auto"/>
              </w:rPr>
            </w:pPr>
          </w:p>
        </w:tc>
        <w:tc>
          <w:tcPr>
            <w:tcW w:w="1180" w:type="dxa"/>
            <w:vAlign w:val="bottom"/>
            <w:gridSpan w:val="6"/>
          </w:tcPr>
          <w:p>
            <w:pPr>
              <w:jc w:val="right"/>
              <w:ind w:right="20"/>
              <w:spacing w:after="0"/>
              <w:rPr>
                <w:sz w:val="20"/>
                <w:szCs w:val="20"/>
                <w:color w:val="auto"/>
              </w:rPr>
            </w:pPr>
            <w:r>
              <w:rPr>
                <w:rFonts w:ascii="Arial" w:cs="Arial" w:eastAsia="Arial" w:hAnsi="Arial"/>
                <w:sz w:val="14"/>
                <w:szCs w:val="14"/>
                <w:color w:val="auto"/>
              </w:rPr>
              <w:t>$ (2,051)</w:t>
            </w:r>
            <w:r>
              <w:rPr>
                <w:rFonts w:ascii="Arial" w:cs="Arial" w:eastAsia="Arial" w:hAnsi="Arial"/>
                <w:sz w:val="23"/>
                <w:szCs w:val="23"/>
                <w:color w:val="auto"/>
                <w:vertAlign w:val="superscript"/>
              </w:rPr>
              <w:t>(1)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560" w:type="dxa"/>
            <w:vAlign w:val="bottom"/>
            <w:tcBorders>
              <w:left w:val="single" w:sz="8" w:color="auto"/>
            </w:tcBorders>
            <w:gridSpan w:val="2"/>
            <w:vMerge w:val="restart"/>
          </w:tcPr>
          <w:p>
            <w:pPr>
              <w:ind w:left="240"/>
              <w:spacing w:after="0"/>
              <w:rPr>
                <w:sz w:val="20"/>
                <w:szCs w:val="20"/>
                <w:color w:val="auto"/>
              </w:rPr>
            </w:pPr>
            <w:r>
              <w:rPr>
                <w:rFonts w:ascii="Arial" w:cs="Arial" w:eastAsia="Arial" w:hAnsi="Arial"/>
                <w:sz w:val="14"/>
                <w:szCs w:val="14"/>
                <w:color w:val="auto"/>
              </w:rPr>
              <w:t>Inducement payment and offering costs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14,205</w:t>
            </w:r>
          </w:p>
        </w:tc>
        <w:tc>
          <w:tcPr>
            <w:tcW w:w="320" w:type="dxa"/>
            <w:vAlign w:val="bottom"/>
          </w:tcPr>
          <w:p>
            <w:pPr>
              <w:spacing w:after="0"/>
              <w:rPr>
                <w:sz w:val="12"/>
                <w:szCs w:val="12"/>
                <w:color w:val="auto"/>
              </w:rPr>
            </w:pPr>
          </w:p>
        </w:tc>
        <w:tc>
          <w:tcPr>
            <w:tcW w:w="460" w:type="dxa"/>
            <w:vAlign w:val="bottom"/>
            <w:gridSpan w:val="2"/>
            <w:vMerge w:val="restart"/>
          </w:tcPr>
          <w:p>
            <w:pPr>
              <w:spacing w:after="0"/>
              <w:rPr>
                <w:sz w:val="12"/>
                <w:szCs w:val="12"/>
                <w:color w:val="auto"/>
              </w:rPr>
            </w:pPr>
          </w:p>
        </w:tc>
        <w:tc>
          <w:tcPr>
            <w:tcW w:w="720" w:type="dxa"/>
            <w:vAlign w:val="bottom"/>
            <w:gridSpan w:val="4"/>
            <w:vMerge w:val="restart"/>
          </w:tcPr>
          <w:p>
            <w:pPr>
              <w:jc w:val="right"/>
              <w:ind w:right="20"/>
              <w:spacing w:after="0" w:line="185" w:lineRule="exact"/>
              <w:rPr>
                <w:sz w:val="20"/>
                <w:szCs w:val="20"/>
                <w:color w:val="auto"/>
              </w:rPr>
            </w:pPr>
            <w:r>
              <w:rPr>
                <w:rFonts w:ascii="Arial" w:cs="Arial" w:eastAsia="Arial" w:hAnsi="Arial"/>
                <w:sz w:val="13"/>
                <w:szCs w:val="13"/>
                <w:color w:val="auto"/>
              </w:rPr>
              <w:t>(14,205)</w:t>
            </w:r>
            <w:r>
              <w:rPr>
                <w:rFonts w:ascii="Arial" w:cs="Arial" w:eastAsia="Arial" w:hAnsi="Arial"/>
                <w:sz w:val="21"/>
                <w:szCs w:val="21"/>
                <w:color w:val="auto"/>
                <w:vertAlign w:val="superscript"/>
              </w:rPr>
              <w:t>(2)</w:t>
            </w:r>
          </w:p>
        </w:tc>
        <w:tc>
          <w:tcPr>
            <w:tcW w:w="34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560" w:type="dxa"/>
            <w:vAlign w:val="bottom"/>
            <w:tcBorders>
              <w:left w:val="single" w:sz="8" w:color="auto"/>
            </w:tcBorders>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720" w:type="dxa"/>
            <w:vAlign w:val="bottom"/>
            <w:gridSpan w:val="4"/>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60" w:type="dxa"/>
            <w:vAlign w:val="bottom"/>
            <w:tcBorders>
              <w:lef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Net income available to common stockholders for diluted earnings per share</w:t>
            </w:r>
          </w:p>
        </w:tc>
        <w:tc>
          <w:tcPr>
            <w:tcW w:w="180" w:type="dxa"/>
            <w:vAlign w:val="bottom"/>
            <w:gridSpan w:val="2"/>
            <w:vMerge w:val="restart"/>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95,432</w:t>
            </w:r>
          </w:p>
        </w:tc>
        <w:tc>
          <w:tcPr>
            <w:tcW w:w="320" w:type="dxa"/>
            <w:vAlign w:val="bottom"/>
          </w:tcPr>
          <w:p>
            <w:pPr>
              <w:spacing w:after="0"/>
              <w:rPr>
                <w:sz w:val="24"/>
                <w:szCs w:val="24"/>
                <w:color w:val="auto"/>
              </w:rPr>
            </w:pPr>
          </w:p>
        </w:tc>
        <w:tc>
          <w:tcPr>
            <w:tcW w:w="460" w:type="dxa"/>
            <w:vAlign w:val="bottom"/>
            <w:gridSpan w:val="2"/>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9"/>
              </w:rPr>
              <w:t>$ 16,256</w:t>
            </w:r>
          </w:p>
        </w:tc>
        <w:tc>
          <w:tcPr>
            <w:tcW w:w="340" w:type="dxa"/>
            <w:vAlign w:val="bottom"/>
            <w:vMerge w:val="restart"/>
          </w:tcPr>
          <w:p>
            <w:pPr>
              <w:spacing w:after="0"/>
              <w:rPr>
                <w:sz w:val="24"/>
                <w:szCs w:val="24"/>
                <w:color w:val="auto"/>
              </w:rPr>
            </w:pPr>
          </w:p>
        </w:tc>
        <w:tc>
          <w:tcPr>
            <w:tcW w:w="50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111,688</w:t>
            </w:r>
          </w:p>
        </w:tc>
        <w:tc>
          <w:tcPr>
            <w:tcW w:w="400" w:type="dxa"/>
            <w:vAlign w:val="bottom"/>
            <w:tcBorders>
              <w:right w:val="single" w:sz="8" w:color="auto"/>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560" w:type="dxa"/>
            <w:vAlign w:val="bottom"/>
            <w:tcBorders>
              <w:left w:val="single" w:sz="8" w:color="auto"/>
            </w:tcBorders>
            <w:gridSpan w:val="2"/>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vMerge w:val="continue"/>
          </w:tcPr>
          <w:p>
            <w:pPr>
              <w:spacing w:after="0" w:line="20" w:lineRule="exact"/>
              <w:rPr>
                <w:sz w:val="1"/>
                <w:szCs w:val="1"/>
                <w:color w:val="auto"/>
              </w:rPr>
            </w:pPr>
          </w:p>
        </w:tc>
        <w:tc>
          <w:tcPr>
            <w:tcW w:w="480" w:type="dxa"/>
            <w:vAlign w:val="bottom"/>
            <w:tcBorders>
              <w:bottom w:val="single" w:sz="8" w:color="auto"/>
            </w:tcBorders>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5"/>
        </w:trPr>
        <w:tc>
          <w:tcPr>
            <w:tcW w:w="55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Shares outstanding:</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60" w:type="dxa"/>
            <w:vAlign w:val="bottom"/>
            <w:tcBorders>
              <w:left w:val="single" w:sz="8" w:color="auto"/>
            </w:tcBorders>
            <w:gridSpan w:val="2"/>
          </w:tcPr>
          <w:p>
            <w:pPr>
              <w:ind w:left="240"/>
              <w:spacing w:after="0"/>
              <w:rPr>
                <w:sz w:val="20"/>
                <w:szCs w:val="20"/>
                <w:color w:val="auto"/>
              </w:rPr>
            </w:pPr>
            <w:r>
              <w:rPr>
                <w:rFonts w:ascii="Arial" w:cs="Arial" w:eastAsia="Arial" w:hAnsi="Arial"/>
                <w:sz w:val="14"/>
                <w:szCs w:val="14"/>
                <w:color w:val="auto"/>
              </w:rPr>
              <w:t>Weighted average common shares outstanding</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38,297</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rPr>
              <w:t>38,297</w:t>
            </w:r>
          </w:p>
        </w:tc>
        <w:tc>
          <w:tcPr>
            <w:tcW w:w="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Borders>
              <w:left w:val="single" w:sz="8" w:color="auto"/>
            </w:tcBorders>
            <w:gridSpan w:val="2"/>
          </w:tcPr>
          <w:p>
            <w:pPr>
              <w:ind w:left="240"/>
              <w:spacing w:after="0"/>
              <w:rPr>
                <w:sz w:val="20"/>
                <w:szCs w:val="20"/>
                <w:color w:val="auto"/>
              </w:rPr>
            </w:pPr>
            <w:r>
              <w:rPr>
                <w:rFonts w:ascii="Arial" w:cs="Arial" w:eastAsia="Arial" w:hAnsi="Arial"/>
                <w:sz w:val="14"/>
                <w:szCs w:val="14"/>
                <w:color w:val="auto"/>
              </w:rPr>
              <w:t>Impact of dilutive stock options and warrant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1,832</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1,832</w:t>
            </w:r>
          </w:p>
        </w:tc>
        <w:tc>
          <w:tcPr>
            <w:tcW w:w="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Borders>
              <w:left w:val="single" w:sz="8" w:color="auto"/>
            </w:tcBorders>
            <w:gridSpan w:val="2"/>
          </w:tcPr>
          <w:p>
            <w:pPr>
              <w:ind w:left="240"/>
              <w:spacing w:after="0"/>
              <w:rPr>
                <w:sz w:val="20"/>
                <w:szCs w:val="20"/>
                <w:color w:val="auto"/>
              </w:rPr>
            </w:pPr>
            <w:r>
              <w:rPr>
                <w:rFonts w:ascii="Arial" w:cs="Arial" w:eastAsia="Arial" w:hAnsi="Arial"/>
                <w:sz w:val="14"/>
                <w:szCs w:val="14"/>
                <w:color w:val="auto"/>
              </w:rPr>
              <w:t>Impact of assumed convertible preferred stock conversion</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11,566</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rPr>
              <w:t>11,566</w:t>
            </w:r>
          </w:p>
        </w:tc>
        <w:tc>
          <w:tcPr>
            <w:tcW w:w="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5560" w:type="dxa"/>
            <w:vAlign w:val="bottom"/>
            <w:tcBorders>
              <w:left w:val="single" w:sz="8" w:color="auto"/>
            </w:tcBorders>
            <w:gridSpan w:val="2"/>
            <w:vMerge w:val="restart"/>
          </w:tcPr>
          <w:p>
            <w:pPr>
              <w:ind w:left="240"/>
              <w:spacing w:after="0"/>
              <w:rPr>
                <w:sz w:val="20"/>
                <w:szCs w:val="20"/>
                <w:color w:val="auto"/>
              </w:rPr>
            </w:pPr>
            <w:r>
              <w:rPr>
                <w:rFonts w:ascii="Arial" w:cs="Arial" w:eastAsia="Arial" w:hAnsi="Arial"/>
                <w:sz w:val="14"/>
                <w:szCs w:val="14"/>
                <w:color w:val="auto"/>
              </w:rPr>
              <w:t>Impact of converted preferred stock</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gridSpan w:val="2"/>
            <w:vMerge w:val="restart"/>
          </w:tcPr>
          <w:p>
            <w:pPr>
              <w:spacing w:after="0"/>
              <w:rPr>
                <w:sz w:val="15"/>
                <w:szCs w:val="15"/>
                <w:color w:val="auto"/>
              </w:rPr>
            </w:pPr>
          </w:p>
        </w:tc>
        <w:tc>
          <w:tcPr>
            <w:tcW w:w="720" w:type="dxa"/>
            <w:vAlign w:val="bottom"/>
            <w:gridSpan w:val="4"/>
            <w:vMerge w:val="restart"/>
          </w:tcPr>
          <w:p>
            <w:pPr>
              <w:jc w:val="right"/>
              <w:ind w:right="20"/>
              <w:spacing w:after="0" w:line="214" w:lineRule="exact"/>
              <w:rPr>
                <w:sz w:val="20"/>
                <w:szCs w:val="20"/>
                <w:color w:val="auto"/>
              </w:rPr>
            </w:pPr>
            <w:r>
              <w:rPr>
                <w:rFonts w:ascii="Arial" w:cs="Arial" w:eastAsia="Arial" w:hAnsi="Arial"/>
                <w:sz w:val="14"/>
                <w:szCs w:val="14"/>
                <w:color w:val="auto"/>
              </w:rPr>
              <w:t>3,347</w:t>
            </w:r>
            <w:r>
              <w:rPr>
                <w:rFonts w:ascii="Arial" w:cs="Arial" w:eastAsia="Arial" w:hAnsi="Arial"/>
                <w:sz w:val="23"/>
                <w:szCs w:val="23"/>
                <w:color w:val="auto"/>
                <w:vertAlign w:val="superscript"/>
              </w:rPr>
              <w:t>(3)</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color w:val="auto"/>
              </w:rPr>
              <w:t>3,347</w:t>
            </w: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560" w:type="dxa"/>
            <w:vAlign w:val="bottom"/>
            <w:tcBorders>
              <w:left w:val="single" w:sz="8" w:color="auto"/>
            </w:tcBorders>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720" w:type="dxa"/>
            <w:vAlign w:val="bottom"/>
            <w:gridSpan w:val="4"/>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60" w:type="dxa"/>
            <w:vAlign w:val="bottom"/>
            <w:tcBorders>
              <w:lef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Total shares outstanding for calculation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51,695</w:t>
            </w:r>
          </w:p>
        </w:tc>
        <w:tc>
          <w:tcPr>
            <w:tcW w:w="320" w:type="dxa"/>
            <w:vAlign w:val="bottom"/>
          </w:tcPr>
          <w:p>
            <w:pPr>
              <w:spacing w:after="0"/>
              <w:rPr>
                <w:sz w:val="15"/>
                <w:szCs w:val="15"/>
                <w:color w:val="auto"/>
              </w:rPr>
            </w:pPr>
          </w:p>
        </w:tc>
        <w:tc>
          <w:tcPr>
            <w:tcW w:w="460" w:type="dxa"/>
            <w:vAlign w:val="bottom"/>
            <w:gridSpan w:val="2"/>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3,347</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55,042</w:t>
            </w: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560" w:type="dxa"/>
            <w:vAlign w:val="bottom"/>
            <w:tcBorders>
              <w:left w:val="single" w:sz="8" w:color="auto"/>
            </w:tcBorders>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6"/>
            <w:vMerge w:val="restart"/>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2.03</w:t>
            </w: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5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Diluted earnings per share</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1.85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6"/>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5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rPr>
              <w:t>Per share impact of expensing stock options</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(0.15)</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0"/>
        </w:trPr>
        <w:tc>
          <w:tcPr>
            <w:tcW w:w="5560" w:type="dxa"/>
            <w:vAlign w:val="bottom"/>
            <w:tcBorders>
              <w:lef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Diluted earnings per share as adjusted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gridSpan w:val="2"/>
            <w:vMerge w:val="restart"/>
          </w:tcPr>
          <w:p>
            <w:pPr>
              <w:spacing w:after="0"/>
              <w:rPr>
                <w:sz w:val="24"/>
                <w:szCs w:val="24"/>
                <w:color w:val="auto"/>
              </w:rPr>
            </w:pPr>
          </w:p>
        </w:tc>
        <w:tc>
          <w:tcPr>
            <w:tcW w:w="1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5560" w:type="dxa"/>
            <w:vAlign w:val="bottom"/>
            <w:tcBorders>
              <w:lef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100" w:type="dxa"/>
            <w:vAlign w:val="bottom"/>
            <w:gridSpan w:val="4"/>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940" w:type="dxa"/>
            <w:vAlign w:val="bottom"/>
            <w:tcBorders>
              <w:left w:val="single" w:sz="8" w:color="auto"/>
              <w:bottom w:val="single" w:sz="8" w:color="auto"/>
            </w:tcBorders>
          </w:tcPr>
          <w:p>
            <w:pPr>
              <w:spacing w:after="0"/>
              <w:rPr>
                <w:sz w:val="22"/>
                <w:szCs w:val="22"/>
                <w:color w:val="auto"/>
              </w:rPr>
            </w:pPr>
          </w:p>
        </w:tc>
        <w:tc>
          <w:tcPr>
            <w:tcW w:w="36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60" w:hanging="252"/>
        <w:spacing w:after="0" w:line="251" w:lineRule="auto"/>
        <w:tabs>
          <w:tab w:leader="none" w:pos="260" w:val="left"/>
        </w:tabs>
        <w:numPr>
          <w:ilvl w:val="0"/>
          <w:numId w:val="15"/>
        </w:numPr>
        <w:rPr>
          <w:rFonts w:ascii="Arial" w:cs="Arial" w:eastAsia="Arial" w:hAnsi="Arial"/>
          <w:sz w:val="12"/>
          <w:szCs w:val="12"/>
          <w:color w:val="auto"/>
        </w:rPr>
      </w:pPr>
      <w:r>
        <w:rPr>
          <w:rFonts w:ascii="Arial" w:cs="Arial" w:eastAsia="Arial" w:hAnsi="Arial"/>
          <w:sz w:val="14"/>
          <w:szCs w:val="14"/>
          <w:color w:val="auto"/>
        </w:rPr>
        <w:t>Elimination of dividends on preferred stock which would not have been included in the EPS computation under the if-converted method if the inducement payment and offering costs had not been incurred. Eliminating such costs requires an EPS recalculation when applying the if-converted method of calculating diluted earnings per share.</w:t>
      </w:r>
    </w:p>
    <w:p>
      <w:pPr>
        <w:jc w:val="both"/>
        <w:ind w:left="280" w:hanging="272"/>
        <w:spacing w:after="0" w:line="261" w:lineRule="auto"/>
        <w:tabs>
          <w:tab w:leader="none" w:pos="242" w:val="left"/>
        </w:tabs>
        <w:numPr>
          <w:ilvl w:val="0"/>
          <w:numId w:val="15"/>
        </w:numPr>
        <w:rPr>
          <w:rFonts w:ascii="Arial" w:cs="Arial" w:eastAsia="Arial" w:hAnsi="Arial"/>
          <w:sz w:val="12"/>
          <w:szCs w:val="12"/>
          <w:color w:val="auto"/>
        </w:rPr>
      </w:pPr>
      <w:r>
        <w:rPr>
          <w:rFonts w:ascii="Arial" w:cs="Arial" w:eastAsia="Arial" w:hAnsi="Arial"/>
          <w:sz w:val="14"/>
          <w:szCs w:val="14"/>
          <w:color w:val="auto"/>
        </w:rPr>
        <w:t>Elimination of inducement payment and offering costs associated with the conversion of preferred shares and the sale of the shares of common stock issued upon conversion. The inducement payment and offering costs include (a) an inducement payment of $1.75 per share of common stock converted by the preferred stockholders, or an aggregate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of $12.9 million, and (b) certain costs, totaling $1.3 million, incurred by the Company in connection with the secondary common stock offering.</w:t>
      </w:r>
    </w:p>
    <w:p>
      <w:pPr>
        <w:spacing w:after="0" w:line="15"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2"/>
          <w:szCs w:val="12"/>
          <w:color w:val="auto"/>
        </w:rPr>
      </w:pPr>
      <w:r>
        <w:rPr>
          <w:rFonts w:ascii="Arial" w:cs="Arial" w:eastAsia="Arial" w:hAnsi="Arial"/>
          <w:sz w:val="14"/>
          <w:szCs w:val="14"/>
          <w:color w:val="auto"/>
        </w:rPr>
        <w:t>Additional shares which would have been included in the EPS computation under the if-converted method if the inducement payment and offering costs had not been incurred.</w:t>
      </w:r>
    </w:p>
    <w:p>
      <w:pPr>
        <w:spacing w:after="0" w:line="14" w:lineRule="exact"/>
        <w:rPr>
          <w:rFonts w:ascii="Arial" w:cs="Arial" w:eastAsia="Arial" w:hAnsi="Arial"/>
          <w:sz w:val="12"/>
          <w:szCs w:val="12"/>
          <w:color w:val="auto"/>
        </w:rPr>
      </w:pPr>
    </w:p>
    <w:p>
      <w:pPr>
        <w:ind w:left="260" w:hanging="252"/>
        <w:spacing w:after="0" w:line="278" w:lineRule="auto"/>
        <w:tabs>
          <w:tab w:leader="none" w:pos="260" w:val="left"/>
        </w:tabs>
        <w:numPr>
          <w:ilvl w:val="0"/>
          <w:numId w:val="16"/>
        </w:numPr>
        <w:rPr>
          <w:rFonts w:ascii="Arial" w:cs="Arial" w:eastAsia="Arial" w:hAnsi="Arial"/>
          <w:sz w:val="12"/>
          <w:szCs w:val="12"/>
          <w:color w:val="auto"/>
        </w:rPr>
      </w:pPr>
      <w:r>
        <w:rPr>
          <w:rFonts w:ascii="Arial" w:cs="Arial" w:eastAsia="Arial" w:hAnsi="Arial"/>
          <w:sz w:val="14"/>
          <w:szCs w:val="14"/>
          <w:color w:val="auto"/>
        </w:rPr>
        <w:t>The adjustment to include the impact of expensing stock options for 2005 is for illustrative purposes only. The Company did not expense stock options in fiscal 2005. The Company implemented the provisions of SFAS 123R beginning in the first quarter of 2006.</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Letter"/>
      <w:start w:val="4"/>
    </w:lvl>
  </w:abstractNum>
  <w:abstractNum w:abstractNumId="1">
    <w:nsid w:val="5BD062C2"/>
    <w:multiLevelType w:val="hybridMultilevel"/>
    <w:lvl w:ilvl="0">
      <w:lvlJc w:val="left"/>
      <w:lvlText w:val="(%1)"/>
      <w:numFmt w:val="decimal"/>
      <w:start w:val="212"/>
    </w:lvl>
  </w:abstractNum>
  <w:abstractNum w:abstractNumId="2">
    <w:nsid w:val="12200854"/>
    <w:multiLevelType w:val="hybridMultilevel"/>
    <w:lvl w:ilvl="0">
      <w:lvlJc w:val="left"/>
      <w:lvlText w:val="w"/>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4"/>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decimal"/>
      <w:start w:val="2"/>
    </w:lvl>
  </w:abstractNum>
  <w:abstractNum w:abstractNumId="13">
    <w:nsid w:val="1BEFD79F"/>
    <w:multiLevelType w:val="hybridMultilevel"/>
    <w:lvl w:ilvl="0">
      <w:lvlJc w:val="left"/>
      <w:lvlText w:val="(%1)"/>
      <w:numFmt w:val="decimal"/>
      <w:start w:val="3"/>
    </w:lvl>
    <w:lvl w:ilvl="1">
      <w:lvlJc w:val="left"/>
      <w:lvlText w:val="%2"/>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2019-12-13T06:09:48Z</dcterms:created>
  <dcterms:modified xsi:type="dcterms:W3CDTF">2019-12-13T06:09:48Z</dcterms:modified>
</cp:coreProperties>
</file>