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2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5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2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2"/>
          <w:szCs w:val="22"/>
          <w:u w:val="single" w:color="auto"/>
          <w:color w:val="auto"/>
        </w:rPr>
        <w:t>April 29, 2026</w:t>
      </w:r>
    </w:p>
    <w:p>
      <w:pPr>
        <w:spacing w:after="0" w:line="2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u w:val="single" w:color="auto"/>
          <w:color w:val="auto"/>
        </w:rPr>
        <w:t>PVH CORP.</w:t>
      </w:r>
    </w:p>
    <w:p>
      <w:pPr>
        <w:spacing w:after="0" w:line="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31" w:lineRule="exact"/>
        <w:rPr>
          <w:sz w:val="24"/>
          <w:szCs w:val="24"/>
          <w:color w:val="auto"/>
        </w:rPr>
      </w:pPr>
    </w:p>
    <w:tbl>
      <w:tblPr>
        <w:tblLayout w:type="fixed"/>
        <w:tblInd w:w="880" w:type="dxa"/>
        <w:tblCellMar>
          <w:top w:w="0" w:type="dxa"/>
          <w:left w:w="0" w:type="dxa"/>
          <w:bottom w:w="0" w:type="dxa"/>
          <w:right w:w="0" w:type="dxa"/>
        </w:tblCellMar>
      </w:tblPr>
      <w:tr>
        <w:trPr>
          <w:trHeight w:val="282"/>
        </w:trPr>
        <w:tc>
          <w:tcPr>
            <w:tcW w:w="860" w:type="dxa"/>
            <w:vAlign w:val="bottom"/>
          </w:tcPr>
          <w:p>
            <w:pPr>
              <w:spacing w:after="0"/>
              <w:rPr>
                <w:sz w:val="24"/>
                <w:szCs w:val="24"/>
                <w:color w:val="auto"/>
              </w:rPr>
            </w:pPr>
          </w:p>
        </w:tc>
        <w:tc>
          <w:tcPr>
            <w:tcW w:w="11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Delaware</w:t>
            </w:r>
          </w:p>
        </w:tc>
        <w:tc>
          <w:tcPr>
            <w:tcW w:w="1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8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22"/>
                <w:szCs w:val="22"/>
                <w:color w:val="auto"/>
              </w:rPr>
              <w:t>001-07572</w:t>
            </w: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2"/>
                <w:szCs w:val="22"/>
                <w:color w:val="auto"/>
              </w:rPr>
              <w:t>13-1166910</w:t>
            </w:r>
          </w:p>
        </w:tc>
        <w:tc>
          <w:tcPr>
            <w:tcW w:w="12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157"/>
        </w:trPr>
        <w:tc>
          <w:tcPr>
            <w:tcW w:w="860" w:type="dxa"/>
            <w:vAlign w:val="bottom"/>
          </w:tcPr>
          <w:p>
            <w:pPr>
              <w:ind w:left="480"/>
              <w:spacing w:after="0" w:line="157" w:lineRule="exact"/>
              <w:rPr>
                <w:sz w:val="20"/>
                <w:szCs w:val="20"/>
                <w:color w:val="auto"/>
              </w:rPr>
            </w:pPr>
            <w:r>
              <w:rPr>
                <w:rFonts w:ascii="Times New Roman" w:cs="Times New Roman" w:eastAsia="Times New Roman" w:hAnsi="Times New Roman"/>
                <w:sz w:val="18"/>
                <w:szCs w:val="18"/>
                <w:color w:val="auto"/>
                <w:w w:val="85"/>
              </w:rPr>
              <w:t>(State</w:t>
            </w:r>
          </w:p>
        </w:tc>
        <w:tc>
          <w:tcPr>
            <w:tcW w:w="2580" w:type="dxa"/>
            <w:vAlign w:val="bottom"/>
            <w:gridSpan w:val="2"/>
          </w:tcPr>
          <w:p>
            <w:pPr>
              <w:ind w:left="100"/>
              <w:spacing w:after="0" w:line="157" w:lineRule="exact"/>
              <w:rPr>
                <w:sz w:val="20"/>
                <w:szCs w:val="20"/>
                <w:color w:val="auto"/>
              </w:rPr>
            </w:pPr>
            <w:r>
              <w:rPr>
                <w:rFonts w:ascii="Times New Roman" w:cs="Times New Roman" w:eastAsia="Times New Roman" w:hAnsi="Times New Roman"/>
                <w:sz w:val="18"/>
                <w:szCs w:val="18"/>
                <w:color w:val="auto"/>
              </w:rPr>
              <w:t>or other jurisdiction of</w:t>
            </w:r>
          </w:p>
        </w:tc>
        <w:tc>
          <w:tcPr>
            <w:tcW w:w="2160" w:type="dxa"/>
            <w:vAlign w:val="bottom"/>
            <w:gridSpan w:val="3"/>
          </w:tcPr>
          <w:p>
            <w:pPr>
              <w:jc w:val="center"/>
              <w:ind w:right="40"/>
              <w:spacing w:after="0" w:line="157" w:lineRule="exact"/>
              <w:rPr>
                <w:sz w:val="20"/>
                <w:szCs w:val="20"/>
                <w:color w:val="auto"/>
              </w:rPr>
            </w:pPr>
            <w:r>
              <w:rPr>
                <w:rFonts w:ascii="Times New Roman" w:cs="Times New Roman" w:eastAsia="Times New Roman" w:hAnsi="Times New Roman"/>
                <w:sz w:val="18"/>
                <w:szCs w:val="18"/>
                <w:color w:val="auto"/>
              </w:rPr>
              <w:t>(Commission File Number)</w:t>
            </w:r>
          </w:p>
        </w:tc>
        <w:tc>
          <w:tcPr>
            <w:tcW w:w="1580" w:type="dxa"/>
            <w:vAlign w:val="bottom"/>
          </w:tcPr>
          <w:p>
            <w:pPr>
              <w:ind w:left="960"/>
              <w:spacing w:after="0" w:line="157" w:lineRule="exact"/>
              <w:rPr>
                <w:sz w:val="20"/>
                <w:szCs w:val="20"/>
                <w:color w:val="auto"/>
              </w:rPr>
            </w:pPr>
            <w:r>
              <w:rPr>
                <w:rFonts w:ascii="Times New Roman" w:cs="Times New Roman" w:eastAsia="Times New Roman" w:hAnsi="Times New Roman"/>
                <w:sz w:val="18"/>
                <w:szCs w:val="18"/>
                <w:color w:val="auto"/>
              </w:rPr>
              <w:t>(I.R.S.</w:t>
            </w:r>
          </w:p>
        </w:tc>
        <w:tc>
          <w:tcPr>
            <w:tcW w:w="2000" w:type="dxa"/>
            <w:vAlign w:val="bottom"/>
            <w:gridSpan w:val="4"/>
          </w:tcPr>
          <w:p>
            <w:pPr>
              <w:spacing w:after="0" w:line="157" w:lineRule="exact"/>
              <w:rPr>
                <w:sz w:val="20"/>
                <w:szCs w:val="20"/>
                <w:color w:val="auto"/>
              </w:rPr>
            </w:pPr>
            <w:r>
              <w:rPr>
                <w:rFonts w:ascii="Times New Roman" w:cs="Times New Roman" w:eastAsia="Times New Roman" w:hAnsi="Times New Roman"/>
                <w:sz w:val="18"/>
                <w:szCs w:val="18"/>
                <w:color w:val="auto"/>
                <w:w w:val="94"/>
              </w:rPr>
              <w:t>Employer Identification No.)</w:t>
            </w:r>
          </w:p>
        </w:tc>
      </w:tr>
      <w:tr>
        <w:trPr>
          <w:trHeight w:val="234"/>
        </w:trPr>
        <w:tc>
          <w:tcPr>
            <w:tcW w:w="860" w:type="dxa"/>
            <w:vAlign w:val="bottom"/>
          </w:tcPr>
          <w:p>
            <w:pPr>
              <w:spacing w:after="0"/>
              <w:rPr>
                <w:sz w:val="20"/>
                <w:szCs w:val="20"/>
                <w:color w:val="auto"/>
              </w:rPr>
            </w:pPr>
          </w:p>
        </w:tc>
        <w:tc>
          <w:tcPr>
            <w:tcW w:w="2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incorporation)</w:t>
            </w: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386"/>
        </w:trPr>
        <w:tc>
          <w:tcPr>
            <w:tcW w:w="344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22"/>
                <w:szCs w:val="22"/>
                <w:color w:val="auto"/>
                <w:w w:val="98"/>
              </w:rPr>
              <w:t>285 Madison Avenue, New York,</w:t>
            </w:r>
          </w:p>
        </w:tc>
        <w:tc>
          <w:tcPr>
            <w:tcW w:w="4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2"/>
                <w:szCs w:val="22"/>
                <w:color w:val="auto"/>
              </w:rPr>
              <w:t>New York</w:t>
            </w:r>
          </w:p>
        </w:tc>
        <w:tc>
          <w:tcPr>
            <w:tcW w:w="2040" w:type="dxa"/>
            <w:vAlign w:val="bottom"/>
            <w:gridSpan w:val="2"/>
          </w:tcPr>
          <w:p>
            <w:pPr>
              <w:spacing w:after="0"/>
              <w:rPr>
                <w:sz w:val="24"/>
                <w:szCs w:val="24"/>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22"/>
                <w:szCs w:val="22"/>
                <w:color w:val="auto"/>
              </w:rPr>
              <w:t>10017</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64"/>
        </w:trPr>
        <w:tc>
          <w:tcPr>
            <w:tcW w:w="860" w:type="dxa"/>
            <w:vAlign w:val="bottom"/>
          </w:tcPr>
          <w:p>
            <w:pPr>
              <w:spacing w:after="0"/>
              <w:rPr>
                <w:sz w:val="22"/>
                <w:szCs w:val="22"/>
                <w:color w:val="auto"/>
              </w:rPr>
            </w:pPr>
          </w:p>
        </w:tc>
        <w:tc>
          <w:tcPr>
            <w:tcW w:w="474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40" w:type="dxa"/>
            <w:vAlign w:val="bottom"/>
            <w:gridSpan w:val="3"/>
          </w:tcPr>
          <w:p>
            <w:pPr>
              <w:jc w:val="center"/>
              <w:ind w:right="74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 xml:space="preserve">Registrant’s telephone number, including area code </w:t>
      </w:r>
      <w:r>
        <w:rPr>
          <w:rFonts w:ascii="Times New Roman" w:cs="Times New Roman" w:eastAsia="Times New Roman" w:hAnsi="Times New Roman"/>
          <w:sz w:val="22"/>
          <w:szCs w:val="22"/>
          <w:u w:val="single" w:color="auto"/>
          <w:color w:val="auto"/>
        </w:rPr>
        <w:t>(212)-381-3500</w:t>
      </w:r>
    </w:p>
    <w:p>
      <w:pPr>
        <w:spacing w:after="0" w:line="11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u w:val="single" w:color="auto"/>
          <w:color w:val="auto"/>
        </w:rPr>
        <w:t>Not Applicable</w:t>
      </w:r>
    </w:p>
    <w:p>
      <w:pPr>
        <w:spacing w:after="0" w:line="1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36" w:lineRule="exact"/>
        <w:rPr>
          <w:sz w:val="24"/>
          <w:szCs w:val="24"/>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Check the appropriate box below if the Form 8-K filing is intended to simultaneously satisfy the filing obligation of the registrant under any of the following provisions:</w:t>
      </w:r>
    </w:p>
    <w:p>
      <w:pPr>
        <w:spacing w:after="0" w:line="171" w:lineRule="exact"/>
        <w:rPr>
          <w:sz w:val="24"/>
          <w:szCs w:val="24"/>
          <w:color w:val="auto"/>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Written communications pursuant to Rule 425 under the Securities Act (17 CFR 230.425)</w:t>
      </w:r>
    </w:p>
    <w:p>
      <w:pPr>
        <w:spacing w:after="0" w:line="27" w:lineRule="exact"/>
        <w:rPr>
          <w:rFonts w:ascii="MS PGothic" w:cs="MS PGothic" w:eastAsia="MS PGothic" w:hAnsi="MS PGothic"/>
          <w:sz w:val="22"/>
          <w:szCs w:val="22"/>
          <w:color w:val="auto"/>
          <w:highlight w:val="black"/>
        </w:rPr>
      </w:pPr>
    </w:p>
    <w:p>
      <w:pPr>
        <w:ind w:left="580" w:hanging="248"/>
        <w:spacing w:after="0"/>
        <w:tabs>
          <w:tab w:leader="none" w:pos="5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Soliciting material pursuant to Rule 14a-12 under the Exchange Act (17 CFR 240.14a-12)</w:t>
      </w:r>
    </w:p>
    <w:p>
      <w:pPr>
        <w:spacing w:after="0" w:line="3" w:lineRule="exact"/>
        <w:rPr>
          <w:rFonts w:ascii="MS PGothic" w:cs="MS PGothic" w:eastAsia="MS PGothic" w:hAnsi="MS PGothic"/>
          <w:sz w:val="22"/>
          <w:szCs w:val="22"/>
          <w:color w:val="auto"/>
          <w:highlight w:val="black"/>
        </w:rPr>
      </w:pPr>
    </w:p>
    <w:p>
      <w:pPr>
        <w:ind w:left="340" w:right="2980" w:hanging="8"/>
        <w:spacing w:after="0" w:line="244"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14d-2(b) under the Exchange Act (17 CFR 240.14d-2(b))</w:t>
      </w:r>
    </w:p>
    <w:p>
      <w:pPr>
        <w:ind w:left="340" w:right="3020" w:hanging="8"/>
        <w:spacing w:after="0" w:line="259" w:lineRule="auto"/>
        <w:tabs>
          <w:tab w:leader="none" w:pos="583"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color w:val="auto"/>
        </w:rPr>
        <w:t>Pre-commencement communications pursuant to Rule 13e-4(c) under the Exchange Act (17 CFR 240.13e-4(c))</w:t>
      </w:r>
    </w:p>
    <w:p>
      <w:pPr>
        <w:spacing w:after="0" w:line="11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Securities registered pursuant to Section 12(b) of the Act:</w:t>
      </w:r>
    </w:p>
    <w:p>
      <w:pPr>
        <w:spacing w:after="0" w:line="29" w:lineRule="exact"/>
        <w:rPr>
          <w:sz w:val="24"/>
          <w:szCs w:val="24"/>
          <w:color w:val="auto"/>
        </w:rPr>
      </w:pPr>
    </w:p>
    <w:tbl>
      <w:tblPr>
        <w:tblLayout w:type="fixed"/>
        <w:tblInd w:w="10" w:type="dxa"/>
        <w:tblCellMar>
          <w:top w:w="0" w:type="dxa"/>
          <w:left w:w="0" w:type="dxa"/>
          <w:bottom w:w="0" w:type="dxa"/>
          <w:right w:w="0" w:type="dxa"/>
        </w:tblCellMar>
      </w:tblPr>
      <w:tr>
        <w:trPr>
          <w:trHeight w:val="278"/>
        </w:trPr>
        <w:tc>
          <w:tcPr>
            <w:tcW w:w="36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Title of each class</w:t>
            </w:r>
          </w:p>
        </w:tc>
        <w:tc>
          <w:tcPr>
            <w:tcW w:w="23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Trading Symbol</w:t>
            </w:r>
          </w:p>
        </w:tc>
        <w:tc>
          <w:tcPr>
            <w:tcW w:w="5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Name of each exchange on which registered</w:t>
            </w:r>
          </w:p>
        </w:tc>
      </w:tr>
      <w:tr>
        <w:trPr>
          <w:trHeight w:val="264"/>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Common Stock, $1.00 par value</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9"/>
              </w:rPr>
              <w:t>PVH</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r>
        <w:trPr>
          <w:trHeight w:val="263"/>
        </w:trPr>
        <w:tc>
          <w:tcPr>
            <w:tcW w:w="36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4.125% Senior Notes due 2029</w:t>
            </w:r>
          </w:p>
        </w:tc>
        <w:tc>
          <w:tcPr>
            <w:tcW w:w="2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PVH29</w:t>
            </w:r>
          </w:p>
        </w:tc>
        <w:tc>
          <w:tcPr>
            <w:tcW w:w="5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New York Stock Exchange</w:t>
            </w:r>
          </w:p>
        </w:tc>
      </w:tr>
    </w:tbl>
    <w:p>
      <w:pPr>
        <w:spacing w:after="0" w:line="189" w:lineRule="exact"/>
        <w:rPr>
          <w:sz w:val="24"/>
          <w:szCs w:val="24"/>
          <w:color w:val="auto"/>
        </w:rPr>
      </w:pPr>
    </w:p>
    <w:p>
      <w:pPr>
        <w:ind w:right="340"/>
        <w:spacing w:after="0" w:line="271" w:lineRule="auto"/>
        <w:rPr>
          <w:sz w:val="20"/>
          <w:szCs w:val="20"/>
          <w:color w:val="auto"/>
        </w:rPr>
      </w:pPr>
      <w:r>
        <w:rPr>
          <w:rFonts w:ascii="Times New Roman" w:cs="Times New Roman" w:eastAsia="Times New Roman" w:hAnsi="Times New Roman"/>
          <w:sz w:val="22"/>
          <w:szCs w:val="2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 w:lineRule="exact"/>
        <w:rPr>
          <w:sz w:val="24"/>
          <w:szCs w:val="24"/>
          <w:color w:val="auto"/>
        </w:rPr>
      </w:pPr>
    </w:p>
    <w:p>
      <w:pPr>
        <w:ind w:left="7980"/>
        <w:spacing w:after="0" w:line="253" w:lineRule="exact"/>
        <w:rPr>
          <w:sz w:val="20"/>
          <w:szCs w:val="20"/>
          <w:color w:val="auto"/>
        </w:rPr>
      </w:pPr>
      <w:r>
        <w:rPr>
          <w:rFonts w:ascii="Times New Roman" w:cs="Times New Roman" w:eastAsia="Times New Roman" w:hAnsi="Times New Roman"/>
          <w:sz w:val="22"/>
          <w:szCs w:val="22"/>
          <w:color w:val="auto"/>
        </w:rPr>
        <w:t xml:space="preserve">Emerging growth company </w:t>
      </w:r>
      <w:r>
        <w:rPr>
          <w:rFonts w:ascii="MS PGothic" w:cs="MS PGothic" w:eastAsia="MS PGothic" w:hAnsi="MS PGothic"/>
          <w:sz w:val="22"/>
          <w:szCs w:val="22"/>
          <w:color w:val="auto"/>
          <w:highlight w:val="black"/>
        </w:rPr>
        <w:t>☐</w:t>
      </w:r>
    </w:p>
    <w:p>
      <w:pPr>
        <w:spacing w:after="0" w:line="160" w:lineRule="exact"/>
        <w:rPr>
          <w:sz w:val="24"/>
          <w:szCs w:val="24"/>
          <w:color w:val="auto"/>
        </w:rPr>
      </w:pPr>
    </w:p>
    <w:p>
      <w:pPr>
        <w:ind w:right="100"/>
        <w:spacing w:after="0" w:line="309" w:lineRule="auto"/>
        <w:rPr>
          <w:sz w:val="20"/>
          <w:szCs w:val="20"/>
          <w:color w:val="auto"/>
        </w:rPr>
      </w:pPr>
      <w:r>
        <w:rPr>
          <w:rFonts w:ascii="Times New Roman" w:cs="Times New Roman" w:eastAsia="Times New Roman" w:hAnsi="Times New Roman"/>
          <w:sz w:val="21"/>
          <w:szCs w:val="2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21"/>
          <w:szCs w:val="21"/>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492760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93"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Item 8.01. Other Events.</w:t>
      </w:r>
    </w:p>
    <w:p>
      <w:pPr>
        <w:spacing w:after="0" w:line="251"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22"/>
          <w:szCs w:val="22"/>
          <w:color w:val="auto"/>
        </w:rPr>
        <w:t>The Executive Committee of the Board of Directors of PVH Corp. (the “Company”) declared on April 29, 2026 a quarterly cash dividend of $0.0375 per share on the Company’s common stock. The dividend is payable on June 24, 2026 to stockholders of record on June 3, 2026.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press release announcing the dividend is attached hereto as Exhibit 99.1 and is incorporated herein by reference.</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20" w:lineRule="exact"/>
        <w:rPr>
          <w:sz w:val="20"/>
          <w:szCs w:val="20"/>
          <w:color w:val="auto"/>
        </w:rPr>
      </w:pPr>
    </w:p>
    <w:p>
      <w:pPr>
        <w:ind w:left="640" w:hanging="308"/>
        <w:spacing w:after="0"/>
        <w:tabs>
          <w:tab w:leader="none" w:pos="6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Exhibits</w:t>
      </w:r>
      <w:r>
        <w:rPr>
          <w:rFonts w:ascii="Times New Roman" w:cs="Times New Roman" w:eastAsia="Times New Roman" w:hAnsi="Times New Roman"/>
          <w:sz w:val="22"/>
          <w:szCs w:val="22"/>
          <w:color w:val="auto"/>
        </w:rPr>
        <w:t>.</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1640" w:type="dxa"/>
            <w:vAlign w:val="bottom"/>
          </w:tcPr>
          <w:p>
            <w:pPr>
              <w:ind w:left="20"/>
              <w:spacing w:after="0"/>
              <w:rPr>
                <w:sz w:val="20"/>
                <w:szCs w:val="20"/>
                <w:color w:val="auto"/>
              </w:rPr>
            </w:pPr>
            <w:r>
              <w:rPr>
                <w:rFonts w:ascii="Times New Roman" w:cs="Times New Roman" w:eastAsia="Times New Roman" w:hAnsi="Times New Roman"/>
                <w:sz w:val="22"/>
                <w:szCs w:val="22"/>
                <w:b w:val="1"/>
                <w:bCs w:val="1"/>
                <w:color w:val="auto"/>
              </w:rPr>
              <w:t>Exhibit No.</w:t>
            </w:r>
          </w:p>
        </w:tc>
        <w:tc>
          <w:tcPr>
            <w:tcW w:w="96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Description of Exhibit</w:t>
            </w:r>
          </w:p>
        </w:tc>
      </w:tr>
      <w:tr>
        <w:trPr>
          <w:trHeight w:val="230"/>
        </w:trPr>
        <w:tc>
          <w:tcPr>
            <w:tcW w:w="1640" w:type="dxa"/>
            <w:vAlign w:val="bottom"/>
          </w:tcPr>
          <w:p>
            <w:pPr>
              <w:ind w:left="20"/>
              <w:spacing w:after="0" w:line="230" w:lineRule="exact"/>
              <w:rPr>
                <w:sz w:val="20"/>
                <w:szCs w:val="20"/>
                <w:color w:val="auto"/>
              </w:rPr>
            </w:pPr>
            <w:r>
              <w:rPr>
                <w:rFonts w:ascii="Times New Roman" w:cs="Times New Roman" w:eastAsia="Times New Roman" w:hAnsi="Times New Roman"/>
                <w:sz w:val="22"/>
                <w:szCs w:val="22"/>
                <w:color w:val="auto"/>
              </w:rPr>
              <w:t>99.1</w:t>
            </w:r>
          </w:p>
        </w:tc>
        <w:tc>
          <w:tcPr>
            <w:tcW w:w="9600" w:type="dxa"/>
            <w:vAlign w:val="bottom"/>
            <w:gridSpan w:val="2"/>
          </w:tcPr>
          <w:p>
            <w:pPr>
              <w:spacing w:after="0" w:line="230" w:lineRule="exact"/>
              <w:rPr>
                <w:sz w:val="20"/>
                <w:szCs w:val="20"/>
                <w:color w:val="auto"/>
              </w:rPr>
            </w:pPr>
            <w:r>
              <w:rPr>
                <w:rFonts w:ascii="Times New Roman" w:cs="Times New Roman" w:eastAsia="Times New Roman" w:hAnsi="Times New Roman"/>
                <w:sz w:val="22"/>
                <w:szCs w:val="22"/>
                <w:color w:val="0000FF"/>
              </w:rPr>
              <w:t>Press Release dated April 29, 2026</w:t>
            </w:r>
          </w:p>
        </w:tc>
      </w:tr>
      <w:tr>
        <w:trPr>
          <w:trHeight w:val="20"/>
        </w:trPr>
        <w:tc>
          <w:tcPr>
            <w:tcW w:w="1640" w:type="dxa"/>
            <w:vAlign w:val="bottom"/>
          </w:tcPr>
          <w:p>
            <w:pPr>
              <w:spacing w:after="0" w:line="20" w:lineRule="exact"/>
              <w:rPr>
                <w:sz w:val="1"/>
                <w:szCs w:val="1"/>
                <w:color w:val="auto"/>
              </w:rPr>
            </w:pPr>
          </w:p>
        </w:tc>
        <w:tc>
          <w:tcPr>
            <w:tcW w:w="3020" w:type="dxa"/>
            <w:vAlign w:val="bottom"/>
            <w:shd w:val="clear" w:color="auto" w:fill="0000FF"/>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r>
      <w:tr>
        <w:trPr>
          <w:trHeight w:val="303"/>
        </w:trPr>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104</w:t>
            </w:r>
          </w:p>
        </w:tc>
        <w:tc>
          <w:tcPr>
            <w:tcW w:w="96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Cover Page Interactive Data File (embedded within the Inline XBRL document).</w:t>
            </w:r>
          </w:p>
        </w:tc>
      </w:tr>
      <w:tr>
        <w:trPr>
          <w:trHeight w:val="1439"/>
        </w:trPr>
        <w:tc>
          <w:tcPr>
            <w:tcW w:w="16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65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0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356"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PVH CORP.</w:t>
      </w:r>
    </w:p>
    <w:p>
      <w:pPr>
        <w:spacing w:after="0" w:line="3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b w:val="1"/>
          <w:bCs w:val="1"/>
          <w:color w:val="auto"/>
        </w:rPr>
        <w:t>(Registrant)</w:t>
      </w:r>
    </w:p>
    <w:p>
      <w:pPr>
        <w:spacing w:after="0" w:line="31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Mark D. Fischer</w:t>
      </w:r>
    </w:p>
    <w:p>
      <w:pPr>
        <w:spacing w:after="0" w:line="9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Name: Mark D. Fischer</w:t>
      </w:r>
    </w:p>
    <w:p>
      <w:pPr>
        <w:spacing w:after="0" w:line="28"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Title: Executive Vice President, General</w:t>
      </w:r>
    </w:p>
    <w:p>
      <w:pPr>
        <w:spacing w:after="0" w:line="4"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color w:val="auto"/>
        </w:rPr>
        <w:t>Counsel and Secretary</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April 29, 2026</w:t>
      </w:r>
    </w:p>
    <w:p>
      <w:pPr>
        <w:sectPr>
          <w:pgSz w:w="11900" w:h="16838" w:orient="portrait"/>
          <w:cols w:equalWidth="0" w:num="1">
            <w:col w:w="11240"/>
          </w:cols>
          <w:pgMar w:left="320" w:top="98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PVH Corp. Declares Quarterly Cash Dividend</w:t>
      </w:r>
    </w:p>
    <w:p>
      <w:pPr>
        <w:spacing w:after="0" w:line="200" w:lineRule="exact"/>
        <w:rPr>
          <w:sz w:val="20"/>
          <w:szCs w:val="20"/>
          <w:color w:val="auto"/>
        </w:rPr>
      </w:pPr>
    </w:p>
    <w:p>
      <w:pPr>
        <w:spacing w:after="0" w:line="278"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NEW YORK--(BUSINESS WIRE) - April 29, 2026 - PVH Corp. [NYSE:PVH], announced the Executive Committee of the Board of Directors of PVH Corp. declared a quarterly cash dividend of $0.0375 per share payable on June 24, 2026 to stockholders of record on June 3, 2026.</w:t>
      </w:r>
    </w:p>
    <w:p>
      <w:pPr>
        <w:spacing w:after="0" w:line="19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PVH Corp.</w:t>
      </w:r>
    </w:p>
    <w:p>
      <w:pPr>
        <w:spacing w:after="0" w:line="235"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 xml:space="preserve">PVH is one of the world's largest fashion companies, driven by its two iconic brands, </w:t>
      </w:r>
      <w:r>
        <w:rPr>
          <w:rFonts w:ascii="Arial" w:cs="Arial" w:eastAsia="Arial" w:hAnsi="Arial"/>
          <w:sz w:val="22"/>
          <w:szCs w:val="22"/>
          <w:i w:val="1"/>
          <w:iCs w:val="1"/>
          <w:color w:val="auto"/>
        </w:rPr>
        <w:t>Calvin Klein</w:t>
      </w:r>
      <w:r>
        <w:rPr>
          <w:rFonts w:ascii="Arial" w:cs="Arial" w:eastAsia="Arial" w:hAnsi="Arial"/>
          <w:sz w:val="22"/>
          <w:szCs w:val="22"/>
          <w:color w:val="auto"/>
        </w:rPr>
        <w:t xml:space="preserve"> and </w:t>
      </w:r>
      <w:r>
        <w:rPr>
          <w:rFonts w:ascii="Arial" w:cs="Arial" w:eastAsia="Arial" w:hAnsi="Arial"/>
          <w:sz w:val="22"/>
          <w:szCs w:val="22"/>
          <w:i w:val="1"/>
          <w:iCs w:val="1"/>
          <w:color w:val="auto"/>
        </w:rPr>
        <w:t>TOMMY</w:t>
      </w:r>
      <w:r>
        <w:rPr>
          <w:rFonts w:ascii="Arial" w:cs="Arial" w:eastAsia="Arial" w:hAnsi="Arial"/>
          <w:sz w:val="22"/>
          <w:szCs w:val="22"/>
          <w:color w:val="auto"/>
        </w:rPr>
        <w:t xml:space="preserve"> </w:t>
      </w:r>
      <w:r>
        <w:rPr>
          <w:rFonts w:ascii="Arial" w:cs="Arial" w:eastAsia="Arial" w:hAnsi="Arial"/>
          <w:sz w:val="22"/>
          <w:szCs w:val="22"/>
          <w:i w:val="1"/>
          <w:iCs w:val="1"/>
          <w:color w:val="auto"/>
        </w:rPr>
        <w:t>HILFIGER</w:t>
      </w:r>
      <w:r>
        <w:rPr>
          <w:rFonts w:ascii="Arial" w:cs="Arial" w:eastAsia="Arial" w:hAnsi="Arial"/>
          <w:sz w:val="22"/>
          <w:szCs w:val="22"/>
          <w:color w:val="auto"/>
        </w:rPr>
        <w:t>. For more than 140 years, PVH has connected with and inspired consumers globally and now operates in</w:t>
      </w:r>
      <w:r>
        <w:rPr>
          <w:rFonts w:ascii="Arial" w:cs="Arial" w:eastAsia="Arial" w:hAnsi="Arial"/>
          <w:sz w:val="22"/>
          <w:szCs w:val="22"/>
          <w:i w:val="1"/>
          <w:iCs w:val="1"/>
          <w:color w:val="auto"/>
        </w:rPr>
        <w:t xml:space="preserve"> </w:t>
      </w:r>
      <w:r>
        <w:rPr>
          <w:rFonts w:ascii="Arial" w:cs="Arial" w:eastAsia="Arial" w:hAnsi="Arial"/>
          <w:sz w:val="22"/>
          <w:szCs w:val="22"/>
          <w:color w:val="auto"/>
        </w:rPr>
        <w:t>more than 40 countries worldwide.</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visit https://www.pvh.com.</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Follow us on </w:t>
      </w:r>
      <w:r>
        <w:rPr>
          <w:rFonts w:ascii="Arial" w:cs="Arial" w:eastAsia="Arial" w:hAnsi="Arial"/>
          <w:sz w:val="22"/>
          <w:szCs w:val="22"/>
          <w:u w:val="single" w:color="auto"/>
          <w:color w:val="auto"/>
        </w:rPr>
        <w:t>Instagram</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LinkedIn</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rPr>
          <w:sz w:val="20"/>
          <w:szCs w:val="20"/>
          <w:color w:val="auto"/>
        </w:rPr>
      </w:pPr>
      <w:r>
        <w:rPr>
          <w:rFonts w:ascii="Arial" w:cs="Arial" w:eastAsia="Arial" w:hAnsi="Arial"/>
          <w:sz w:val="22"/>
          <w:szCs w:val="22"/>
          <w:color w:val="auto"/>
        </w:rPr>
        <w:t>Mark D. Fischer</w:t>
      </w:r>
    </w:p>
    <w:p>
      <w:pPr>
        <w:spacing w:after="0" w:line="217" w:lineRule="auto"/>
        <w:rPr>
          <w:sz w:val="20"/>
          <w:szCs w:val="20"/>
          <w:color w:val="auto"/>
        </w:rPr>
      </w:pPr>
      <w:r>
        <w:rPr>
          <w:rFonts w:ascii="Arial" w:cs="Arial" w:eastAsia="Arial" w:hAnsi="Arial"/>
          <w:sz w:val="22"/>
          <w:szCs w:val="22"/>
          <w:color w:val="auto"/>
        </w:rPr>
        <w:t>Executive Vice President, General Counsel and Secretary</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(212) 381-3509</w:t>
      </w:r>
    </w:p>
    <w:sectPr>
      <w:pgSz w:w="11900" w:h="16838" w:orient="portrait"/>
      <w:cols w:equalWidth="0" w:num="1">
        <w:col w:w="11240"/>
      </w:cols>
      <w:pgMar w:left="320" w:top="14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2026-04-29T14:39:28Z</dcterms:created>
  <dcterms:modified xsi:type="dcterms:W3CDTF">2026-04-29T14:39:28Z</dcterms:modified>
</cp:coreProperties>
</file>