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00" w:right="1360" w:hanging="2546"/>
        <w:spacing w:after="0" w:line="490" w:lineRule="auto"/>
        <w:tabs>
          <w:tab w:leader="none" w:pos="1556" w:val="left"/>
        </w:tabs>
        <w:numPr>
          <w:ilvl w:val="2"/>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15(d) OF THE SECURITIES EXCHANGE ACT OF 1934. For the fiscal year ended </w:t>
      </w:r>
      <w:r>
        <w:rPr>
          <w:rFonts w:ascii="Times New Roman" w:cs="Times New Roman" w:eastAsia="Times New Roman" w:hAnsi="Times New Roman"/>
          <w:sz w:val="18"/>
          <w:szCs w:val="18"/>
          <w:b w:val="1"/>
          <w:bCs w:val="1"/>
          <w:u w:val="single" w:color="auto"/>
          <w:color w:val="auto"/>
        </w:rPr>
        <w:t>December 31, 2025</w:t>
      </w:r>
    </w:p>
    <w:p>
      <w:pPr>
        <w:spacing w:after="0" w:line="1" w:lineRule="exact"/>
        <w:rPr>
          <w:rFonts w:ascii="MS PGothic" w:cs="MS PGothic" w:eastAsia="MS PGothic" w:hAnsi="MS PGothic"/>
          <w:sz w:val="18"/>
          <w:szCs w:val="18"/>
          <w:color w:val="auto"/>
          <w:highlight w:val="black"/>
        </w:rPr>
      </w:pP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400" w:right="1160" w:hanging="2231"/>
        <w:spacing w:after="0" w:line="500" w:lineRule="auto"/>
        <w:tabs>
          <w:tab w:leader="none" w:pos="1377"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15(d) OF THE SECURITIES EXCHANGE ACT OF 1934. 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001-07572</w:t>
      </w:r>
    </w:p>
    <w:p>
      <w:pPr>
        <w:spacing w:after="0" w:line="225" w:lineRule="exact"/>
        <w:rPr>
          <w:rFonts w:ascii="MS PGothic" w:cs="MS PGothic" w:eastAsia="MS PGothic" w:hAnsi="MS PGothic"/>
          <w:sz w:val="18"/>
          <w:szCs w:val="18"/>
          <w:color w:val="auto"/>
          <w:highlight w:val="black"/>
        </w:rPr>
      </w:pPr>
    </w:p>
    <w:p>
      <w:pPr>
        <w:ind w:left="860" w:hanging="224"/>
        <w:spacing w:after="0"/>
        <w:tabs>
          <w:tab w:leader="none" w:pos="8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Full title of the plan and the address of the plan, if different from that of the issuer named below: </w:t>
      </w:r>
      <w:r>
        <w:rPr>
          <w:rFonts w:ascii="Times New Roman" w:cs="Times New Roman" w:eastAsia="Times New Roman" w:hAnsi="Times New Roman"/>
          <w:sz w:val="18"/>
          <w:szCs w:val="18"/>
          <w:b w:val="1"/>
          <w:bCs w:val="1"/>
          <w:u w:val="single" w:color="auto"/>
          <w:color w:val="auto"/>
        </w:rPr>
        <w:t>PVH Associates Investment Plan</w:t>
      </w:r>
    </w:p>
    <w:p>
      <w:pPr>
        <w:spacing w:after="0" w:line="225" w:lineRule="exact"/>
        <w:rPr>
          <w:rFonts w:ascii="Times New Roman" w:cs="Times New Roman" w:eastAsia="Times New Roman" w:hAnsi="Times New Roman"/>
          <w:sz w:val="18"/>
          <w:szCs w:val="18"/>
          <w:b w:val="1"/>
          <w:bCs w:val="1"/>
          <w:color w:val="auto"/>
        </w:rPr>
      </w:pPr>
    </w:p>
    <w:p>
      <w:pPr>
        <w:ind w:left="-20" w:firstLine="656"/>
        <w:spacing w:after="0" w:line="286" w:lineRule="auto"/>
        <w:tabs>
          <w:tab w:leader="none" w:pos="851"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of the securities held pursuant to the plan and the address of its principal executive office: </w:t>
      </w:r>
      <w:r>
        <w:rPr>
          <w:rFonts w:ascii="Times New Roman" w:cs="Times New Roman" w:eastAsia="Times New Roman" w:hAnsi="Times New Roman"/>
          <w:sz w:val="18"/>
          <w:szCs w:val="18"/>
          <w:b w:val="1"/>
          <w:bCs w:val="1"/>
          <w:u w:val="single" w:color="auto"/>
          <w:color w:val="auto"/>
        </w:rPr>
        <w:t>PVH Corp., 285 Madison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Avenue, New York, New York 10017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567055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09"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Plan Committee has duly caused this annual report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signed on its behalf by the undersigned hereunto duly authorized.</w:t>
      </w:r>
    </w:p>
    <w:p>
      <w:pPr>
        <w:spacing w:after="0" w:line="1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PVH ASSOCIATES INVESTMENT PLAN</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 /s/ Carlos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Carlos Carvalho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Member of Plan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color w:val="auto"/>
        </w:rPr>
        <w:t>ANNUAL REPORT ON FORM 11-K ITEM 4</w:t>
      </w:r>
    </w:p>
    <w:p>
      <w:pPr>
        <w:sectPr>
          <w:pgSz w:w="11900" w:h="16838" w:orient="portrait"/>
          <w:cols w:equalWidth="0" w:num="1">
            <w:col w:w="9019"/>
          </w:cols>
          <w:pgMar w:left="1440" w:top="1201"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PVH ASSOCIATES INVESTMENT PLAN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977265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740" w:type="dxa"/>
            <w:vAlign w:val="bottom"/>
            <w:gridSpan w:val="4"/>
          </w:tcPr>
          <w:p>
            <w:pPr>
              <w:jc w:val="center"/>
              <w:ind w:right="2700"/>
              <w:spacing w:after="0"/>
              <w:rPr>
                <w:sz w:val="20"/>
                <w:szCs w:val="20"/>
                <w:color w:val="auto"/>
              </w:rPr>
            </w:pPr>
            <w:r>
              <w:rPr>
                <w:rFonts w:ascii="Times New Roman" w:cs="Times New Roman" w:eastAsia="Times New Roman" w:hAnsi="Times New Roman"/>
                <w:sz w:val="18"/>
                <w:szCs w:val="18"/>
                <w:color w:val="auto"/>
                <w:w w:val="99"/>
              </w:rPr>
              <w:t>ANNUAL REPORT ON FORM 11-K ITEM 4</w:t>
            </w:r>
          </w:p>
        </w:tc>
        <w:tc>
          <w:tcPr>
            <w:tcW w:w="9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40" w:type="dxa"/>
            <w:vAlign w:val="bottom"/>
            <w:gridSpan w:val="4"/>
          </w:tcPr>
          <w:p>
            <w:pPr>
              <w:jc w:val="center"/>
              <w:ind w:right="2680"/>
              <w:spacing w:after="0"/>
              <w:rPr>
                <w:sz w:val="20"/>
                <w:szCs w:val="20"/>
                <w:color w:val="auto"/>
              </w:rPr>
            </w:pPr>
            <w:r>
              <w:rPr>
                <w:rFonts w:ascii="Times New Roman" w:cs="Times New Roman" w:eastAsia="Times New Roman" w:hAnsi="Times New Roman"/>
                <w:sz w:val="18"/>
                <w:szCs w:val="18"/>
                <w:color w:val="auto"/>
                <w:w w:val="99"/>
              </w:rPr>
              <w:t>PVH ASSOCIATES INVESTMENT PLAN</w:t>
            </w:r>
          </w:p>
        </w:tc>
        <w:tc>
          <w:tcPr>
            <w:tcW w:w="9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60" w:type="dxa"/>
            <w:vAlign w:val="bottom"/>
            <w:gridSpan w:val="2"/>
          </w:tcPr>
          <w:p>
            <w:pPr>
              <w:jc w:val="center"/>
              <w:ind w:right="346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60" w:type="dxa"/>
            <w:vAlign w:val="bottom"/>
            <w:gridSpan w:val="2"/>
          </w:tcPr>
          <w:p>
            <w:pPr>
              <w:jc w:val="center"/>
              <w:ind w:right="3480"/>
              <w:spacing w:after="0"/>
              <w:rPr>
                <w:sz w:val="20"/>
                <w:szCs w:val="20"/>
                <w:color w:val="auto"/>
              </w:rPr>
            </w:pPr>
            <w:r>
              <w:rPr>
                <w:rFonts w:ascii="Times New Roman" w:cs="Times New Roman" w:eastAsia="Times New Roman" w:hAnsi="Times New Roman"/>
                <w:sz w:val="18"/>
                <w:szCs w:val="18"/>
                <w:color w:val="auto"/>
                <w:w w:val="99"/>
              </w:rPr>
              <w:t>December 31, 2025 and 2024</w:t>
            </w:r>
          </w:p>
        </w:tc>
        <w:tc>
          <w:tcPr>
            <w:tcW w:w="900" w:type="dxa"/>
            <w:vAlign w:val="bottom"/>
          </w:tcPr>
          <w:p>
            <w:pPr>
              <w:spacing w:after="0"/>
              <w:rPr>
                <w:sz w:val="24"/>
                <w:szCs w:val="24"/>
                <w:color w:val="auto"/>
              </w:rPr>
            </w:pPr>
          </w:p>
        </w:tc>
      </w:tr>
      <w:tr>
        <w:trPr>
          <w:trHeight w:val="439"/>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120" w:type="dxa"/>
            <w:vAlign w:val="bottom"/>
            <w:tcBorders>
              <w:top w:val="single" w:sz="8" w:color="CCEEFF"/>
            </w:tcBorders>
            <w:gridSpan w:val="3"/>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101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1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1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900" w:type="dxa"/>
            <w:vAlign w:val="bottom"/>
          </w:tcPr>
          <w:p>
            <w:pPr>
              <w:spacing w:after="0"/>
              <w:rPr>
                <w:sz w:val="18"/>
                <w:szCs w:val="18"/>
                <w:color w:val="auto"/>
              </w:rPr>
            </w:pPr>
          </w:p>
        </w:tc>
      </w:tr>
      <w:tr>
        <w:trPr>
          <w:trHeight w:val="175"/>
        </w:trPr>
        <w:tc>
          <w:tcPr>
            <w:tcW w:w="160" w:type="dxa"/>
            <w:vAlign w:val="bottom"/>
            <w:shd w:val="clear" w:color="auto" w:fill="CCEEFF"/>
          </w:tcPr>
          <w:p>
            <w:pPr>
              <w:spacing w:after="0"/>
              <w:rPr>
                <w:sz w:val="15"/>
                <w:szCs w:val="15"/>
                <w:color w:val="auto"/>
              </w:rPr>
            </w:pPr>
          </w:p>
        </w:tc>
        <w:tc>
          <w:tcPr>
            <w:tcW w:w="101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5500, Schedule H, Part IV, Line 4i—Schedule of Assets (Held at End of Year)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Other schedules required by Section 2520.103-10 of the Department of Labor’s Rules and Regulations for Reporting and Disclosure under the Employee Retirement Income Security Act of 1974, as amended, have been omitted because they are not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5866130</wp:posOffset>
            </wp:positionH>
            <wp:positionV relativeFrom="page">
              <wp:posOffset>226060</wp:posOffset>
            </wp:positionV>
            <wp:extent cx="147447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006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Participants of the PVH Associates Investment Plan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Committee for the PVH Pension Plans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PVH Associates Investment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PVH Associates Investment Plan (the “Plan”) as of December 31, 2025 and 2024,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PVH Associates Investment Plan as of December 31, 2025 and 2024, and the changes in net assets available for benefits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PVH Associates Investment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PVH Associates Investment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5866130</wp:posOffset>
            </wp:positionH>
            <wp:positionV relativeFrom="page">
              <wp:posOffset>226060</wp:posOffset>
            </wp:positionV>
            <wp:extent cx="147447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0060"/>
                    </a:xfrm>
                    <a:prstGeom prst="rect">
                      <a:avLst/>
                    </a:prstGeom>
                    <a:noFill/>
                  </pic:spPr>
                </pic:pic>
              </a:graphicData>
            </a:graphic>
          </wp:anchor>
        </w:drawing>
        <w:t>Supplemental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supplemental information in the accompanying Schedule H, Line 4i, Schedule of Assets (Held at End of Year) as of December 31, 2025 has been subjected to audit procedures performed in conjunction with the audit of the PVH Associates Investment Plan’s financial statements. The supplemental information is the responsibility of the PVH Associates Investment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PVH Associates Investment Plan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PVH ASSOCIATES INVESTMENT PLAN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STATEMENTS OF NET ASSETS AVAILABLE FOR BENEFITS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December 31, 2025 and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Participant-directed investments,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869,928,139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819,416,475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6,848,804</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7,602,857</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Employer contributions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551,748</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585,491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receivables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7,400,552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8,188,348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877,328,691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827,604,823</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Participant contribution refund payable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2,212</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877,326,479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827,604,823</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left="1940"/>
        <w:spacing w:after="0"/>
        <w:rPr>
          <w:sz w:val="20"/>
          <w:szCs w:val="20"/>
          <w:color w:val="auto"/>
        </w:rPr>
      </w:pPr>
      <w:r>
        <w:rPr>
          <w:rFonts w:ascii="Times New Roman" w:cs="Times New Roman" w:eastAsia="Times New Roman" w:hAnsi="Times New Roman"/>
          <w:sz w:val="18"/>
          <w:szCs w:val="18"/>
          <w:color w:val="auto"/>
        </w:rPr>
        <w:t>PVH ASSOCIATES INVESTMENT PLAN</w:t>
      </w:r>
    </w:p>
    <w:p>
      <w:pPr>
        <w:spacing w:after="0" w:line="225"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color w:val="auto"/>
        </w:rPr>
        <w:t>STATEMENT OF CHANGES IN NET ASSETS AVAILABLE FOR BENEFITS</w:t>
      </w:r>
    </w:p>
    <w:p>
      <w:pPr>
        <w:spacing w:after="0" w:line="2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Employer, net of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Participants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Rollovers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hanging="215"/>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109,790,524</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10,002,900</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119,793,424</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580,204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26,210,193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31,105,567</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2,728,336</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60,044,096</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180,417,724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130,018,343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677,725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130,696,068</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49,721,656</w:t>
      </w: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827,604,823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$ 877,326,479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300" w:space="720"/>
            <w:col w:w="1120"/>
          </w:cols>
          <w:pgMar w:left="320" w:top="337"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PVH ASSOCIATES INVESTMENT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PVH Associates Investment Plan (the “Plan”) provides only general information. Participants should refer to the Plan document for a more complete description of the Plan’s provisions.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Plan is a defined contribution plan covering salaried or hourly clerical, warehouse, distribution, and United States retail field employees of PVH Corp. (the “Company”) who are at least age 21 or older, have completed the earlier of at least three consecutive months of service and are regularly scheduled to work at least 20 hours per week or have completed at least 500 hours of service during the first 12 months of employment or in any subsequent calendar year. However, a part-time associate is not eligible to receive Company contributions until they complete 1,000 hours of service in a calendar year.</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Residents of Puerto Rico, non-resident aliens and associates whose principal terms and conditions of employment are subject to the provisions of a collective bargaining agreement which does not provide for active participation in the Plan are excluded. The Plan is subject to the reporting and disclosure requirements of the Employee Retirement Income Security Act of 1974 (“ERISA”), as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is administered by a plan committee (the “Committee”) of two employees appointed by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Trustee and Recordkeeper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Plan’s recordkeeper and trustee services are Empower Retirement and Empower Trust Company, LLC, respectively.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Participant Contributions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Participants may make pre-tax contributions and/or after-tax Roth contributions to the Plan through payroll deductions. Total contributions may not exceed the lesser of 75% of the participant’s eligible annual compensation or the Internal Revenue Service (“IRS”) allowed maximum of $23,500 for 2025 and $23,000 for 2024, plus an additional $7,500 for 2025 and 2024, for participants aged 50 and over by the end of the Plan year. Participants can make after-tax non-Roth contributions to the Plan, subject to IRS limits. The Company does not match these after-tax contributions.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PVH ASSOCIATES INVESTMENT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Participants are automatically enrolled when they become eligible to participate in the Plan with a pre-tax base pay contribution rate of 3% unless they affirmatively elect not to participate in the Plan or elect to contribute at a different rate. Contributions for an automatically enrolled participant are invested in the qualified default investment alternative designated by the Plan administrator, until changed by the participant. In addition, each participant who is automatically enrolled in the Plan will be enrolled in the annual automatic increase program at a rate of 1% and capped at 10%.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Employer Contributions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matches 100% of the first 1% of eligible compensation that a participant contributes to the Plan, plus 50% of the next 5% of eligible compensation contributed by the participant. The Company makes an automatic employer contribution of 3.5% of eligible compensation on behalf of each eligible participant who is hired or rehired by the Company on or after January 1, 2022. The automatic employer contribution is intended as a substitute for pension accruals under the Company’s consolidated pension plan, which was closed to employees hired or rehired after December 31, 2021. Effective July 1, 2024, all eligible plan participants receive the 3.5% automatic employer contribution, due to the freeze of pension plan accruals effective June 30, 2024.</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ensure that participants receive the maximum Company match under the Plan’s contribution provisions, the Company makes an additional “true-up” contribution to all participant accounts who did not receive the full match amount to which they are entitled. True-up contributions are included in employer contributions receivable and are made in the following Plan year prior to the Company’s tax filing date. The true-up contribution due to the Plan at December 31, 2025 and 2024 was $551,748 and $585,491,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rollovers, the Company’s contributions, expenses and an allocation of Plan investment income or losses based on the participant’s election of investment options. Forfeited balances of terminated participants’ non-vested accounts are used to reduce future Company contributions.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attributable to participant contributions and the allocated earnings thereon are immediately vested. All participants become 100% vested in Company contributions and the allocated earnings thereon after two years of service. Upon death, permanent disability, or reaching age 65, participants or their beneficiaries become 100% vested in Company contributions.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PVH ASSOCIATES INVESTMENT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enrollment in the Plan, a participant may direct employee and Company contributions into any of the various investment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contribute a maximum of 25% of their total contributions in PVH Corp. common stock.</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Participants may borrow from the Plan, with certain restrictions, using their vested account balance as collateral. The minimum loan amount is $1,000 and the maximum loan amount is the lesser of (i) $50,000 reduced by the participant’s highest outstanding loan balance during the previous 12 months, or (ii) 50% of the vested value of the participant’s account. Interest is fixed for the term of the loan at the prime rate plus 1%. Loan repayments are made through payroll deductions, which may be specified for a term of 1 to 5 years or up to 15 years for the purchase of a primary residence. Upon termination of employment, a participant is given 90 days to repay the loan in full or to establish loan repayments through an ACH debit origination before it is considered to be in default. Delinquent loans are considered to be distributions based on the terms of the Plan document. Notes receivable from participants are measured at the unpaid principal balance plus any accrued but unpaid interest.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outstanding notes receivable from participants totaled $6,848,804 with maturity dates through 2039 at interest rates ranging from 4.25% to 9.50%.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Company contributions made on behalf of non-vested or partially vested employees who have terminated employment are retained by the Plan and are used to reduce the Company’s future contributions. In 2025 and 2024, forfeitures of $520,003 and $1,607,102, respectively, were used by the Plan to reduce the Company’s contributions. At December 31, 2025 and 2024, cumulative forfeited non-vested accounts totaled $856,507 and $377,449, respectively. The balance as of the end of the current Plan year is expected to be used by the end of the next Plan year to fund a portion of the Company’s contributions.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Participants electing final distributions will receive payment in the form of a lump sum amount or installment payments equal to the value of their vested account unless the participant notifies the Company of their intent to receive all or a portion of their investment balance in PVH Corp. common stock in the form of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PVH ASSOCIATES INVESTMENT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 Termination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158" w:lineRule="exact"/>
        <w:rPr>
          <w:sz w:val="20"/>
          <w:szCs w:val="20"/>
          <w:color w:val="auto"/>
        </w:rPr>
      </w:pPr>
    </w:p>
    <w:p>
      <w:pPr>
        <w:jc w:val="center"/>
        <w:ind w:left="660" w:right="8620" w:hanging="652"/>
        <w:spacing w:after="0" w:line="503" w:lineRule="auto"/>
        <w:tabs>
          <w:tab w:leader="none" w:pos="23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color w:val="auto"/>
        </w:rPr>
        <w:t>Basis of Accounting</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financial statements of the Plan were prepared using the accrual basis of accounting.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of America requires Plan management to make estimates and assumptions that affect the reported amounts of assets and liabilities therein, and disclosures of contingent assets and liabilities. Accordingly, actual results may differ from those estimates.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Plan’s administrative expenses are primarily paid by participants. Fees related to the administration of notes receivable from participants are charged directly to the participant’s account and are included in administrative expenses. Investment management or related fees associated with certain investment fund options are paid by participants.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Investments are recorded in the accompanying financial statements at fair value as disclosed in Note 4. All assets of the Plan are held by the trustee and are segregated from the assets of the Company.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reflected on a trade-date basis. Dividend income is recognized on the ex-dividend date. Interest earned on investments is recognized on an accrual basis. Net appreciation (depreciation) in the fair value of investments includes the Plan’s gains and losses on investments bought and sold as well as held during the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PVH ASSOCIATES INVESTMENT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investment in the Vanguard Institutional Index Institutional Plus fund of $110,287,129 represented 13% of the Plan’s net assets. At December 31, 2024, investment in the Vanguard Institutional Index fund of $97,518,722 represented 12% of the Plan’s net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Party-In-Interest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Plan assets are invested in PVH Corp. stock directly. The Company is the Plan sponsor, therefore transactions involving the Company’s stock qualify as party-in-interest transactions. During the year ended December 31, 2025, the Plan purchased 15,019 and sold 58,138 shares of the Company’s common stock and received $31,872 during 2025 from the Company as payment of dividends on its common stock. Certain legal and accounting fees, and administrative expenses are paid by the Company, and accordingly, are not included in the financial statements of the Plan. Additionally, notes receivable from participants also qualify as exempt party-in-interest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Accounting Standards Board defines fair value as the price that would be received to sell an asset or paid to transfer a liability in the principal or most advantageous market in an orderly transaction between market participants at the measurement date. The guidance establishes a three level fair value hierarchy that prioritizes the inputs used to measure fair value. The three levels of the hierarchy are defined as follows: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Plan has the ability to access at the measurement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including quoted prices for identical assets or liabilities in inactive markets, quoted prices for similar assets or liabilities in active markets, inputs other than quoted prices that are observable for the asset or liability, and inputs derived principally from or corroborated by observable market data.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Plan’s own assumptions about the inputs that market participants would use in pricing the asset or liability based on the best information available.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PVH ASSOCIATES INVESTMENT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inputs used to measure the financial instruments fall within different levels of the hierarchy, the categorization is based on the lowest level input that is significant to the fair value measurement of the instrument. There were no transfers between levels in the years ended December 31, 2025 or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financial assets of the Plan by level within the fair value hierarchy, as of December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8"/>
              </w:rPr>
              <w:t>Fair Value Measurements at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8"/>
              </w:rPr>
              <w:t>Quoted Prices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 Active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Significant</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Markets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Identical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Inputs</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160" w:type="dxa"/>
            <w:vAlign w:val="bottom"/>
          </w:tcPr>
          <w:p>
            <w:pPr>
              <w:spacing w:after="0"/>
              <w:rPr>
                <w:sz w:val="20"/>
                <w:szCs w:val="20"/>
                <w:color w:val="auto"/>
              </w:rPr>
            </w:pP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PVH Corp. common stock</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12,690,235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12,690,235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224,381,602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224,381,602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Common collective trust funds</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607,397,276</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607,397,276</w:t>
            </w:r>
          </w:p>
        </w:tc>
        <w:tc>
          <w:tcPr>
            <w:tcW w:w="10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844,469,113</w:t>
            </w:r>
          </w:p>
        </w:tc>
        <w:tc>
          <w:tcPr>
            <w:tcW w:w="2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237,071,837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607,397,276</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5980" w:type="dxa"/>
            <w:vAlign w:val="bottom"/>
            <w:tcBorders>
              <w:top w:val="single" w:sz="8" w:color="CCEEFF"/>
            </w:tcBorders>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Galliard stable value fund at NAV</w:t>
            </w:r>
            <w:r>
              <w:rPr>
                <w:rFonts w:ascii="Times New Roman" w:cs="Times New Roman" w:eastAsia="Times New Roman" w:hAnsi="Times New Roman"/>
                <w:sz w:val="29"/>
                <w:szCs w:val="29"/>
                <w:color w:val="auto"/>
                <w:vertAlign w:val="superscript"/>
              </w:rPr>
              <w:t>(4)</w:t>
            </w:r>
          </w:p>
        </w:tc>
        <w:tc>
          <w:tcPr>
            <w:tcW w:w="160" w:type="dxa"/>
            <w:vAlign w:val="bottom"/>
            <w:tcBorders>
              <w:top w:val="single" w:sz="8" w:color="CCEEFF"/>
            </w:tcBorders>
            <w:shd w:val="clear" w:color="auto" w:fill="CCEEFF"/>
          </w:tcPr>
          <w:p>
            <w:pPr>
              <w:spacing w:after="0"/>
              <w:rPr>
                <w:sz w:val="24"/>
                <w:szCs w:val="24"/>
                <w:color w:val="auto"/>
              </w:rPr>
            </w:pPr>
          </w:p>
        </w:tc>
        <w:tc>
          <w:tcPr>
            <w:tcW w:w="1220" w:type="dxa"/>
            <w:vAlign w:val="bottom"/>
            <w:tcBorders>
              <w:top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25,459,026</w:t>
            </w:r>
          </w:p>
        </w:tc>
        <w:tc>
          <w:tcPr>
            <w:tcW w:w="10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869,928,139</w:t>
            </w:r>
          </w:p>
        </w:tc>
        <w:tc>
          <w:tcPr>
            <w:tcW w:w="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Fair Value Measurements at</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8"/>
              </w:rPr>
              <w:t>Quoted Prices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 Active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Markets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Significant</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Identical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Inputs</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160" w:type="dxa"/>
            <w:vAlign w:val="bottom"/>
          </w:tcPr>
          <w:p>
            <w:pPr>
              <w:spacing w:after="0"/>
              <w:rPr>
                <w:sz w:val="20"/>
                <w:szCs w:val="20"/>
                <w:color w:val="auto"/>
              </w:rPr>
            </w:pP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PVH Corp. common stock</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24,583,477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24,583,477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201,684,382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201,684,382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Common collective trust funds</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566,532,493</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566,532,493</w:t>
            </w:r>
          </w:p>
        </w:tc>
        <w:tc>
          <w:tcPr>
            <w:tcW w:w="10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792,800,352</w:t>
            </w:r>
          </w:p>
        </w:tc>
        <w:tc>
          <w:tcPr>
            <w:tcW w:w="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226,267,859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566,532,493</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tcBorders>
              <w:top w:val="single" w:sz="8" w:color="CCEEFF"/>
            </w:tcBorders>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Galliard stable value fund at NAV</w:t>
            </w:r>
            <w:r>
              <w:rPr>
                <w:rFonts w:ascii="Times New Roman" w:cs="Times New Roman" w:eastAsia="Times New Roman" w:hAnsi="Times New Roman"/>
                <w:sz w:val="26"/>
                <w:szCs w:val="26"/>
                <w:color w:val="auto"/>
                <w:vertAlign w:val="superscript"/>
              </w:rPr>
              <w:t>(4)</w:t>
            </w:r>
          </w:p>
        </w:tc>
        <w:tc>
          <w:tcPr>
            <w:tcW w:w="16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26,616,123</w:t>
            </w:r>
          </w:p>
        </w:tc>
        <w:tc>
          <w:tcPr>
            <w:tcW w:w="1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819,416,475</w:t>
            </w:r>
          </w:p>
        </w:tc>
        <w:tc>
          <w:tcPr>
            <w:tcW w:w="20" w:type="dxa"/>
            <w:vAlign w:val="bottom"/>
            <w:tcBorders>
              <w:top w:val="single" w:sz="8" w:color="CCEEFF"/>
              <w:bottom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Valued at the closing price of PVH Corp. common stock as determined by the closing price in the active market in which the securities are traded.</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Valued at the net asset value (“NAV”) of the fund(s), as determined by the closing price in the active market in which the individual fund is traded.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PVH ASSOCIATES INVESTMENT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340" w:right="2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Valued at the NAV of the fund as determined and published daily by the fund family. Funds are redeemable on a daily basis at the NAV without restriction.</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Valued at the NAV of units of the Galliard Stable Return Fund E (“Fund E”), a collective trust fund which invests all of its assets in Galliard Stable Return Fund Core. Galliard Stable Return Fund Core invests in fully benefits-responsive investment contracts. The net asset value of Fund E is used as a practical expedient to estimate its fair value. This practical expedient would not be used if it is determined to be probable that the fund will sell the investment for an amount different from the reported net asset value. Participant transactions (purchases and sales) may occur daily unless payments are being delayed to all fund unit holders. If the Plan initiates a full redemption of the collective trust fund, the issuer reserves the right to require 12 months’ notification in order to ensure that securities’ liquidations will be carried out in an orderly business manner.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Risks and Uncertainties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including the Company’s stock.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 reported in the Statements of Net Assets Available for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 Status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IRS has determined and informed the Company by a letter dated April 25, 2017, that the Plan and related trust are designed in accordance with the applicable sections of the Internal Revenue Code (“IRC”) and, therefore, the related trust is exempt from taxation. Once qualified, the Plan is required to operate in conformity with the IRC to maintain its qualification. Although the Plan has been amended since receiving the IRS letter, the Committee believes that the Plan is currently designed and is currently being operated in compliance with the applicable requirements of the IRC and therefore believes that the Plan is qualified and the related trust is tax-exempt.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uncertain tax positions taken by the Plan. The financial statement effects of a tax position are recognized when the position is more likely than not, based on the technical merits, to be sustained upon examination by the IRS. There are no uncertain tax positions taken or expected to be taken by the Plan. The Plan has recognized no interest or penalties related to uncertain tax positions. The Plan is subject to routine audits by tax jurisdictions; however, there are currently no audits for any tax periods in progress.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from the Statement of Net Assets Available for Benefits date through the date the financial statements were issued and no events were noted which warrant adjustments to, or disclosure in the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7"/>
          <w:szCs w:val="17"/>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984885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EIN: 13-1166910</w:t>
            </w: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Plan No: 007</w:t>
            </w:r>
          </w:p>
        </w:tc>
      </w:tr>
      <w:tr>
        <w:trPr>
          <w:trHeight w:val="3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PVH ASSOCIATES INVESTMENT PLAN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FORM 5500, SCHEDULE H, PART IV, LINE 4i—SCHEDULE OF ASSETS (HELD AT END OF YEAR)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December 31, 2025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Description of investment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w:t>
            </w:r>
          </w:p>
        </w:tc>
      </w:tr>
      <w:tr>
        <w:trPr>
          <w:trHeight w:val="229"/>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Identity of issuer, borrower,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including maturity date, rate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Current</w:t>
            </w:r>
          </w:p>
        </w:tc>
      </w:tr>
      <w:tr>
        <w:trPr>
          <w:trHeight w:val="241"/>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Pr>
          <w:p>
            <w:pPr>
              <w:spacing w:after="0"/>
              <w:rPr>
                <w:sz w:val="20"/>
                <w:szCs w:val="20"/>
                <w:color w:val="auto"/>
              </w:rPr>
            </w:pPr>
          </w:p>
        </w:tc>
        <w:tc>
          <w:tcPr>
            <w:tcW w:w="2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lessor or similar party</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interest, collateral, par or maturity value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Cost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PVH Corp.</w:t>
            </w:r>
          </w:p>
        </w:tc>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PVH Corp. Common Stock; 189,349.961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12,690,235</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Dodge &amp; Cox</w:t>
            </w:r>
          </w:p>
        </w:tc>
        <w:tc>
          <w:tcPr>
            <w:tcW w:w="2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Dodge &amp; Cox stock fund class x; 1,803,512.922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29,920,279</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DFA U.S. Targeted Value Portfolio Institutional; 580,231.273</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Dimensional Fund Advisors</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21,456,953</w:t>
            </w:r>
          </w:p>
        </w:tc>
      </w:tr>
      <w:tr>
        <w:trPr>
          <w:trHeight w:val="216"/>
        </w:trPr>
        <w:tc>
          <w:tcPr>
            <w:tcW w:w="114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American Funds</w:t>
            </w:r>
          </w:p>
        </w:tc>
        <w:tc>
          <w:tcPr>
            <w:tcW w:w="2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America EuroPacific Growth R6; 346,792.512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21,008,690</w:t>
            </w:r>
          </w:p>
        </w:tc>
      </w:tr>
      <w:tr>
        <w:trPr>
          <w:trHeight w:val="216"/>
        </w:trPr>
        <w:tc>
          <w:tcPr>
            <w:tcW w:w="114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Extended Market Index; 50,842.558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8,064,138</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Index Institutional Plus; 199,770.191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110,287,129</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Total Bond Market Index Institutional;</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1,417,126.819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13,845,329</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Total International Stock Index Institutional;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122,148.715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19,799,084</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Collective Funds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JPMorgan Chase</w:t>
            </w:r>
          </w:p>
        </w:tc>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JPMorgan Large Cap Growth C2; 532,990.503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67,524,567</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2020 Trust I;</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136,664.157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11,597,320</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2025 Trust I;</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347,043.388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31,931,462</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2030 Trust I;</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638,824.864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62,528,178</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2035 Trust I;</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732,010.616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76,948,956</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2040 Trust I;</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703,560.338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80,072,202</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2045 Trust I;</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698,961.809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83,714,656</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2050 Trust I;</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567,272.036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70,205,587</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2055 Trust I;</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340,199.530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51,342,913</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2060 Trust I;</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319,981.521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25,380,934</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2065 Trust I;</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197,512.213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9,634,646</w:t>
            </w: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Vanguard Institutional Target Retirement 2070 Trust I;</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34,607.323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1,029,222</w:t>
            </w:r>
          </w:p>
        </w:tc>
      </w:tr>
      <w:tr>
        <w:trPr>
          <w:trHeight w:val="216"/>
        </w:trPr>
        <w:tc>
          <w:tcPr>
            <w:tcW w:w="114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Retirement Income Trust I; 40,067.899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3,032,339</w:t>
            </w:r>
          </w:p>
        </w:tc>
      </w:tr>
      <w:tr>
        <w:trPr>
          <w:trHeight w:val="216"/>
        </w:trPr>
        <w:tc>
          <w:tcPr>
            <w:tcW w:w="114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Wellington</w:t>
            </w:r>
          </w:p>
        </w:tc>
        <w:tc>
          <w:tcPr>
            <w:tcW w:w="2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WTC CIF II Core Bond Plus Series 4; 1,356,826.674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12,414,964</w:t>
            </w:r>
          </w:p>
        </w:tc>
      </w:tr>
      <w:tr>
        <w:trPr>
          <w:trHeight w:val="216"/>
        </w:trPr>
        <w:tc>
          <w:tcPr>
            <w:tcW w:w="114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William Blair Funds</w:t>
            </w:r>
          </w:p>
        </w:tc>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William Blair Small-Mid Cap Growth; 473,720.636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20,039,330</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Stable Value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Galliard Capital Management</w:t>
            </w:r>
          </w:p>
        </w:tc>
        <w:tc>
          <w:tcPr>
            <w:tcW w:w="2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Galliard Stable Return Fund E; 401,780.555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25,459,026</w:t>
            </w: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1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869,928,139</w:t>
            </w: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Participant notes receivable maturing at various dates through</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Participant Loans</w:t>
            </w:r>
          </w:p>
        </w:tc>
        <w:tc>
          <w:tcPr>
            <w:tcW w:w="4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bearing interest at rates from 4.25% to 9.50%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6,848,804</w:t>
            </w:r>
          </w:p>
        </w:tc>
      </w:tr>
      <w:tr>
        <w:trPr>
          <w:trHeight w:val="21"/>
        </w:trPr>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1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5540" w:right="3840" w:hanging="5532"/>
        <w:spacing w:after="0" w:line="667" w:lineRule="auto"/>
        <w:tabs>
          <w:tab w:leader="none" w:pos="3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therefore is not included.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87"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0"/>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spacing w:after="0"/>
              <w:rPr>
                <w:sz w:val="24"/>
                <w:szCs w:val="24"/>
                <w:color w:val="auto"/>
              </w:rPr>
            </w:pPr>
          </w:p>
        </w:tc>
        <w:tc>
          <w:tcPr>
            <w:tcW w:w="4880" w:type="dxa"/>
            <w:vAlign w:val="bottom"/>
            <w:tcBorders>
              <w:bottom w:val="single" w:sz="8" w:color="CCEEFF"/>
            </w:tcBorders>
          </w:tcPr>
          <w:p>
            <w:pPr>
              <w:spacing w:after="0"/>
              <w:rPr>
                <w:sz w:val="24"/>
                <w:szCs w:val="24"/>
                <w:color w:val="auto"/>
              </w:rPr>
            </w:pPr>
          </w:p>
        </w:tc>
      </w:tr>
      <w:tr>
        <w:trPr>
          <w:trHeight w:val="196"/>
        </w:trPr>
        <w:tc>
          <w:tcPr>
            <w:tcW w:w="10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4320" w:type="dxa"/>
            <w:vAlign w:val="bottom"/>
            <w:tcBorders>
              <w:bottom w:val="single" w:sz="8" w:color="0000EE"/>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Consent of Independent Registered Public Accounting Firm</w:t>
            </w:r>
          </w:p>
        </w:tc>
        <w:tc>
          <w:tcPr>
            <w:tcW w:w="5780" w:type="dxa"/>
            <w:vAlign w:val="bottom"/>
            <w:tcBorders>
              <w:bottom w:val="single" w:sz="8" w:color="CCEEFF"/>
            </w:tcBorders>
            <w:gridSpan w:val="2"/>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14</w:t>
            </w: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333-158327 and 333-259486 on Form S-8 of our report dated June 24, 2026, appearing in the Annual Report on Form 11-K relating to the financial statements and supplemental schedule of the PVH Associates Investment Plan as of and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lvl>
    <w:lvl w:ilvl="1">
      <w:lvlJc w:val="left"/>
      <w:lvlText w:val="☐"/>
      <w:numFmt w:val="bullet"/>
      <w:start w:val="1"/>
    </w:lvl>
    <w:lvl w:ilvl="2">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2026-06-24T17:20:25Z</dcterms:created>
  <dcterms:modified xsi:type="dcterms:W3CDTF">2026-06-24T17:20:25Z</dcterms:modified>
</cp:coreProperties>
</file>