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 Melissa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EVP and Interim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59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7"/>
                <w:szCs w:val="17"/>
                <w:color w:val="0000FF"/>
                <w:w w:val="93"/>
              </w:rPr>
              <w:t>3,712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19,122</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8"/>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218</w:t>
            </w:r>
            <w:r>
              <w:rPr>
                <w:rFonts w:ascii="Times New Roman" w:cs="Times New Roman" w:eastAsia="Times New Roman" w:hAnsi="Times New Roman"/>
                <w:sz w:val="11"/>
                <w:szCs w:val="11"/>
                <w:color w:val="008000"/>
                <w:w w:val="85"/>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18,904</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8"/>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445</w:t>
            </w:r>
            <w:r>
              <w:rPr>
                <w:rFonts w:ascii="Times New Roman" w:cs="Times New Roman" w:eastAsia="Times New Roman" w:hAnsi="Times New Roman"/>
                <w:sz w:val="11"/>
                <w:szCs w:val="11"/>
                <w:color w:val="008000"/>
                <w:w w:val="85"/>
              </w:rPr>
              <w:t>(5)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18,459</w:t>
            </w:r>
            <w:r>
              <w:rPr>
                <w:rFonts w:ascii="Times New Roman" w:cs="Times New Roman" w:eastAsia="Times New Roman" w:hAnsi="Times New Roman"/>
                <w:sz w:val="22"/>
                <w:szCs w:val="22"/>
                <w:color w:val="008000"/>
                <w:w w:val="97"/>
                <w:vertAlign w:val="superscript"/>
              </w:rPr>
              <w:t>(6)</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371.5417</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Each unit represents a contingent right to receive one share of Issuer's Common Stock. The units vest 25% (928 shares) on each anniversary of grant. Vested shares are delivered as soon as practicable after they vest.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14,392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438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13,954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895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13,059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A. Stone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04/07/2026</w:t>
            </w: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191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2026-04-08T11:34:34Z</dcterms:created>
  <dcterms:modified xsi:type="dcterms:W3CDTF">2026-04-08T11:34:34Z</dcterms:modified>
</cp:coreProperties>
</file>