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0514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0514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Graf Erik W.</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285 MADISON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PVH CORP. /DE/</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PVH</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04/06/2026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025"/>
        <w:spacing w:after="0"/>
        <w:rPr>
          <w:sz w:val="20"/>
          <w:szCs w:val="20"/>
          <w:color w:val="auto"/>
        </w:rPr>
      </w:pPr>
      <w:r>
        <w:rPr>
          <w:rFonts w:ascii="Times New Roman" w:cs="Times New Roman" w:eastAsia="Times New Roman" w:hAnsi="Times New Roman"/>
          <w:sz w:val="17"/>
          <w:szCs w:val="17"/>
          <w:color w:val="0000FF"/>
        </w:rPr>
        <w:t>EVP, Controller</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30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jc w:val="center"/>
              <w:ind w:left="58"/>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3"/>
                <w:szCs w:val="3"/>
                <w:color w:val="auto"/>
              </w:rPr>
            </w:pPr>
          </w:p>
        </w:tc>
        <w:tc>
          <w:tcPr>
            <w:tcW w:w="3540" w:type="dxa"/>
            <w:vAlign w:val="bottom"/>
            <w:gridSpan w:val="9"/>
            <w:vMerge w:val="restart"/>
          </w:tcPr>
          <w:p>
            <w:pPr>
              <w:ind w:left="2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540" w:type="dxa"/>
            <w:vAlign w:val="bottom"/>
            <w:gridSpan w:val="6"/>
            <w:vMerge w:val="continue"/>
          </w:tcPr>
          <w:p>
            <w:pPr>
              <w:spacing w:after="0"/>
              <w:rPr>
                <w:sz w:val="8"/>
                <w:szCs w:val="8"/>
                <w:color w:val="auto"/>
              </w:rPr>
            </w:pPr>
          </w:p>
        </w:tc>
        <w:tc>
          <w:tcPr>
            <w:tcW w:w="220" w:type="dxa"/>
            <w:vAlign w:val="bottom"/>
          </w:tcPr>
          <w:p>
            <w:pPr>
              <w:spacing w:after="0"/>
              <w:rPr>
                <w:sz w:val="8"/>
                <w:szCs w:val="8"/>
                <w:color w:val="auto"/>
              </w:rPr>
            </w:pPr>
          </w:p>
        </w:tc>
        <w:tc>
          <w:tcPr>
            <w:tcW w:w="354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gridSpan w:val="3"/>
          </w:tcPr>
          <w:p>
            <w:pPr>
              <w:ind w:left="20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10017</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gridSpan w:val="6"/>
          </w:tcPr>
          <w:p>
            <w:pPr>
              <w:ind w:left="12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jc w:val="center"/>
              <w:ind w:left="64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 $1 par value</w:t>
            </w:r>
          </w:p>
        </w:tc>
        <w:tc>
          <w:tcPr>
            <w:tcW w:w="1820" w:type="dxa"/>
            <w:vAlign w:val="bottom"/>
            <w:tcBorders>
              <w:bottom w:val="single" w:sz="8" w:color="2C2C2C"/>
            </w:tcBorders>
            <w:gridSpan w:val="3"/>
          </w:tcPr>
          <w:p>
            <w:pPr>
              <w:jc w:val="center"/>
              <w:ind w:left="667"/>
              <w:spacing w:after="0"/>
              <w:rPr>
                <w:sz w:val="20"/>
                <w:szCs w:val="20"/>
                <w:color w:val="auto"/>
              </w:rPr>
            </w:pPr>
            <w:r>
              <w:rPr>
                <w:rFonts w:ascii="Times New Roman" w:cs="Times New Roman" w:eastAsia="Times New Roman" w:hAnsi="Times New Roman"/>
                <w:sz w:val="17"/>
                <w:szCs w:val="17"/>
                <w:color w:val="0000FF"/>
              </w:rPr>
              <w:t>04/06/2026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8"/>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jc w:val="center"/>
              <w:ind w:left="35"/>
              <w:spacing w:after="0"/>
              <w:rPr>
                <w:sz w:val="20"/>
                <w:szCs w:val="20"/>
                <w:color w:val="auto"/>
              </w:rPr>
            </w:pPr>
            <w:r>
              <w:rPr>
                <w:rFonts w:ascii="Times New Roman" w:cs="Times New Roman" w:eastAsia="Times New Roman" w:hAnsi="Times New Roman"/>
                <w:sz w:val="17"/>
                <w:szCs w:val="17"/>
                <w:color w:val="0000FF"/>
                <w:w w:val="93"/>
              </w:rPr>
              <w:t>3,712</w:t>
            </w:r>
            <w:r>
              <w:rPr>
                <w:rFonts w:ascii="Times New Roman" w:cs="Times New Roman" w:eastAsia="Times New Roman" w:hAnsi="Times New Roman"/>
                <w:sz w:val="22"/>
                <w:szCs w:val="22"/>
                <w:color w:val="008000"/>
                <w:w w:val="93"/>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gridSpan w:val="2"/>
          </w:tcPr>
          <w:p>
            <w:pPr>
              <w:jc w:val="center"/>
              <w:ind w:left="64"/>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13,198</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 $1 par value</w:t>
            </w:r>
          </w:p>
        </w:tc>
        <w:tc>
          <w:tcPr>
            <w:tcW w:w="1820" w:type="dxa"/>
            <w:vAlign w:val="bottom"/>
            <w:tcBorders>
              <w:bottom w:val="single" w:sz="8" w:color="2C2C2C"/>
            </w:tcBorders>
            <w:gridSpan w:val="3"/>
          </w:tcPr>
          <w:p>
            <w:pPr>
              <w:jc w:val="center"/>
              <w:ind w:left="667"/>
              <w:spacing w:after="0"/>
              <w:rPr>
                <w:sz w:val="20"/>
                <w:szCs w:val="20"/>
                <w:color w:val="auto"/>
              </w:rPr>
            </w:pPr>
            <w:r>
              <w:rPr>
                <w:rFonts w:ascii="Times New Roman" w:cs="Times New Roman" w:eastAsia="Times New Roman" w:hAnsi="Times New Roman"/>
                <w:sz w:val="17"/>
                <w:szCs w:val="17"/>
                <w:color w:val="0000FF"/>
              </w:rPr>
              <w:t>04/06/2026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8"/>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jc w:val="center"/>
              <w:ind w:left="55"/>
              <w:spacing w:after="0" w:line="320" w:lineRule="exact"/>
              <w:rPr>
                <w:sz w:val="20"/>
                <w:szCs w:val="20"/>
                <w:color w:val="auto"/>
              </w:rPr>
            </w:pPr>
            <w:r>
              <w:rPr>
                <w:rFonts w:ascii="Times New Roman" w:cs="Times New Roman" w:eastAsia="Times New Roman" w:hAnsi="Times New Roman"/>
                <w:sz w:val="34"/>
                <w:szCs w:val="34"/>
                <w:color w:val="0000FF"/>
                <w:w w:val="84"/>
                <w:vertAlign w:val="subscript"/>
              </w:rPr>
              <w:t>65</w:t>
            </w:r>
            <w:r>
              <w:rPr>
                <w:rFonts w:ascii="Times New Roman" w:cs="Times New Roman" w:eastAsia="Times New Roman" w:hAnsi="Times New Roman"/>
                <w:sz w:val="11"/>
                <w:szCs w:val="11"/>
                <w:color w:val="008000"/>
                <w:w w:val="84"/>
              </w:rPr>
              <w:t>(3)</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80.83</w:t>
            </w:r>
          </w:p>
        </w:tc>
        <w:tc>
          <w:tcPr>
            <w:tcW w:w="120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13,133</w:t>
            </w:r>
            <w:r>
              <w:rPr>
                <w:rFonts w:ascii="Times New Roman" w:cs="Times New Roman" w:eastAsia="Times New Roman" w:hAnsi="Times New Roman"/>
                <w:sz w:val="22"/>
                <w:szCs w:val="22"/>
                <w:color w:val="008000"/>
                <w:vertAlign w:val="superscript"/>
              </w:rPr>
              <w:t>(4)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 $1 par value</w:t>
            </w:r>
          </w:p>
        </w:tc>
        <w:tc>
          <w:tcPr>
            <w:tcW w:w="1820" w:type="dxa"/>
            <w:vAlign w:val="bottom"/>
            <w:tcBorders>
              <w:bottom w:val="single" w:sz="8" w:color="2C2C2C"/>
            </w:tcBorders>
            <w:gridSpan w:val="3"/>
          </w:tcPr>
          <w:p>
            <w:pPr>
              <w:jc w:val="center"/>
              <w:ind w:left="667"/>
              <w:spacing w:after="0"/>
              <w:rPr>
                <w:sz w:val="20"/>
                <w:szCs w:val="20"/>
                <w:color w:val="auto"/>
              </w:rPr>
            </w:pPr>
            <w:r>
              <w:rPr>
                <w:rFonts w:ascii="Times New Roman" w:cs="Times New Roman" w:eastAsia="Times New Roman" w:hAnsi="Times New Roman"/>
                <w:sz w:val="17"/>
                <w:szCs w:val="17"/>
                <w:color w:val="0000FF"/>
              </w:rPr>
              <w:t>04/06/2026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8"/>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jc w:val="center"/>
              <w:ind w:left="55"/>
              <w:spacing w:after="0"/>
              <w:rPr>
                <w:sz w:val="20"/>
                <w:szCs w:val="20"/>
                <w:color w:val="auto"/>
              </w:rPr>
            </w:pPr>
            <w:r>
              <w:rPr>
                <w:rFonts w:ascii="Times New Roman" w:cs="Times New Roman" w:eastAsia="Times New Roman" w:hAnsi="Times New Roman"/>
                <w:sz w:val="17"/>
                <w:szCs w:val="17"/>
                <w:color w:val="0000FF"/>
                <w:w w:val="89"/>
              </w:rPr>
              <w:t>110</w:t>
            </w:r>
            <w:r>
              <w:rPr>
                <w:rFonts w:ascii="Times New Roman" w:cs="Times New Roman" w:eastAsia="Times New Roman" w:hAnsi="Times New Roman"/>
                <w:sz w:val="22"/>
                <w:szCs w:val="22"/>
                <w:color w:val="008000"/>
                <w:w w:val="89"/>
                <w:vertAlign w:val="superscript"/>
              </w:rPr>
              <w:t>(5)</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80.83</w:t>
            </w:r>
          </w:p>
        </w:tc>
        <w:tc>
          <w:tcPr>
            <w:tcW w:w="120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13,023</w:t>
            </w:r>
            <w:r>
              <w:rPr>
                <w:rFonts w:ascii="Times New Roman" w:cs="Times New Roman" w:eastAsia="Times New Roman" w:hAnsi="Times New Roman"/>
                <w:sz w:val="22"/>
                <w:szCs w:val="22"/>
                <w:color w:val="008000"/>
                <w:vertAlign w:val="superscript"/>
              </w:rPr>
              <w:t>(6)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7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subject to an award of restricted stock units. Each unit represents a contingent right to receive one share of Issuer's Common Stock. The units vest 25% (928 shares) on each anniversary of grant. Vested shares are delivered as soon as practicable after they vest.</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12,451 shares of Common Stock subject to unvested awards of restricted stock units.</w:t>
      </w:r>
    </w:p>
    <w:p>
      <w:pPr>
        <w:spacing w:after="0" w:line="50" w:lineRule="exact"/>
        <w:rPr>
          <w:rFonts w:ascii="Times New Roman" w:cs="Times New Roman" w:eastAsia="Times New Roman" w:hAnsi="Times New Roman"/>
          <w:sz w:val="13"/>
          <w:szCs w:val="13"/>
          <w:color w:val="008000"/>
        </w:rPr>
      </w:pPr>
    </w:p>
    <w:p>
      <w:pPr>
        <w:ind w:left="40" w:right="3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to satisfy the Reporting Person's tax obligations in connection with the vesting of 175 restricted stock units. The restricted stock units previously were reported as directly owned shares.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12,276 shares of Common Stock subject to unvested awards of restricted stock units.</w:t>
      </w:r>
    </w:p>
    <w:p>
      <w:pPr>
        <w:spacing w:after="0" w:line="50" w:lineRule="exact"/>
        <w:rPr>
          <w:rFonts w:ascii="Times New Roman" w:cs="Times New Roman" w:eastAsia="Times New Roman" w:hAnsi="Times New Roman"/>
          <w:sz w:val="13"/>
          <w:szCs w:val="13"/>
          <w:color w:val="008000"/>
        </w:rPr>
      </w:pPr>
    </w:p>
    <w:p>
      <w:pPr>
        <w:ind w:left="40" w:right="3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to satisfy the Reporting Person's tax obligations in connection with the vesting of 299 restricted stock units. The restricted stock units previously were reported as directly owned shares.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11,977 shares of Common Stock subject to unvested awards of restricted stock units.</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Erik W. Graf</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04/07/2026</w:t>
            </w:r>
          </w:p>
        </w:tc>
      </w:tr>
      <w:tr>
        <w:trPr>
          <w:trHeight w:val="20"/>
        </w:trPr>
        <w:tc>
          <w:tcPr>
            <w:tcW w:w="110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61155" TargetMode="External"/><Relationship Id="rId14" Type="http://schemas.openxmlformats.org/officeDocument/2006/relationships/hyperlink" Target="http://www.sec.gov/cgi-bin/browse-edgar?action=getcompany&amp;CIK=00000782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2026-04-08T11:42:18Z</dcterms:created>
  <dcterms:modified xsi:type="dcterms:W3CDTF">2026-04-08T11:42:18Z</dcterms:modified>
</cp:coreProperties>
</file>