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238760</wp:posOffset>
            </wp:positionH>
            <wp:positionV relativeFrom="page">
              <wp:posOffset>336550</wp:posOffset>
            </wp:positionV>
            <wp:extent cx="7079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9615"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361315</wp:posOffset>
            </wp:positionV>
            <wp:extent cx="7079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9615" cy="8255"/>
                    </a:xfrm>
                    <a:prstGeom prst="rect">
                      <a:avLst/>
                    </a:prstGeom>
                    <a:noFill/>
                  </pic:spPr>
                </pic:pic>
              </a:graphicData>
            </a:graphic>
          </wp:anchor>
        </w:drawing>
        <w:t>UNITED STATES</w:t>
      </w:r>
    </w:p>
    <w:p>
      <w:pPr>
        <w:spacing w:after="0" w:line="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 C. 20549</w:t>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130"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64" w:lineRule="exact"/>
        <w:rPr>
          <w:sz w:val="24"/>
          <w:szCs w:val="24"/>
          <w:color w:val="auto"/>
        </w:rPr>
      </w:pPr>
    </w:p>
    <w:p>
      <w:pPr>
        <w:ind w:left="2240" w:right="1580" w:hanging="577"/>
        <w:spacing w:after="0" w:line="255" w:lineRule="auto"/>
        <w:tabs>
          <w:tab w:leader="none" w:pos="22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 w:lineRule="exact"/>
        <w:rPr>
          <w:sz w:val="24"/>
          <w:szCs w:val="24"/>
          <w:color w:val="auto"/>
        </w:rPr>
      </w:pPr>
    </w:p>
    <w:p>
      <w:pPr>
        <w:ind w:left="2240"/>
        <w:spacing w:after="0"/>
        <w:tabs>
          <w:tab w:leader="none" w:pos="4220" w:val="left"/>
        </w:tabs>
        <w:rPr>
          <w:sz w:val="20"/>
          <w:szCs w:val="20"/>
          <w:color w:val="auto"/>
        </w:rPr>
      </w:pPr>
      <w:r>
        <w:rPr>
          <w:rFonts w:ascii="Times New Roman" w:cs="Times New Roman" w:eastAsia="Times New Roman" w:hAnsi="Times New Roman"/>
          <w:sz w:val="17"/>
          <w:szCs w:val="17"/>
          <w:b w:val="1"/>
          <w:bCs w:val="1"/>
          <w:color w:val="auto"/>
        </w:rPr>
        <w:t>For the fiscal year ended</w:t>
        <w:tab/>
        <w:t>February 1, 2026</w:t>
      </w:r>
    </w:p>
    <w:p>
      <w:pPr>
        <w:spacing w:after="0" w:line="3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52" w:lineRule="exact"/>
        <w:rPr>
          <w:sz w:val="24"/>
          <w:szCs w:val="24"/>
          <w:color w:val="auto"/>
        </w:rPr>
      </w:pPr>
    </w:p>
    <w:p>
      <w:pPr>
        <w:ind w:left="2240" w:right="1220" w:hanging="577"/>
        <w:spacing w:after="0" w:line="252" w:lineRule="auto"/>
        <w:tabs>
          <w:tab w:leader="none" w:pos="22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ind w:left="2240"/>
        <w:spacing w:after="0"/>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For the transition period from _________ to ___________</w:t>
      </w:r>
    </w:p>
    <w:p>
      <w:pPr>
        <w:spacing w:after="0" w:line="180" w:lineRule="exact"/>
        <w:rPr>
          <w:sz w:val="24"/>
          <w:szCs w:val="24"/>
          <w:color w:val="auto"/>
        </w:rPr>
      </w:pPr>
    </w:p>
    <w:tbl>
      <w:tblPr>
        <w:tblLayout w:type="fixed"/>
        <w:tblInd w:w="2240" w:type="dxa"/>
        <w:tblCellMar>
          <w:top w:w="0" w:type="dxa"/>
          <w:left w:w="0" w:type="dxa"/>
          <w:bottom w:w="0" w:type="dxa"/>
          <w:right w:w="0" w:type="dxa"/>
        </w:tblCellMar>
      </w:tblPr>
      <w:tr>
        <w:trPr>
          <w:trHeight w:val="184"/>
        </w:trPr>
        <w:tc>
          <w:tcPr>
            <w:tcW w:w="2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001-07572</w:t>
            </w:r>
          </w:p>
        </w:tc>
      </w:tr>
    </w:tbl>
    <w:p>
      <w:pPr>
        <w:spacing w:after="0" w:line="200" w:lineRule="exact"/>
        <w:rPr>
          <w:sz w:val="24"/>
          <w:szCs w:val="24"/>
          <w:color w:val="auto"/>
        </w:rPr>
      </w:pP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PVH CORP.</w:t>
      </w:r>
    </w:p>
    <w:p>
      <w:pPr>
        <w:spacing w:after="0" w:line="1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6" w:lineRule="exact"/>
        <w:rPr>
          <w:sz w:val="24"/>
          <w:szCs w:val="24"/>
          <w:color w:val="auto"/>
        </w:rPr>
      </w:pPr>
    </w:p>
    <w:tbl>
      <w:tblPr>
        <w:tblLayout w:type="fixed"/>
        <w:tblInd w:w="1680" w:type="dxa"/>
        <w:tblCellMar>
          <w:top w:w="0" w:type="dxa"/>
          <w:left w:w="0" w:type="dxa"/>
          <w:bottom w:w="0" w:type="dxa"/>
          <w:right w:w="0" w:type="dxa"/>
        </w:tblCellMar>
      </w:tblPr>
      <w:tr>
        <w:trPr>
          <w:trHeight w:val="208"/>
        </w:trPr>
        <w:tc>
          <w:tcPr>
            <w:tcW w:w="4520" w:type="dxa"/>
            <w:vAlign w:val="bottom"/>
            <w:gridSpan w:val="2"/>
          </w:tcPr>
          <w:p>
            <w:pPr>
              <w:jc w:val="center"/>
              <w:ind w:right="8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360" w:type="dxa"/>
            <w:vAlign w:val="bottom"/>
          </w:tcPr>
          <w:p>
            <w:pPr>
              <w:jc w:val="right"/>
              <w:ind w:right="1222"/>
              <w:spacing w:after="0"/>
              <w:rPr>
                <w:sz w:val="20"/>
                <w:szCs w:val="20"/>
                <w:color w:val="auto"/>
              </w:rPr>
            </w:pPr>
            <w:r>
              <w:rPr>
                <w:rFonts w:ascii="Times New Roman" w:cs="Times New Roman" w:eastAsia="Times New Roman" w:hAnsi="Times New Roman"/>
                <w:sz w:val="16"/>
                <w:szCs w:val="16"/>
                <w:b w:val="1"/>
                <w:bCs w:val="1"/>
                <w:color w:val="auto"/>
              </w:rPr>
              <w:t>13-1166910</w:t>
            </w:r>
          </w:p>
        </w:tc>
      </w:tr>
      <w:tr>
        <w:trPr>
          <w:trHeight w:val="152"/>
        </w:trPr>
        <w:tc>
          <w:tcPr>
            <w:tcW w:w="3640" w:type="dxa"/>
            <w:vAlign w:val="bottom"/>
            <w:tcBorders>
              <w:top w:val="single" w:sz="8" w:color="auto"/>
            </w:tcBorders>
          </w:tcPr>
          <w:p>
            <w:pPr>
              <w:jc w:val="center"/>
              <w:spacing w:after="0" w:line="152" w:lineRule="exact"/>
              <w:rPr>
                <w:sz w:val="20"/>
                <w:szCs w:val="20"/>
                <w:color w:val="auto"/>
              </w:rPr>
            </w:pPr>
            <w:r>
              <w:rPr>
                <w:rFonts w:ascii="Times New Roman" w:cs="Times New Roman" w:eastAsia="Times New Roman" w:hAnsi="Times New Roman"/>
                <w:sz w:val="16"/>
                <w:szCs w:val="16"/>
                <w:color w:val="auto"/>
                <w:w w:val="97"/>
              </w:rPr>
              <w:t>(State or other jurisdiction of incorporation or</w:t>
            </w:r>
          </w:p>
        </w:tc>
        <w:tc>
          <w:tcPr>
            <w:tcW w:w="880" w:type="dxa"/>
            <w:vAlign w:val="bottom"/>
          </w:tcPr>
          <w:p>
            <w:pPr>
              <w:spacing w:after="0"/>
              <w:rPr>
                <w:sz w:val="13"/>
                <w:szCs w:val="13"/>
                <w:color w:val="auto"/>
              </w:rPr>
            </w:pPr>
          </w:p>
        </w:tc>
        <w:tc>
          <w:tcPr>
            <w:tcW w:w="3360" w:type="dxa"/>
            <w:vAlign w:val="bottom"/>
            <w:tcBorders>
              <w:top w:val="single" w:sz="8" w:color="auto"/>
            </w:tcBorders>
          </w:tcPr>
          <w:p>
            <w:pPr>
              <w:jc w:val="center"/>
              <w:spacing w:after="0" w:line="152" w:lineRule="exact"/>
              <w:rPr>
                <w:sz w:val="20"/>
                <w:szCs w:val="20"/>
                <w:color w:val="auto"/>
              </w:rPr>
            </w:pPr>
            <w:r>
              <w:rPr>
                <w:rFonts w:ascii="Times New Roman" w:cs="Times New Roman" w:eastAsia="Times New Roman" w:hAnsi="Times New Roman"/>
                <w:sz w:val="16"/>
                <w:szCs w:val="16"/>
                <w:color w:val="auto"/>
                <w:w w:val="97"/>
              </w:rPr>
              <w:t>(I.R.S. Employer Identification No.)</w:t>
            </w:r>
          </w:p>
        </w:tc>
      </w:tr>
      <w:tr>
        <w:trPr>
          <w:trHeight w:val="203"/>
        </w:trPr>
        <w:tc>
          <w:tcPr>
            <w:tcW w:w="4520" w:type="dxa"/>
            <w:vAlign w:val="bottom"/>
            <w:gridSpan w:val="2"/>
          </w:tcPr>
          <w:p>
            <w:pPr>
              <w:jc w:val="center"/>
              <w:ind w:right="880"/>
              <w:spacing w:after="0"/>
              <w:rPr>
                <w:sz w:val="20"/>
                <w:szCs w:val="20"/>
                <w:color w:val="auto"/>
              </w:rPr>
            </w:pPr>
            <w:r>
              <w:rPr>
                <w:rFonts w:ascii="Times New Roman" w:cs="Times New Roman" w:eastAsia="Times New Roman" w:hAnsi="Times New Roman"/>
                <w:sz w:val="16"/>
                <w:szCs w:val="16"/>
                <w:color w:val="auto"/>
                <w:w w:val="98"/>
              </w:rPr>
              <w:t>organization)</w:t>
            </w:r>
          </w:p>
        </w:tc>
        <w:tc>
          <w:tcPr>
            <w:tcW w:w="3360" w:type="dxa"/>
            <w:vAlign w:val="bottom"/>
          </w:tcPr>
          <w:p>
            <w:pPr>
              <w:spacing w:after="0"/>
              <w:rPr>
                <w:sz w:val="17"/>
                <w:szCs w:val="17"/>
                <w:color w:val="auto"/>
              </w:rPr>
            </w:pPr>
          </w:p>
        </w:tc>
      </w:tr>
      <w:tr>
        <w:trPr>
          <w:trHeight w:val="210"/>
        </w:trPr>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285 Madison Avenue, New York, New York</w:t>
            </w:r>
          </w:p>
        </w:tc>
        <w:tc>
          <w:tcPr>
            <w:tcW w:w="3360" w:type="dxa"/>
            <w:vAlign w:val="bottom"/>
          </w:tcPr>
          <w:p>
            <w:pPr>
              <w:jc w:val="right"/>
              <w:ind w:right="1402"/>
              <w:spacing w:after="0"/>
              <w:rPr>
                <w:sz w:val="20"/>
                <w:szCs w:val="20"/>
                <w:color w:val="auto"/>
              </w:rPr>
            </w:pPr>
            <w:r>
              <w:rPr>
                <w:rFonts w:ascii="Times New Roman" w:cs="Times New Roman" w:eastAsia="Times New Roman" w:hAnsi="Times New Roman"/>
                <w:sz w:val="16"/>
                <w:szCs w:val="16"/>
                <w:b w:val="1"/>
                <w:bCs w:val="1"/>
                <w:color w:val="auto"/>
              </w:rPr>
              <w:t>10017</w:t>
            </w:r>
          </w:p>
        </w:tc>
      </w:tr>
      <w:tr>
        <w:trPr>
          <w:trHeight w:val="199"/>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880" w:type="dxa"/>
            <w:vAlign w:val="bottom"/>
          </w:tcPr>
          <w:p>
            <w:pPr>
              <w:spacing w:after="0"/>
              <w:rPr>
                <w:sz w:val="17"/>
                <w:szCs w:val="17"/>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2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(212) 381-3500</w:t>
      </w:r>
    </w:p>
    <w:p>
      <w:pPr>
        <w:ind w:left="12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_________________________________________________________________________________________________________________________________________________________________________</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3" w:lineRule="exact"/>
        <w:rPr>
          <w:sz w:val="24"/>
          <w:szCs w:val="24"/>
          <w:color w:val="auto"/>
        </w:rPr>
      </w:pPr>
    </w:p>
    <w:tbl>
      <w:tblPr>
        <w:tblLayout w:type="fixed"/>
        <w:tblInd w:w="1680" w:type="dxa"/>
        <w:tblCellMar>
          <w:top w:w="0" w:type="dxa"/>
          <w:left w:w="0" w:type="dxa"/>
          <w:bottom w:w="0" w:type="dxa"/>
          <w:right w:w="0" w:type="dxa"/>
        </w:tblCellMar>
      </w:tblPr>
      <w:tr>
        <w:trPr>
          <w:trHeight w:val="161"/>
        </w:trPr>
        <w:tc>
          <w:tcPr>
            <w:tcW w:w="27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w w:val="97"/>
              </w:rPr>
              <w:t>Title of Each Class</w:t>
            </w:r>
          </w:p>
        </w:tc>
        <w:tc>
          <w:tcPr>
            <w:tcW w:w="27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w w:val="98"/>
              </w:rPr>
              <w:t>Trading Symbol</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Name of Each Exchange</w:t>
            </w:r>
          </w:p>
        </w:tc>
        <w:tc>
          <w:tcPr>
            <w:tcW w:w="0" w:type="dxa"/>
            <w:vAlign w:val="bottom"/>
          </w:tcPr>
          <w:p>
            <w:pPr>
              <w:spacing w:after="0"/>
              <w:rPr>
                <w:sz w:val="1"/>
                <w:szCs w:val="1"/>
                <w:color w:val="auto"/>
              </w:rPr>
            </w:pPr>
          </w:p>
        </w:tc>
      </w:tr>
      <w:tr>
        <w:trPr>
          <w:trHeight w:val="187"/>
        </w:trPr>
        <w:tc>
          <w:tcPr>
            <w:tcW w:w="2760" w:type="dxa"/>
            <w:vAlign w:val="bottom"/>
            <w:gridSpan w:val="2"/>
            <w:vMerge w:val="continue"/>
          </w:tcPr>
          <w:p>
            <w:pPr>
              <w:spacing w:after="0"/>
              <w:rPr>
                <w:sz w:val="16"/>
                <w:szCs w:val="16"/>
                <w:color w:val="auto"/>
              </w:rPr>
            </w:pPr>
          </w:p>
        </w:tc>
        <w:tc>
          <w:tcPr>
            <w:tcW w:w="2780" w:type="dxa"/>
            <w:vAlign w:val="bottom"/>
            <w:gridSpan w:val="2"/>
            <w:vMerge w:val="continue"/>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on Which Registered</w:t>
            </w:r>
          </w:p>
        </w:tc>
        <w:tc>
          <w:tcPr>
            <w:tcW w:w="0" w:type="dxa"/>
            <w:vAlign w:val="bottom"/>
          </w:tcPr>
          <w:p>
            <w:pPr>
              <w:spacing w:after="0"/>
              <w:rPr>
                <w:sz w:val="1"/>
                <w:szCs w:val="1"/>
                <w:color w:val="auto"/>
              </w:rPr>
            </w:pPr>
          </w:p>
        </w:tc>
      </w:tr>
      <w:tr>
        <w:trPr>
          <w:trHeight w:val="182"/>
        </w:trPr>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Common Stock, $1.00 par value</w:t>
            </w:r>
          </w:p>
        </w:tc>
        <w:tc>
          <w:tcPr>
            <w:tcW w:w="420" w:type="dxa"/>
            <w:vAlign w:val="bottom"/>
          </w:tcPr>
          <w:p>
            <w:pPr>
              <w:spacing w:after="0"/>
              <w:rPr>
                <w:sz w:val="15"/>
                <w:szCs w:val="15"/>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PVH</w:t>
            </w:r>
          </w:p>
        </w:tc>
        <w:tc>
          <w:tcPr>
            <w:tcW w:w="420" w:type="dxa"/>
            <w:vAlign w:val="bottom"/>
          </w:tcPr>
          <w:p>
            <w:pPr>
              <w:spacing w:after="0"/>
              <w:rPr>
                <w:sz w:val="15"/>
                <w:szCs w:val="15"/>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c>
          <w:tcPr>
            <w:tcW w:w="0" w:type="dxa"/>
            <w:vAlign w:val="bottom"/>
          </w:tcPr>
          <w:p>
            <w:pPr>
              <w:spacing w:after="0"/>
              <w:rPr>
                <w:sz w:val="1"/>
                <w:szCs w:val="1"/>
                <w:color w:val="auto"/>
              </w:rPr>
            </w:pPr>
          </w:p>
        </w:tc>
      </w:tr>
      <w:tr>
        <w:trPr>
          <w:trHeight w:val="184"/>
        </w:trPr>
        <w:tc>
          <w:tcPr>
            <w:tcW w:w="27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4.125% Senior Notes due 2029</w:t>
            </w:r>
          </w:p>
        </w:tc>
        <w:tc>
          <w:tcPr>
            <w:tcW w:w="27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6"/>
              </w:rPr>
              <w:t>PVH29</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New York Stock Exchange</w:t>
            </w:r>
          </w:p>
        </w:tc>
        <w:tc>
          <w:tcPr>
            <w:tcW w:w="0" w:type="dxa"/>
            <w:vAlign w:val="bottom"/>
          </w:tcPr>
          <w:p>
            <w:pPr>
              <w:spacing w:after="0"/>
              <w:rPr>
                <w:sz w:val="1"/>
                <w:szCs w:val="1"/>
                <w:color w:val="auto"/>
              </w:rPr>
            </w:pPr>
          </w:p>
        </w:tc>
      </w:tr>
    </w:tbl>
    <w:p>
      <w:pPr>
        <w:spacing w:after="0" w:line="1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2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6"/>
          <w:szCs w:val="16"/>
          <w:color w:val="auto"/>
        </w:rPr>
        <w:t>______________________________</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(Title of Class)</w:t>
      </w:r>
    </w:p>
    <w:p>
      <w:pPr>
        <w:spacing w:after="0" w:line="43" w:lineRule="exact"/>
        <w:rPr>
          <w:sz w:val="24"/>
          <w:szCs w:val="24"/>
          <w:color w:val="auto"/>
        </w:rPr>
      </w:pPr>
    </w:p>
    <w:p>
      <w:pPr>
        <w:ind w:left="160" w:right="2620"/>
        <w:spacing w:after="0" w:line="350"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Wingdings" w:cs="Wingdings" w:eastAsia="Wingdings" w:hAnsi="Wingdings"/>
          <w:sz w:val="14"/>
          <w:szCs w:val="14"/>
          <w:b w:val="1"/>
          <w:bCs w:val="1"/>
          <w:color w:val="auto"/>
        </w:rPr>
        <w:t>x</w:t>
      </w:r>
    </w:p>
    <w:p>
      <w:pPr>
        <w:spacing w:after="0" w:line="1" w:lineRule="exact"/>
        <w:rPr>
          <w:sz w:val="24"/>
          <w:szCs w:val="24"/>
          <w:color w:val="auto"/>
        </w:rPr>
      </w:pPr>
    </w:p>
    <w:p>
      <w:pPr>
        <w:ind w:right="260" w:firstLine="156"/>
        <w:spacing w:after="0" w:line="320" w:lineRule="auto"/>
        <w:rPr>
          <w:sz w:val="20"/>
          <w:szCs w:val="20"/>
          <w:color w:val="auto"/>
        </w:rPr>
      </w:pPr>
      <w:r>
        <w:rPr>
          <w:rFonts w:ascii="Times New Roman" w:cs="Times New Roman" w:eastAsia="Times New Roman" w:hAnsi="Times New Roman"/>
          <w:sz w:val="14"/>
          <w:szCs w:val="14"/>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ind w:right="440" w:firstLine="156"/>
        <w:spacing w:after="0" w:line="26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28" w:lineRule="exact"/>
        <w:rPr>
          <w:sz w:val="24"/>
          <w:szCs w:val="24"/>
          <w:color w:val="auto"/>
        </w:rPr>
      </w:pPr>
    </w:p>
    <w:p>
      <w:pPr>
        <w:ind w:right="180" w:firstLine="156"/>
        <w:spacing w:after="0" w:line="33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655" w:right="379" w:bottom="1440" w:gutter="0" w:footer="0" w:header="0"/>
        </w:sectPr>
      </w:pPr>
    </w:p>
    <w:p>
      <w:pPr>
        <w:spacing w:after="0" w:line="20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22" w:lineRule="exact"/>
        <w:rPr>
          <w:sz w:val="24"/>
          <w:szCs w:val="24"/>
          <w:color w:val="auto"/>
        </w:rPr>
      </w:pPr>
    </w:p>
    <w:p>
      <w:pPr>
        <w:sectPr>
          <w:pgSz w:w="11900" w:h="16838" w:orient="portrait"/>
          <w:cols w:equalWidth="0" w:num="4">
            <w:col w:w="3240" w:space="120"/>
            <w:col w:w="3260" w:space="720"/>
            <w:col w:w="1140" w:space="720"/>
            <w:col w:w="2000"/>
          </w:cols>
          <w:pgMar w:left="320" w:top="655" w:right="379" w:bottom="1440" w:gutter="0" w:footer="0" w:header="0"/>
          <w:type w:val="continuous"/>
        </w:sectPr>
      </w:pPr>
    </w:p>
    <w:p>
      <w:pPr>
        <w:spacing w:after="0" w:line="31"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0" w:lineRule="exact"/>
        <w:rPr>
          <w:sz w:val="24"/>
          <w:szCs w:val="24"/>
          <w:color w:val="auto"/>
        </w:rPr>
      </w:pPr>
    </w:p>
    <w:p>
      <w:pPr>
        <w:sectPr>
          <w:pgSz w:w="11900" w:h="16838" w:orient="portrait"/>
          <w:cols w:equalWidth="0" w:num="5">
            <w:col w:w="3080" w:space="280"/>
            <w:col w:w="140" w:space="220"/>
            <w:col w:w="2900" w:space="720"/>
            <w:col w:w="1720" w:space="220"/>
            <w:col w:w="1920"/>
          </w:cols>
          <w:pgMar w:left="320" w:top="655" w:right="379" w:bottom="1440" w:gutter="0" w:footer="0" w:header="0"/>
          <w:type w:val="continuous"/>
        </w:sectPr>
      </w:pPr>
    </w:p>
    <w:p>
      <w:pPr>
        <w:spacing w:after="0" w:line="31" w:lineRule="exact"/>
        <w:rPr>
          <w:sz w:val="24"/>
          <w:szCs w:val="24"/>
          <w:color w:val="auto"/>
        </w:rPr>
      </w:pPr>
    </w:p>
    <w:p>
      <w:pPr>
        <w:ind w:left="73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0" w:lineRule="exact"/>
        <w:rPr>
          <w:sz w:val="24"/>
          <w:szCs w:val="24"/>
          <w:color w:val="auto"/>
        </w:rPr>
      </w:pPr>
    </w:p>
    <w:p>
      <w:pPr>
        <w:sectPr>
          <w:pgSz w:w="11900" w:h="16838" w:orient="portrait"/>
          <w:cols w:equalWidth="0" w:num="2">
            <w:col w:w="9060" w:space="220"/>
            <w:col w:w="1920"/>
          </w:cols>
          <w:pgMar w:left="320" w:top="655" w:right="379" w:bottom="1440" w:gutter="0" w:footer="0" w:header="0"/>
          <w:type w:val="continuous"/>
        </w:sectPr>
      </w:pPr>
    </w:p>
    <w:p>
      <w:pPr>
        <w:ind w:right="200" w:firstLine="156"/>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3" w:lineRule="exact"/>
        <w:rPr>
          <w:sz w:val="24"/>
          <w:szCs w:val="24"/>
          <w:color w:val="auto"/>
        </w:rPr>
      </w:pPr>
    </w:p>
    <w:p>
      <w:pPr>
        <w:ind w:right="420" w:firstLine="156"/>
        <w:spacing w:after="0" w:line="21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62"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0" w:lineRule="exact"/>
        <w:rPr>
          <w:sz w:val="24"/>
          <w:szCs w:val="24"/>
          <w:color w:val="auto"/>
        </w:rPr>
      </w:pPr>
    </w:p>
    <w:p>
      <w:pPr>
        <w:ind w:right="680"/>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655" w:right="379" w:bottom="1440" w:gutter="0" w:footer="0" w:header="0"/>
          <w:type w:val="continuous"/>
        </w:sectPr>
      </w:pPr>
    </w:p>
    <w:bookmarkStart w:id="1" w:name="page2"/>
    <w:bookmarkEnd w:id="1"/>
    <w:p>
      <w:pPr>
        <w:ind w:left="16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Wingdings" w:cs="Wingdings" w:eastAsia="Wingdings" w:hAnsi="Wingdings"/>
          <w:sz w:val="16"/>
          <w:szCs w:val="16"/>
          <w:b w:val="1"/>
          <w:bCs w:val="1"/>
          <w:color w:val="auto"/>
        </w:rPr>
        <w:t>x</w:t>
      </w:r>
    </w:p>
    <w:p>
      <w:pPr>
        <w:spacing w:after="0" w:line="136" w:lineRule="exact"/>
        <w:rPr>
          <w:sz w:val="20"/>
          <w:szCs w:val="20"/>
          <w:color w:val="auto"/>
        </w:rPr>
      </w:pPr>
    </w:p>
    <w:p>
      <w:pPr>
        <w:ind w:right="60" w:firstLine="153"/>
        <w:spacing w:after="0" w:line="258" w:lineRule="auto"/>
        <w:rPr>
          <w:sz w:val="20"/>
          <w:szCs w:val="20"/>
          <w:color w:val="auto"/>
        </w:rPr>
      </w:pPr>
      <w:r>
        <w:rPr>
          <w:rFonts w:ascii="Times New Roman" w:cs="Times New Roman" w:eastAsia="Times New Roman" w:hAnsi="Times New Roman"/>
          <w:sz w:val="16"/>
          <w:szCs w:val="16"/>
          <w:color w:val="auto"/>
        </w:rPr>
        <w:t>The aggregate market value of the registrant’s voting and non-voting common equity held by non-affiliates of the registrant (assuming, for purposes of this calculation only, that the registrant’s directors and corporate officers are affiliates of the registrant) based upon the closing sale price of the registrant’s common stock on August 3, 2025 (the last business day of the registrant’s most recently completed second quarter) was $3,410,569,350.</w:t>
      </w:r>
    </w:p>
    <w:p>
      <w:pPr>
        <w:spacing w:after="0" w:line="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Number of shares of Common Stock outstanding as of March 11, 2026: 45,811,528</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5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40" w:type="dxa"/>
            <w:vAlign w:val="bottom"/>
            <w:vMerge w:val="restart"/>
          </w:tcPr>
          <w:p>
            <w:pPr>
              <w:jc w:val="center"/>
              <w:ind w:left="451"/>
              <w:spacing w:after="0"/>
              <w:rPr>
                <w:sz w:val="20"/>
                <w:szCs w:val="20"/>
                <w:color w:val="auto"/>
              </w:rPr>
            </w:pPr>
            <w:r>
              <w:rPr>
                <w:rFonts w:ascii="Times New Roman" w:cs="Times New Roman" w:eastAsia="Times New Roman" w:hAnsi="Times New Roman"/>
                <w:sz w:val="14"/>
                <w:szCs w:val="14"/>
                <w:b w:val="1"/>
                <w:bCs w:val="1"/>
                <w:color w:val="auto"/>
                <w:w w:val="97"/>
              </w:rPr>
              <w:t>Document</w:t>
            </w:r>
          </w:p>
        </w:tc>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9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Location in Form 10-K</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9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in which incorporated</w:t>
            </w:r>
          </w:p>
        </w:tc>
        <w:tc>
          <w:tcPr>
            <w:tcW w:w="0" w:type="dxa"/>
            <w:vAlign w:val="bottom"/>
          </w:tcPr>
          <w:p>
            <w:pPr>
              <w:spacing w:after="0"/>
              <w:rPr>
                <w:sz w:val="1"/>
                <w:szCs w:val="1"/>
                <w:color w:val="auto"/>
              </w:rPr>
            </w:pPr>
          </w:p>
        </w:tc>
      </w:tr>
      <w:tr>
        <w:trPr>
          <w:trHeight w:val="130"/>
        </w:trPr>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40" w:type="dxa"/>
            <w:vAlign w:val="bottom"/>
            <w:tcBorders>
              <w:top w:val="single" w:sz="8" w:color="auto"/>
            </w:tcBorders>
          </w:tcPr>
          <w:p>
            <w:pPr>
              <w:jc w:val="center"/>
              <w:ind w:left="431"/>
              <w:spacing w:after="0" w:line="130" w:lineRule="exact"/>
              <w:rPr>
                <w:sz w:val="20"/>
                <w:szCs w:val="20"/>
                <w:color w:val="auto"/>
              </w:rPr>
            </w:pPr>
            <w:r>
              <w:rPr>
                <w:rFonts w:ascii="Times New Roman" w:cs="Times New Roman" w:eastAsia="Times New Roman" w:hAnsi="Times New Roman"/>
                <w:sz w:val="14"/>
                <w:szCs w:val="14"/>
                <w:b w:val="1"/>
                <w:bCs w:val="1"/>
                <w:color w:val="auto"/>
                <w:w w:val="98"/>
              </w:rPr>
              <w:t>Registrant’s Proxy Statement</w:t>
            </w:r>
          </w:p>
        </w:tc>
        <w:tc>
          <w:tcPr>
            <w:tcW w:w="540" w:type="dxa"/>
            <w:vAlign w:val="bottom"/>
            <w:tcBorders>
              <w:top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5520" w:type="dxa"/>
            <w:vAlign w:val="bottom"/>
            <w:tcBorders>
              <w:top w:val="single" w:sz="8" w:color="auto"/>
            </w:tcBorders>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auto"/>
                <w:w w:val="99"/>
              </w:rPr>
              <w:t>Part III</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40" w:type="dxa"/>
            <w:vAlign w:val="bottom"/>
          </w:tcPr>
          <w:p>
            <w:pPr>
              <w:jc w:val="center"/>
              <w:ind w:left="471"/>
              <w:spacing w:after="0" w:line="142" w:lineRule="exact"/>
              <w:rPr>
                <w:sz w:val="20"/>
                <w:szCs w:val="20"/>
                <w:color w:val="auto"/>
              </w:rPr>
            </w:pPr>
            <w:r>
              <w:rPr>
                <w:rFonts w:ascii="Times New Roman" w:cs="Times New Roman" w:eastAsia="Times New Roman" w:hAnsi="Times New Roman"/>
                <w:sz w:val="14"/>
                <w:szCs w:val="14"/>
                <w:b w:val="1"/>
                <w:bCs w:val="1"/>
                <w:color w:val="auto"/>
                <w:w w:val="98"/>
              </w:rPr>
              <w:t>for the Annual Meeting of</w:t>
            </w: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40" w:type="dxa"/>
            <w:vAlign w:val="bottom"/>
          </w:tcPr>
          <w:p>
            <w:pPr>
              <w:jc w:val="center"/>
              <w:ind w:left="491"/>
              <w:spacing w:after="0"/>
              <w:rPr>
                <w:sz w:val="20"/>
                <w:szCs w:val="20"/>
                <w:color w:val="auto"/>
              </w:rPr>
            </w:pPr>
            <w:r>
              <w:rPr>
                <w:rFonts w:ascii="Times New Roman" w:cs="Times New Roman" w:eastAsia="Times New Roman" w:hAnsi="Times New Roman"/>
                <w:sz w:val="14"/>
                <w:szCs w:val="14"/>
                <w:b w:val="1"/>
                <w:bCs w:val="1"/>
                <w:color w:val="auto"/>
                <w:w w:val="98"/>
              </w:rPr>
              <w:t>Stockholders to be held on June 18, 2026</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5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32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5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 w:name="page3"/>
    <w:bookmarkEnd w:id="2"/>
    <w:p>
      <w:pPr>
        <w:spacing w:after="0" w:line="23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205740</wp:posOffset>
            </wp:positionH>
            <wp:positionV relativeFrom="page">
              <wp:posOffset>601345</wp:posOffset>
            </wp:positionV>
            <wp:extent cx="713740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7400" cy="16510"/>
                    </a:xfrm>
                    <a:prstGeom prst="rect">
                      <a:avLst/>
                    </a:prstGeom>
                    <a:noFill/>
                  </pic:spPr>
                </pic:pic>
              </a:graphicData>
            </a:graphic>
          </wp:anchor>
        </w:drawing>
        <w:t xml:space="preserve">SAFE HARBOR STATEMENT UNDER THE PRIVATE SECURITIES LITIGATION REFORM ACT OF 1995: Forward-looking statements in this Annual Report on Form 10-K including, without limitation, statements relating to our future revenue, earnings and cash flows, plans, strategies, objectives, expectations and intentions are made pursuant to the safe harbor provisions of the Private Securities Litigation Reform Act of 1995. Investors are cautioned that such forward-looking statements are inherently subject to risks and uncertainties, many of which cannot be predicted with accuracy, and some of which might not be anticipated, including, without limitation, (i) our plans, strategies, objectives, expectations and intentions are subject to change at any time at our discretion; (ii) our ability to realize anticipated benefits and savings from divestitures, restructurings and similar plans, such as the actions taken in recent years to focus on our Calvin Klein and Tommy Hilfiger businesses and our current multiyear initiative to simplify our operating model and achieve cost savings; (iii) the ability to realize the intended benefits from increasing our direct management and oversight of our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brands (such as the in-process plan to directly operate a significant portion of the businesses for the product categories that are or had been licensed to G-III Apparel Group, Ltd., with the remainder to be re-licensed to other third parties, upon the expirations of the underlying license agreements) and avoid any disruptions in the businesses; (iv) we have significant levels of outstanding debt, as well as significant additional borrowing capacity, and we use a significant portion of our cash flows to service our indebtedness, as a result of which we might not have sufficient funds to operate our businesses in the manner we intend or have operated in the past; (v) the levels of sales of our apparel, footwear and related products, both to our wholesale customers and in our direct-to-consumer retail store and digital commerce operations, the levels of sales of our licensees at wholesale and retail, and the extent of discounts and promotional pricing in which we and our licensees and other business partners are required to engage, all of which can be affected by weather conditions, changes in the economy (including inflationary pressures like those currently being experienced globally), fuel prices, reductions in travel, fashion trends, consolidations, repositionings and bankruptcies in the retail industries, consumer sentiment and other factors; (vi) our ability to manage our growth and inventory; (vii) restrictions, including quotas and the imposition of new or increased duties or tariffs on goods from the countries where we or our licensees produce goods under our trademarks, including the effects of the U.S. Supreme Court’s recent ruling that many of the tariffs imposed by the U.S. federal government were unconstitutional which created uncertainty regarding potential tariff refunds and resulted in the U.S. President issuing an executive order imposing tariffs pursuant to Section 122 of the Trade Act of 1974, any of which, among other things, could limit the ability to produce products in cost-effective countries, or in countries that have the labor and technical expertise needed, or require us to absorb costs or try to pass costs onto consumers, which could materially impact our revenue and profitability; (viii) the availability and cost of raw materials; (ix) our ability to adjust timely to changes in trade regulations and the migration and development of manufacturers (which can affect where our products can best be produced); (x) the regulation or prohibition of the transaction of business with specific individuals or entities and their affiliates or goods manufactured in (or containing raw materials or components from) certain regions, such as the listing of a person or entity as a Specially Designated National or Blocked Person by the U.S. Department of the Treasury’s Office of Foreign Assets Control and the issuance of Withhold Release Orders by the U.S. Customs and Border Protection; (xi) changes in available factory and shipping capacity, wage and shipping cost escalation, and store closures in any of the countries where our or our licensees’ or wholesale customers’ or other business partners’ stores are located or products are sold or produced or are planned to be sold or produced, as a result of civil conflict, war or terrorist acts, the threat of any of the foregoing, or political or labor instability, such as the current war in Ukraine that led to our exit from our retail business in Russia and the cessation of our wholesale operations in Russia and Belarus, and the temporary cessation of business by many of our business partners in Ukraine, and the current conflict in the Middle East that has resulted in the closure of some of our licensees’, wholesale customers’ and other business partners’ stores, as well as increased fuel and oil costs and has impacted inventory availability; (xii) disease epidemics and health-related concerns, such as the recent COVID-19 pandemic, which could result in (and, in the case of the COVID-19 pandemic, did result in some of the following) supply-chain disruptions due to closed factories, reduced workforces and production capacity, shipping delays, container and trucker shortages, port congestion and other logistics problems, closed stores, and reduced consumer traffic and purchasing, or governments implement mandatory business closures, travel restrictions or the like, and market or other changes that could result in shortages of inventory available to be delivered to our stores and customers, order cancellations and lost sales, as well as in noncash impairments of our goodwill and other intangible assets, operating lease right-of-use assets, and property, plant and equipment; (xiii) actions taken towards sustainability and social and environmental responsibility as part of our sustainability and social and environmental strategy may not be achieved or may be perceived to be falsely claimed, which could diminish consumer trust in our brands and our brands’ values, as well as the potential for adverse consumer response to any sustainability, social or environmental actions taken by us; (xiv) the failure of our licensees to market successfully licensed products or to preserve the value of our brands, or their misuse of our brands; (xv) significant fluctuations of the U.S. dollar against foreign currencies in which we transact significant levels of business; (xvi) our retirement plan expenses recorded throughout the year are calculated using actuarial valuations that incorporate assumptions and estimates about financial market, economic and demographic conditions, and differences between estimated and actual results give rise to gains and losses, which can be significant, that are recorded immediately in earnings, generally in the fourth quarter of the year; (xvii) the impact of new and revised tax legislation and regulations; (xviii) the impacts of the decision by China’s Ministry of Commerce to place us on the List of Unreliable Entities, including the impact of any fines imposed, or restrictions or prohibitions on us that have the effect of limiting or prohibiting our ability to do business in China; and (xix) other risks and uncertainties indicated from time to time in our filings with the Securities and Exchange Commission.</w:t>
      </w:r>
    </w:p>
    <w:p>
      <w:pPr>
        <w:spacing w:after="0" w:line="17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We do not undertake any obligation to update publicly any forward-looking statement, including, without limitation, any estimate regarding revenue, earnings or cash flows, whether as a result of the receipt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716280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713740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22"/>
        </w:trPr>
        <w:tc>
          <w:tcPr>
            <w:tcW w:w="144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auto"/>
              </w:rPr>
              <w:t>PVH Corp.</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0"/>
        </w:trPr>
        <w:tc>
          <w:tcPr>
            <w:tcW w:w="144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rPr>
              <w:t>Form 10-K</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6"/>
        </w:trPr>
        <w:tc>
          <w:tcPr>
            <w:tcW w:w="144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For the Year Ended February 1, 2026</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29"/>
        </w:trPr>
        <w:tc>
          <w:tcPr>
            <w:tcW w:w="1440" w:type="dxa"/>
            <w:vAlign w:val="bottom"/>
          </w:tcPr>
          <w:p>
            <w:pPr>
              <w:spacing w:after="0"/>
              <w:rPr>
                <w:sz w:val="24"/>
                <w:szCs w:val="24"/>
                <w:color w:val="auto"/>
              </w:rPr>
            </w:pPr>
          </w:p>
        </w:tc>
        <w:tc>
          <w:tcPr>
            <w:tcW w:w="8380" w:type="dxa"/>
            <w:vAlign w:val="bottom"/>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Table of Contents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6"/>
        </w:trPr>
        <w:tc>
          <w:tcPr>
            <w:tcW w:w="1440" w:type="dxa"/>
            <w:vAlign w:val="bottom"/>
          </w:tcPr>
          <w:p>
            <w:pPr>
              <w:spacing w:after="0"/>
              <w:rPr>
                <w:sz w:val="24"/>
                <w:szCs w:val="24"/>
                <w:color w:val="auto"/>
              </w:rPr>
            </w:pPr>
          </w:p>
        </w:tc>
        <w:tc>
          <w:tcPr>
            <w:tcW w:w="8380" w:type="dxa"/>
            <w:vAlign w:val="bottom"/>
          </w:tcPr>
          <w:p>
            <w:pPr>
              <w:jc w:val="center"/>
              <w:ind w:left="211"/>
              <w:spacing w:after="0"/>
              <w:rPr>
                <w:sz w:val="20"/>
                <w:szCs w:val="20"/>
                <w:color w:val="auto"/>
              </w:rPr>
            </w:pPr>
            <w:r>
              <w:rPr>
                <w:rFonts w:ascii="Times New Roman" w:cs="Times New Roman" w:eastAsia="Times New Roman" w:hAnsi="Times New Roman"/>
                <w:sz w:val="17"/>
                <w:szCs w:val="17"/>
                <w:b w:val="1"/>
                <w:bCs w:val="1"/>
                <w:color w:val="auto"/>
                <w:w w:val="97"/>
              </w:rPr>
              <w:t>PART I</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2"/>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1.</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Business</w:t>
            </w:r>
          </w:p>
        </w:tc>
        <w:tc>
          <w:tcPr>
            <w:tcW w:w="420" w:type="dxa"/>
            <w:vAlign w:val="bottom"/>
            <w:gridSpan w:val="3"/>
          </w:tcPr>
          <w:p>
            <w:pPr>
              <w:spacing w:after="0"/>
              <w:rPr>
                <w:sz w:val="24"/>
                <w:szCs w:val="24"/>
                <w:color w:val="auto"/>
              </w:rPr>
            </w:pPr>
          </w:p>
        </w:tc>
        <w:tc>
          <w:tcPr>
            <w:tcW w:w="10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1A.</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Risk Factors</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14</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1B.</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Unresolved Staff Comments</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28</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1C.</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Cybersecurity</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28</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2.</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Properties</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31</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3.</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Legal Proceedings</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31</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4.</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Mine Safety Disclosures</w:t>
            </w:r>
          </w:p>
        </w:tc>
        <w:tc>
          <w:tcPr>
            <w:tcW w:w="560" w:type="dxa"/>
            <w:vAlign w:val="bottom"/>
            <w:gridSpan w:val="6"/>
          </w:tcPr>
          <w:p>
            <w:pPr>
              <w:jc w:val="center"/>
              <w:ind w:left="293"/>
              <w:spacing w:after="0"/>
              <w:rPr>
                <w:sz w:val="20"/>
                <w:szCs w:val="20"/>
                <w:color w:val="auto"/>
              </w:rPr>
            </w:pPr>
            <w:r>
              <w:rPr>
                <w:rFonts w:ascii="Times New Roman" w:cs="Times New Roman" w:eastAsia="Times New Roman" w:hAnsi="Times New Roman"/>
                <w:sz w:val="17"/>
                <w:szCs w:val="17"/>
                <w:color w:val="0000FF"/>
              </w:rPr>
              <w:t>32</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82"/>
        </w:trPr>
        <w:tc>
          <w:tcPr>
            <w:tcW w:w="1440" w:type="dxa"/>
            <w:vAlign w:val="bottom"/>
          </w:tcPr>
          <w:p>
            <w:pPr>
              <w:spacing w:after="0"/>
              <w:rPr>
                <w:sz w:val="24"/>
                <w:szCs w:val="24"/>
                <w:color w:val="auto"/>
              </w:rPr>
            </w:pPr>
          </w:p>
        </w:tc>
        <w:tc>
          <w:tcPr>
            <w:tcW w:w="8380" w:type="dxa"/>
            <w:vAlign w:val="bottom"/>
          </w:tcPr>
          <w:p>
            <w:pPr>
              <w:jc w:val="center"/>
              <w:ind w:left="191"/>
              <w:spacing w:after="0"/>
              <w:rPr>
                <w:sz w:val="20"/>
                <w:szCs w:val="20"/>
                <w:color w:val="auto"/>
              </w:rPr>
            </w:pPr>
            <w:r>
              <w:rPr>
                <w:rFonts w:ascii="Times New Roman" w:cs="Times New Roman" w:eastAsia="Times New Roman" w:hAnsi="Times New Roman"/>
                <w:sz w:val="17"/>
                <w:szCs w:val="17"/>
                <w:b w:val="1"/>
                <w:bCs w:val="1"/>
                <w:color w:val="auto"/>
                <w:w w:val="97"/>
              </w:rPr>
              <w:t>PART II</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8"/>
        </w:trPr>
        <w:tc>
          <w:tcPr>
            <w:tcW w:w="1440" w:type="dxa"/>
            <w:vAlign w:val="bottom"/>
          </w:tcPr>
          <w:p>
            <w:pPr>
              <w:ind w:left="580"/>
              <w:spacing w:after="0" w:line="188" w:lineRule="exact"/>
              <w:rPr>
                <w:sz w:val="20"/>
                <w:szCs w:val="20"/>
                <w:color w:val="auto"/>
              </w:rPr>
            </w:pPr>
            <w:r>
              <w:rPr>
                <w:rFonts w:ascii="Times New Roman" w:cs="Times New Roman" w:eastAsia="Times New Roman" w:hAnsi="Times New Roman"/>
                <w:sz w:val="17"/>
                <w:szCs w:val="17"/>
                <w:color w:val="auto"/>
              </w:rPr>
              <w:t>Item 5.</w:t>
            </w:r>
          </w:p>
        </w:tc>
        <w:tc>
          <w:tcPr>
            <w:tcW w:w="8380" w:type="dxa"/>
            <w:vAlign w:val="bottom"/>
          </w:tcPr>
          <w:p>
            <w:pPr>
              <w:ind w:left="240"/>
              <w:spacing w:after="0" w:line="188" w:lineRule="exact"/>
              <w:rPr>
                <w:sz w:val="20"/>
                <w:szCs w:val="20"/>
                <w:color w:val="auto"/>
              </w:rPr>
            </w:pPr>
            <w:r>
              <w:rPr>
                <w:rFonts w:ascii="Times New Roman" w:cs="Times New Roman" w:eastAsia="Times New Roman" w:hAnsi="Times New Roman"/>
                <w:sz w:val="17"/>
                <w:szCs w:val="17"/>
                <w:color w:val="auto"/>
              </w:rPr>
              <w:t>Market for Registrant’s Common Equity, Related Stockholder Matters and Issuer Purchases of Equity Securities</w:t>
            </w:r>
          </w:p>
        </w:tc>
        <w:tc>
          <w:tcPr>
            <w:tcW w:w="38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center"/>
              <w:spacing w:after="0" w:line="188" w:lineRule="exact"/>
              <w:rPr>
                <w:sz w:val="20"/>
                <w:szCs w:val="20"/>
                <w:color w:val="auto"/>
              </w:rPr>
            </w:pPr>
            <w:r>
              <w:rPr>
                <w:rFonts w:ascii="Times New Roman" w:cs="Times New Roman" w:eastAsia="Times New Roman" w:hAnsi="Times New Roman"/>
                <w:sz w:val="17"/>
                <w:szCs w:val="17"/>
                <w:color w:val="0000FF"/>
              </w:rPr>
              <w:t>33</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6.</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[Reserved]</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34</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7.</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35</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7A.</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8.</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Financial Statements and Supplementary Data</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9.</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Changes in and Disagreements with Accountants on Accounting and Financial Disclosure</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9A.</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Controls and Procedures</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9B.</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Information</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61</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9C.</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Disclosure Regarding Foreign Jurisdictions that Prevent Inspections</w:t>
            </w:r>
          </w:p>
        </w:tc>
        <w:tc>
          <w:tcPr>
            <w:tcW w:w="560" w:type="dxa"/>
            <w:vAlign w:val="bottom"/>
            <w:gridSpan w:val="6"/>
          </w:tcPr>
          <w:p>
            <w:pPr>
              <w:jc w:val="center"/>
              <w:ind w:left="293"/>
              <w:spacing w:after="0"/>
              <w:rPr>
                <w:sz w:val="20"/>
                <w:szCs w:val="20"/>
                <w:color w:val="auto"/>
              </w:rPr>
            </w:pPr>
            <w:r>
              <w:rPr>
                <w:rFonts w:ascii="Times New Roman" w:cs="Times New Roman" w:eastAsia="Times New Roman" w:hAnsi="Times New Roman"/>
                <w:sz w:val="17"/>
                <w:szCs w:val="17"/>
                <w:color w:val="0000FF"/>
              </w:rPr>
              <w:t>61</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82"/>
        </w:trPr>
        <w:tc>
          <w:tcPr>
            <w:tcW w:w="1440" w:type="dxa"/>
            <w:vAlign w:val="bottom"/>
          </w:tcPr>
          <w:p>
            <w:pPr>
              <w:spacing w:after="0"/>
              <w:rPr>
                <w:sz w:val="24"/>
                <w:szCs w:val="24"/>
                <w:color w:val="auto"/>
              </w:rPr>
            </w:pPr>
          </w:p>
        </w:tc>
        <w:tc>
          <w:tcPr>
            <w:tcW w:w="8380" w:type="dxa"/>
            <w:vAlign w:val="bottom"/>
          </w:tcPr>
          <w:p>
            <w:pPr>
              <w:jc w:val="center"/>
              <w:ind w:left="191"/>
              <w:spacing w:after="0"/>
              <w:rPr>
                <w:sz w:val="20"/>
                <w:szCs w:val="20"/>
                <w:color w:val="auto"/>
              </w:rPr>
            </w:pPr>
            <w:r>
              <w:rPr>
                <w:rFonts w:ascii="Times New Roman" w:cs="Times New Roman" w:eastAsia="Times New Roman" w:hAnsi="Times New Roman"/>
                <w:sz w:val="17"/>
                <w:szCs w:val="17"/>
                <w:b w:val="1"/>
                <w:bCs w:val="1"/>
                <w:color w:val="auto"/>
                <w:w w:val="99"/>
              </w:rPr>
              <w:t>PART III</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8"/>
        </w:trPr>
        <w:tc>
          <w:tcPr>
            <w:tcW w:w="1440" w:type="dxa"/>
            <w:vAlign w:val="bottom"/>
          </w:tcPr>
          <w:p>
            <w:pPr>
              <w:ind w:left="580"/>
              <w:spacing w:after="0" w:line="188" w:lineRule="exact"/>
              <w:rPr>
                <w:sz w:val="20"/>
                <w:szCs w:val="20"/>
                <w:color w:val="auto"/>
              </w:rPr>
            </w:pPr>
            <w:r>
              <w:rPr>
                <w:rFonts w:ascii="Times New Roman" w:cs="Times New Roman" w:eastAsia="Times New Roman" w:hAnsi="Times New Roman"/>
                <w:sz w:val="17"/>
                <w:szCs w:val="17"/>
                <w:color w:val="auto"/>
              </w:rPr>
              <w:t>Item 10.</w:t>
            </w:r>
          </w:p>
        </w:tc>
        <w:tc>
          <w:tcPr>
            <w:tcW w:w="8380" w:type="dxa"/>
            <w:vAlign w:val="bottom"/>
          </w:tcPr>
          <w:p>
            <w:pPr>
              <w:ind w:left="240"/>
              <w:spacing w:after="0" w:line="188" w:lineRule="exact"/>
              <w:rPr>
                <w:sz w:val="20"/>
                <w:szCs w:val="20"/>
                <w:color w:val="auto"/>
              </w:rPr>
            </w:pPr>
            <w:r>
              <w:rPr>
                <w:rFonts w:ascii="Times New Roman" w:cs="Times New Roman" w:eastAsia="Times New Roman" w:hAnsi="Times New Roman"/>
                <w:sz w:val="17"/>
                <w:szCs w:val="17"/>
                <w:color w:val="auto"/>
              </w:rPr>
              <w:t>Directors, Executive Officers and Corporate Governance</w:t>
            </w:r>
          </w:p>
        </w:tc>
        <w:tc>
          <w:tcPr>
            <w:tcW w:w="38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center"/>
              <w:spacing w:after="0" w:line="188" w:lineRule="exact"/>
              <w:rPr>
                <w:sz w:val="20"/>
                <w:szCs w:val="20"/>
                <w:color w:val="auto"/>
              </w:rPr>
            </w:pPr>
            <w:r>
              <w:rPr>
                <w:rFonts w:ascii="Times New Roman" w:cs="Times New Roman" w:eastAsia="Times New Roman" w:hAnsi="Times New Roman"/>
                <w:sz w:val="17"/>
                <w:szCs w:val="17"/>
                <w:color w:val="0000FF"/>
              </w:rPr>
              <w:t>62</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11.</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Executive Compensation</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62</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12.</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Security Ownership of Certain Beneficial Owners and Management and Related Stockholder Matters</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62</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13.</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Certain Relationships and Related Transactions, and Director Independence</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62</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14.</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Principal Accounting Fees and Services</w:t>
            </w:r>
          </w:p>
        </w:tc>
        <w:tc>
          <w:tcPr>
            <w:tcW w:w="560" w:type="dxa"/>
            <w:vAlign w:val="bottom"/>
            <w:gridSpan w:val="6"/>
          </w:tcPr>
          <w:p>
            <w:pPr>
              <w:jc w:val="center"/>
              <w:ind w:left="293"/>
              <w:spacing w:after="0"/>
              <w:rPr>
                <w:sz w:val="20"/>
                <w:szCs w:val="20"/>
                <w:color w:val="auto"/>
              </w:rPr>
            </w:pPr>
            <w:r>
              <w:rPr>
                <w:rFonts w:ascii="Times New Roman" w:cs="Times New Roman" w:eastAsia="Times New Roman" w:hAnsi="Times New Roman"/>
                <w:sz w:val="17"/>
                <w:szCs w:val="17"/>
                <w:color w:val="0000FF"/>
              </w:rPr>
              <w:t>62</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82"/>
        </w:trPr>
        <w:tc>
          <w:tcPr>
            <w:tcW w:w="1440" w:type="dxa"/>
            <w:vAlign w:val="bottom"/>
          </w:tcPr>
          <w:p>
            <w:pPr>
              <w:spacing w:after="0"/>
              <w:rPr>
                <w:sz w:val="24"/>
                <w:szCs w:val="24"/>
                <w:color w:val="auto"/>
              </w:rPr>
            </w:pPr>
          </w:p>
        </w:tc>
        <w:tc>
          <w:tcPr>
            <w:tcW w:w="8380" w:type="dxa"/>
            <w:vAlign w:val="bottom"/>
          </w:tcPr>
          <w:p>
            <w:pPr>
              <w:jc w:val="center"/>
              <w:ind w:left="191"/>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8"/>
        </w:trPr>
        <w:tc>
          <w:tcPr>
            <w:tcW w:w="1440" w:type="dxa"/>
            <w:vAlign w:val="bottom"/>
          </w:tcPr>
          <w:p>
            <w:pPr>
              <w:ind w:left="580"/>
              <w:spacing w:after="0" w:line="188" w:lineRule="exact"/>
              <w:rPr>
                <w:sz w:val="20"/>
                <w:szCs w:val="20"/>
                <w:color w:val="auto"/>
              </w:rPr>
            </w:pPr>
            <w:r>
              <w:rPr>
                <w:rFonts w:ascii="Times New Roman" w:cs="Times New Roman" w:eastAsia="Times New Roman" w:hAnsi="Times New Roman"/>
                <w:sz w:val="17"/>
                <w:szCs w:val="17"/>
                <w:color w:val="auto"/>
              </w:rPr>
              <w:t>Item 15.</w:t>
            </w:r>
          </w:p>
        </w:tc>
        <w:tc>
          <w:tcPr>
            <w:tcW w:w="8380" w:type="dxa"/>
            <w:vAlign w:val="bottom"/>
          </w:tcPr>
          <w:p>
            <w:pPr>
              <w:ind w:left="240"/>
              <w:spacing w:after="0" w:line="188" w:lineRule="exact"/>
              <w:rPr>
                <w:sz w:val="20"/>
                <w:szCs w:val="20"/>
                <w:color w:val="auto"/>
              </w:rPr>
            </w:pPr>
            <w:r>
              <w:rPr>
                <w:rFonts w:ascii="Times New Roman" w:cs="Times New Roman" w:eastAsia="Times New Roman" w:hAnsi="Times New Roman"/>
                <w:sz w:val="17"/>
                <w:szCs w:val="17"/>
                <w:color w:val="auto"/>
              </w:rPr>
              <w:t>Exhibits, Financial Statement Schedules</w:t>
            </w:r>
          </w:p>
        </w:tc>
        <w:tc>
          <w:tcPr>
            <w:tcW w:w="380" w:type="dxa"/>
            <w:vAlign w:val="bottom"/>
            <w:gridSpan w:val="2"/>
          </w:tcPr>
          <w:p>
            <w:pPr>
              <w:spacing w:after="0"/>
              <w:rPr>
                <w:sz w:val="16"/>
                <w:szCs w:val="16"/>
                <w:color w:val="auto"/>
              </w:rPr>
            </w:pPr>
          </w:p>
        </w:tc>
        <w:tc>
          <w:tcPr>
            <w:tcW w:w="180" w:type="dxa"/>
            <w:vAlign w:val="bottom"/>
            <w:tcBorders>
              <w:bottom w:val="single" w:sz="8" w:color="0000FF"/>
            </w:tcBorders>
            <w:gridSpan w:val="4"/>
          </w:tcPr>
          <w:p>
            <w:pPr>
              <w:jc w:val="center"/>
              <w:spacing w:after="0" w:line="188" w:lineRule="exact"/>
              <w:rPr>
                <w:sz w:val="20"/>
                <w:szCs w:val="20"/>
                <w:color w:val="auto"/>
              </w:rPr>
            </w:pPr>
            <w:r>
              <w:rPr>
                <w:rFonts w:ascii="Times New Roman" w:cs="Times New Roman" w:eastAsia="Times New Roman" w:hAnsi="Times New Roman"/>
                <w:sz w:val="17"/>
                <w:szCs w:val="17"/>
                <w:color w:val="0000FF"/>
              </w:rPr>
              <w:t>63</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1"/>
        </w:trPr>
        <w:tc>
          <w:tcPr>
            <w:tcW w:w="14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Item 16.</w:t>
            </w: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Form 10-K Summary</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67</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spacing w:after="0"/>
              <w:rPr>
                <w:sz w:val="17"/>
                <w:szCs w:val="17"/>
                <w:color w:val="auto"/>
              </w:rPr>
            </w:pP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Signatures</w:t>
            </w:r>
          </w:p>
        </w:tc>
        <w:tc>
          <w:tcPr>
            <w:tcW w:w="380" w:type="dxa"/>
            <w:vAlign w:val="bottom"/>
            <w:gridSpan w:val="2"/>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68</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440" w:type="dxa"/>
            <w:vAlign w:val="bottom"/>
          </w:tcPr>
          <w:p>
            <w:pPr>
              <w:spacing w:after="0"/>
              <w:rPr>
                <w:sz w:val="17"/>
                <w:szCs w:val="17"/>
                <w:color w:val="auto"/>
              </w:rPr>
            </w:pPr>
          </w:p>
        </w:tc>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Index to Financial Statements and Financial Statement Schedule</w:t>
            </w:r>
          </w:p>
        </w:tc>
        <w:tc>
          <w:tcPr>
            <w:tcW w:w="1420" w:type="dxa"/>
            <w:vAlign w:val="bottom"/>
            <w:gridSpan w:val="8"/>
          </w:tcPr>
          <w:p>
            <w:pPr>
              <w:ind w:left="340"/>
              <w:spacing w:after="0"/>
              <w:rPr>
                <w:sz w:val="20"/>
                <w:szCs w:val="20"/>
                <w:color w:val="auto"/>
              </w:rPr>
            </w:pPr>
            <w:r>
              <w:rPr>
                <w:rFonts w:ascii="Times New Roman" w:cs="Times New Roman" w:eastAsia="Times New Roman" w:hAnsi="Times New Roman"/>
                <w:sz w:val="17"/>
                <w:szCs w:val="17"/>
                <w:color w:val="0E32E1"/>
              </w:rPr>
              <w:t>F-</w:t>
            </w:r>
            <w:r>
              <w:rPr>
                <w:rFonts w:ascii="Times New Roman" w:cs="Times New Roman" w:eastAsia="Times New Roman" w:hAnsi="Times New Roman"/>
                <w:sz w:val="17"/>
                <w:szCs w:val="17"/>
                <w:color w:val="0000FF"/>
              </w:rPr>
              <w:t>1</w:t>
            </w:r>
          </w:p>
        </w:tc>
      </w:tr>
      <w:tr>
        <w:trPr>
          <w:trHeight w:val="1599"/>
        </w:trPr>
        <w:tc>
          <w:tcPr>
            <w:tcW w:w="144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top w:val="single" w:sz="8" w:color="0E32E1"/>
              <w:bottom w:val="single" w:sz="8" w:color="9A9A9A"/>
            </w:tcBorders>
          </w:tcPr>
          <w:p>
            <w:pPr>
              <w:spacing w:after="0"/>
              <w:rPr>
                <w:sz w:val="24"/>
                <w:szCs w:val="24"/>
                <w:color w:val="auto"/>
              </w:rPr>
            </w:pPr>
          </w:p>
        </w:tc>
        <w:tc>
          <w:tcPr>
            <w:tcW w:w="40" w:type="dxa"/>
            <w:vAlign w:val="bottom"/>
            <w:tcBorders>
              <w:top w:val="single" w:sz="8" w:color="0E32E1"/>
              <w:bottom w:val="single" w:sz="8" w:color="9A9A9A"/>
            </w:tcBorders>
          </w:tcPr>
          <w:p>
            <w:pPr>
              <w:spacing w:after="0"/>
              <w:rPr>
                <w:sz w:val="24"/>
                <w:szCs w:val="24"/>
                <w:color w:val="auto"/>
              </w:rPr>
            </w:pPr>
          </w:p>
        </w:tc>
        <w:tc>
          <w:tcPr>
            <w:tcW w:w="80" w:type="dxa"/>
            <w:vAlign w:val="bottom"/>
            <w:tcBorders>
              <w:top w:val="single" w:sz="8" w:color="0E32E1"/>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Unless the context otherwise requires, the terms “we,” “our” or “us” refer to PVH Corp. and its subsidiaries.</w:t>
      </w:r>
    </w:p>
    <w:p>
      <w:pPr>
        <w:spacing w:after="0" w:line="247" w:lineRule="exact"/>
        <w:rPr>
          <w:sz w:val="20"/>
          <w:szCs w:val="20"/>
          <w:color w:val="auto"/>
        </w:rPr>
      </w:pPr>
    </w:p>
    <w:p>
      <w:pPr>
        <w:ind w:right="100" w:firstLine="625"/>
        <w:spacing w:after="0" w:line="268" w:lineRule="auto"/>
        <w:rPr>
          <w:sz w:val="20"/>
          <w:szCs w:val="20"/>
          <w:color w:val="auto"/>
        </w:rPr>
      </w:pPr>
      <w:r>
        <w:rPr>
          <w:rFonts w:ascii="Times New Roman" w:cs="Times New Roman" w:eastAsia="Times New Roman" w:hAnsi="Times New Roman"/>
          <w:sz w:val="17"/>
          <w:szCs w:val="17"/>
          <w:color w:val="auto"/>
        </w:rPr>
        <w:t>Our fiscal years are based on the 52-53 week period ending on the Sunday closest to February 1 and are designated by the calendar year in which the fiscal year commences. References to a year are to our fiscal year, unless the context requires otherwise. Our 2025 year commenced on February 3, 2025 and ended on February 1, 2026; our 2024 year commenced on February 5, 2024 and ended on February 2, 2025; and our 2023 year commenced on January 30, 2023 and ended on February 4, 2024.</w:t>
      </w:r>
    </w:p>
    <w:p>
      <w:pPr>
        <w:spacing w:after="0" w:line="192" w:lineRule="exact"/>
        <w:rPr>
          <w:sz w:val="20"/>
          <w:szCs w:val="20"/>
          <w:color w:val="auto"/>
        </w:rPr>
      </w:pPr>
    </w:p>
    <w:p>
      <w:pPr>
        <w:jc w:val="both"/>
        <w:ind w:right="140" w:firstLine="625"/>
        <w:spacing w:after="0" w:line="269" w:lineRule="auto"/>
        <w:rPr>
          <w:sz w:val="20"/>
          <w:szCs w:val="20"/>
          <w:color w:val="auto"/>
        </w:rPr>
      </w:pPr>
      <w:r>
        <w:rPr>
          <w:rFonts w:ascii="Times New Roman" w:cs="Times New Roman" w:eastAsia="Times New Roman" w:hAnsi="Times New Roman"/>
          <w:sz w:val="17"/>
          <w:szCs w:val="17"/>
          <w:color w:val="auto"/>
        </w:rPr>
        <w:t xml:space="preserve">References in this report to the brand names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TOMMY JEANS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Calvin Klein Jeans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Calvin Klein Underwear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Calvin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Klein Sport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Calvin Klein Collection</w:t>
      </w:r>
      <w:r>
        <w:rPr>
          <w:rFonts w:ascii="Times New Roman" w:cs="Times New Roman" w:eastAsia="Times New Roman" w:hAnsi="Times New Roman"/>
          <w:sz w:val="17"/>
          <w:szCs w:val="17"/>
          <w:color w:val="auto"/>
        </w:rPr>
        <w:t>, which are owned,</w:t>
      </w:r>
      <w:r>
        <w:rPr>
          <w:rFonts w:ascii="Times New Roman" w:cs="Times New Roman" w:eastAsia="Times New Roman" w:hAnsi="Times New Roman"/>
          <w:sz w:val="17"/>
          <w:szCs w:val="17"/>
          <w:i w:val="1"/>
          <w:iCs w:val="1"/>
          <w:color w:val="auto"/>
        </w:rPr>
        <w:t xml:space="preserve"> Warner’s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Olga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True&amp;Co.</w:t>
      </w:r>
      <w:r>
        <w:rPr>
          <w:rFonts w:ascii="Times New Roman" w:cs="Times New Roman" w:eastAsia="Times New Roman" w:hAnsi="Times New Roman"/>
          <w:sz w:val="17"/>
          <w:szCs w:val="17"/>
          <w:color w:val="auto"/>
        </w:rPr>
        <w:t>, which we owned until November 27, 2023,</w:t>
      </w:r>
      <w:r>
        <w:rPr>
          <w:rFonts w:ascii="Times New Roman" w:cs="Times New Roman" w:eastAsia="Times New Roman" w:hAnsi="Times New Roman"/>
          <w:sz w:val="17"/>
          <w:szCs w:val="17"/>
          <w:i w:val="1"/>
          <w:iCs w:val="1"/>
          <w:color w:val="auto"/>
        </w:rPr>
        <w:t xml:space="preserve"> Van Heusen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Nike</w:t>
      </w:r>
      <w:r>
        <w:rPr>
          <w:rFonts w:ascii="Times New Roman" w:cs="Times New Roman" w:eastAsia="Times New Roman" w:hAnsi="Times New Roman"/>
          <w:sz w:val="17"/>
          <w:szCs w:val="17"/>
          <w:color w:val="auto"/>
        </w:rPr>
        <w:t>,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license for certain product categories, and to other brand names owned by us or licensed to us by third parties, are to registered and common law trademarks and are identified by italicizing the brand name.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Information</w:t>
      </w:r>
    </w:p>
    <w:p>
      <w:pPr>
        <w:spacing w:after="0" w:line="249" w:lineRule="exact"/>
        <w:rPr>
          <w:sz w:val="20"/>
          <w:szCs w:val="20"/>
          <w:color w:val="auto"/>
        </w:rPr>
      </w:pPr>
    </w:p>
    <w:p>
      <w:pPr>
        <w:ind w:right="180" w:firstLine="625"/>
        <w:spacing w:after="0" w:line="293" w:lineRule="auto"/>
        <w:rPr>
          <w:sz w:val="20"/>
          <w:szCs w:val="20"/>
          <w:color w:val="auto"/>
        </w:rPr>
      </w:pPr>
      <w:r>
        <w:rPr>
          <w:rFonts w:ascii="Times New Roman" w:cs="Times New Roman" w:eastAsia="Times New Roman" w:hAnsi="Times New Roman"/>
          <w:sz w:val="17"/>
          <w:szCs w:val="17"/>
          <w:color w:val="auto"/>
        </w:rPr>
        <w:t>We were incorporated in the State of Delaware in 1976 as the successor to a business begun in 1881. Our principal executive offices are located at 285 Madison Avenue, New York, New York 10017; our telephone number is (212) 381-3500.</w:t>
      </w:r>
    </w:p>
    <w:p>
      <w:pPr>
        <w:spacing w:after="0" w:line="173" w:lineRule="exact"/>
        <w:rPr>
          <w:sz w:val="20"/>
          <w:szCs w:val="20"/>
          <w:color w:val="auto"/>
        </w:rPr>
      </w:pPr>
    </w:p>
    <w:p>
      <w:pPr>
        <w:ind w:right="40" w:firstLine="625"/>
        <w:spacing w:after="0" w:line="271" w:lineRule="auto"/>
        <w:rPr>
          <w:sz w:val="20"/>
          <w:szCs w:val="20"/>
          <w:color w:val="auto"/>
        </w:rPr>
      </w:pPr>
      <w:r>
        <w:rPr>
          <w:rFonts w:ascii="Times New Roman" w:cs="Times New Roman" w:eastAsia="Times New Roman" w:hAnsi="Times New Roman"/>
          <w:sz w:val="17"/>
          <w:szCs w:val="17"/>
          <w:color w:val="auto"/>
        </w:rPr>
        <w:t>We make available at no cost, on our corporate website, PVH.com, our annual reports on Form 10-K, quarterly reports on Form 10-Q, current reports on Form 8-K and amendments to those reports filed or furnished pursuant to Section 13(a) or 15(d) of the Exchange Act as soon as reasonably practicable after we have electronically filed such material with the Securities and Exchange Commission (“SEC”). All such filings are also available on the SEC’s website at sec.gov.</w:t>
      </w:r>
    </w:p>
    <w:p>
      <w:pPr>
        <w:spacing w:after="0" w:line="200" w:lineRule="exact"/>
        <w:rPr>
          <w:sz w:val="20"/>
          <w:szCs w:val="20"/>
          <w:color w:val="auto"/>
        </w:rPr>
      </w:pPr>
    </w:p>
    <w:p>
      <w:pPr>
        <w:spacing w:after="0" w:line="205" w:lineRule="exact"/>
        <w:rPr>
          <w:sz w:val="20"/>
          <w:szCs w:val="20"/>
          <w:color w:val="auto"/>
        </w:rPr>
      </w:pPr>
    </w:p>
    <w:p>
      <w:pPr>
        <w:ind w:right="760" w:firstLine="625"/>
        <w:spacing w:after="0" w:line="293" w:lineRule="auto"/>
        <w:rPr>
          <w:sz w:val="20"/>
          <w:szCs w:val="20"/>
          <w:color w:val="auto"/>
        </w:rPr>
      </w:pPr>
      <w:r>
        <w:rPr>
          <w:rFonts w:ascii="Times New Roman" w:cs="Times New Roman" w:eastAsia="Times New Roman" w:hAnsi="Times New Roman"/>
          <w:sz w:val="17"/>
          <w:szCs w:val="17"/>
          <w:color w:val="auto"/>
        </w:rPr>
        <w:t>We also make available at no cost on PVH.com, the charters of the committees of the PVH Corp. Board of Directors, as well as our Corporate Governance Guidelines and Code of Business Conduct and Ethics.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249"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 xml:space="preserve">We are one of the largest global apparel companies in the world. We have approximately 26,000 associates, operate in more than 40 countries and generated $9.0 billion, $8.7 billion and $9.2 billion in revenues in 2025, 2024 and 2023, respectively. Our global iconic lifestyle brands,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together generated over 95% of our revenue during each of 2025 and 2024, and over 90% of our revenue during 2023.</w:t>
      </w:r>
    </w:p>
    <w:p>
      <w:pPr>
        <w:spacing w:after="0" w:line="187" w:lineRule="exact"/>
        <w:rPr>
          <w:sz w:val="20"/>
          <w:szCs w:val="20"/>
          <w:color w:val="auto"/>
        </w:rPr>
      </w:pPr>
    </w:p>
    <w:p>
      <w:pPr>
        <w:jc w:val="both"/>
        <w:ind w:right="100" w:firstLine="625"/>
        <w:spacing w:after="0" w:line="265" w:lineRule="auto"/>
        <w:rPr>
          <w:sz w:val="20"/>
          <w:szCs w:val="20"/>
          <w:color w:val="auto"/>
        </w:rPr>
      </w:pPr>
      <w:r>
        <w:rPr>
          <w:rFonts w:ascii="Times New Roman" w:cs="Times New Roman" w:eastAsia="Times New Roman" w:hAnsi="Times New Roman"/>
          <w:sz w:val="17"/>
          <w:szCs w:val="17"/>
          <w:color w:val="auto"/>
        </w:rPr>
        <w:t xml:space="preserve">In addition to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which are owned, we previously owned a portfolio of other brands, including </w:t>
      </w:r>
      <w:r>
        <w:rPr>
          <w:rFonts w:ascii="Times New Roman" w:cs="Times New Roman" w:eastAsia="Times New Roman" w:hAnsi="Times New Roman"/>
          <w:sz w:val="17"/>
          <w:szCs w:val="17"/>
          <w:i w:val="1"/>
          <w:iCs w:val="1"/>
          <w:color w:val="auto"/>
        </w:rPr>
        <w:t>Warner’s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Olga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True&amp;Co.</w:t>
      </w:r>
      <w:r>
        <w:rPr>
          <w:rFonts w:ascii="Times New Roman" w:cs="Times New Roman" w:eastAsia="Times New Roman" w:hAnsi="Times New Roman"/>
          <w:sz w:val="17"/>
          <w:szCs w:val="17"/>
          <w:color w:val="auto"/>
        </w:rPr>
        <w:t>, which we owned until November 27, 2023, and</w:t>
      </w:r>
      <w:r>
        <w:rPr>
          <w:rFonts w:ascii="Times New Roman" w:cs="Times New Roman" w:eastAsia="Times New Roman" w:hAnsi="Times New Roman"/>
          <w:sz w:val="17"/>
          <w:szCs w:val="17"/>
          <w:i w:val="1"/>
          <w:iCs w:val="1"/>
          <w:color w:val="auto"/>
        </w:rPr>
        <w:t xml:space="preserve"> Van Heusen</w:t>
      </w:r>
      <w:r>
        <w:rPr>
          <w:rFonts w:ascii="Times New Roman" w:cs="Times New Roman" w:eastAsia="Times New Roman" w:hAnsi="Times New Roman"/>
          <w:sz w:val="17"/>
          <w:szCs w:val="17"/>
          <w:color w:val="auto"/>
        </w:rPr>
        <w:t>, which we owned through the second quarter of 2021. We currently license</w:t>
      </w:r>
      <w:r>
        <w:rPr>
          <w:rFonts w:ascii="Times New Roman" w:cs="Times New Roman" w:eastAsia="Times New Roman" w:hAnsi="Times New Roman"/>
          <w:sz w:val="17"/>
          <w:szCs w:val="17"/>
          <w:i w:val="1"/>
          <w:iCs w:val="1"/>
          <w:color w:val="auto"/>
        </w:rPr>
        <w:t xml:space="preserve"> Van Heusen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along with </w:t>
      </w:r>
      <w:r>
        <w:rPr>
          <w:rFonts w:ascii="Times New Roman" w:cs="Times New Roman" w:eastAsia="Times New Roman" w:hAnsi="Times New Roman"/>
          <w:sz w:val="17"/>
          <w:szCs w:val="17"/>
          <w:i w:val="1"/>
          <w:iCs w:val="1"/>
          <w:color w:val="auto"/>
        </w:rPr>
        <w:t>Nike</w:t>
      </w:r>
      <w:r>
        <w:rPr>
          <w:rFonts w:ascii="Times New Roman" w:cs="Times New Roman" w:eastAsia="Times New Roman" w:hAnsi="Times New Roman"/>
          <w:sz w:val="17"/>
          <w:szCs w:val="17"/>
          <w:color w:val="auto"/>
        </w:rPr>
        <w:t xml:space="preserve"> and other brands, from third parties for certain product categories. We refer to our currently or previously owned and licensed trademarks, other than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as our “heritage brands” and the businesses we currently operate or previously operated under the heritage brands as our “Heritage Brands business.”</w:t>
      </w:r>
    </w:p>
    <w:p>
      <w:pPr>
        <w:spacing w:after="0" w:line="198" w:lineRule="exact"/>
        <w:rPr>
          <w:sz w:val="20"/>
          <w:szCs w:val="20"/>
          <w:color w:val="auto"/>
        </w:rPr>
      </w:pPr>
    </w:p>
    <w:p>
      <w:pPr>
        <w:ind w:right="20" w:firstLine="625"/>
        <w:spacing w:after="0" w:line="266" w:lineRule="auto"/>
        <w:rPr>
          <w:sz w:val="20"/>
          <w:szCs w:val="20"/>
          <w:color w:val="auto"/>
        </w:rPr>
      </w:pPr>
      <w:r>
        <w:rPr>
          <w:rFonts w:ascii="Times New Roman" w:cs="Times New Roman" w:eastAsia="Times New Roman" w:hAnsi="Times New Roman"/>
          <w:sz w:val="17"/>
          <w:szCs w:val="17"/>
          <w:color w:val="auto"/>
        </w:rPr>
        <w:t>We design and market branded sportswear (casual apparel), jeanswear, performance apparel, intimate apparel, underwear, swimwear, dress shirts, handbags, accessories, footwear and other related products. Our brands are positioned to sell globally at various price points and in multiple channels of distribution. This enables us to offer products to a broad range of consumers, reducing our reliance on any one price point, distribution channel or region. We also license the use of our trademarks to third parties and joint ventures for product categories and in regions where we believe our licensees’ expertise can better serve our brands.</w:t>
      </w:r>
    </w:p>
    <w:p>
      <w:pPr>
        <w:spacing w:after="0" w:line="200" w:lineRule="exact"/>
        <w:rPr>
          <w:sz w:val="20"/>
          <w:szCs w:val="20"/>
          <w:color w:val="auto"/>
        </w:rPr>
      </w:pPr>
    </w:p>
    <w:p>
      <w:pPr>
        <w:spacing w:after="0" w:line="208"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 xml:space="preserve">We operate across Europe, the Middle East and Africa (“EMEA”), the Americas and the Asia-Pacific region (“APAC”). Our directly operated businesses consist principally of (i) wholesale sales under our owned and licensed trademarks; and (ii) the operation of retail stores and digital commerce sites under our </w:t>
      </w:r>
      <w:r>
        <w:rPr>
          <w:rFonts w:ascii="Times New Roman" w:cs="Times New Roman" w:eastAsia="Times New Roman" w:hAnsi="Times New Roman"/>
          <w:sz w:val="17"/>
          <w:szCs w:val="17"/>
          <w:i w:val="1"/>
          <w:iCs w:val="1"/>
          <w:color w:val="auto"/>
        </w:rPr>
        <w:t xml:space="preserve">TOMMY HILFIGER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Calvin Klein </w:t>
      </w:r>
      <w:r>
        <w:rPr>
          <w:rFonts w:ascii="Times New Roman" w:cs="Times New Roman" w:eastAsia="Times New Roman" w:hAnsi="Times New Roman"/>
          <w:sz w:val="17"/>
          <w:szCs w:val="17"/>
          <w:color w:val="auto"/>
        </w:rPr>
        <w:t>trademarks.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5" w:name="page6"/>
    <w:bookmarkEnd w:id="5"/>
    <w:p>
      <w:pPr>
        <w:ind w:right="540"/>
        <w:spacing w:after="0" w:line="296" w:lineRule="auto"/>
        <w:rPr>
          <w:sz w:val="20"/>
          <w:szCs w:val="20"/>
          <w:color w:val="auto"/>
        </w:rPr>
      </w:pPr>
      <w:r>
        <w:rPr>
          <w:rFonts w:ascii="Times New Roman" w:cs="Times New Roman" w:eastAsia="Times New Roman" w:hAnsi="Times New Roman"/>
          <w:sz w:val="17"/>
          <w:szCs w:val="17"/>
          <w:color w:val="auto"/>
        </w:rPr>
        <w:t xml:space="preserve">Our licensing activities principally relate to the licensing worldwide of our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trademarks for a broad range of product categories as well as for certain territories.</w:t>
      </w:r>
    </w:p>
    <w:p>
      <w:pPr>
        <w:spacing w:after="0" w:line="170" w:lineRule="exact"/>
        <w:rPr>
          <w:sz w:val="20"/>
          <w:szCs w:val="20"/>
          <w:color w:val="auto"/>
        </w:rPr>
      </w:pPr>
    </w:p>
    <w:p>
      <w:pPr>
        <w:ind w:right="120" w:firstLine="625"/>
        <w:spacing w:after="0" w:line="263" w:lineRule="auto"/>
        <w:rPr>
          <w:sz w:val="20"/>
          <w:szCs w:val="20"/>
          <w:color w:val="auto"/>
        </w:rPr>
      </w:pPr>
      <w:r>
        <w:rPr>
          <w:rFonts w:ascii="Times New Roman" w:cs="Times New Roman" w:eastAsia="Times New Roman" w:hAnsi="Times New Roman"/>
          <w:sz w:val="17"/>
          <w:szCs w:val="17"/>
          <w:color w:val="auto"/>
        </w:rPr>
        <w:t>We have evolved from our 1881 roots to become a global company of iconic brands through a combination of transformative acquisitions and by successfully growing our brands globally across key channels of distribution. The acquisitions of Calvin Klein, Inc. and certain affiliated companies (“Calvin Klein”) in February 2003, the acquisition of Tommy Hilfiger B.V. and certain affiliated companies (“Tommy Hilfiger”) in May 2010, and the acquisition of The Warnaco Group, Inc. and its subsidiaries in February 2013 are the ones most relevant to our current business. We also have acquired several regional licensed businesses and will continue to explore strategic acquisitions of licensed businesses, trademarks and companies, license take-backs and licensing opportunities that we believe are additive to our overall business.</w:t>
      </w:r>
    </w:p>
    <w:p>
      <w:pPr>
        <w:spacing w:after="0" w:line="196"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 xml:space="preserve">We extended in November 2022 most of our licensing agreements with G-III Apparel Group, Ltd. (“G-III”) for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in the United States and Canada, largely pertaining to the women’s apparel product categories sold at wholesale in North America. These agreements now have staggered expirations through 2026, the first of which occurred at the end of calendar 2023. We have been directly operating a significant portion of the businesses for the previously licensed product categories, and we intend to continue to directly operate a significant portion of these businesses as the license agreements expire, with the remainder being re-licensed to other third parties.</w:t>
      </w:r>
    </w:p>
    <w:p>
      <w:pPr>
        <w:spacing w:after="0" w:line="196" w:lineRule="exact"/>
        <w:rPr>
          <w:sz w:val="20"/>
          <w:szCs w:val="20"/>
          <w:color w:val="auto"/>
        </w:rPr>
      </w:pPr>
    </w:p>
    <w:p>
      <w:pPr>
        <w:ind w:right="460" w:firstLine="625"/>
        <w:spacing w:after="0" w:line="296" w:lineRule="auto"/>
        <w:rPr>
          <w:sz w:val="20"/>
          <w:szCs w:val="20"/>
          <w:color w:val="auto"/>
        </w:rPr>
      </w:pPr>
      <w:r>
        <w:rPr>
          <w:rFonts w:ascii="Times New Roman" w:cs="Times New Roman" w:eastAsia="Times New Roman" w:hAnsi="Times New Roman"/>
          <w:sz w:val="17"/>
          <w:szCs w:val="17"/>
          <w:color w:val="auto"/>
        </w:rPr>
        <w:t xml:space="preserve">We completed the sale of our women’s intimates businesses conducted under the </w:t>
      </w:r>
      <w:r>
        <w:rPr>
          <w:rFonts w:ascii="Times New Roman" w:cs="Times New Roman" w:eastAsia="Times New Roman" w:hAnsi="Times New Roman"/>
          <w:sz w:val="17"/>
          <w:szCs w:val="17"/>
          <w:i w:val="1"/>
          <w:iCs w:val="1"/>
          <w:color w:val="auto"/>
        </w:rPr>
        <w:t>Warner’s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Olga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True&amp;Co.</w:t>
      </w:r>
      <w:r>
        <w:rPr>
          <w:rFonts w:ascii="Times New Roman" w:cs="Times New Roman" w:eastAsia="Times New Roman" w:hAnsi="Times New Roman"/>
          <w:sz w:val="17"/>
          <w:szCs w:val="17"/>
          <w:color w:val="auto"/>
        </w:rPr>
        <w:t xml:space="preserve"> trademarks to Basic Resources on November 27, 2023 (the “Heritage Brands intimates transaction”).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Reportable Segments</w:t>
      </w:r>
    </w:p>
    <w:p>
      <w:pPr>
        <w:spacing w:after="0" w:line="249" w:lineRule="exact"/>
        <w:rPr>
          <w:sz w:val="20"/>
          <w:szCs w:val="20"/>
          <w:color w:val="auto"/>
        </w:rPr>
      </w:pPr>
    </w:p>
    <w:p>
      <w:pPr>
        <w:ind w:right="20" w:firstLine="625"/>
        <w:spacing w:after="0" w:line="259" w:lineRule="auto"/>
        <w:rPr>
          <w:sz w:val="20"/>
          <w:szCs w:val="20"/>
          <w:color w:val="auto"/>
        </w:rPr>
      </w:pPr>
      <w:r>
        <w:rPr>
          <w:rFonts w:ascii="Times New Roman" w:cs="Times New Roman" w:eastAsia="Times New Roman" w:hAnsi="Times New Roman"/>
          <w:sz w:val="17"/>
          <w:szCs w:val="17"/>
          <w:color w:val="auto"/>
        </w:rPr>
        <w:t xml:space="preserve">Effective February 3, 2025, the first day of 2025, we changed our reportable segments to be region-focused to align with changes in our business and organizational structure. These changes included the reorganization of the executive leadership structure directly reporting to our Chief Executive Officer, who is our chief operating decision maker (“CODM”). Our new organizational structure provides for the pairing of our global brands with commercial execution in geographic regions, underpinned by a demand- and data-driven operating model, making steady progress against the PVH+ Plan, our multi-year, strategic plan to build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into the most desirable lifestyle brands in the world and make us the leading brand building group in our sector. Our new reportable segments are: (i) EMEA, (ii) Americas, (iii) APAC, and (iv) Licensing. The new reportable segments reflect the way the Company is currently being managed and for which separate financial information is available and evaluated regularly by the CODM in deciding how to allocate resources and assess performance. Note 20, “Segment Data,” in the Notes to Consolidated Financial Statements included in Item 8 of this report contains financial information regarding our reportable segments, as well as other financial information, including our revenue by distribution channel, our revenue by brand, and our revenue based on geographic location. Our historical segment reporting has been recast to reflect the new organizational structure.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Tommy Hilfiger Business Overview</w:t>
      </w:r>
    </w:p>
    <w:p>
      <w:pPr>
        <w:spacing w:after="0" w:line="247"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TOMMY HILFIGER </w:t>
      </w:r>
      <w:r>
        <w:rPr>
          <w:rFonts w:ascii="Times New Roman" w:cs="Times New Roman" w:eastAsia="Times New Roman" w:hAnsi="Times New Roman"/>
          <w:sz w:val="17"/>
          <w:szCs w:val="17"/>
          <w:color w:val="auto"/>
        </w:rPr>
        <w:t>is one of the world’s most recognized premium lifestyle brands, welcoming and inspiring consumers since 1985. Originally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established in New York City and rooted in Americana, the brand is defined by its red, white and blue DNA. The brand’s collections celebrate “Prep made Modern,” fusing timeless classics with a fresh twist. Founder Tommy Hilfiger remains the Principal Designer, providing guidance and inspiration for the creative process. Global retail sales of products sold under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brands, including sales of our licensees’ products, were approximately $9 billion in 2025.</w:t>
      </w:r>
    </w:p>
    <w:p>
      <w:pPr>
        <w:spacing w:after="0" w:line="196"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brands principally consist of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TOMMY JEANS</w:t>
      </w:r>
      <w:r>
        <w:rPr>
          <w:rFonts w:ascii="Times New Roman" w:cs="Times New Roman" w:eastAsia="Times New Roman" w:hAnsi="Times New Roman"/>
          <w:sz w:val="17"/>
          <w:szCs w:val="17"/>
          <w:color w:val="auto"/>
        </w:rPr>
        <w:t xml:space="preserve">, which build on a legacy of groundbreaking partnerships, serving as creative platforms for collaborations and capsule collections, and vary in terms of price point, product offerings, target consumer or distribution channel. Products are sold globally in our stores, through our wholesale partners (in stores and online), through pure play digital commerce retailers and on </w:t>
      </w:r>
      <w:r>
        <w:rPr>
          <w:rFonts w:ascii="Times New Roman" w:cs="Times New Roman" w:eastAsia="Times New Roman" w:hAnsi="Times New Roman"/>
          <w:sz w:val="17"/>
          <w:szCs w:val="17"/>
          <w:i w:val="1"/>
          <w:iCs w:val="1"/>
          <w:color w:val="auto"/>
        </w:rPr>
        <w:t>tommy.</w:t>
      </w:r>
      <w:r>
        <w:rPr>
          <w:rFonts w:ascii="Times New Roman" w:cs="Times New Roman" w:eastAsia="Times New Roman" w:hAnsi="Times New Roman"/>
          <w:sz w:val="17"/>
          <w:szCs w:val="17"/>
          <w:color w:val="auto"/>
        </w:rPr>
        <w:t>com websites around the world, and principally consist of men’s, women’s and kids’ sportswear, denim, underwear, swimwear, accessories and footwear. The products sold under the brands include those produced under license agreements with third parties for a broad range of lifestyle products, including footwear and accessories, eyewear, watches, jewelry and fragrance, as well as for certain territories.</w:t>
      </w:r>
    </w:p>
    <w:p>
      <w:pPr>
        <w:spacing w:after="0" w:line="198" w:lineRule="exact"/>
        <w:rPr>
          <w:sz w:val="20"/>
          <w:szCs w:val="20"/>
          <w:color w:val="auto"/>
        </w:rPr>
      </w:pPr>
    </w:p>
    <w:p>
      <w:pPr>
        <w:ind w:right="340" w:firstLine="625"/>
        <w:spacing w:after="0" w:line="296" w:lineRule="auto"/>
        <w:rPr>
          <w:sz w:val="20"/>
          <w:szCs w:val="20"/>
          <w:color w:val="auto"/>
        </w:rPr>
      </w:pPr>
      <w:r>
        <w:rPr>
          <w:rFonts w:ascii="Times New Roman" w:cs="Times New Roman" w:eastAsia="Times New Roman" w:hAnsi="Times New Roman"/>
          <w:sz w:val="17"/>
          <w:szCs w:val="17"/>
          <w:color w:val="auto"/>
        </w:rPr>
        <w:t xml:space="preserve">We, along with Tommy Hilfiger’s licensees and other authorized users of the brands, advertise, market and promote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brands globally. Tommy Hilfiger’s global marketing and communications strategy taps into the world</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78" w:right="359" w:bottom="1440" w:gutter="0" w:footer="0" w:header="0"/>
        </w:sectPr>
      </w:pPr>
    </w:p>
    <w:bookmarkStart w:id="6" w:name="page7"/>
    <w:bookmarkEnd w:id="6"/>
    <w:p>
      <w:pPr>
        <w:ind w:right="160"/>
        <w:spacing w:after="0" w:line="263" w:lineRule="auto"/>
        <w:rPr>
          <w:sz w:val="20"/>
          <w:szCs w:val="20"/>
          <w:color w:val="auto"/>
        </w:rPr>
      </w:pPr>
      <w:r>
        <w:rPr>
          <w:rFonts w:ascii="Times New Roman" w:cs="Times New Roman" w:eastAsia="Times New Roman" w:hAnsi="Times New Roman"/>
          <w:sz w:val="17"/>
          <w:szCs w:val="17"/>
          <w:color w:val="auto"/>
        </w:rPr>
        <w:t>of F.A.M.E.S – Fashion, Art, Music, Entertainment and Sport – as a constant source of energy and inspiration. Since its inception, Tommy Hilfiger has proudly established itself at the heart of pop culture, shaping and influencing trends with relentless creativity and a forward-thinking spirit. Live events play a central role in reinforcing the brand’s cultural relevance, creating moments that expand engagement and reach. By collaborating with renowned celebrities, athletes and musicians, and supporting emerging artists through major global campaigns and activations, Tommy Hilfiger is leading the way in cultivating partnerships that elevate the brand experience and power growth. With these collaborations, shared values of drive, dedication and passion with the brand are celebrated. Driven by people, places and ideas, the brand is kept relevant through investment and focus on defining what’s next.</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We sell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products in a variety of distribution channels, including:</w:t>
      </w:r>
    </w:p>
    <w:p>
      <w:pPr>
        <w:spacing w:after="0" w:line="247" w:lineRule="exact"/>
        <w:rPr>
          <w:sz w:val="20"/>
          <w:szCs w:val="20"/>
          <w:color w:val="auto"/>
        </w:rPr>
      </w:pPr>
    </w:p>
    <w:p>
      <w:pPr>
        <w:jc w:val="both"/>
        <w:ind w:left="620" w:right="700" w:hanging="304"/>
        <w:spacing w:after="0" w:line="275" w:lineRule="auto"/>
        <w:tabs>
          <w:tab w:leader="none" w:pos="615"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 xml:space="preserve">Wholesale — principally consists of the distribution and sale of products in EMEA, Americas and APAC under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brands, primarily to department and specialty stores (including their digital commerce operations), pure play digital commerce retailers, distributors and franchisees (primarily for EMEA and APAC), and off-price retailers (primarily for Americas).</w:t>
      </w:r>
    </w:p>
    <w:p>
      <w:pPr>
        <w:spacing w:after="0" w:line="185" w:lineRule="exact"/>
        <w:rPr>
          <w:rFonts w:ascii="Arial" w:cs="Arial" w:eastAsia="Arial" w:hAnsi="Arial"/>
          <w:sz w:val="17"/>
          <w:szCs w:val="17"/>
          <w:color w:val="auto"/>
        </w:rPr>
      </w:pPr>
    </w:p>
    <w:p>
      <w:pPr>
        <w:jc w:val="both"/>
        <w:ind w:left="620" w:right="120" w:hanging="304"/>
        <w:spacing w:after="0" w:line="275" w:lineRule="auto"/>
        <w:tabs>
          <w:tab w:leader="none" w:pos="615"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 xml:space="preserve">Retail — principally consists of the distribution and sale of products under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brands in our stores in EMEA, Americas and APAC, as well as on the </w:t>
      </w:r>
      <w:r>
        <w:rPr>
          <w:rFonts w:ascii="Times New Roman" w:cs="Times New Roman" w:eastAsia="Times New Roman" w:hAnsi="Times New Roman"/>
          <w:sz w:val="17"/>
          <w:szCs w:val="17"/>
          <w:i w:val="1"/>
          <w:iCs w:val="1"/>
          <w:color w:val="auto"/>
        </w:rPr>
        <w:t>tommy</w:t>
      </w:r>
      <w:r>
        <w:rPr>
          <w:rFonts w:ascii="Times New Roman" w:cs="Times New Roman" w:eastAsia="Times New Roman" w:hAnsi="Times New Roman"/>
          <w:sz w:val="17"/>
          <w:szCs w:val="17"/>
          <w:color w:val="auto"/>
        </w:rPr>
        <w:t>.com sites we operate in these regions. In EMEA and APAC, we operate full-price stores, outlet stores and concession locations. In Americas, our stores are primarily located in premium outlet centers and, to a lesser extent, in full price and other channels.</w:t>
      </w:r>
    </w:p>
    <w:p>
      <w:pPr>
        <w:spacing w:after="0" w:line="185" w:lineRule="exact"/>
        <w:rPr>
          <w:rFonts w:ascii="Arial" w:cs="Arial" w:eastAsia="Arial" w:hAnsi="Arial"/>
          <w:sz w:val="17"/>
          <w:szCs w:val="17"/>
          <w:color w:val="auto"/>
        </w:rPr>
      </w:pPr>
    </w:p>
    <w:p>
      <w:pPr>
        <w:ind w:left="620" w:right="300" w:hanging="304"/>
        <w:spacing w:after="0" w:line="268" w:lineRule="auto"/>
        <w:tabs>
          <w:tab w:leader="none" w:pos="615"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 xml:space="preserve">Licensing — we license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brands to third parties globally for a broad range of products through approximately 30 license agreements. We provide support to our licensees and seek to preserve the integrity of our brands by taking an active role in the design, quality control, advertising, marketing and distribution of each licensed product, most of which are subject to our prior approval and continuing oversight. The arrangements generally are exclusive to a territory or product category.</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Tommy Hilfiger’s key licensees, and the products and territories currently licensed by them include:</w:t>
      </w:r>
    </w:p>
    <w:p>
      <w:pPr>
        <w:spacing w:after="0" w:line="50" w:lineRule="exact"/>
        <w:rPr>
          <w:sz w:val="20"/>
          <w:szCs w:val="20"/>
          <w:color w:val="auto"/>
        </w:rPr>
      </w:pPr>
    </w:p>
    <w:tbl>
      <w:tblPr>
        <w:tblLayout w:type="fixed"/>
        <w:tblInd w:w="620" w:type="dxa"/>
        <w:tblCellMar>
          <w:top w:w="0" w:type="dxa"/>
          <w:left w:w="0" w:type="dxa"/>
          <w:bottom w:w="0" w:type="dxa"/>
          <w:right w:w="0" w:type="dxa"/>
        </w:tblCellMar>
      </w:tblPr>
      <w:tr>
        <w:trPr>
          <w:trHeight w:val="229"/>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Licensee</w:t>
            </w: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Product Category and Territory</w:t>
            </w:r>
          </w:p>
        </w:tc>
      </w:tr>
      <w:tr>
        <w:trPr>
          <w:trHeight w:val="26"/>
        </w:trPr>
        <w:tc>
          <w:tcPr>
            <w:tcW w:w="3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r>
      <w:tr>
        <w:trPr>
          <w:trHeight w:val="43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American Sportswear S.A.</w:t>
            </w: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Men’s, women’s and children’s apparel, footwear and accessories (Central America, South America</w:t>
            </w:r>
          </w:p>
        </w:tc>
      </w:tr>
      <w:tr>
        <w:trPr>
          <w:trHeight w:val="227"/>
        </w:trPr>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(excluding Brazil) and the Caribbean)</w:t>
            </w:r>
          </w:p>
        </w:tc>
      </w:tr>
      <w:tr>
        <w:trPr>
          <w:trHeight w:val="351"/>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F&amp;T Apparel LLC &amp; KHQ Investment LLC</w:t>
            </w: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Children’s apparel and boys’ tailored clothing (United States and Canada)</w:t>
            </w:r>
          </w:p>
        </w:tc>
      </w:tr>
      <w:tr>
        <w:trPr>
          <w:trHeight w:val="551"/>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G-III Apparel Group, Ltd. / G-III Apparel</w:t>
            </w: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Luggage, women’s dresses and women’s suits (United States and Canada)</w:t>
            </w:r>
          </w:p>
        </w:tc>
      </w:tr>
      <w:tr>
        <w:trPr>
          <w:trHeight w:val="297"/>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Canada ULC </w:t>
            </w:r>
            <w:r>
              <w:rPr>
                <w:rFonts w:ascii="Times New Roman" w:cs="Times New Roman" w:eastAsia="Times New Roman" w:hAnsi="Times New Roman"/>
                <w:sz w:val="22"/>
                <w:szCs w:val="22"/>
                <w:color w:val="auto"/>
                <w:vertAlign w:val="superscript"/>
              </w:rPr>
              <w:t>(1)</w:t>
            </w:r>
          </w:p>
        </w:tc>
        <w:tc>
          <w:tcPr>
            <w:tcW w:w="7260" w:type="dxa"/>
            <w:vAlign w:val="bottom"/>
          </w:tcPr>
          <w:p>
            <w:pPr>
              <w:spacing w:after="0"/>
              <w:rPr>
                <w:sz w:val="24"/>
                <w:szCs w:val="24"/>
                <w:color w:val="auto"/>
              </w:rPr>
            </w:pPr>
          </w:p>
        </w:tc>
      </w:tr>
      <w:tr>
        <w:trPr>
          <w:trHeight w:val="252"/>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Handsome Corporation</w:t>
            </w: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Men’s, women’s and children’s apparel, sportswear, socks and accessories and men’s and women’s</w:t>
            </w:r>
          </w:p>
        </w:tc>
      </w:tr>
      <w:tr>
        <w:trPr>
          <w:trHeight w:val="227"/>
        </w:trPr>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outerwear and golf products (South Korea)</w:t>
            </w:r>
          </w:p>
        </w:tc>
      </w:tr>
      <w:tr>
        <w:trPr>
          <w:trHeight w:val="39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MBF Holdings LLC</w:t>
            </w: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Men’s and women’s footwear (United States and Canada)</w:t>
            </w:r>
          </w:p>
        </w:tc>
      </w:tr>
      <w:tr>
        <w:trPr>
          <w:trHeight w:val="320"/>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Movado Group, Inc. / Swissam Products</w:t>
            </w: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Men’s and women’s watches and jewelry (worldwide)</w:t>
            </w:r>
          </w:p>
        </w:tc>
      </w:tr>
      <w:tr>
        <w:trPr>
          <w:trHeight w:val="227"/>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Limited</w:t>
            </w:r>
          </w:p>
        </w:tc>
        <w:tc>
          <w:tcPr>
            <w:tcW w:w="7260" w:type="dxa"/>
            <w:vAlign w:val="bottom"/>
          </w:tcPr>
          <w:p>
            <w:pPr>
              <w:spacing w:after="0"/>
              <w:rPr>
                <w:sz w:val="19"/>
                <w:szCs w:val="19"/>
                <w:color w:val="auto"/>
              </w:rPr>
            </w:pPr>
          </w:p>
        </w:tc>
      </w:tr>
      <w:tr>
        <w:trPr>
          <w:trHeight w:val="351"/>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Peerless Clothing International, Inc.</w:t>
            </w: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Men’s tailored clothing (United States, Canada and Mexico)</w:t>
            </w:r>
          </w:p>
        </w:tc>
      </w:tr>
      <w:tr>
        <w:trPr>
          <w:trHeight w:val="351"/>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Safilo S.p.A.</w:t>
            </w: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Men’s, women’s and children’s eyeglasses and non-ophthalmic sunglasses (worldwide, excluding India)</w:t>
            </w:r>
          </w:p>
        </w:tc>
      </w:tr>
      <w:tr>
        <w:trPr>
          <w:trHeight w:val="33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 Beauty SA</w:t>
            </w:r>
          </w:p>
        </w:tc>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Men’s and women’s fragrance (worldwide)</w:t>
            </w:r>
          </w:p>
        </w:tc>
      </w:tr>
      <w:tr>
        <w:trPr>
          <w:trHeight w:val="26"/>
        </w:trPr>
        <w:tc>
          <w:tcPr>
            <w:tcW w:w="3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r>
    </w:tbl>
    <w:p>
      <w:pPr>
        <w:spacing w:after="0" w:line="73" w:lineRule="exact"/>
        <w:rPr>
          <w:sz w:val="20"/>
          <w:szCs w:val="20"/>
          <w:color w:val="auto"/>
        </w:rPr>
      </w:pPr>
    </w:p>
    <w:p>
      <w:pPr>
        <w:ind w:left="240" w:right="400" w:hanging="236"/>
        <w:spacing w:after="0" w:line="235" w:lineRule="auto"/>
        <w:tabs>
          <w:tab w:leader="none" w:pos="25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As noted previously, we have been directly operating a significant portion of the businesses for the product categories previously licensed to G-III in the United States and Canada, and we intend to continue to directly operate a significant portion of these businesses as the license agreements expire, with the remainder being re-licensed to other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980" w:right="239" w:bottom="1440" w:gutter="0" w:footer="0" w:header="0"/>
        </w:sectPr>
      </w:pPr>
    </w:p>
    <w:bookmarkStart w:id="7" w:name="page8"/>
    <w:bookmarkEnd w:id="7"/>
    <w:p>
      <w:pPr>
        <w:ind w:right="40" w:firstLine="625"/>
        <w:spacing w:after="0" w:line="260" w:lineRule="auto"/>
        <w:rPr>
          <w:sz w:val="20"/>
          <w:szCs w:val="20"/>
          <w:color w:val="auto"/>
        </w:rPr>
      </w:pPr>
      <w:r>
        <w:rPr>
          <w:rFonts w:ascii="Times New Roman" w:cs="Times New Roman" w:eastAsia="Times New Roman" w:hAnsi="Times New Roman"/>
          <w:sz w:val="17"/>
          <w:szCs w:val="17"/>
          <w:color w:val="auto"/>
        </w:rPr>
        <w:t xml:space="preserve">Our EMEA segment includes the results of our Tommy Hilfiger wholesale and retail activities in EMEA. Our Americas segment includes the results of our Tommy Hilfiger wholesale and retail activities in the Americas, and our proportionate share of the net income or loss of our investments in our joint venture in Mexico and legwear joint venture in North America (“PVH Legwear”) relating to each joint venture’s Tommy Hilfiger business, and in our joint venture for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brand in Brazil. Our APAC segment includes the results of our Tommy Hilfiger wholesale and retail activities in APAC, and our proportionate share of the net income or loss of our investment in our joint venture in India, relating to the joint venture’s Tommy Hilfiger business. Our Licensing segment includes the results of our Tommy Hilfiger licensing activities relating to the use by third parties of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brand name for a broad range of product categories, as well as for certain territories. Please see Note 6, “Investments in Unconsolidated Affiliates,” in the Notes to Consolidated Financial Statements included in Item 8 of this report for further discussion of the Company’s joint ventures.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Calvin Klein Business Overview</w:t>
      </w:r>
    </w:p>
    <w:p>
      <w:pPr>
        <w:spacing w:after="0" w:line="247"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Calvin Klein </w:t>
      </w:r>
      <w:r>
        <w:rPr>
          <w:rFonts w:ascii="Times New Roman" w:cs="Times New Roman" w:eastAsia="Times New Roman" w:hAnsi="Times New Roman"/>
          <w:sz w:val="17"/>
          <w:szCs w:val="17"/>
          <w:color w:val="auto"/>
        </w:rPr>
        <w:t>is one of the world’s leading global fashion lifestyle brands, founded in New York in 1968. Shaped by a way of living that meets culture,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brand’s distinctive, modern aesthetic informs its approach to iconic product design and influential brand storytelling. Across underwear, jeans, apparel, accessories, home and fragrance, Calvin Klein creates essential pieces that translate the brand’s American fashion roots to an international audience. Global retail sales of products sold under the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including sales of our licensees’ products, were approximately $9 billion in 2025. Each of the brands has a distinct identity and position in the retail landscape, providing us the opportunity to market domestically and internationally a range of products at various price points, through multiple distribution channels and to different consumer groups.</w:t>
      </w:r>
    </w:p>
    <w:p>
      <w:pPr>
        <w:spacing w:after="0" w:line="198" w:lineRule="exact"/>
        <w:rPr>
          <w:sz w:val="20"/>
          <w:szCs w:val="20"/>
          <w:color w:val="auto"/>
        </w:rPr>
      </w:pPr>
    </w:p>
    <w:p>
      <w:pPr>
        <w:ind w:right="420" w:firstLine="625"/>
        <w:spacing w:after="0" w:line="263"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consist of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Calvin Klein Jeans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Calvin Klein Underwear, Calvin Klein Sport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 Collection</w:t>
      </w:r>
      <w:r>
        <w:rPr>
          <w:rFonts w:ascii="Times New Roman" w:cs="Times New Roman" w:eastAsia="Times New Roman" w:hAnsi="Times New Roman"/>
          <w:sz w:val="17"/>
          <w:szCs w:val="17"/>
          <w:color w:val="auto"/>
        </w:rPr>
        <w:t xml:space="preserve">. Products are sold globally in our stores, through our wholesale partners (in stores and online), through pure play digital commerce retailers and on </w:t>
      </w:r>
      <w:r>
        <w:rPr>
          <w:rFonts w:ascii="Times New Roman" w:cs="Times New Roman" w:eastAsia="Times New Roman" w:hAnsi="Times New Roman"/>
          <w:sz w:val="17"/>
          <w:szCs w:val="17"/>
          <w:i w:val="1"/>
          <w:iCs w:val="1"/>
          <w:color w:val="auto"/>
        </w:rPr>
        <w:t>calvinklein</w:t>
      </w:r>
      <w:r>
        <w:rPr>
          <w:rFonts w:ascii="Times New Roman" w:cs="Times New Roman" w:eastAsia="Times New Roman" w:hAnsi="Times New Roman"/>
          <w:sz w:val="17"/>
          <w:szCs w:val="17"/>
          <w:color w:val="auto"/>
        </w:rPr>
        <w:t>.com websites around the world, and principally consist of men’s and women’s sportswear, jeanswear, underwear, swimwear, footwear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accessories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products sold under the brands include those produced under license agreements with third parties for a broad range of lifestyle products, including fragrance, men’s and women’s apparel, home furnishings, footwear, eyewear, watches and jewelry in various countries and regions, as well as for certain territories.</w:t>
      </w:r>
    </w:p>
    <w:p>
      <w:pPr>
        <w:spacing w:after="0" w:line="198" w:lineRule="exact"/>
        <w:rPr>
          <w:sz w:val="20"/>
          <w:szCs w:val="20"/>
          <w:color w:val="auto"/>
        </w:rPr>
      </w:pPr>
    </w:p>
    <w:p>
      <w:pPr>
        <w:ind w:right="40" w:firstLine="625"/>
        <w:spacing w:after="0" w:line="269" w:lineRule="auto"/>
        <w:rPr>
          <w:sz w:val="20"/>
          <w:szCs w:val="20"/>
          <w:color w:val="auto"/>
        </w:rPr>
      </w:pPr>
      <w:r>
        <w:rPr>
          <w:rFonts w:ascii="Times New Roman" w:cs="Times New Roman" w:eastAsia="Times New Roman" w:hAnsi="Times New Roman"/>
          <w:sz w:val="17"/>
          <w:szCs w:val="17"/>
          <w:color w:val="auto"/>
        </w:rPr>
        <w:t xml:space="preserve">We, along with Calvin Klein’s licensees and other authorized users of the brands, advertise, market and promote the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globally. Calvin Klein’s global marketing and communications strategy is to bring together all facets of the consumer marketing experience. The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continue to generate compelling brand and cultural relevancy by continually evolving and driving consumer engagement. Marketing campaigns for the brand are focused across consumer touchpoints through global and regional brand ambassadors in the brand’s most essential offerings.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We sell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products in a variety of distribution channels, including:</w:t>
      </w:r>
    </w:p>
    <w:p>
      <w:pPr>
        <w:spacing w:after="0" w:line="247" w:lineRule="exact"/>
        <w:rPr>
          <w:sz w:val="20"/>
          <w:szCs w:val="20"/>
          <w:color w:val="auto"/>
        </w:rPr>
      </w:pPr>
    </w:p>
    <w:p>
      <w:pPr>
        <w:ind w:left="620" w:right="240" w:hanging="304"/>
        <w:spacing w:after="0" w:line="275" w:lineRule="auto"/>
        <w:tabs>
          <w:tab w:leader="none" w:pos="615" w:val="left"/>
        </w:tabs>
        <w:numPr>
          <w:ilvl w:val="0"/>
          <w:numId w:val="5"/>
        </w:numPr>
        <w:rPr>
          <w:rFonts w:ascii="Arial" w:cs="Arial" w:eastAsia="Arial" w:hAnsi="Arial"/>
          <w:sz w:val="17"/>
          <w:szCs w:val="17"/>
          <w:color w:val="auto"/>
        </w:rPr>
      </w:pPr>
      <w:r>
        <w:rPr>
          <w:rFonts w:ascii="Times New Roman" w:cs="Times New Roman" w:eastAsia="Times New Roman" w:hAnsi="Times New Roman"/>
          <w:sz w:val="17"/>
          <w:szCs w:val="17"/>
          <w:color w:val="auto"/>
        </w:rPr>
        <w:t xml:space="preserve">Wholesale — principally consists of the distribution and sale of products in EMEA, Americas and APAC under the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primarily to department and specialty stores (including their digital commerce operations), pure play digital commerce retailers, distributors and franchisees (primarily for EMEA and APAC), and warehouse clubs and off-price retailers (primarily for Americas).</w:t>
      </w:r>
    </w:p>
    <w:p>
      <w:pPr>
        <w:spacing w:after="0" w:line="185" w:lineRule="exact"/>
        <w:rPr>
          <w:rFonts w:ascii="Arial" w:cs="Arial" w:eastAsia="Arial" w:hAnsi="Arial"/>
          <w:sz w:val="17"/>
          <w:szCs w:val="17"/>
          <w:color w:val="auto"/>
        </w:rPr>
      </w:pPr>
    </w:p>
    <w:p>
      <w:pPr>
        <w:ind w:left="620" w:hanging="304"/>
        <w:spacing w:after="0" w:line="275" w:lineRule="auto"/>
        <w:tabs>
          <w:tab w:leader="none" w:pos="615" w:val="left"/>
        </w:tabs>
        <w:numPr>
          <w:ilvl w:val="0"/>
          <w:numId w:val="5"/>
        </w:numPr>
        <w:rPr>
          <w:rFonts w:ascii="Arial" w:cs="Arial" w:eastAsia="Arial" w:hAnsi="Arial"/>
          <w:sz w:val="17"/>
          <w:szCs w:val="17"/>
          <w:color w:val="auto"/>
        </w:rPr>
      </w:pPr>
      <w:r>
        <w:rPr>
          <w:rFonts w:ascii="Times New Roman" w:cs="Times New Roman" w:eastAsia="Times New Roman" w:hAnsi="Times New Roman"/>
          <w:sz w:val="17"/>
          <w:szCs w:val="17"/>
          <w:color w:val="auto"/>
        </w:rPr>
        <w:t xml:space="preserve">Retail — principally consists of the distribution and sale of products under the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in our stores in EMEA, Americas and APAC, as well as on the </w:t>
      </w:r>
      <w:r>
        <w:rPr>
          <w:rFonts w:ascii="Times New Roman" w:cs="Times New Roman" w:eastAsia="Times New Roman" w:hAnsi="Times New Roman"/>
          <w:sz w:val="17"/>
          <w:szCs w:val="17"/>
          <w:i w:val="1"/>
          <w:iCs w:val="1"/>
          <w:color w:val="auto"/>
        </w:rPr>
        <w:t>calvinklein</w:t>
      </w:r>
      <w:r>
        <w:rPr>
          <w:rFonts w:ascii="Times New Roman" w:cs="Times New Roman" w:eastAsia="Times New Roman" w:hAnsi="Times New Roman"/>
          <w:sz w:val="17"/>
          <w:szCs w:val="17"/>
          <w:color w:val="auto"/>
        </w:rPr>
        <w:t>.com sites we operate in these regions. In EMEA and APAC, we operate full-price stores, outlet stores and concession locations. In Americas, our stores are primarily located in premium outlet centers and, to a lesser extent, in full price and other channels.</w:t>
      </w:r>
    </w:p>
    <w:p>
      <w:pPr>
        <w:spacing w:after="0" w:line="185" w:lineRule="exact"/>
        <w:rPr>
          <w:rFonts w:ascii="Arial" w:cs="Arial" w:eastAsia="Arial" w:hAnsi="Arial"/>
          <w:sz w:val="17"/>
          <w:szCs w:val="17"/>
          <w:color w:val="auto"/>
        </w:rPr>
      </w:pPr>
    </w:p>
    <w:p>
      <w:pPr>
        <w:ind w:left="620" w:right="20" w:hanging="304"/>
        <w:spacing w:after="0" w:line="269" w:lineRule="auto"/>
        <w:tabs>
          <w:tab w:leader="none" w:pos="6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Licensing — we license the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throughout the world in connection with a broad array of product categories. In these arrangements, Calvin Klein combines its design, marketing and branding skills with the specific manufacturing, distribution and geographic capabilities of its partners to develop, market and distribute these goods, most of which are subject to our prior approval and continuing oversight. Calvin Klein has approximately 30 licensing and other arrangements across the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The arrangements generally are exclusive to a territory or product category.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8" w:name="page9"/>
    <w:bookmarkEnd w:id="8"/>
    <w:p>
      <w:pPr>
        <w:ind w:left="620"/>
        <w:spacing w:after="0"/>
        <w:rPr>
          <w:sz w:val="20"/>
          <w:szCs w:val="20"/>
          <w:color w:val="auto"/>
        </w:rPr>
      </w:pPr>
      <w:r>
        <w:rPr>
          <w:rFonts w:ascii="Times New Roman" w:cs="Times New Roman" w:eastAsia="Times New Roman" w:hAnsi="Times New Roman"/>
          <w:sz w:val="17"/>
          <w:szCs w:val="17"/>
          <w:color w:val="auto"/>
        </w:rPr>
        <w:t>Calvin Klein’s key licensees, and the products and territories currently licensed by them include:</w:t>
      </w:r>
    </w:p>
    <w:p>
      <w:pPr>
        <w:spacing w:after="0" w:line="50" w:lineRule="exact"/>
        <w:rPr>
          <w:sz w:val="20"/>
          <w:szCs w:val="20"/>
          <w:color w:val="auto"/>
        </w:rPr>
      </w:pPr>
    </w:p>
    <w:tbl>
      <w:tblPr>
        <w:tblLayout w:type="fixed"/>
        <w:tblInd w:w="620" w:type="dxa"/>
        <w:tblCellMar>
          <w:top w:w="0" w:type="dxa"/>
          <w:left w:w="0" w:type="dxa"/>
          <w:bottom w:w="0" w:type="dxa"/>
          <w:right w:w="0" w:type="dxa"/>
        </w:tblCellMar>
      </w:tblP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Licensee</w:t>
            </w: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Product Category and Territory</w:t>
            </w:r>
          </w:p>
        </w:tc>
      </w:tr>
      <w:tr>
        <w:trPr>
          <w:trHeight w:val="26"/>
        </w:trPr>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r>
      <w:tr>
        <w:trPr>
          <w:trHeight w:val="274"/>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American Designer Fashion, S.A.</w:t>
            </w: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Men’s and women’s apparel (including close-to-body), footwear and accessories and children’s apparel,</w:t>
            </w:r>
          </w:p>
        </w:tc>
      </w:tr>
      <w:tr>
        <w:trPr>
          <w:trHeight w:val="227"/>
        </w:trPr>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footwear and accessories (Central America, South America (excluding Brazil) and the Caribbean)</w:t>
            </w:r>
          </w:p>
        </w:tc>
      </w:tr>
      <w:tr>
        <w:trPr>
          <w:trHeight w:val="351"/>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Coty Inc.</w:t>
            </w: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Men’s and women’s fragrance (worldwide)</w:t>
            </w:r>
          </w:p>
        </w:tc>
      </w:tr>
      <w:tr>
        <w:trPr>
          <w:trHeight w:val="32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F&amp;T Apparel LLC, KHQ Investment LLC and</w:t>
            </w: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Children’s jeanswear and certain performance wear (United States and Canada)</w:t>
            </w:r>
          </w:p>
        </w:tc>
      </w:tr>
      <w:tr>
        <w:trPr>
          <w:trHeight w:val="22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Centric Canada Apparel &amp; Accessories ULC</w:t>
            </w:r>
          </w:p>
        </w:tc>
        <w:tc>
          <w:tcPr>
            <w:tcW w:w="7200" w:type="dxa"/>
            <w:vAlign w:val="bottom"/>
          </w:tcPr>
          <w:p>
            <w:pPr>
              <w:spacing w:after="0"/>
              <w:rPr>
                <w:sz w:val="19"/>
                <w:szCs w:val="19"/>
                <w:color w:val="auto"/>
              </w:rPr>
            </w:pPr>
          </w:p>
        </w:tc>
      </w:tr>
      <w:tr>
        <w:trPr>
          <w:trHeight w:val="31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G-III Apparel Group, Ltd. / G-III Apparel</w:t>
            </w: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Women’s suits, dresses, handbags and small leather goods, luggage and men’s and women’s swimwear</w:t>
            </w:r>
          </w:p>
        </w:tc>
      </w:tr>
      <w:tr>
        <w:trPr>
          <w:trHeight w:val="198"/>
        </w:trPr>
        <w:tc>
          <w:tcPr>
            <w:tcW w:w="35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7"/>
                <w:szCs w:val="17"/>
                <w:color w:val="auto"/>
              </w:rPr>
              <w:t xml:space="preserve">Canada ULC </w:t>
            </w:r>
            <w:r>
              <w:rPr>
                <w:rFonts w:ascii="Times New Roman" w:cs="Times New Roman" w:eastAsia="Times New Roman" w:hAnsi="Times New Roman"/>
                <w:sz w:val="22"/>
                <w:szCs w:val="22"/>
                <w:color w:val="auto"/>
                <w:vertAlign w:val="superscript"/>
              </w:rPr>
              <w:t>(1)</w:t>
            </w: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 and Canada with luggage jurisdictions including certain countries in Europe, Asia and</w:t>
            </w:r>
          </w:p>
        </w:tc>
      </w:tr>
      <w:tr>
        <w:trPr>
          <w:trHeight w:val="227"/>
        </w:trPr>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elsewhere)</w:t>
            </w:r>
          </w:p>
        </w:tc>
      </w:tr>
      <w:tr>
        <w:trPr>
          <w:trHeight w:val="351"/>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MBF Holdings LLC</w:t>
            </w: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Men’s and women’s footwear (United States and Canada)</w:t>
            </w:r>
          </w:p>
        </w:tc>
      </w:tr>
      <w:tr>
        <w:trPr>
          <w:trHeight w:val="351"/>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Marchon Eyewear, Inc.</w:t>
            </w: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Men’s and women’s optical frames and sunglasses (worldwide)</w:t>
            </w:r>
          </w:p>
        </w:tc>
      </w:tr>
      <w:tr>
        <w:trPr>
          <w:trHeight w:val="32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Movado Group, Inc. / Swissam Products</w:t>
            </w: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Men’s and women’s watches and jewelry (worldwide)</w:t>
            </w:r>
          </w:p>
        </w:tc>
      </w:tr>
      <w:tr>
        <w:trPr>
          <w:trHeight w:val="22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Limited</w:t>
            </w:r>
          </w:p>
        </w:tc>
        <w:tc>
          <w:tcPr>
            <w:tcW w:w="7200" w:type="dxa"/>
            <w:vAlign w:val="bottom"/>
          </w:tcPr>
          <w:p>
            <w:pPr>
              <w:spacing w:after="0"/>
              <w:rPr>
                <w:sz w:val="19"/>
                <w:szCs w:val="19"/>
                <w:color w:val="auto"/>
              </w:rPr>
            </w:pPr>
          </w:p>
        </w:tc>
      </w:tr>
      <w:tr>
        <w:trPr>
          <w:trHeight w:val="351"/>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Peerless Clothing International, Inc.</w:t>
            </w: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Men’s tailored clothing (United States, Canada and Mexico)</w:t>
            </w:r>
          </w:p>
        </w:tc>
      </w:tr>
      <w:tr>
        <w:trPr>
          <w:trHeight w:val="216"/>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Randa Accessories Leather Goods LLC</w:t>
            </w: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Men’s, women’s and children’s belts, men’s and boys’ suspenders and men’s small leather goods (Unite</w:t>
            </w:r>
          </w:p>
        </w:tc>
      </w:tr>
      <w:tr>
        <w:trPr>
          <w:trHeight w:val="227"/>
        </w:trPr>
        <w:tc>
          <w:tcPr>
            <w:tcW w:w="3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States and Canada). Men’s and boys’ neckwear (United States, Canada and Mexico).</w:t>
            </w:r>
          </w:p>
        </w:tc>
      </w:tr>
      <w:tr>
        <w:trPr>
          <w:trHeight w:val="26"/>
        </w:trPr>
        <w:tc>
          <w:tcPr>
            <w:tcW w:w="3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r>
    </w:tbl>
    <w:p>
      <w:pPr>
        <w:spacing w:after="0" w:line="73" w:lineRule="exact"/>
        <w:rPr>
          <w:sz w:val="20"/>
          <w:szCs w:val="20"/>
          <w:color w:val="auto"/>
        </w:rPr>
      </w:pPr>
    </w:p>
    <w:p>
      <w:pPr>
        <w:ind w:left="240" w:right="400" w:hanging="236"/>
        <w:spacing w:after="0" w:line="235" w:lineRule="auto"/>
        <w:tabs>
          <w:tab w:leader="none" w:pos="25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As noted previously, we have been directly operating a significant portion of the businesses for the product categories previously licensed to G-III in the United States and Canada, and we intend to continue to directly operate a significant portion of these businesses as the license agreements expire, with the remainder being re-licensed to other third parties.</w:t>
      </w:r>
    </w:p>
    <w:p>
      <w:pPr>
        <w:spacing w:after="0" w:line="217" w:lineRule="exact"/>
        <w:rPr>
          <w:sz w:val="20"/>
          <w:szCs w:val="20"/>
          <w:color w:val="auto"/>
        </w:rPr>
      </w:pPr>
    </w:p>
    <w:p>
      <w:pPr>
        <w:ind w:right="180" w:firstLine="625"/>
        <w:spacing w:after="0" w:line="261" w:lineRule="auto"/>
        <w:rPr>
          <w:sz w:val="20"/>
          <w:szCs w:val="20"/>
          <w:color w:val="auto"/>
        </w:rPr>
      </w:pPr>
      <w:r>
        <w:rPr>
          <w:rFonts w:ascii="Times New Roman" w:cs="Times New Roman" w:eastAsia="Times New Roman" w:hAnsi="Times New Roman"/>
          <w:sz w:val="17"/>
          <w:szCs w:val="17"/>
          <w:color w:val="auto"/>
        </w:rPr>
        <w:t xml:space="preserve">Our EMEA segment includes the results of our Calvin Klein wholesale and retail activities in EMEA. Our Americas segment includes the results of our Calvin Klein wholesale and retail activities in the Americas, and our proportionate share of the net income or loss of our investments in our joint venture in Mexico and in PVH Legwear, relating to each joint venture’s Calvin Klein business. Our APAC segment includes the results of our Calvin Klein wholesale and retail activities in APAC, and our proportionate share of the net income or loss of our investment in our joint venture in India, relating to the joint venture’s Calvin Klein business. Our Licensing segment includes the results of our Calvin Klein licensing activities relating to the use by third parties of the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 name for a broad range of product categories, as well as for certain territories. Please see Note 6, “Investments in Unconsolidated Affiliates,” in the Notes to Consolidated Financial Statements included in Item 8 of this report for further discussion of the Company’s joint ventures.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Heritage Brands Business Overview</w:t>
      </w:r>
    </w:p>
    <w:p>
      <w:pPr>
        <w:spacing w:after="0" w:line="247" w:lineRule="exact"/>
        <w:rPr>
          <w:sz w:val="20"/>
          <w:szCs w:val="20"/>
          <w:color w:val="auto"/>
        </w:rPr>
      </w:pPr>
    </w:p>
    <w:p>
      <w:pPr>
        <w:jc w:val="both"/>
        <w:ind w:right="340" w:firstLine="625"/>
        <w:spacing w:after="0" w:line="275" w:lineRule="auto"/>
        <w:rPr>
          <w:sz w:val="20"/>
          <w:szCs w:val="20"/>
          <w:color w:val="auto"/>
        </w:rPr>
      </w:pPr>
      <w:r>
        <w:rPr>
          <w:rFonts w:ascii="Times New Roman" w:cs="Times New Roman" w:eastAsia="Times New Roman" w:hAnsi="Times New Roman"/>
          <w:sz w:val="17"/>
          <w:szCs w:val="17"/>
          <w:color w:val="auto"/>
        </w:rPr>
        <w:t xml:space="preserve">Our Heritage Brands business consists of the design, sourcing and marketing of a selection of men’s underwear under the </w:t>
      </w:r>
      <w:r>
        <w:rPr>
          <w:rFonts w:ascii="Times New Roman" w:cs="Times New Roman" w:eastAsia="Times New Roman" w:hAnsi="Times New Roman"/>
          <w:sz w:val="17"/>
          <w:szCs w:val="17"/>
          <w:i w:val="1"/>
          <w:iCs w:val="1"/>
          <w:color w:val="auto"/>
        </w:rPr>
        <w:t>Nike</w:t>
      </w:r>
      <w:r>
        <w:rPr>
          <w:rFonts w:ascii="Times New Roman" w:cs="Times New Roman" w:eastAsia="Times New Roman" w:hAnsi="Times New Roman"/>
          <w:sz w:val="17"/>
          <w:szCs w:val="17"/>
          <w:color w:val="auto"/>
        </w:rPr>
        <w:t xml:space="preserve"> brand and men’s dress shirts under </w:t>
      </w:r>
      <w:r>
        <w:rPr>
          <w:rFonts w:ascii="Times New Roman" w:cs="Times New Roman" w:eastAsia="Times New Roman" w:hAnsi="Times New Roman"/>
          <w:sz w:val="17"/>
          <w:szCs w:val="17"/>
          <w:i w:val="1"/>
          <w:iCs w:val="1"/>
          <w:color w:val="auto"/>
        </w:rPr>
        <w:t>Van Heusen</w:t>
      </w:r>
      <w:r>
        <w:rPr>
          <w:rFonts w:ascii="Times New Roman" w:cs="Times New Roman" w:eastAsia="Times New Roman" w:hAnsi="Times New Roman"/>
          <w:sz w:val="17"/>
          <w:szCs w:val="17"/>
          <w:color w:val="auto"/>
        </w:rPr>
        <w:t xml:space="preserve"> and other licensed brand names. This business included until November 27, 2023, when we completed the Heritage Brands intimates transaction, the design, sourcing and marketing of a varied selection of women’s intimate apparel under the </w:t>
      </w:r>
      <w:r>
        <w:rPr>
          <w:rFonts w:ascii="Times New Roman" w:cs="Times New Roman" w:eastAsia="Times New Roman" w:hAnsi="Times New Roman"/>
          <w:sz w:val="17"/>
          <w:szCs w:val="17"/>
          <w:i w:val="1"/>
          <w:iCs w:val="1"/>
          <w:color w:val="auto"/>
        </w:rPr>
        <w:t>Warner’s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Olga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True&amp;Co.</w:t>
      </w:r>
      <w:r>
        <w:rPr>
          <w:rFonts w:ascii="Times New Roman" w:cs="Times New Roman" w:eastAsia="Times New Roman" w:hAnsi="Times New Roman"/>
          <w:sz w:val="17"/>
          <w:szCs w:val="17"/>
          <w:color w:val="auto"/>
        </w:rPr>
        <w:t xml:space="preserve"> brands.</w:t>
      </w:r>
    </w:p>
    <w:p>
      <w:pPr>
        <w:spacing w:after="0" w:line="187" w:lineRule="exact"/>
        <w:rPr>
          <w:sz w:val="20"/>
          <w:szCs w:val="20"/>
          <w:color w:val="auto"/>
        </w:rPr>
      </w:pPr>
    </w:p>
    <w:p>
      <w:pPr>
        <w:ind w:right="300" w:firstLine="625"/>
        <w:spacing w:after="0" w:line="262" w:lineRule="auto"/>
        <w:rPr>
          <w:sz w:val="20"/>
          <w:szCs w:val="20"/>
          <w:color w:val="auto"/>
        </w:rPr>
      </w:pPr>
      <w:r>
        <w:rPr>
          <w:rFonts w:ascii="Times New Roman" w:cs="Times New Roman" w:eastAsia="Times New Roman" w:hAnsi="Times New Roman"/>
          <w:sz w:val="17"/>
          <w:szCs w:val="17"/>
          <w:color w:val="auto"/>
        </w:rPr>
        <w:t xml:space="preserve">Our EMEA segment includes the results of our Heritage Brands wholesale activities in EMEA primarily under the </w:t>
      </w:r>
      <w:r>
        <w:rPr>
          <w:rFonts w:ascii="Times New Roman" w:cs="Times New Roman" w:eastAsia="Times New Roman" w:hAnsi="Times New Roman"/>
          <w:sz w:val="17"/>
          <w:szCs w:val="17"/>
          <w:i w:val="1"/>
          <w:iCs w:val="1"/>
          <w:color w:val="auto"/>
        </w:rPr>
        <w:t>Nike</w:t>
      </w:r>
      <w:r>
        <w:rPr>
          <w:rFonts w:ascii="Times New Roman" w:cs="Times New Roman" w:eastAsia="Times New Roman" w:hAnsi="Times New Roman"/>
          <w:sz w:val="17"/>
          <w:szCs w:val="17"/>
          <w:color w:val="auto"/>
        </w:rPr>
        <w:t xml:space="preserve"> brand. Our Americas segment includes the results of our Heritage Brands wholesale activities in the Americas through department, chain and specialty stores, warehouse clubs, mass market and off-price retailers (in stores and online), and pure play digital commerce retailers. This segment also includes our proportionate share of the net income or loss of our investments in our joint venture in Mexico and in PVH Legwear relating to each joint venture’s Heritage Brands business. Our APAC segment includes the results of our Heritage Brands wholesale activities in Australia, primarily under the </w:t>
      </w:r>
      <w:r>
        <w:rPr>
          <w:rFonts w:ascii="Times New Roman" w:cs="Times New Roman" w:eastAsia="Times New Roman" w:hAnsi="Times New Roman"/>
          <w:sz w:val="17"/>
          <w:szCs w:val="17"/>
          <w:i w:val="1"/>
          <w:iCs w:val="1"/>
          <w:color w:val="auto"/>
        </w:rPr>
        <w:t>Van Heusen</w:t>
      </w:r>
      <w:r>
        <w:rPr>
          <w:rFonts w:ascii="Times New Roman" w:cs="Times New Roman" w:eastAsia="Times New Roman" w:hAnsi="Times New Roman"/>
          <w:sz w:val="17"/>
          <w:szCs w:val="17"/>
          <w:color w:val="auto"/>
        </w:rPr>
        <w:t xml:space="preserve"> brand. Please see Note 6, “Investments in Unconsolidated Affiliates,” in the Notes to Consolidated Financial Statements included in Item 8 of this report for further discussion of the Company’s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980"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Our Business Strategy</w:t>
      </w:r>
    </w:p>
    <w:p>
      <w:pPr>
        <w:spacing w:after="0" w:line="247" w:lineRule="exact"/>
        <w:rPr>
          <w:sz w:val="20"/>
          <w:szCs w:val="20"/>
          <w:color w:val="auto"/>
        </w:rPr>
      </w:pPr>
    </w:p>
    <w:p>
      <w:pPr>
        <w:ind w:right="120" w:firstLine="625"/>
        <w:spacing w:after="0" w:line="296" w:lineRule="auto"/>
        <w:rPr>
          <w:sz w:val="20"/>
          <w:szCs w:val="20"/>
          <w:color w:val="auto"/>
        </w:rPr>
      </w:pPr>
      <w:r>
        <w:rPr>
          <w:rFonts w:ascii="Times New Roman" w:cs="Times New Roman" w:eastAsia="Times New Roman" w:hAnsi="Times New Roman"/>
          <w:sz w:val="17"/>
          <w:szCs w:val="17"/>
          <w:color w:val="auto"/>
        </w:rPr>
        <w:t xml:space="preserve">The PVH+ Plan is our multi-year, strategic plan to build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into the most desirable lifestyle brands in the world and make PVH the leading brand building group in our sector. The PVH+ Plan is executed through five key growth drivers:</w:t>
      </w:r>
    </w:p>
    <w:p>
      <w:pPr>
        <w:spacing w:after="0" w:line="168" w:lineRule="exact"/>
        <w:rPr>
          <w:sz w:val="20"/>
          <w:szCs w:val="20"/>
          <w:color w:val="auto"/>
        </w:rPr>
      </w:pPr>
    </w:p>
    <w:p>
      <w:pPr>
        <w:ind w:left="620" w:hanging="304"/>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Win with the best product </w:t>
      </w:r>
      <w:r>
        <w:rPr>
          <w:rFonts w:ascii="Times New Roman" w:cs="Times New Roman" w:eastAsia="Times New Roman" w:hAnsi="Times New Roman"/>
          <w:sz w:val="17"/>
          <w:szCs w:val="17"/>
          <w:color w:val="auto"/>
        </w:rPr>
        <w:t>by advancing our category offense with the best hero products and most relevant newness in the market.</w:t>
      </w:r>
    </w:p>
    <w:p>
      <w:pPr>
        <w:spacing w:after="0" w:line="246" w:lineRule="exact"/>
        <w:rPr>
          <w:rFonts w:ascii="Times New Roman" w:cs="Times New Roman" w:eastAsia="Times New Roman" w:hAnsi="Times New Roman"/>
          <w:sz w:val="17"/>
          <w:szCs w:val="17"/>
          <w:color w:val="auto"/>
        </w:rPr>
      </w:pPr>
    </w:p>
    <w:p>
      <w:pPr>
        <w:ind w:left="620" w:right="640" w:hanging="304"/>
        <w:spacing w:after="0" w:line="296" w:lineRule="auto"/>
        <w:tabs>
          <w:tab w:leader="none" w:pos="6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Win with the best consumer engagement</w:t>
      </w:r>
      <w:r>
        <w:rPr>
          <w:rFonts w:ascii="Times New Roman" w:cs="Times New Roman" w:eastAsia="Times New Roman" w:hAnsi="Times New Roman"/>
          <w:sz w:val="17"/>
          <w:szCs w:val="17"/>
          <w:color w:val="auto"/>
        </w:rPr>
        <w:t>, connecting our hero products with culturally relevant, aspirational talent by developing cut-through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campaigns, igniting the power of our influencer engine and elevating the consumer experience at every touchpoint.</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Win in the digitally-led marketplace </w:t>
      </w:r>
      <w:r>
        <w:rPr>
          <w:rFonts w:ascii="Times New Roman" w:cs="Times New Roman" w:eastAsia="Times New Roman" w:hAnsi="Times New Roman"/>
          <w:sz w:val="17"/>
          <w:szCs w:val="17"/>
          <w:color w:val="auto"/>
        </w:rPr>
        <w:t>by growing our direct-to-consumer channels and key wholesale partnerships.</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Develop a demand- and data-driven operating model </w:t>
      </w:r>
      <w:r>
        <w:rPr>
          <w:rFonts w:ascii="Times New Roman" w:cs="Times New Roman" w:eastAsia="Times New Roman" w:hAnsi="Times New Roman"/>
          <w:sz w:val="17"/>
          <w:szCs w:val="17"/>
          <w:color w:val="auto"/>
        </w:rPr>
        <w:t>by connecting the planning, buying and selling of inventory closer to demand.</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Drive efficiencies and invest in growth </w:t>
      </w:r>
      <w:r>
        <w:rPr>
          <w:rFonts w:ascii="Times New Roman" w:cs="Times New Roman" w:eastAsia="Times New Roman" w:hAnsi="Times New Roman"/>
          <w:sz w:val="17"/>
          <w:szCs w:val="17"/>
          <w:color w:val="auto"/>
        </w:rPr>
        <w:t>while improving our cost competitiveness.</w:t>
      </w:r>
    </w:p>
    <w:p>
      <w:pPr>
        <w:spacing w:after="0" w:line="249" w:lineRule="exact"/>
        <w:rPr>
          <w:sz w:val="20"/>
          <w:szCs w:val="20"/>
          <w:color w:val="auto"/>
        </w:rPr>
      </w:pPr>
    </w:p>
    <w:p>
      <w:pPr>
        <w:ind w:firstLine="625"/>
        <w:spacing w:after="0" w:line="293" w:lineRule="auto"/>
        <w:rPr>
          <w:sz w:val="20"/>
          <w:szCs w:val="20"/>
          <w:color w:val="auto"/>
        </w:rPr>
      </w:pPr>
      <w:r>
        <w:rPr>
          <w:rFonts w:ascii="Times New Roman" w:cs="Times New Roman" w:eastAsia="Times New Roman" w:hAnsi="Times New Roman"/>
          <w:sz w:val="17"/>
          <w:szCs w:val="17"/>
          <w:color w:val="auto"/>
        </w:rPr>
        <w:t>These five foundational growth drivers apply to each of our businesses and are activated in the regions to meet the unique expectations of our consumers around the world.</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Additional Strategic Opportunities</w:t>
      </w:r>
    </w:p>
    <w:p>
      <w:pPr>
        <w:spacing w:after="0" w:line="249" w:lineRule="exact"/>
        <w:rPr>
          <w:sz w:val="20"/>
          <w:szCs w:val="20"/>
          <w:color w:val="auto"/>
        </w:rPr>
      </w:pPr>
    </w:p>
    <w:p>
      <w:pPr>
        <w:ind w:right="100" w:firstLine="625"/>
        <w:spacing w:after="0" w:line="265" w:lineRule="auto"/>
        <w:rPr>
          <w:sz w:val="20"/>
          <w:szCs w:val="20"/>
          <w:color w:val="auto"/>
        </w:rPr>
      </w:pPr>
      <w:r>
        <w:rPr>
          <w:rFonts w:ascii="Times New Roman" w:cs="Times New Roman" w:eastAsia="Times New Roman" w:hAnsi="Times New Roman"/>
          <w:sz w:val="17"/>
          <w:szCs w:val="17"/>
          <w:color w:val="auto"/>
        </w:rPr>
        <w:t xml:space="preserve">Our strategic focus is on building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As a result, we may seek to acquire licensed businesses and other opportunities to strengthen our management and oversight of our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such as allowing license agreements to expire in order to operate the businesses directly or with other partners. We also explore strategic acquisitions of trademarks and companies and opportunities to license third party trademarks that we believe are additive to our overall business. These benefits could include product category, platform capability expertise, brand positioning and design perspective needs.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49"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Our business generally follows a seasonal pattern. Our wholesale businesses tend to generate higher levels of sales in the first and third quarters, while our direct-to-consumer businesses tend to generate higher levels of sales in the fourth quarter. Licensing revenue tends to be earned somewhat evenly throughout the year, although the third quarter tends to have the highest level of revenue due to higher sales by licensees in advance of the holiday selling season. Working capital requirements vary throughout the year to support these seasonal patterns and business trends.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Design and Merchandising</w:t>
      </w:r>
    </w:p>
    <w:p>
      <w:pPr>
        <w:spacing w:after="0" w:line="249" w:lineRule="exact"/>
        <w:rPr>
          <w:sz w:val="20"/>
          <w:szCs w:val="20"/>
          <w:color w:val="auto"/>
        </w:rPr>
      </w:pPr>
    </w:p>
    <w:p>
      <w:pPr>
        <w:ind w:right="180" w:firstLine="625"/>
        <w:spacing w:after="0" w:line="268" w:lineRule="auto"/>
        <w:rPr>
          <w:sz w:val="20"/>
          <w:szCs w:val="20"/>
          <w:color w:val="auto"/>
        </w:rPr>
      </w:pPr>
      <w:r>
        <w:rPr>
          <w:rFonts w:ascii="Times New Roman" w:cs="Times New Roman" w:eastAsia="Times New Roman" w:hAnsi="Times New Roman"/>
          <w:sz w:val="17"/>
          <w:szCs w:val="17"/>
          <w:color w:val="auto"/>
        </w:rPr>
        <w:t>Our business relies on our ability to respond to consumer tastes and demands, while adhering to the DNA of our brands, providing competitive quality and sustainability in our products, and offering a compelling price/value proposition where our products are sold. Central to this is our global design mission to create an elevated, unified vision that connects fashion and culture with our target consumers. We craft standout products that differentiate our brands from competitors and support long-term business growth.</w:t>
      </w:r>
    </w:p>
    <w:p>
      <w:pPr>
        <w:spacing w:after="0" w:line="194" w:lineRule="exact"/>
        <w:rPr>
          <w:sz w:val="20"/>
          <w:szCs w:val="20"/>
          <w:color w:val="auto"/>
        </w:rPr>
      </w:pPr>
    </w:p>
    <w:p>
      <w:pPr>
        <w:ind w:right="80" w:firstLine="625"/>
        <w:spacing w:after="0" w:line="261" w:lineRule="auto"/>
        <w:rPr>
          <w:sz w:val="20"/>
          <w:szCs w:val="20"/>
          <w:color w:val="auto"/>
        </w:rPr>
      </w:pPr>
      <w:r>
        <w:rPr>
          <w:rFonts w:ascii="Times New Roman" w:cs="Times New Roman" w:eastAsia="Times New Roman" w:hAnsi="Times New Roman"/>
          <w:sz w:val="17"/>
          <w:szCs w:val="17"/>
          <w:color w:val="auto"/>
        </w:rPr>
        <w:t>Our in-house design teams, together with our merchandising teams, are significant contributors to the continued strength of our brands. Each of our branded businesses employs its own team of designers and merchandisers that are responsible for conceptualizing and implementing the design direction for the brand across the consumer touchpoints of product, stores and marketing. Designers have access to the brands’ extensive archives of product designs, which are a valuable resource for new product concepts. Our designers collaborate with merchandising teams that analyze sales, market trends and consumer preferences to identify market opportunities that help guide each season’s design process and create a globally relevant product assortment. Leveraging our strategic investments in data and analytics tools, merchandisers are able to gain a deeper understanding of customer behavior that empowers our teams to respond to changes in consumer preferences and demand, as well as scale opportunities across brands with greater speed and efficiency. Our merchandising teams manage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0" w:name="page11"/>
    <w:bookmarkEnd w:id="10"/>
    <w:p>
      <w:pPr>
        <w:ind w:right="100"/>
        <w:spacing w:after="0" w:line="274" w:lineRule="auto"/>
        <w:rPr>
          <w:sz w:val="20"/>
          <w:szCs w:val="20"/>
          <w:color w:val="auto"/>
        </w:rPr>
      </w:pPr>
      <w:r>
        <w:rPr>
          <w:rFonts w:ascii="Times New Roman" w:cs="Times New Roman" w:eastAsia="Times New Roman" w:hAnsi="Times New Roman"/>
          <w:sz w:val="17"/>
          <w:szCs w:val="17"/>
          <w:color w:val="auto"/>
        </w:rPr>
        <w:t>product life cycle to maximize sales and profitability across all channels. In an effort to keep our brands relevant, our teams also work with other brands and key collaborators to design and merchandise brand collaborations. These collaborations are intended to drive brand heat and product relevance with our target consumers.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Sourcing</w:t>
      </w:r>
    </w:p>
    <w:p>
      <w:pPr>
        <w:spacing w:after="0" w:line="249" w:lineRule="exact"/>
        <w:rPr>
          <w:sz w:val="20"/>
          <w:szCs w:val="20"/>
          <w:color w:val="auto"/>
        </w:rPr>
      </w:pPr>
    </w:p>
    <w:p>
      <w:pPr>
        <w:jc w:val="both"/>
        <w:ind w:right="400" w:firstLine="625"/>
        <w:spacing w:after="0" w:line="274" w:lineRule="auto"/>
        <w:rPr>
          <w:sz w:val="20"/>
          <w:szCs w:val="20"/>
          <w:color w:val="auto"/>
        </w:rPr>
      </w:pPr>
      <w:r>
        <w:rPr>
          <w:rFonts w:ascii="Times New Roman" w:cs="Times New Roman" w:eastAsia="Times New Roman" w:hAnsi="Times New Roman"/>
          <w:sz w:val="17"/>
          <w:szCs w:val="17"/>
          <w:color w:val="auto"/>
        </w:rPr>
        <w:t>We have an extensive established network of worldwide sourcing partners that enables us to meet our customers’ needs without relying on any one vendor or factory or on vendors or factories in any one country. Our products were produced in approximately 1,000 factories in approximately 30 countries during 2025. All of these factories were operated by independent manufacturers, with most located in Asia.</w:t>
      </w:r>
    </w:p>
    <w:p>
      <w:pPr>
        <w:spacing w:after="0" w:line="189"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We primarily source finished products consisting of manufactured and fully assembled products ready for shipment to our customers and our stores. Finished product commitments are generally made two to six months prior to production. We believe that an ample number of alternative suppliers exist should we need to secure additional or replacement production capacity. We also work with vertical suppliers (companies that control multiple stages of the garment production process), resulting in shorter lead times, providing us with the flexibility to react more quickly to changing business needs. Additionally, we maintain strategic partnerships with suppliers of components, such as fabric and trim, to maintain the quality and aesthetic of our brands.</w:t>
      </w:r>
    </w:p>
    <w:p>
      <w:pPr>
        <w:spacing w:after="0" w:line="196" w:lineRule="exact"/>
        <w:rPr>
          <w:sz w:val="20"/>
          <w:szCs w:val="20"/>
          <w:color w:val="auto"/>
        </w:rPr>
      </w:pPr>
    </w:p>
    <w:p>
      <w:pPr>
        <w:ind w:right="160" w:firstLine="625"/>
        <w:spacing w:after="0" w:line="265" w:lineRule="auto"/>
        <w:rPr>
          <w:sz w:val="20"/>
          <w:szCs w:val="20"/>
          <w:color w:val="auto"/>
        </w:rPr>
      </w:pPr>
      <w:r>
        <w:rPr>
          <w:rFonts w:ascii="Times New Roman" w:cs="Times New Roman" w:eastAsia="Times New Roman" w:hAnsi="Times New Roman"/>
          <w:sz w:val="17"/>
          <w:szCs w:val="17"/>
          <w:color w:val="auto"/>
        </w:rPr>
        <w:t>We purchase directly from finished goods suppliers through individual purchase orders that specify the price, quantity, delivery date and destination of the items to be produced. Sales are monitored regularly at both the retail and wholesale levels and modifications in production can be made either to increase or reduce inventories. We maintain long-term strategic partnerships with our vendors, allowing us to operate across multiple countries with a consistent supplier network. These partnerships, in addition to driving our business priorities of sourcing high quality products at the right price with the shortest lead times, also support our efforts to advance key corporate responsibility objectives.</w:t>
      </w:r>
    </w:p>
    <w:p>
      <w:pPr>
        <w:spacing w:after="0" w:line="196"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The manufacturers of our products are required to meet our quality, legal, human rights, safety, environmental and cost requirements. Our global supply chain organization monitors the quality of the goods manufactured by, and the delivery performance of, our suppliers and works with our global compliance teams to ensure the enforcement of our legal, human rights, labor and environmental standards and other code of conduct requirements through our ongoing extensive training, approval and monitoring system. They also monitor and track the primary cost inputs to the finished product to ensure that we pay the most appropriate cost for our finished goods.</w:t>
      </w:r>
    </w:p>
    <w:p>
      <w:pPr>
        <w:spacing w:after="0" w:line="196"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We continue to explore new areas of production that can grow with our businesses. Our country of origin strategy provides a flexible approach to product sourcing, which enables us to maximize regional opportunities and mitigate our potential exposure to risks associated with new duties, tariffs, surcharges, or other import controls or restrictions.</w:t>
      </w:r>
    </w:p>
    <w:p>
      <w:pPr>
        <w:spacing w:after="0" w:line="189"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We also continue to develop strategies that can enhance the operational efficiency of our supply chain and unlock gross margin opportunities. In addition to expanding our use of 3D design technology to reduce the time needed to bring products to market, we have also utilized 3D showrooms to be more cost and time efficient. Speed is another critical focus area across the Company. We have implemented various speed models, core replenishment and read and react capabilities for select categories to enhance our operations and make our business model more dynamic and responsive, while also increasing service levels, reducing inventory exposure and improving quality and consumer value. We believe the enhancement of our supply chain efficiencies and working capital management through the effective use of our distribution network and overall infrastructure will allow us to control costs better and provide improved service to our customers.</w:t>
      </w:r>
    </w:p>
    <w:p>
      <w:pPr>
        <w:spacing w:after="0" w:line="200" w:lineRule="exact"/>
        <w:rPr>
          <w:sz w:val="20"/>
          <w:szCs w:val="20"/>
          <w:color w:val="auto"/>
        </w:rPr>
      </w:pPr>
    </w:p>
    <w:p>
      <w:pPr>
        <w:spacing w:after="0" w:line="209" w:lineRule="exact"/>
        <w:rPr>
          <w:sz w:val="20"/>
          <w:szCs w:val="20"/>
          <w:color w:val="auto"/>
        </w:rPr>
      </w:pPr>
    </w:p>
    <w:p>
      <w:pPr>
        <w:ind w:right="120" w:firstLine="625"/>
        <w:spacing w:after="0" w:line="263" w:lineRule="auto"/>
        <w:rPr>
          <w:sz w:val="20"/>
          <w:szCs w:val="20"/>
          <w:color w:val="auto"/>
        </w:rPr>
      </w:pPr>
      <w:r>
        <w:rPr>
          <w:rFonts w:ascii="Times New Roman" w:cs="Times New Roman" w:eastAsia="Times New Roman" w:hAnsi="Times New Roman"/>
          <w:sz w:val="17"/>
          <w:szCs w:val="17"/>
          <w:color w:val="auto"/>
        </w:rPr>
        <w:t>Please see our risk factors “</w:t>
      </w:r>
      <w:r>
        <w:rPr>
          <w:rFonts w:ascii="Times New Roman" w:cs="Times New Roman" w:eastAsia="Times New Roman" w:hAnsi="Times New Roman"/>
          <w:sz w:val="17"/>
          <w:szCs w:val="17"/>
          <w:i w:val="1"/>
          <w:iCs w:val="1"/>
          <w:color w:val="auto"/>
        </w:rPr>
        <w:t>China’s Ministry of Commerce (“MOFCOM”) conducted an investigation into our business which resulted in PVH Corp.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being placed on the List of Unreliable Entities (“UEL”) and could result in fines or restrictions on our ability to do business in China, which could have a material adverse effect on our revenue and results of operations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We primarily use foreign suppliers for our products and raw materials, which poses risks to our business operations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If our suppliers, licensees, or other business partners, or the suppliers used by our licensees, fail to use legal and ethical business practices, our business could suffer</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i w:val="1"/>
          <w:iCs w:val="1"/>
          <w:color w:val="auto"/>
        </w:rPr>
        <w:t xml:space="preserve"> “We depend on third parties to manufacture our products and any disruption in our relationships with these parties or in their businesses may materially adversely affect our business</w:t>
      </w:r>
      <w:r>
        <w:rPr>
          <w:rFonts w:ascii="Times New Roman" w:cs="Times New Roman" w:eastAsia="Times New Roman" w:hAnsi="Times New Roman"/>
          <w:sz w:val="17"/>
          <w:szCs w:val="17"/>
          <w:color w:val="auto"/>
        </w:rPr>
        <w:t>” in Item 1A, “Risk Factors,”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Corporate Responsibility</w:t>
      </w:r>
    </w:p>
    <w:p>
      <w:pPr>
        <w:spacing w:after="0" w:line="249"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Corporate responsibility is a key factor in our ability to achieve the PVH+ Plan. Our industry depends on essential, but finite, resources—such as energy, water and raw materials. Any changes within these systems can impact resource availability and costs, directly impacting our global operations. This volatility requires agility and resilience—so we can continue delivering products desirable to our consumers based on design, quality and value.</w:t>
      </w:r>
    </w:p>
    <w:p>
      <w:pPr>
        <w:spacing w:after="0" w:line="189" w:lineRule="exact"/>
        <w:rPr>
          <w:sz w:val="20"/>
          <w:szCs w:val="20"/>
          <w:color w:val="auto"/>
        </w:rPr>
      </w:pPr>
    </w:p>
    <w:p>
      <w:pPr>
        <w:ind w:right="40" w:firstLine="625"/>
        <w:spacing w:after="0" w:line="293" w:lineRule="auto"/>
        <w:rPr>
          <w:sz w:val="20"/>
          <w:szCs w:val="20"/>
          <w:color w:val="auto"/>
        </w:rPr>
      </w:pPr>
      <w:r>
        <w:rPr>
          <w:rFonts w:ascii="Times New Roman" w:cs="Times New Roman" w:eastAsia="Times New Roman" w:hAnsi="Times New Roman"/>
          <w:sz w:val="17"/>
          <w:szCs w:val="17"/>
          <w:color w:val="auto"/>
        </w:rPr>
        <w:t>As part of our data-driven approach to sustainability, we are focused on addressing the areas where our business has the highest impact and that pose the greatest material risk.</w:t>
      </w:r>
    </w:p>
    <w:p>
      <w:pPr>
        <w:spacing w:after="0" w:line="173" w:lineRule="exact"/>
        <w:rPr>
          <w:sz w:val="20"/>
          <w:szCs w:val="20"/>
          <w:color w:val="auto"/>
        </w:rPr>
      </w:pPr>
    </w:p>
    <w:p>
      <w:pPr>
        <w:ind w:left="620" w:hanging="304"/>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 Transitioning to net zero, evolving our products and operations to preserve resources and nature.</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Human Rights – Respecting, promoting and realizing fundamental principles and rights for the people working in our supply chain.</w:t>
      </w:r>
    </w:p>
    <w:p>
      <w:pPr>
        <w:spacing w:after="0" w:line="246" w:lineRule="exact"/>
        <w:rPr>
          <w:rFonts w:ascii="Times New Roman" w:cs="Times New Roman" w:eastAsia="Times New Roman" w:hAnsi="Times New Roman"/>
          <w:sz w:val="17"/>
          <w:szCs w:val="17"/>
          <w:color w:val="auto"/>
        </w:rPr>
      </w:pPr>
    </w:p>
    <w:p>
      <w:pPr>
        <w:ind w:left="620" w:right="1540" w:hanging="304"/>
        <w:spacing w:after="0" w:line="541"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Inclusion and Diversity – Promoting inclusion, belonging and opportunity for the advancement of our associates and communities. We issue an annual Corporate Responsibility Report that can be found on our corporate website – PVH.com.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Warehousing, Distribution and Logistics</w:t>
      </w:r>
    </w:p>
    <w:p>
      <w:pPr>
        <w:spacing w:after="0" w:line="249"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Our products are shipped from manufacturers to our wholesale and retail warehousing and distribution centers for inspection, sorting, packing and shipment. Centers range in size, and our main facilities, some of which are owned and operated by independent third parties, are located in the United States, the Netherlands, Canada, China, Japan, South Korea, Brazil and Australia. Our warehousing and distribution centers are designed to provide responsive service to our wholesale and digital commerce customers, as well as our retail stores, on a cost-effective basis.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Customers</w:t>
      </w:r>
    </w:p>
    <w:p>
      <w:pPr>
        <w:spacing w:after="0" w:line="249" w:lineRule="exact"/>
        <w:rPr>
          <w:sz w:val="20"/>
          <w:szCs w:val="20"/>
          <w:color w:val="auto"/>
        </w:rPr>
      </w:pPr>
    </w:p>
    <w:p>
      <w:pPr>
        <w:ind w:right="20" w:firstLine="625"/>
        <w:spacing w:after="0" w:line="293" w:lineRule="auto"/>
        <w:rPr>
          <w:sz w:val="20"/>
          <w:szCs w:val="20"/>
          <w:color w:val="auto"/>
        </w:rPr>
      </w:pPr>
      <w:r>
        <w:rPr>
          <w:rFonts w:ascii="Times New Roman" w:cs="Times New Roman" w:eastAsia="Times New Roman" w:hAnsi="Times New Roman"/>
          <w:sz w:val="17"/>
          <w:szCs w:val="17"/>
          <w:color w:val="auto"/>
        </w:rPr>
        <w:t>Our largest customers account for a meaningful portion of our revenue. Sales to our five largest customers were 16.6% of our revenue in 2025, 15.1% of our revenue in 2024 and 13.3% of our revenue in 2023. No single customer accounted for more than 5% of our revenue in 2025, 2024 or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Advertising and Promotion</w:t>
      </w:r>
    </w:p>
    <w:p>
      <w:pPr>
        <w:spacing w:after="0" w:line="249" w:lineRule="exact"/>
        <w:rPr>
          <w:sz w:val="20"/>
          <w:szCs w:val="20"/>
          <w:color w:val="auto"/>
        </w:rPr>
      </w:pPr>
    </w:p>
    <w:p>
      <w:pPr>
        <w:ind w:right="100" w:firstLine="625"/>
        <w:spacing w:after="0" w:line="265" w:lineRule="auto"/>
        <w:rPr>
          <w:sz w:val="20"/>
          <w:szCs w:val="20"/>
          <w:color w:val="auto"/>
        </w:rPr>
      </w:pPr>
      <w:r>
        <w:rPr>
          <w:rFonts w:ascii="Times New Roman" w:cs="Times New Roman" w:eastAsia="Times New Roman" w:hAnsi="Times New Roman"/>
          <w:sz w:val="17"/>
          <w:szCs w:val="17"/>
          <w:color w:val="auto"/>
        </w:rPr>
        <w:t>Our marketing programs are an integral component of our brands’ relevance and success of the products offered under them. We are focused on driving consumer engagement though a digital-first 360° approach around key hero products and key consumer moments, utilizing our iconic brands as creative platforms for collaborations, capsule collections and experiential events, and partnering with culturally relevant talent, including high-profile brand ambassadors and notable social media talent, to build brand heat. Our initiatives fuse entertainment, pop culture, and sports with digital engagement and commerce in innovative ways that digitally immerse consumers.</w:t>
      </w:r>
    </w:p>
    <w:p>
      <w:pPr>
        <w:spacing w:after="0" w:line="196" w:lineRule="exact"/>
        <w:rPr>
          <w:sz w:val="20"/>
          <w:szCs w:val="20"/>
          <w:color w:val="auto"/>
        </w:rPr>
      </w:pPr>
    </w:p>
    <w:p>
      <w:pPr>
        <w:jc w:val="both"/>
        <w:ind w:right="480" w:firstLine="625"/>
        <w:spacing w:after="0" w:line="274" w:lineRule="auto"/>
        <w:rPr>
          <w:sz w:val="20"/>
          <w:szCs w:val="20"/>
          <w:color w:val="auto"/>
        </w:rPr>
      </w:pPr>
      <w:r>
        <w:rPr>
          <w:rFonts w:ascii="Times New Roman" w:cs="Times New Roman" w:eastAsia="Times New Roman" w:hAnsi="Times New Roman"/>
          <w:sz w:val="17"/>
          <w:szCs w:val="17"/>
          <w:color w:val="auto"/>
        </w:rPr>
        <w:t>We build each of our brands to be a leader in its respective market segment, with strong consumer awareness, relevance and consumer loyalty. We design and market our products to complement each other, satisfy lifestyle needs, deliver a strong price/value proposition, encourage consumer loyalty and emphasize product features important to our target consumers, including sustainability attributes.</w:t>
      </w:r>
    </w:p>
    <w:p>
      <w:pPr>
        <w:spacing w:after="0" w:line="189"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 xml:space="preserve">Our marketing and advertising efforts encompass social media, public relations, brand experiences and regional activations. Our in-house teams coordinate our brands’ marketing and advertising, tailoring the overall consumer experience for all regions and product lines, and across all channels of distribution. This ensures a personalized consumer journey that connects with global audiences while maintaining local relevance, engaging communities through powerful and authentic brand moments. Additionally,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brand marketing and communications team coordinates personal appearances by Mr. Tommy Hilfiger, including at key events, further strengthening the brand’s iconic status.</w:t>
      </w:r>
    </w:p>
    <w:p>
      <w:pPr>
        <w:spacing w:after="0" w:line="196" w:lineRule="exact"/>
        <w:rPr>
          <w:sz w:val="20"/>
          <w:szCs w:val="20"/>
          <w:color w:val="auto"/>
        </w:rPr>
      </w:pPr>
    </w:p>
    <w:p>
      <w:pPr>
        <w:ind w:right="540" w:firstLine="625"/>
        <w:spacing w:after="0" w:line="293" w:lineRule="auto"/>
        <w:rPr>
          <w:sz w:val="20"/>
          <w:szCs w:val="20"/>
          <w:color w:val="auto"/>
        </w:rPr>
      </w:pPr>
      <w:r>
        <w:rPr>
          <w:rFonts w:ascii="Times New Roman" w:cs="Times New Roman" w:eastAsia="Times New Roman" w:hAnsi="Times New Roman"/>
          <w:sz w:val="17"/>
          <w:szCs w:val="17"/>
          <w:color w:val="auto"/>
        </w:rPr>
        <w:t xml:space="preserve">Digital media is central to our strategy, with significant investment in our digital commerce and social media platforms. Tommy Hilfiger’s digital commerce site, </w:t>
      </w:r>
      <w:r>
        <w:rPr>
          <w:rFonts w:ascii="Times New Roman" w:cs="Times New Roman" w:eastAsia="Times New Roman" w:hAnsi="Times New Roman"/>
          <w:sz w:val="17"/>
          <w:szCs w:val="17"/>
          <w:i w:val="1"/>
          <w:iCs w:val="1"/>
          <w:color w:val="auto"/>
        </w:rPr>
        <w:t>tommy</w:t>
      </w:r>
      <w:r>
        <w:rPr>
          <w:rFonts w:ascii="Times New Roman" w:cs="Times New Roman" w:eastAsia="Times New Roman" w:hAnsi="Times New Roman"/>
          <w:sz w:val="17"/>
          <w:szCs w:val="17"/>
          <w:color w:val="auto"/>
        </w:rPr>
        <w:t xml:space="preserve">.com, and Calvin Klein’s digital commerce site, </w:t>
      </w:r>
      <w:r>
        <w:rPr>
          <w:rFonts w:ascii="Times New Roman" w:cs="Times New Roman" w:eastAsia="Times New Roman" w:hAnsi="Times New Roman"/>
          <w:sz w:val="17"/>
          <w:szCs w:val="17"/>
          <w:i w:val="1"/>
          <w:iCs w:val="1"/>
          <w:color w:val="auto"/>
        </w:rPr>
        <w:t>calvinklein</w:t>
      </w:r>
      <w:r>
        <w:rPr>
          <w:rFonts w:ascii="Times New Roman" w:cs="Times New Roman" w:eastAsia="Times New Roman" w:hAnsi="Times New Roman"/>
          <w:sz w:val="17"/>
          <w:szCs w:val="17"/>
          <w:color w:val="auto"/>
        </w:rPr>
        <w:t>.com,</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2" w:name="page13"/>
    <w:bookmarkEnd w:id="12"/>
    <w:p>
      <w:pPr>
        <w:ind w:right="160"/>
        <w:spacing w:after="0" w:line="293" w:lineRule="auto"/>
        <w:rPr>
          <w:sz w:val="20"/>
          <w:szCs w:val="20"/>
          <w:color w:val="auto"/>
        </w:rPr>
      </w:pPr>
      <w:r>
        <w:rPr>
          <w:rFonts w:ascii="Times New Roman" w:cs="Times New Roman" w:eastAsia="Times New Roman" w:hAnsi="Times New Roman"/>
          <w:sz w:val="17"/>
          <w:szCs w:val="17"/>
          <w:color w:val="auto"/>
        </w:rPr>
        <w:t xml:space="preserve">serve as key marketing vehicles, offering a broad range of apparel and lifestyle products. Innovative activations including sports sponsorships and partnerships with digital creators further solidify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Klein’s</w:t>
      </w:r>
      <w:r>
        <w:rPr>
          <w:rFonts w:ascii="Times New Roman" w:cs="Times New Roman" w:eastAsia="Times New Roman" w:hAnsi="Times New Roman"/>
          <w:sz w:val="17"/>
          <w:szCs w:val="17"/>
          <w:color w:val="auto"/>
        </w:rPr>
        <w:t xml:space="preserve"> cultural relevance and drive brand awareness.</w:t>
      </w:r>
    </w:p>
    <w:p>
      <w:pPr>
        <w:spacing w:after="0" w:line="173" w:lineRule="exact"/>
        <w:rPr>
          <w:sz w:val="20"/>
          <w:szCs w:val="20"/>
          <w:color w:val="auto"/>
        </w:rPr>
      </w:pPr>
    </w:p>
    <w:p>
      <w:pPr>
        <w:ind w:right="440" w:firstLine="625"/>
        <w:spacing w:after="0" w:line="293" w:lineRule="auto"/>
        <w:rPr>
          <w:sz w:val="20"/>
          <w:szCs w:val="20"/>
          <w:color w:val="auto"/>
        </w:rPr>
      </w:pPr>
      <w:r>
        <w:rPr>
          <w:rFonts w:ascii="Times New Roman" w:cs="Times New Roman" w:eastAsia="Times New Roman" w:hAnsi="Times New Roman"/>
          <w:sz w:val="17"/>
          <w:szCs w:val="17"/>
          <w:color w:val="auto"/>
        </w:rPr>
        <w:t>Our approach is intended to ensure a consistent consumer experience in the digitally led marketplace that is seamlessly connected both online and offline, across our digital commerce, retail and wholesale channels.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Trademarks</w:t>
      </w:r>
    </w:p>
    <w:p>
      <w:pPr>
        <w:spacing w:after="0" w:line="247" w:lineRule="exact"/>
        <w:rPr>
          <w:sz w:val="20"/>
          <w:szCs w:val="20"/>
          <w:color w:val="auto"/>
        </w:rPr>
      </w:pPr>
    </w:p>
    <w:p>
      <w:pPr>
        <w:ind w:firstLine="625"/>
        <w:spacing w:after="0" w:line="269" w:lineRule="auto"/>
        <w:rPr>
          <w:sz w:val="20"/>
          <w:szCs w:val="20"/>
          <w:color w:val="auto"/>
        </w:rPr>
      </w:pPr>
      <w:r>
        <w:rPr>
          <w:rFonts w:ascii="Times New Roman" w:cs="Times New Roman" w:eastAsia="Times New Roman" w:hAnsi="Times New Roman"/>
          <w:sz w:val="17"/>
          <w:szCs w:val="17"/>
          <w:color w:val="auto"/>
        </w:rPr>
        <w:t xml:space="preserve">We own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trademarks, as well as related trademarks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flag logo and crest design). Our owned trademarks are registered for use in each of the primary countries where our products are sold and additional applications for registration of these and other trademarks are made in jurisdictions to accommodate new marks, uses in additional trademark classes or additional categories of goods or expansion into new countries.</w:t>
      </w:r>
    </w:p>
    <w:p>
      <w:pPr>
        <w:spacing w:after="0" w:line="190" w:lineRule="exact"/>
        <w:rPr>
          <w:sz w:val="20"/>
          <w:szCs w:val="20"/>
          <w:color w:val="auto"/>
        </w:rPr>
      </w:pPr>
    </w:p>
    <w:p>
      <w:pPr>
        <w:ind w:right="100" w:firstLine="625"/>
        <w:spacing w:after="0" w:line="265" w:lineRule="auto"/>
        <w:rPr>
          <w:sz w:val="20"/>
          <w:szCs w:val="20"/>
          <w:color w:val="auto"/>
        </w:rPr>
      </w:pPr>
      <w:r>
        <w:rPr>
          <w:rFonts w:ascii="Times New Roman" w:cs="Times New Roman" w:eastAsia="Times New Roman" w:hAnsi="Times New Roman"/>
          <w:sz w:val="17"/>
          <w:szCs w:val="17"/>
          <w:color w:val="auto"/>
        </w:rPr>
        <w:t xml:space="preserve">Mr. Tommy Hilfiger is prohibited in perpetuity from using, or authorizing others to use,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marks (except for the use by Mr. Hilfiger of his name personally and in connection with certain specified activities). In addition, we are prohibited in perpetuity from selling products not ordinarily sold under the names of prestige designer businesses or prestige global lifestyle brands without Mr. Hilfiger’s consent, from engaging in new lines of business materially different from such types of lines of business without Mr. Hilfiger’s consent, or from disparaging or intentionally tarnishing the </w:t>
      </w:r>
      <w:r>
        <w:rPr>
          <w:rFonts w:ascii="Times New Roman" w:cs="Times New Roman" w:eastAsia="Times New Roman" w:hAnsi="Times New Roman"/>
          <w:sz w:val="17"/>
          <w:szCs w:val="17"/>
          <w:i w:val="1"/>
          <w:iCs w:val="1"/>
          <w:color w:val="auto"/>
        </w:rPr>
        <w:t>TOMMY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HILFIGER</w:t>
      </w:r>
      <w:r>
        <w:rPr>
          <w:rFonts w:ascii="Times New Roman" w:cs="Times New Roman" w:eastAsia="Times New Roman" w:hAnsi="Times New Roman"/>
          <w:sz w:val="17"/>
          <w:szCs w:val="17"/>
          <w:color w:val="auto"/>
        </w:rPr>
        <w:t>-related marks or Mr. Hilfiger’s personal name.</w:t>
      </w:r>
    </w:p>
    <w:p>
      <w:pPr>
        <w:spacing w:after="0" w:line="198"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 xml:space="preserve">Mr. Calvin Klein retains the right to use his name, on a non-competitive basis, with respect to his right of publicity, unless those rights are already being used in our Calvin Klein business. Mr. Klein also has been granted a royalty-free worldwide right to use the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mark with respect to certain personal businesses and activities, subject to certain limitations designed to protect the image and prestige of the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and to avoid competitive conflicts.</w:t>
      </w:r>
    </w:p>
    <w:p>
      <w:pPr>
        <w:spacing w:after="0" w:line="189"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Our trademarks are the subject of registrations and pending applications throughout the world for use on a variety of apparel, footwear and related products, as well as licensed product categories and other trademark classes relevant to how we conduct business. We continue to expand our worldwide usage and registration of new and related trademarks. In general, trademarks remain valid and enforceable as long as the marks continue to be used in connection with the products and services with which they are identified and, as to registered tradenames, the required registration renewals are filed. In markets where products bearing any of our brands are not sold by us or any of our licensees or other authorized users, our rights to the use of trademarks may not be clearly established.</w:t>
      </w:r>
    </w:p>
    <w:p>
      <w:pPr>
        <w:spacing w:after="0" w:line="196" w:lineRule="exact"/>
        <w:rPr>
          <w:sz w:val="20"/>
          <w:szCs w:val="20"/>
          <w:color w:val="auto"/>
        </w:rPr>
      </w:pPr>
    </w:p>
    <w:p>
      <w:pPr>
        <w:ind w:right="80" w:firstLine="625"/>
        <w:spacing w:after="0" w:line="263" w:lineRule="auto"/>
        <w:rPr>
          <w:sz w:val="20"/>
          <w:szCs w:val="20"/>
          <w:color w:val="auto"/>
        </w:rPr>
      </w:pPr>
      <w:r>
        <w:rPr>
          <w:rFonts w:ascii="Times New Roman" w:cs="Times New Roman" w:eastAsia="Times New Roman" w:hAnsi="Times New Roman"/>
          <w:sz w:val="17"/>
          <w:szCs w:val="17"/>
          <w:color w:val="auto"/>
        </w:rPr>
        <w:t xml:space="preserve">Our trademarks and other intellectual property rights are valuable assets and we vigorously seek to protect them on a worldwide basis against infringement. We are susceptible to others imitating our products and infringing on our intellectual property rights.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enjoy significant worldwide consumer recognition and their price positioning provides opportunity and incentive for counterfeiters and infringers. We have broad, proactive enforcement programs that we believe have been effective in controlling the sale of counterfeit products and preventing or canceling the registrations of infringing trademarks globally. Please see our risk factor “</w:t>
      </w:r>
      <w:r>
        <w:rPr>
          <w:rFonts w:ascii="Times New Roman" w:cs="Times New Roman" w:eastAsia="Times New Roman" w:hAnsi="Times New Roman"/>
          <w:sz w:val="17"/>
          <w:szCs w:val="17"/>
          <w:i w:val="1"/>
          <w:iCs w:val="1"/>
          <w:color w:val="auto"/>
        </w:rPr>
        <w:t>We may be unable to protect our trademarks and other intellectual property rights</w:t>
      </w:r>
      <w:r>
        <w:rPr>
          <w:rFonts w:ascii="Times New Roman" w:cs="Times New Roman" w:eastAsia="Times New Roman" w:hAnsi="Times New Roman"/>
          <w:sz w:val="17"/>
          <w:szCs w:val="17"/>
          <w:color w:val="auto"/>
        </w:rPr>
        <w:t>” in Item 1A, “Risk Factors,” for further discussion.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49" w:lineRule="exact"/>
        <w:rPr>
          <w:sz w:val="20"/>
          <w:szCs w:val="20"/>
          <w:color w:val="auto"/>
        </w:rPr>
      </w:pPr>
    </w:p>
    <w:p>
      <w:pPr>
        <w:ind w:right="220" w:firstLine="625"/>
        <w:spacing w:after="0" w:line="263" w:lineRule="auto"/>
        <w:rPr>
          <w:sz w:val="20"/>
          <w:szCs w:val="20"/>
          <w:color w:val="auto"/>
        </w:rPr>
      </w:pPr>
      <w:r>
        <w:rPr>
          <w:rFonts w:ascii="Times New Roman" w:cs="Times New Roman" w:eastAsia="Times New Roman" w:hAnsi="Times New Roman"/>
          <w:sz w:val="17"/>
          <w:szCs w:val="17"/>
          <w:color w:val="auto"/>
        </w:rPr>
        <w:t>The apparel industry is competitive as a result of its fashion orientation, mix of large and small producers, low barriers to entry for digitally native brands, the flow of domestic and imported merchandise and the wide diversity of retailing methods. We compete with numerous global domestic and foreign designers, brand owners, manufacturers and retailers of apparel, accessories and footwear, including, in certain circumstances, the private label brands of our wholesale customers. Additionally, with the substantial growth in the digital channel, there are more companies in the apparel sector and an increased level of transparency in pricing and product comparisons, which impacts purchasing decisions. Consumers also are increasingly focused on circularity with respect to apparel, and the option from new market players to rent or purchase pre-owned apparel also is impacting purchasing decisions.</w:t>
      </w:r>
    </w:p>
    <w:p>
      <w:pPr>
        <w:spacing w:after="0" w:line="198" w:lineRule="exact"/>
        <w:rPr>
          <w:sz w:val="20"/>
          <w:szCs w:val="20"/>
          <w:color w:val="auto"/>
        </w:rPr>
      </w:pPr>
    </w:p>
    <w:p>
      <w:pPr>
        <w:ind w:right="140" w:firstLine="625"/>
        <w:spacing w:after="0" w:line="274" w:lineRule="auto"/>
        <w:rPr>
          <w:sz w:val="20"/>
          <w:szCs w:val="20"/>
          <w:color w:val="auto"/>
        </w:rPr>
      </w:pPr>
      <w:r>
        <w:rPr>
          <w:rFonts w:ascii="Times New Roman" w:cs="Times New Roman" w:eastAsia="Times New Roman" w:hAnsi="Times New Roman"/>
          <w:sz w:val="17"/>
          <w:szCs w:val="17"/>
          <w:color w:val="auto"/>
        </w:rPr>
        <w:t>We believe we are well-positioned to compete in the apparel industry on the basis of style, quality, price and service. Our business depends on our ability to remain competitive in these areas, as well as on our ability to stimulate consumer tastes and demand through our product offerings and marketing and advertising efforts. Our brands are positioned to sell globally at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13" w:name="page14"/>
    <w:bookmarkEnd w:id="13"/>
    <w:p>
      <w:pPr>
        <w:spacing w:after="0" w:line="265" w:lineRule="auto"/>
        <w:rPr>
          <w:sz w:val="20"/>
          <w:szCs w:val="20"/>
          <w:color w:val="auto"/>
        </w:rPr>
      </w:pPr>
      <w:r>
        <w:rPr>
          <w:rFonts w:ascii="Times New Roman" w:cs="Times New Roman" w:eastAsia="Times New Roman" w:hAnsi="Times New Roman"/>
          <w:sz w:val="17"/>
          <w:szCs w:val="17"/>
          <w:color w:val="auto"/>
        </w:rPr>
        <w:t xml:space="preserve">various price points and in multiple channels of distribution. This enables us to offer differentiated products to a broad range of consumers, reducing our reliance on any one demographic group, product category, price point, distribution channel or region. Our brands have long histories and enjoy high recognition and awareness within their respective consumer segments. The worldwide consumer recognition of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provides us with significant global opportunities to expand their global penetration in existing markets, into new markets and into additional product categories. Please see our risk factor “</w:t>
      </w:r>
      <w:r>
        <w:rPr>
          <w:rFonts w:ascii="Times New Roman" w:cs="Times New Roman" w:eastAsia="Times New Roman" w:hAnsi="Times New Roman"/>
          <w:sz w:val="17"/>
          <w:szCs w:val="17"/>
          <w:i w:val="1"/>
          <w:iCs w:val="1"/>
          <w:color w:val="auto"/>
        </w:rPr>
        <w:t>We face intense competition in the apparel industry</w:t>
      </w:r>
      <w:r>
        <w:rPr>
          <w:rFonts w:ascii="Times New Roman" w:cs="Times New Roman" w:eastAsia="Times New Roman" w:hAnsi="Times New Roman"/>
          <w:sz w:val="17"/>
          <w:szCs w:val="17"/>
          <w:color w:val="auto"/>
        </w:rPr>
        <w:t>” in Item 1A, “Risk Factors,” for further discussion.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Imports and Import Restrictions</w:t>
      </w:r>
    </w:p>
    <w:p>
      <w:pPr>
        <w:spacing w:after="0" w:line="249" w:lineRule="exact"/>
        <w:rPr>
          <w:sz w:val="20"/>
          <w:szCs w:val="20"/>
          <w:color w:val="auto"/>
        </w:rPr>
      </w:pPr>
    </w:p>
    <w:p>
      <w:pPr>
        <w:ind w:right="20" w:firstLine="625"/>
        <w:spacing w:after="0" w:line="257" w:lineRule="auto"/>
        <w:rPr>
          <w:sz w:val="20"/>
          <w:szCs w:val="20"/>
          <w:color w:val="auto"/>
        </w:rPr>
      </w:pPr>
      <w:r>
        <w:rPr>
          <w:rFonts w:ascii="Times New Roman" w:cs="Times New Roman" w:eastAsia="Times New Roman" w:hAnsi="Times New Roman"/>
          <w:sz w:val="17"/>
          <w:szCs w:val="17"/>
          <w:color w:val="auto"/>
        </w:rPr>
        <w:t>Most of our products are imported into the countries where they are sold. These products are subject to various customs laws and other laws and regulations impacting imports. The United States and other countries in which we sell our products, among other things, may impose, from time to time, new duties, tariffs, surcharges, or other import controls or restrictions, or adjust presently prevailing duty or tariff rates or levels. Beginning in the first quarter of 2025, the United States government announced additional tariffs on goods imported into the United States, with incremental tariffs on products imported from most countries and economic unions, and the potential for further increases and revisions or terminations to existing trade agreements. In response, some countries and economic unions have implemented or are considering retaliatory tariffs on United States exports and other trade restrictions. In February 2026, the U.S. Supreme Court ruled that many of the tariffs imposed by the U.S. federal government were unconstitutional. In response to that decision, the U.S. President issued an executive order imposing tariffs pursuant to Section 122 of the Trade Act of 1974 for 150 days, effective on February 24, 2026. These actions have led to significant volatility and uncertainty in global markets. We continue to analyze the impact of incremental tariffs on our business and are taking steps to mitigate our tariff exposure to the extent possible. Additionally, other governmental actions, such as the imposition by U.S. Customs and Border Protection (“CBP”) of Withhold Release Orders (“WROs”), have had, continue to have and, in the future, may have an impact on our ability to import goods or to manufacture in or use materials or components from certain locations. We, therefore, continuously monitor import restrictions and developments. We seek to minimize, where appropriate and possible, our potential exposure to import related risks through, among other measures, adjustments in product design and fabrication, shifts of production among countries (including consideration of countries with tariff preference and free trade agreements) and manufacturers, and geographical diversification of our sources of supply. In some instances, production of a specific product category, component parts or raw materials may be highly concentrated in one country, giving us less flexibility to make adjustments. Additionally, because our competitors are impacted similarly to us, demand for and availability of alternative resources can be impacted, which may limit our alternatives or increase their cost.</w:t>
      </w:r>
    </w:p>
    <w:p>
      <w:pPr>
        <w:spacing w:after="0" w:line="214" w:lineRule="exact"/>
        <w:rPr>
          <w:sz w:val="20"/>
          <w:szCs w:val="20"/>
          <w:color w:val="auto"/>
        </w:rPr>
      </w:pPr>
    </w:p>
    <w:p>
      <w:pPr>
        <w:ind w:right="80" w:firstLine="625"/>
        <w:spacing w:after="0" w:line="263" w:lineRule="auto"/>
        <w:rPr>
          <w:sz w:val="20"/>
          <w:szCs w:val="20"/>
          <w:color w:val="auto"/>
        </w:rPr>
      </w:pPr>
      <w:r>
        <w:rPr>
          <w:rFonts w:ascii="Times New Roman" w:cs="Times New Roman" w:eastAsia="Times New Roman" w:hAnsi="Times New Roman"/>
          <w:sz w:val="17"/>
          <w:szCs w:val="17"/>
          <w:color w:val="auto"/>
        </w:rPr>
        <w:t>Our industry has experienced, and we have been impacted by, increased regulation and enforcement, in particular in regards to concerns around forced labor in supply chains. Please see our risk factor “</w:t>
      </w:r>
      <w:r>
        <w:rPr>
          <w:rFonts w:ascii="Times New Roman" w:cs="Times New Roman" w:eastAsia="Times New Roman" w:hAnsi="Times New Roman"/>
          <w:sz w:val="17"/>
          <w:szCs w:val="17"/>
          <w:i w:val="1"/>
          <w:iCs w:val="1"/>
          <w:color w:val="auto"/>
        </w:rPr>
        <w:t>We primarily use foreign suppliers for our products and raw materials, which poses risks to our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operations</w:t>
      </w:r>
      <w:r>
        <w:rPr>
          <w:rFonts w:ascii="Times New Roman" w:cs="Times New Roman" w:eastAsia="Times New Roman" w:hAnsi="Times New Roman"/>
          <w:sz w:val="17"/>
          <w:szCs w:val="17"/>
          <w:color w:val="auto"/>
        </w:rPr>
        <w:t>” in Item 1A, “Risk Factors,” for further discussion. Additionally, we could be subject to import restrictions due to regulatory actions. Please see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risk factor “</w:t>
      </w:r>
      <w:r>
        <w:rPr>
          <w:rFonts w:ascii="Times New Roman" w:cs="Times New Roman" w:eastAsia="Times New Roman" w:hAnsi="Times New Roman"/>
          <w:sz w:val="17"/>
          <w:szCs w:val="17"/>
          <w:i w:val="1"/>
          <w:iCs w:val="1"/>
          <w:color w:val="auto"/>
        </w:rPr>
        <w:t>China’s Ministry of Commerce (“MOFCOM”) conducted an investigation into our business which resulted in PVH Corp. being placed on the List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Unreliable Entities (“UEL”) and could result in fines or restrictions on our ability to do business in China, which could have a material adverse effect on our revenue and results of operations</w:t>
      </w:r>
      <w:r>
        <w:rPr>
          <w:rFonts w:ascii="Times New Roman" w:cs="Times New Roman" w:eastAsia="Times New Roman" w:hAnsi="Times New Roman"/>
          <w:sz w:val="17"/>
          <w:szCs w:val="17"/>
          <w:color w:val="auto"/>
        </w:rPr>
        <w:t>” in Item 1A, “Risk Factors,” for further discussion.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249"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Our business is subject to various United States federal, state, and local and foreign laws and regulations, including trade, environmental, health and safety laws and regulations. In addition, we may incur liability under environmental statutes and regulations with respect to the contamination of sites that we own or operate or previously owned or operated (including contamination caused by prior owners and operators of such sites and neighboring properties, or other persons) and the off-site disposal of hazardous materials. We maintain a policy of compliance with all applicable laws and regulations in all countries and regions in which we operate and in line with established industry standards and practices. Please see Item 1A, “Risk Factors,” for additional information on the potential effects that compliance with government regulations may have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49"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We believe that attracting, developing and retaining a capable and well-rounded workforce is critical to our long-term success. To facilitate talent attraction and retention, we strive to create a strong associate experience and a welcoming workplace, with opportunities for our associates to grow and develop in their careers, supported by competitive compensation, benefits and health and well-being programs, and by programs that build connections between our associates and their communities.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Governance and Oversight</w:t>
      </w:r>
    </w:p>
    <w:p>
      <w:pPr>
        <w:spacing w:after="0" w:line="249" w:lineRule="exact"/>
        <w:rPr>
          <w:sz w:val="20"/>
          <w:szCs w:val="20"/>
          <w:color w:val="auto"/>
        </w:rPr>
      </w:pPr>
    </w:p>
    <w:p>
      <w:pPr>
        <w:ind w:right="80" w:firstLine="625"/>
        <w:spacing w:after="0" w:line="261" w:lineRule="auto"/>
        <w:rPr>
          <w:sz w:val="20"/>
          <w:szCs w:val="20"/>
          <w:color w:val="auto"/>
        </w:rPr>
      </w:pPr>
      <w:r>
        <w:rPr>
          <w:rFonts w:ascii="Times New Roman" w:cs="Times New Roman" w:eastAsia="Times New Roman" w:hAnsi="Times New Roman"/>
          <w:sz w:val="17"/>
          <w:szCs w:val="17"/>
          <w:color w:val="auto"/>
        </w:rPr>
        <w:t>The PVH Board of Directors and its committees provide oversight on human capital matters. The Nominating, Governance &amp; Management Development Committee is charged, in part, with monitoring issues of corporate conduct and culture, and provides oversight of inclusion and diversity policies and programs as it relates to our management development, talent assessment and succession planning programs and processes. The Board’s Corporate Responsibility Committee is responsible for monitoring policies and performance related to corporate responsibility, including employment and workers’ rights, and matters relating to health and safety (with particular regard to building and fire safety and health conditions in our supply chains). In addition, our Executive Leadership Team is regularly engaged in the development and management of key associate programs and initiatives, guiding our culture, associate experience, and talent development programs.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Associate Information</w:t>
      </w:r>
    </w:p>
    <w:p>
      <w:pPr>
        <w:spacing w:after="0" w:line="249"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As of February 1, 2026, we employed approximately 26,000 associates, of which approximately 11,000 associates were employed on a part-time basis. Approximately 34% of our associates are employed in the United States. Approximately 64% of our associates are employed in Company-operated retail stores, 31% are assigned to offices and 5% are employed in warehousing and distribution facilities. Our use of seasonal workers is not significant and is largely associated with the Christmas and Lunar New Year selling periods. Approximately 2% of our total associate population is represented by two different unions in the United States for the purpose of collective bargaining. Our collective bargaining agreements generally are for three-year terms. In some international markets, a significant percentage of associates are covered by governmental labor arrangements. Additionally, we have one or more works councils in several European countries. Works councils are organizations that represent workers in respect to certain actions management seeks to take that could have a broad effect on the workers. We believe that our relations with our associates are good.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Inclusion and Diversity</w:t>
      </w:r>
    </w:p>
    <w:p>
      <w:pPr>
        <w:spacing w:after="0" w:line="249" w:lineRule="exact"/>
        <w:rPr>
          <w:sz w:val="20"/>
          <w:szCs w:val="20"/>
          <w:color w:val="auto"/>
        </w:rPr>
      </w:pPr>
    </w:p>
    <w:p>
      <w:pPr>
        <w:ind w:right="280" w:firstLine="625"/>
        <w:spacing w:after="0" w:line="293" w:lineRule="auto"/>
        <w:rPr>
          <w:sz w:val="20"/>
          <w:szCs w:val="20"/>
          <w:color w:val="auto"/>
        </w:rPr>
      </w:pPr>
      <w:r>
        <w:rPr>
          <w:rFonts w:ascii="Times New Roman" w:cs="Times New Roman" w:eastAsia="Times New Roman" w:hAnsi="Times New Roman"/>
          <w:sz w:val="17"/>
          <w:szCs w:val="17"/>
          <w:color w:val="auto"/>
        </w:rPr>
        <w:t>One of PVH’s greatest strengths is our people, and our collective desire to create an inclusive workplace where every individual is valued, and every voice is heard. Our people and their unique lived experiences and perspectives are essential to our strategy to accelerate growth.</w:t>
      </w:r>
    </w:p>
    <w:p>
      <w:pPr>
        <w:spacing w:after="0" w:line="171" w:lineRule="exact"/>
        <w:rPr>
          <w:sz w:val="20"/>
          <w:szCs w:val="20"/>
          <w:color w:val="auto"/>
        </w:rPr>
      </w:pPr>
    </w:p>
    <w:p>
      <w:pPr>
        <w:ind w:right="120" w:firstLine="625"/>
        <w:spacing w:after="0" w:line="272" w:lineRule="auto"/>
        <w:rPr>
          <w:sz w:val="20"/>
          <w:szCs w:val="20"/>
          <w:color w:val="auto"/>
        </w:rPr>
      </w:pPr>
      <w:r>
        <w:rPr>
          <w:rFonts w:ascii="Times New Roman" w:cs="Times New Roman" w:eastAsia="Times New Roman" w:hAnsi="Times New Roman"/>
          <w:sz w:val="17"/>
          <w:szCs w:val="17"/>
          <w:color w:val="auto"/>
        </w:rPr>
        <w:t xml:space="preserve">As a global company serving consumers worldwide with operations in more than 40 countries, inclusion and diversity is integral to building </w:t>
      </w:r>
      <w:r>
        <w:rPr>
          <w:rFonts w:ascii="Times New Roman" w:cs="Times New Roman" w:eastAsia="Times New Roman" w:hAnsi="Times New Roman"/>
          <w:sz w:val="17"/>
          <w:szCs w:val="17"/>
          <w:i w:val="1"/>
          <w:iCs w:val="1"/>
          <w:color w:val="auto"/>
        </w:rPr>
        <w:t>Calvin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Klein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TOMMY HILFIGER </w:t>
      </w:r>
      <w:r>
        <w:rPr>
          <w:rFonts w:ascii="Times New Roman" w:cs="Times New Roman" w:eastAsia="Times New Roman" w:hAnsi="Times New Roman"/>
          <w:sz w:val="17"/>
          <w:szCs w:val="17"/>
          <w:color w:val="auto"/>
        </w:rPr>
        <w:t>into the most desirable lifestyle brands in the world and making PVH the leading brand building group in our sector. Both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iconic brands have a long history of celebrating individuality – it is a part of our DNA, enabling us to connect more deeply with our diverse global consumer base.</w:t>
      </w:r>
    </w:p>
    <w:p>
      <w:pPr>
        <w:spacing w:after="0" w:line="200" w:lineRule="exact"/>
        <w:rPr>
          <w:sz w:val="20"/>
          <w:szCs w:val="20"/>
          <w:color w:val="auto"/>
        </w:rPr>
      </w:pPr>
    </w:p>
    <w:p>
      <w:pPr>
        <w:spacing w:after="0" w:line="204" w:lineRule="exact"/>
        <w:rPr>
          <w:sz w:val="20"/>
          <w:szCs w:val="20"/>
          <w:color w:val="auto"/>
        </w:rPr>
      </w:pPr>
    </w:p>
    <w:p>
      <w:pPr>
        <w:ind w:right="20" w:firstLine="625"/>
        <w:spacing w:after="0" w:line="293" w:lineRule="auto"/>
        <w:rPr>
          <w:sz w:val="20"/>
          <w:szCs w:val="20"/>
          <w:color w:val="auto"/>
        </w:rPr>
      </w:pPr>
      <w:r>
        <w:rPr>
          <w:rFonts w:ascii="Times New Roman" w:cs="Times New Roman" w:eastAsia="Times New Roman" w:hAnsi="Times New Roman"/>
          <w:sz w:val="17"/>
          <w:szCs w:val="17"/>
          <w:color w:val="auto"/>
        </w:rPr>
        <w:t>Our Chief People Officer and Global Head of Inclusion and Diversity, Impact and Calvin Klein Sustainability lead the development and implementation of an integrated global inclusion and diversity strategy and work to enhance our ability to attract, develop, retain and promote all of our talent.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Talent Management and Development</w:t>
      </w:r>
    </w:p>
    <w:p>
      <w:pPr>
        <w:spacing w:after="0" w:line="249"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Our talent management and development processes support associate performance, development, and talent and succession planning. We review succession plans and conduct assessments to identify talent needs and growth paths for our associates on a biannual basis. We have designed a global talent strategy that links our talent management initiatives directly to our development efforts and we continually measure the impact of these efforts to ensure both the business leaders and talent community are effectively aligned.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78" w:right="359" w:bottom="1440" w:gutter="0" w:footer="0" w:header="0"/>
        </w:sectPr>
      </w:pPr>
    </w:p>
    <w:bookmarkStart w:id="15" w:name="page16"/>
    <w:bookmarkEnd w:id="15"/>
    <w:p>
      <w:pPr>
        <w:ind w:right="100" w:firstLine="625"/>
        <w:spacing w:after="0" w:line="260" w:lineRule="auto"/>
        <w:rPr>
          <w:sz w:val="20"/>
          <w:szCs w:val="20"/>
          <w:color w:val="auto"/>
        </w:rPr>
      </w:pPr>
      <w:r>
        <w:rPr>
          <w:rFonts w:ascii="Times New Roman" w:cs="Times New Roman" w:eastAsia="Times New Roman" w:hAnsi="Times New Roman"/>
          <w:sz w:val="17"/>
          <w:szCs w:val="17"/>
          <w:color w:val="auto"/>
        </w:rPr>
        <w:t>Developing our associates and strengthening our leadership succession bench continues to be a key strategic priority for us. In 2025, we conducted a robust global talent planning exercise to assess the potential of our leaders and deepen our succession bench, focusing on both enterprise and business critical roles. We delivered new leveled leadership development programs for our global Senior Vice President, Vice President and Director populations, in addition to both live-led and self-directed digital learning offerings. Our programs are focused on building a high performing culture based upon developing leadership skills, coaching and constructive feedback. Our newly revitalized user experience global learning platform, Learning Studio, is available globally to all associates, including retail associates, and provides critical resources, tools and frameworks for both people managers and associates throughout the associate experience. MentorMatch is a global mentoring program that we offer with the goal of democratizing mentorship through an inclusive approach that accelerates professional development with networking and exposure to new ways of thinking.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Compensation, Benefits and Well-Being</w:t>
      </w:r>
    </w:p>
    <w:p>
      <w:pPr>
        <w:spacing w:after="0" w:line="249"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We are committed to providing market competitive compensation and benefits, tailoring our offerings to the countries and regions where our associates work to meet our associates’ needs locally, and aligning with the differing levels and types of government-provided and mandated benefits. These benefits include retirement plan benefits, corporate well-being programs, flexible working arrangements, a global employee assistance program, paid parental and other supportive leaves, recognition programs (for exemplary work, work anniversaries, etc.) and an associate discount program.</w:t>
      </w:r>
    </w:p>
    <w:p>
      <w:pPr>
        <w:spacing w:after="0" w:line="194" w:lineRule="exact"/>
        <w:rPr>
          <w:sz w:val="20"/>
          <w:szCs w:val="20"/>
          <w:color w:val="auto"/>
        </w:rPr>
      </w:pPr>
    </w:p>
    <w:p>
      <w:pPr>
        <w:ind w:firstLine="625"/>
        <w:spacing w:after="0" w:line="266" w:lineRule="auto"/>
        <w:rPr>
          <w:sz w:val="20"/>
          <w:szCs w:val="20"/>
          <w:color w:val="auto"/>
        </w:rPr>
      </w:pPr>
      <w:r>
        <w:rPr>
          <w:rFonts w:ascii="Times New Roman" w:cs="Times New Roman" w:eastAsia="Times New Roman" w:hAnsi="Times New Roman"/>
          <w:sz w:val="17"/>
          <w:szCs w:val="17"/>
          <w:color w:val="auto"/>
        </w:rPr>
        <w:t>We recognize how important it is for our associates to take care of themselves and their families, and we provide benefit programs and services that support associates’ and their dependents’ physical, mental and financial health. Programs like Personify Health and Headspace are offered globally to promote well-being, and we close the majority of our global offices in recognition of World Mental Health Day. Associates have the flexibility to balance work and personal needs through our time-off policies and programs, including paid time off, competitive holidays and the ability to work from anywhere up to four weeks each year.</w:t>
      </w:r>
    </w:p>
    <w:p>
      <w:pPr>
        <w:spacing w:after="0" w:line="200" w:lineRule="exact"/>
        <w:rPr>
          <w:sz w:val="20"/>
          <w:szCs w:val="20"/>
          <w:color w:val="auto"/>
        </w:rPr>
      </w:pPr>
    </w:p>
    <w:p>
      <w:pPr>
        <w:spacing w:after="0" w:line="208"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We are committed to providing fair and equitable compensation. We have established a global job framework with consistent guidelines and principles on compensation. Annually, we engage third party consultants with expertise in compensation market data to benchmark our pay against industry peers and set our compensation based on market practice. Periodically, we conduct pay equity analyses to ensure that we are paying equitably regardless of gender or ethnicity.</w:t>
      </w:r>
    </w:p>
    <w:p>
      <w:pPr>
        <w:spacing w:after="0" w:line="189" w:lineRule="exact"/>
        <w:rPr>
          <w:sz w:val="20"/>
          <w:szCs w:val="20"/>
          <w:color w:val="auto"/>
        </w:rPr>
      </w:pPr>
    </w:p>
    <w:p>
      <w:pPr>
        <w:ind w:right="440" w:firstLine="625"/>
        <w:spacing w:after="0" w:line="293" w:lineRule="auto"/>
        <w:rPr>
          <w:sz w:val="20"/>
          <w:szCs w:val="20"/>
          <w:color w:val="auto"/>
        </w:rPr>
      </w:pPr>
      <w:r>
        <w:rPr>
          <w:rFonts w:ascii="Times New Roman" w:cs="Times New Roman" w:eastAsia="Times New Roman" w:hAnsi="Times New Roman"/>
          <w:sz w:val="17"/>
          <w:szCs w:val="17"/>
          <w:color w:val="auto"/>
        </w:rPr>
        <w:t>We are committed to supporting our associates in times of need. We have established a company- and associate-funded Associate Relief Fund that provides grants to eligible associates experiencing personal hardship due to natural disasters, personal calamities and other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Associate and Community Engagement</w:t>
      </w:r>
    </w:p>
    <w:p>
      <w:pPr>
        <w:spacing w:after="0" w:line="249"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We believe it is critical that our associates are informed and engaged. We communicate frequently with our associates through a variety of methods, including our news app, PVH Insider+, which reaches associates around the world; our intranet site, Insider+; town hall meetings on regional, business-wide and global bases; and our regular global PVH Listens survey, as well as pulse surveys. We develop action plans based on the insights from these communications to strengthen programs and address any concerns to enhance associate experience.</w:t>
      </w:r>
    </w:p>
    <w:p>
      <w:pPr>
        <w:spacing w:after="0" w:line="194"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Local community engagement activities exist in all major office locations. Our global philanthropic efforts are led by The PVH Foundation, a nonprofit corporation which supports global, national, and local nonprofits in communities where our associates work and live. The PVH Foundation provides our corporate associates with donation matching opportunities to increase their impact. Many of our associates are also offered paid time off each year to volunteer with organizations of their choice.</w:t>
      </w:r>
    </w:p>
    <w:p>
      <w:pPr>
        <w:spacing w:after="0" w:line="194" w:lineRule="exact"/>
        <w:rPr>
          <w:sz w:val="20"/>
          <w:szCs w:val="20"/>
          <w:color w:val="auto"/>
        </w:rPr>
      </w:pPr>
    </w:p>
    <w:p>
      <w:pPr>
        <w:ind w:right="120" w:firstLine="625"/>
        <w:spacing w:after="0" w:line="274" w:lineRule="auto"/>
        <w:rPr>
          <w:sz w:val="20"/>
          <w:szCs w:val="20"/>
          <w:color w:val="auto"/>
        </w:rPr>
      </w:pPr>
      <w:r>
        <w:rPr>
          <w:rFonts w:ascii="Times New Roman" w:cs="Times New Roman" w:eastAsia="Times New Roman" w:hAnsi="Times New Roman"/>
          <w:sz w:val="17"/>
          <w:szCs w:val="17"/>
          <w:color w:val="auto"/>
        </w:rPr>
        <w:t>We encourage you to read our annual Corporate Responsibility Report on our PVH.com corporate website for more detailed information regarding our social and corporate governance programs and initiatives. None of our corporate website, our Corporate Responsibility Report nor any portions thereof are incorporated by reference into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980"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Executive Officers of the Registrant</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name, age and position of each of our executive officers: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40" w:type="dxa"/>
            <w:vAlign w:val="bottom"/>
            <w:gridSpan w:val="2"/>
          </w:tcPr>
          <w:p>
            <w:pPr>
              <w:ind w:left="1560"/>
              <w:spacing w:after="0"/>
              <w:rPr>
                <w:sz w:val="20"/>
                <w:szCs w:val="20"/>
                <w:color w:val="auto"/>
              </w:rPr>
            </w:pPr>
            <w:r>
              <w:rPr>
                <w:rFonts w:ascii="Times New Roman" w:cs="Times New Roman" w:eastAsia="Times New Roman" w:hAnsi="Times New Roman"/>
                <w:sz w:val="17"/>
                <w:szCs w:val="17"/>
                <w:b w:val="1"/>
                <w:bCs w:val="1"/>
                <w:color w:val="auto"/>
              </w:rPr>
              <w:t>Name</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Age</w:t>
            </w:r>
          </w:p>
        </w:tc>
        <w:tc>
          <w:tcPr>
            <w:tcW w:w="6560" w:type="dxa"/>
            <w:vAlign w:val="bottom"/>
          </w:tcPr>
          <w:p>
            <w:pPr>
              <w:ind w:left="298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214"/>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Stefan Larsson</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6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169"/>
        </w:trPr>
        <w:tc>
          <w:tcPr>
            <w:tcW w:w="36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Melissa Stone</w:t>
            </w: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4"/>
                <w:szCs w:val="14"/>
                <w:color w:val="auto"/>
              </w:rPr>
            </w:pPr>
          </w:p>
        </w:tc>
        <w:tc>
          <w:tcPr>
            <w:tcW w:w="656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auto"/>
              </w:rPr>
              <w:t>Interim Chief Financial Officer and Executive Vice President, Global Financial Planning &amp;</w:t>
            </w:r>
          </w:p>
        </w:tc>
      </w:tr>
      <w:tr>
        <w:trPr>
          <w:trHeight w:val="230"/>
        </w:trPr>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Analysis</w:t>
            </w:r>
          </w:p>
        </w:tc>
      </w:tr>
      <w:tr>
        <w:trPr>
          <w:trHeight w:val="225"/>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 D. Fischer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Vice President, General Counsel and Secretary</w:t>
            </w:r>
          </w:p>
        </w:tc>
      </w:tr>
      <w:tr>
        <w:trPr>
          <w:trHeight w:val="221"/>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Patricia Gabriel</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Supply Chain Officer and Global Head of Operations</w:t>
            </w:r>
          </w:p>
        </w:tc>
      </w:tr>
      <w:tr>
        <w:trPr>
          <w:trHeight w:val="221"/>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Donald Kohler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Executive Officer, PVH Americas</w:t>
            </w:r>
          </w:p>
        </w:tc>
      </w:tr>
      <w:tr>
        <w:trPr>
          <w:trHeight w:val="221"/>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Fredrik Olsson</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 PVH EMEA</w:t>
            </w:r>
          </w:p>
        </w:tc>
      </w:tr>
      <w:tr>
        <w:trPr>
          <w:trHeight w:val="221"/>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 Rytz Goldman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Global Brand President, Tommy Hilfiger</w:t>
            </w:r>
          </w:p>
        </w:tc>
      </w:tr>
      <w:tr>
        <w:trPr>
          <w:trHeight w:val="221"/>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David Savman</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Global Brand President, Calvin Klein</w:t>
            </w:r>
          </w:p>
        </w:tc>
      </w:tr>
      <w:tr>
        <w:trPr>
          <w:trHeight w:val="221"/>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Amba Subrahmanyam</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9"/>
                <w:szCs w:val="19"/>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Executive Vice President, Chief People Officer</w:t>
            </w:r>
          </w:p>
        </w:tc>
      </w:tr>
    </w:tbl>
    <w:p>
      <w:pPr>
        <w:spacing w:after="0" w:line="307" w:lineRule="exact"/>
        <w:rPr>
          <w:sz w:val="20"/>
          <w:szCs w:val="20"/>
          <w:color w:val="auto"/>
        </w:rPr>
      </w:pPr>
    </w:p>
    <w:p>
      <w:pPr>
        <w:ind w:firstLine="625"/>
        <w:spacing w:after="0" w:line="286" w:lineRule="auto"/>
        <w:rPr>
          <w:sz w:val="20"/>
          <w:szCs w:val="20"/>
          <w:color w:val="auto"/>
        </w:rPr>
      </w:pPr>
      <w:r>
        <w:rPr>
          <w:rFonts w:ascii="Times New Roman" w:cs="Times New Roman" w:eastAsia="Times New Roman" w:hAnsi="Times New Roman"/>
          <w:sz w:val="17"/>
          <w:szCs w:val="17"/>
          <w:color w:val="auto"/>
        </w:rPr>
        <w:t>Mr. Larsson joined us as President in 2019 and became Chief Executive Officer on the first day of 2021. From 2015 until 2017, Mr. Larsson was President and Chief Executive Officer of Ralph Lauren Corporation. From 2012 until 2015, he was the Global President of Old Navy, Inc., a division of The Gap, Inc.</w:t>
      </w:r>
    </w:p>
    <w:p>
      <w:pPr>
        <w:spacing w:after="0" w:line="393" w:lineRule="exact"/>
        <w:rPr>
          <w:sz w:val="20"/>
          <w:szCs w:val="20"/>
          <w:color w:val="auto"/>
        </w:rPr>
      </w:pPr>
    </w:p>
    <w:p>
      <w:pPr>
        <w:ind w:right="80" w:firstLine="625"/>
        <w:spacing w:after="0" w:line="274" w:lineRule="auto"/>
        <w:rPr>
          <w:sz w:val="20"/>
          <w:szCs w:val="20"/>
          <w:color w:val="auto"/>
        </w:rPr>
      </w:pPr>
      <w:r>
        <w:rPr>
          <w:rFonts w:ascii="Times New Roman" w:cs="Times New Roman" w:eastAsia="Times New Roman" w:hAnsi="Times New Roman"/>
          <w:sz w:val="17"/>
          <w:szCs w:val="17"/>
          <w:color w:val="auto"/>
        </w:rPr>
        <w:t>Ms. Stone has been employed by us since 2004. She previously served as Assistant Corporate Controller beginning in 2015 and held a series of roles of increasing responsibility, including Senior Vice President, Accounting and Group Vice President Corporate Accounting. She was named Executive Vice President, Global Financial Planning &amp; Analysis in March 2025 and Interim Chief Financial Officer effective January 1, 2026.</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Mr. Fischer joined us as Vice President, General Counsel and Secretary in 1999. He became Senior Vice President in 2007 and Executive Vice President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2013.</w:t>
      </w:r>
    </w:p>
    <w:p>
      <w:pPr>
        <w:spacing w:after="0" w:line="228" w:lineRule="exact"/>
        <w:rPr>
          <w:sz w:val="20"/>
          <w:szCs w:val="20"/>
          <w:color w:val="auto"/>
        </w:rPr>
      </w:pPr>
    </w:p>
    <w:p>
      <w:pPr>
        <w:ind w:right="180" w:firstLine="625"/>
        <w:spacing w:after="0" w:line="268" w:lineRule="auto"/>
        <w:rPr>
          <w:sz w:val="20"/>
          <w:szCs w:val="20"/>
          <w:color w:val="auto"/>
        </w:rPr>
      </w:pPr>
      <w:r>
        <w:rPr>
          <w:rFonts w:ascii="Times New Roman" w:cs="Times New Roman" w:eastAsia="Times New Roman" w:hAnsi="Times New Roman"/>
          <w:sz w:val="17"/>
          <w:szCs w:val="17"/>
          <w:color w:val="auto"/>
        </w:rPr>
        <w:t>Ms. Gabriel joined us as Chief Supply Chain Officer and Global Head of Operations in November 2025. From 2022 until joining PVH, Ms. Gabriel served as Chief Supply Chain Officer of Capri Holdings Limited. From 2018 through 2022, she held key supply chain strategy roles at Mondelez International, including Senior Vice President, Supply Chain Strategy, External Manufacturing &amp; Ventures North America and Senior Vice President, Customer Service and Logistics USA.</w:t>
      </w:r>
    </w:p>
    <w:p>
      <w:pPr>
        <w:spacing w:after="0" w:line="194"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Mr. Kohler joined us as President, Calvin Klein Americas in March 2023 and was named Chief Executive Officer, PVH Americas in October 2024. From 2022 to 2023, Mr. Kohler served as CEO, North America at Diesel. From 2021 to 2022 he was President at Ann Taylor &amp; Loft. From 2017 until 2021, Mr. Kohler was Chief Executive Officer, Americas and Global Chief Retail Officer of Salvatore Ferragamo S.p.A. From 2008 until 2017, he held various key positions at Burberry Group plc, including President of Burberry Americas, Chief Merchandising Operations Officer, Senior Vice President of Global Planning, Pricing &amp; Business Intelligence, and Vice President of Corporate Planning.</w:t>
      </w:r>
    </w:p>
    <w:p>
      <w:pPr>
        <w:spacing w:after="0" w:line="196" w:lineRule="exact"/>
        <w:rPr>
          <w:sz w:val="20"/>
          <w:szCs w:val="20"/>
          <w:color w:val="auto"/>
        </w:rPr>
      </w:pPr>
    </w:p>
    <w:p>
      <w:pPr>
        <w:ind w:right="300" w:firstLine="625"/>
        <w:spacing w:after="0" w:line="274" w:lineRule="auto"/>
        <w:rPr>
          <w:sz w:val="20"/>
          <w:szCs w:val="20"/>
          <w:color w:val="auto"/>
        </w:rPr>
      </w:pPr>
      <w:r>
        <w:rPr>
          <w:rFonts w:ascii="Times New Roman" w:cs="Times New Roman" w:eastAsia="Times New Roman" w:hAnsi="Times New Roman"/>
          <w:sz w:val="17"/>
          <w:szCs w:val="17"/>
          <w:color w:val="auto"/>
        </w:rPr>
        <w:t>Mr. Olsson joined us as Chief Executive Officer, PVH EMEA in December 2024. From 2023 until joining PVH, Mr. Olsson was Chief Executive Officer of Max Fashion, one of the leading Middle East fashion retailers based in Dubai. From 2003 through 2023, he held various key leadership roles at the H&amp;M Group, including Managing Director globally for the H&amp;M brand, Head of Global Expansion, and Head of Global Growth.</w:t>
      </w:r>
    </w:p>
    <w:p>
      <w:pPr>
        <w:spacing w:after="0" w:line="189" w:lineRule="exact"/>
        <w:rPr>
          <w:sz w:val="20"/>
          <w:szCs w:val="20"/>
          <w:color w:val="auto"/>
        </w:rPr>
      </w:pPr>
    </w:p>
    <w:p>
      <w:pPr>
        <w:ind w:right="120" w:firstLine="625"/>
        <w:spacing w:after="0" w:line="274" w:lineRule="auto"/>
        <w:rPr>
          <w:sz w:val="20"/>
          <w:szCs w:val="20"/>
          <w:color w:val="auto"/>
        </w:rPr>
      </w:pPr>
      <w:r>
        <w:rPr>
          <w:rFonts w:ascii="Times New Roman" w:cs="Times New Roman" w:eastAsia="Times New Roman" w:hAnsi="Times New Roman"/>
          <w:sz w:val="17"/>
          <w:szCs w:val="17"/>
          <w:color w:val="auto"/>
        </w:rPr>
        <w:t>Ms. Rytz Goldman joined us as Global Brand President, Tommy Hilfiger in April 2024. From 2020 until joining PVH, Ms. Rytz Goldman was Managing Director of COS, a division of H&amp;M Group, having previously served as Managing Director of H&amp;M Group’s Arket division from 2018 to 2020 and its Monki division from 2013 to 2018.</w:t>
      </w:r>
    </w:p>
    <w:p>
      <w:pPr>
        <w:spacing w:after="0" w:line="189" w:lineRule="exact"/>
        <w:rPr>
          <w:sz w:val="20"/>
          <w:szCs w:val="20"/>
          <w:color w:val="auto"/>
        </w:rPr>
      </w:pPr>
    </w:p>
    <w:p>
      <w:pPr>
        <w:ind w:right="220" w:firstLine="625"/>
        <w:spacing w:after="0" w:line="265" w:lineRule="auto"/>
        <w:rPr>
          <w:sz w:val="20"/>
          <w:szCs w:val="20"/>
          <w:color w:val="auto"/>
        </w:rPr>
      </w:pPr>
      <w:r>
        <w:rPr>
          <w:rFonts w:ascii="Times New Roman" w:cs="Times New Roman" w:eastAsia="Times New Roman" w:hAnsi="Times New Roman"/>
          <w:sz w:val="17"/>
          <w:szCs w:val="17"/>
          <w:color w:val="auto"/>
        </w:rPr>
        <w:t>Mr. Savman joined us as Chief Supply Chain Officer in December 2022 and served as Interim Chief Executive Officer, PVH Europe from June 2024 until December 2024. He added the title and associated duties of Global Head of Operations to his existing title and duties in January 2025 and became Global Brand President, Calvin Klein in May 2025. In November 2025, Mr. Savman’s duties as Chief Supply Chain Officer and Global Head of Operations were transitioned to Ms. Gabriel upon her joining PVH. From 2003 until joining PVH, Mr. Savman held various key positions at the H&amp;M Group, most recently as Head of Global Supply Chain until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78" w:right="359" w:bottom="1440" w:gutter="0" w:footer="0" w:header="0"/>
        </w:sectPr>
      </w:pPr>
    </w:p>
    <w:bookmarkStart w:id="17" w:name="page18"/>
    <w:bookmarkEnd w:id="17"/>
    <w:p>
      <w:pPr>
        <w:ind w:right="160" w:firstLine="625"/>
        <w:spacing w:after="0" w:line="268" w:lineRule="auto"/>
        <w:rPr>
          <w:sz w:val="20"/>
          <w:szCs w:val="20"/>
          <w:color w:val="auto"/>
        </w:rPr>
      </w:pPr>
      <w:r>
        <w:rPr>
          <w:rFonts w:ascii="Times New Roman" w:cs="Times New Roman" w:eastAsia="Times New Roman" w:hAnsi="Times New Roman"/>
          <w:sz w:val="17"/>
          <w:szCs w:val="17"/>
          <w:color w:val="auto"/>
        </w:rPr>
        <w:t>Ms. Subrahmanyam joined us as Executive Vice President, People, PVH Americas and Calvin Klein Global in 2022 and became Executive Vice President, Chief People Officer in February 2024. From 2017 until 2021, Ms. Subrahmanyam was Senior Vice President, Chief Human Resources Officer and Social Impact of Kate Spade New York, a subsidiary of Tapestry, Inc. From 2015 until 2017, she was Senior Vice President, Chief Human Resources Officer of Stuart Weitzman, a subsidiary of Tapestry,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49"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The following risk factors should be read in conjunction with the other information set forth herein when evaluating our business and the forward-looking statements made herein. The occurrence of one or more of the circumstances or events described below could have a material adverse effect on our business, financial condition or results of operations. Additional risks and uncertainties not currently known to us or that we currently deem to be immaterial may occur or become material and also may adversely affect our business, financial condition or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Business and Operational Risks</w:t>
      </w:r>
    </w:p>
    <w:p>
      <w:pPr>
        <w:spacing w:after="0" w:line="245" w:lineRule="exact"/>
        <w:rPr>
          <w:sz w:val="20"/>
          <w:szCs w:val="20"/>
          <w:color w:val="auto"/>
        </w:rPr>
      </w:pPr>
    </w:p>
    <w:p>
      <w:pPr>
        <w:ind w:firstLine="625"/>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A meaningful portion of our revenue and gross profit is derived from a small number of large wholesale customers and the loss of any of these customers or significant financial difficulties in their businesses could substantially reduce our revenue.</w:t>
      </w:r>
    </w:p>
    <w:p>
      <w:pPr>
        <w:spacing w:after="0" w:line="169" w:lineRule="exact"/>
        <w:rPr>
          <w:sz w:val="20"/>
          <w:szCs w:val="20"/>
          <w:color w:val="auto"/>
        </w:rPr>
      </w:pPr>
    </w:p>
    <w:p>
      <w:pPr>
        <w:ind w:firstLine="625"/>
        <w:spacing w:after="0" w:line="293" w:lineRule="auto"/>
        <w:rPr>
          <w:sz w:val="20"/>
          <w:szCs w:val="20"/>
          <w:color w:val="auto"/>
        </w:rPr>
      </w:pPr>
      <w:r>
        <w:rPr>
          <w:rFonts w:ascii="Times New Roman" w:cs="Times New Roman" w:eastAsia="Times New Roman" w:hAnsi="Times New Roman"/>
          <w:sz w:val="17"/>
          <w:szCs w:val="17"/>
          <w:color w:val="auto"/>
        </w:rPr>
        <w:t>A small number of our wholesale customers account for a meaningful portion of our revenue. Sales to our five largest customers were 16.6%, 15.1% and 13.3% of our revenue in 2025, 2024 and 2023, respectively. No single customer accounted for more than 5% of our revenue in any such year.</w:t>
      </w:r>
    </w:p>
    <w:p>
      <w:pPr>
        <w:spacing w:after="0" w:line="173" w:lineRule="exact"/>
        <w:rPr>
          <w:sz w:val="20"/>
          <w:szCs w:val="20"/>
          <w:color w:val="auto"/>
        </w:rPr>
      </w:pPr>
    </w:p>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We do not have long-term agreements with any of our large wholesale customers and purchases generally occur on an order-by-order basis. A decision by any major customer, whether motivated by marketing strategy, competitive conditions, financial difficulties, perceptions of us or our brands, or otherwise, to decrease significantly the amount of merchandise purchased from us or our licensing or other partners, or to change their manner of doing business with us or our licensing or other partners for any reason, including due to store closures, reduced consumer traffic, changes in consumer shopping habits, or product delivery delays, could reduce substantially our revenue and materially adversely affect our profitability. During periods of weakened consumer spending and low consumer sentiment, whether due to inflation, recessionary fears, weakened buying power, price increases due to shortages, tariffs or other trade policies, or otherwise, our wholesale customers may be more cautious with orders or may slow investments necessary to maintain a high quality in-store experience for consumers, which may result in lower sales of our products.</w:t>
      </w:r>
    </w:p>
    <w:p>
      <w:pPr>
        <w:spacing w:after="0" w:line="205"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The retail industry has seen a great deal of consolidation and other ownership changes, as well as store closing programs, restructurings, reorganizations, management changes and activist shareholder campaigns. We expect these disruptions to be ongoing, particularly as omnichannel strategies and digital commerce continue to grow, and consumer shopping and buying habits change. In the future, retailers also may reposition their stores’ target markets or marketing strategies. Any of these types of actions could result in a further decrease in the number of stores to which we can sell, to which we want to sell or which want to carry our products, and there can be no assurance that these sales can be fully offset by sales through digital channels. Additionally, stores may purchase a smaller amount of our products and reduce the retail floor space designated for our brands. These changes could decrease our opportunities in the market, increase our reliance on a smaller number of customers or decrease our negotiating strength with our customers. These factors could have a material adverse effect on our financial condition and results of operations.</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continue to develop and grow our Tommy Hilfiger and Calvin Klein businesses.</w:t>
      </w:r>
    </w:p>
    <w:p>
      <w:pPr>
        <w:spacing w:after="0" w:line="251" w:lineRule="exact"/>
        <w:rPr>
          <w:sz w:val="20"/>
          <w:szCs w:val="20"/>
          <w:color w:val="auto"/>
        </w:rPr>
      </w:pPr>
    </w:p>
    <w:p>
      <w:pPr>
        <w:ind w:right="80" w:firstLine="625"/>
        <w:spacing w:after="0" w:line="293" w:lineRule="auto"/>
        <w:rPr>
          <w:sz w:val="20"/>
          <w:szCs w:val="20"/>
          <w:color w:val="auto"/>
        </w:rPr>
      </w:pPr>
      <w:r>
        <w:rPr>
          <w:rFonts w:ascii="Times New Roman" w:cs="Times New Roman" w:eastAsia="Times New Roman" w:hAnsi="Times New Roman"/>
          <w:sz w:val="17"/>
          <w:szCs w:val="17"/>
          <w:color w:val="auto"/>
        </w:rPr>
        <w:t>Our PVH+ Plan strategy involves growing our Tommy Hilfiger and Calvin Klein businesses. Our achievement of revenue and profitability growth from these businesses will depend largely upon our ability to:</w:t>
      </w:r>
    </w:p>
    <w:p>
      <w:pPr>
        <w:spacing w:after="0" w:line="67" w:lineRule="exact"/>
        <w:rPr>
          <w:sz w:val="20"/>
          <w:szCs w:val="20"/>
          <w:color w:val="auto"/>
        </w:rPr>
      </w:pPr>
    </w:p>
    <w:p>
      <w:pPr>
        <w:ind w:left="620" w:hanging="304"/>
        <w:spacing w:after="0"/>
        <w:tabs>
          <w:tab w:leader="none" w:pos="620"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 xml:space="preserve">continue to maintain and enhance the distinctive brand identities of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w:t>
      </w:r>
    </w:p>
    <w:p>
      <w:pPr>
        <w:spacing w:after="0" w:line="124" w:lineRule="exact"/>
        <w:rPr>
          <w:rFonts w:ascii="Arial" w:cs="Arial" w:eastAsia="Arial" w:hAnsi="Arial"/>
          <w:sz w:val="21"/>
          <w:szCs w:val="21"/>
          <w:color w:val="auto"/>
        </w:rPr>
      </w:pPr>
    </w:p>
    <w:p>
      <w:pPr>
        <w:jc w:val="both"/>
        <w:ind w:left="620" w:right="480" w:hanging="304"/>
        <w:spacing w:after="0" w:line="245" w:lineRule="auto"/>
        <w:tabs>
          <w:tab w:leader="none" w:pos="615" w:val="left"/>
        </w:tabs>
        <w:numPr>
          <w:ilvl w:val="0"/>
          <w:numId w:val="9"/>
        </w:numPr>
        <w:rPr>
          <w:rFonts w:ascii="Arial" w:cs="Arial" w:eastAsia="Arial" w:hAnsi="Arial"/>
          <w:sz w:val="21"/>
          <w:szCs w:val="21"/>
          <w:color w:val="auto"/>
        </w:rPr>
      </w:pPr>
      <w:r>
        <w:rPr>
          <w:rFonts w:ascii="Times New Roman" w:cs="Times New Roman" w:eastAsia="Times New Roman" w:hAnsi="Times New Roman"/>
          <w:sz w:val="17"/>
          <w:szCs w:val="17"/>
          <w:color w:val="auto"/>
        </w:rPr>
        <w:t>continue to maintain good working relationships with our brand licensees and enter into new, or renew or extend existing, license agreements and successfully transition licensed businesses in house, including our in-process plan to directly operate a significant portion of the businesses for the product categories that are or had been licensed to G-III,</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8" w:name="page19"/>
    <w:bookmarkEnd w:id="18"/>
    <w:p>
      <w:pPr>
        <w:ind w:left="620"/>
        <w:spacing w:after="0" w:line="293" w:lineRule="auto"/>
        <w:rPr>
          <w:sz w:val="20"/>
          <w:szCs w:val="20"/>
          <w:color w:val="auto"/>
        </w:rPr>
      </w:pPr>
      <w:r>
        <w:rPr>
          <w:rFonts w:ascii="Times New Roman" w:cs="Times New Roman" w:eastAsia="Times New Roman" w:hAnsi="Times New Roman"/>
          <w:sz w:val="17"/>
          <w:szCs w:val="17"/>
          <w:color w:val="auto"/>
        </w:rPr>
        <w:t>our largest licensee of both brands, upon the expirations of the underlying license agreements, with the remainder being re-licensed to other third parties; and</w:t>
      </w:r>
    </w:p>
    <w:p>
      <w:pPr>
        <w:spacing w:after="0" w:line="67" w:lineRule="exact"/>
        <w:rPr>
          <w:sz w:val="20"/>
          <w:szCs w:val="20"/>
          <w:color w:val="auto"/>
        </w:rPr>
      </w:pPr>
    </w:p>
    <w:p>
      <w:pPr>
        <w:ind w:left="620" w:hanging="304"/>
        <w:spacing w:after="0"/>
        <w:tabs>
          <w:tab w:leader="none" w:pos="620" w:val="left"/>
        </w:tabs>
        <w:numPr>
          <w:ilvl w:val="0"/>
          <w:numId w:val="10"/>
        </w:numPr>
        <w:rPr>
          <w:rFonts w:ascii="Arial" w:cs="Arial" w:eastAsia="Arial" w:hAnsi="Arial"/>
          <w:sz w:val="21"/>
          <w:szCs w:val="21"/>
          <w:color w:val="auto"/>
        </w:rPr>
      </w:pPr>
      <w:r>
        <w:rPr>
          <w:rFonts w:ascii="Times New Roman" w:cs="Times New Roman" w:eastAsia="Times New Roman" w:hAnsi="Times New Roman"/>
          <w:sz w:val="17"/>
          <w:szCs w:val="17"/>
          <w:color w:val="auto"/>
        </w:rPr>
        <w:t>continue to strengthen and expand the Tommy Hilfiger and Calvin Klein businesses.</w:t>
      </w:r>
    </w:p>
    <w:p>
      <w:pPr>
        <w:spacing w:after="0" w:line="216" w:lineRule="exact"/>
        <w:rPr>
          <w:sz w:val="20"/>
          <w:szCs w:val="20"/>
          <w:color w:val="auto"/>
        </w:rPr>
      </w:pPr>
    </w:p>
    <w:p>
      <w:pPr>
        <w:ind w:right="80" w:firstLine="625"/>
        <w:spacing w:after="0" w:line="261" w:lineRule="auto"/>
        <w:rPr>
          <w:sz w:val="20"/>
          <w:szCs w:val="20"/>
          <w:color w:val="auto"/>
        </w:rPr>
      </w:pPr>
      <w:r>
        <w:rPr>
          <w:rFonts w:ascii="Times New Roman" w:cs="Times New Roman" w:eastAsia="Times New Roman" w:hAnsi="Times New Roman"/>
          <w:sz w:val="17"/>
          <w:szCs w:val="17"/>
          <w:color w:val="auto"/>
        </w:rPr>
        <w:t>We cannot assure you that we can execute successfully any of these actions, nor can we assure you that the launch of any additional product lines or businesses by us or our licensees or that the continued offering of these lines will achieve the degree of consistent success necessary to generate profits or positive cash flow. Our ability to carry out our growth strategy successfully may be affected by, among other things, our ability to enhance our relationships with existing customers to obtain additional selling space or add additional product lines, our ability to develop new relationships with retailers, the ability of our new licensees to maintain and improve upon prior sales levels of licensed product categories, competitive conditions, changes in consumer shopping and spending patterns (including due to economic conditions or price increases caused by shortages, increases in duties or tariffs, or other factors), and changes in consumer tastes and style trends. If we fail to continue to develop and grow our businesses, our financial condition and results of operations may be materially adversely affected.</w:t>
      </w:r>
    </w:p>
    <w:p>
      <w:pPr>
        <w:spacing w:after="0" w:line="200" w:lineRule="exact"/>
        <w:rPr>
          <w:sz w:val="20"/>
          <w:szCs w:val="20"/>
          <w:color w:val="auto"/>
        </w:rPr>
      </w:pPr>
    </w:p>
    <w:p>
      <w:pPr>
        <w:spacing w:after="0" w:line="207" w:lineRule="exact"/>
        <w:rPr>
          <w:sz w:val="20"/>
          <w:szCs w:val="20"/>
          <w:color w:val="auto"/>
        </w:rPr>
      </w:pPr>
    </w:p>
    <w:p>
      <w:pPr>
        <w:ind w:right="460" w:firstLine="625"/>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on the value of our “TOMMY HILFIGER” and “Calvin Klein” brands and, if the value of either of those brands were to diminish, our business could be adversely affected.</w:t>
      </w:r>
    </w:p>
    <w:p>
      <w:pPr>
        <w:spacing w:after="0" w:line="167" w:lineRule="exact"/>
        <w:rPr>
          <w:sz w:val="20"/>
          <w:szCs w:val="20"/>
          <w:color w:val="auto"/>
        </w:rPr>
      </w:pPr>
    </w:p>
    <w:p>
      <w:pPr>
        <w:ind w:right="80" w:firstLine="625"/>
        <w:spacing w:after="0" w:line="262" w:lineRule="auto"/>
        <w:rPr>
          <w:sz w:val="20"/>
          <w:szCs w:val="20"/>
          <w:color w:val="auto"/>
        </w:rPr>
      </w:pPr>
      <w:r>
        <w:rPr>
          <w:rFonts w:ascii="Times New Roman" w:cs="Times New Roman" w:eastAsia="Times New Roman" w:hAnsi="Times New Roman"/>
          <w:sz w:val="17"/>
          <w:szCs w:val="17"/>
          <w:color w:val="auto"/>
        </w:rPr>
        <w:t xml:space="preserve">Our success depends on our brands and their value.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name is integral to the existing Tommy Hilfiger business, as well as to our strategies for continuing to grow and expand the business. Mr. Hilfiger, who continues his role of Principal Designer, is closely identified with the </w:t>
      </w:r>
      <w:r>
        <w:rPr>
          <w:rFonts w:ascii="Times New Roman" w:cs="Times New Roman" w:eastAsia="Times New Roman" w:hAnsi="Times New Roman"/>
          <w:sz w:val="17"/>
          <w:szCs w:val="17"/>
          <w:i w:val="1"/>
          <w:iCs w:val="1"/>
          <w:color w:val="auto"/>
        </w:rPr>
        <w:t>TOMMY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HILFIGER </w:t>
      </w:r>
      <w:r>
        <w:rPr>
          <w:rFonts w:ascii="Times New Roman" w:cs="Times New Roman" w:eastAsia="Times New Roman" w:hAnsi="Times New Roman"/>
          <w:sz w:val="17"/>
          <w:szCs w:val="17"/>
          <w:color w:val="auto"/>
        </w:rPr>
        <w:t>brands and any negative perception with respect to Mr. Hilfiger could adversely affect the brands. In addition, under Mr. Hilfiger’s employment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agreement, if his employment is terminated for any reason, his agreement not to compete with the Tommy Hilfiger business will expire two years after such termination. Although Mr. Hilfiger could not use any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trademark in connection with a competitive business, his association with a competitive business could adversely affect the Tommy Hilfiger business. We also have exposure with respect to the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which are integral to the existing Calvin Klein business and could be adversely affected if Mr. Klein’s public image or reputation were to be tarnished.</w:t>
      </w:r>
    </w:p>
    <w:p>
      <w:pPr>
        <w:spacing w:after="0" w:line="199"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 xml:space="preserve">In addition, brand value and reputation, and consumer patronage could diminish significantly due to numerous other factors, including consumer attitudes regarding social and political issues, consumer perceptions of our position on these issues, the positions taken by celebrities, athletes and others who promote our products (and our response to the same), a belief that we or our business partners have acted in an irresponsible or unacceptable manner (including in respect of human rights events in our supply chain), or environmental impact or sustainability claims made in regard to products under our brands. Negative claims or publicity regarding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stores or products, including stores operated by business partners and licensed products, or regarding celebrities, athletes and others who promote our products, as well as our treatment of employees and customers, particularly when made on social media, which has the potential to rapidly accelerate the timing and reach of negative publicity, also could adversely affect the brands’ reputations and our sales even if the subject of such publicity is unverified or inaccurate and we seek to correct it.</w:t>
      </w:r>
    </w:p>
    <w:p>
      <w:pPr>
        <w:spacing w:after="0" w:line="201" w:lineRule="exact"/>
        <w:rPr>
          <w:sz w:val="20"/>
          <w:szCs w:val="20"/>
          <w:color w:val="auto"/>
        </w:rPr>
      </w:pPr>
    </w:p>
    <w:p>
      <w:pPr>
        <w:jc w:val="both"/>
        <w:ind w:firstLine="625"/>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China’s Ministry of Commerce (“MOFCOM”) conducted an investigation into our business which resulted in PVH Corp. being placed on the List of Unreliable Entities (“UEL”) and could result in fines or restrictions on our ability to do business in China, which could have a material adverse effect on our revenue and results of operations.</w:t>
      </w:r>
    </w:p>
    <w:p>
      <w:pPr>
        <w:spacing w:after="0" w:line="186" w:lineRule="exact"/>
        <w:rPr>
          <w:sz w:val="20"/>
          <w:szCs w:val="20"/>
          <w:color w:val="auto"/>
        </w:rPr>
      </w:pPr>
    </w:p>
    <w:p>
      <w:pPr>
        <w:ind w:right="60" w:firstLine="625"/>
        <w:spacing w:after="0" w:line="260" w:lineRule="auto"/>
        <w:rPr>
          <w:sz w:val="20"/>
          <w:szCs w:val="20"/>
          <w:color w:val="auto"/>
        </w:rPr>
      </w:pPr>
      <w:r>
        <w:rPr>
          <w:rFonts w:ascii="Times New Roman" w:cs="Times New Roman" w:eastAsia="Times New Roman" w:hAnsi="Times New Roman"/>
          <w:sz w:val="17"/>
          <w:szCs w:val="17"/>
          <w:color w:val="auto"/>
        </w:rPr>
        <w:t>In September 2024, MOFCOM announced that it had initiated an investigation into our business under the Provisions of the List of Unreliable Entities (“UEL Provisions”). In October 2024, we submitted a written response to MOFCOM and, in December 2024, we submitted a supplemental response. In January 2025, MOFCOM issued a preliminary finding that PVH Corp. had violated normal market trading principles and in February 2025, it announced its determination and placed PVH Corp. on the UEL. We do not know if or when MOFCOM will implement any measures as a result of the listing or what they will be if any are imposed. According to the UEL Provisions, potential measures could include monetary fines, restrictions or prohibitions on engaging in import and export activities related to China or making investments in China, entry denial of our relevant personnel into China, restrictions or revocation of work permits, stay or residence status of our relevant personnel in China, or other measures. No measures have been imposed on us at this time. The practical impact of any such restrictions or prohibitions could include our inability to produce goods in China for sale elsewhere, our inability to sell goods on a wholesale or retail basis in China, or our inability to make investments in China.</w:t>
      </w:r>
    </w:p>
    <w:p>
      <w:pPr>
        <w:spacing w:after="0" w:line="202" w:lineRule="exact"/>
        <w:rPr>
          <w:sz w:val="20"/>
          <w:szCs w:val="20"/>
          <w:color w:val="auto"/>
        </w:rPr>
      </w:pPr>
    </w:p>
    <w:p>
      <w:pPr>
        <w:ind w:right="480" w:firstLine="625"/>
        <w:spacing w:after="0" w:line="293" w:lineRule="auto"/>
        <w:rPr>
          <w:sz w:val="20"/>
          <w:szCs w:val="20"/>
          <w:color w:val="auto"/>
        </w:rPr>
      </w:pPr>
      <w:r>
        <w:rPr>
          <w:rFonts w:ascii="Times New Roman" w:cs="Times New Roman" w:eastAsia="Times New Roman" w:hAnsi="Times New Roman"/>
          <w:sz w:val="17"/>
          <w:szCs w:val="17"/>
          <w:color w:val="auto"/>
        </w:rPr>
        <w:t>We cannot currently predict the duration or impact of any measures that may ultimately be imposed. The imposition and enforcement of measures against us could have a material adverse effect on our revenue and results of operations.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9" w:name="page20"/>
    <w:bookmarkEnd w:id="19"/>
    <w:p>
      <w:pPr>
        <w:spacing w:after="0" w:line="263" w:lineRule="auto"/>
        <w:rPr>
          <w:sz w:val="20"/>
          <w:szCs w:val="20"/>
          <w:color w:val="auto"/>
        </w:rPr>
      </w:pPr>
      <w:r>
        <w:rPr>
          <w:rFonts w:ascii="Times New Roman" w:cs="Times New Roman" w:eastAsia="Times New Roman" w:hAnsi="Times New Roman"/>
          <w:sz w:val="17"/>
          <w:szCs w:val="17"/>
          <w:color w:val="auto"/>
        </w:rPr>
        <w:t>Furthermore, if, as a result of any such measures, it is necessary for us to cease certain or all operations in China, it may result in charges related to excess inventory and difficulty collecting trade receivables, among other things. We may also incur material non-cash impairment charges if we are unable to recover the carrying value of our indefinite-lived intangible assets and long-lived assets. Additionally, if the production of our products in China ceases, our business could be impacted more broadly and we may need or decide to shift production to other jurisdictions. Please see the risk factors entitled “</w:t>
      </w:r>
      <w:r>
        <w:rPr>
          <w:rFonts w:ascii="Times New Roman" w:cs="Times New Roman" w:eastAsia="Times New Roman" w:hAnsi="Times New Roman"/>
          <w:sz w:val="17"/>
          <w:szCs w:val="17"/>
          <w:i w:val="1"/>
          <w:iCs w:val="1"/>
          <w:color w:val="auto"/>
        </w:rPr>
        <w:t>We primarily use foreign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suppliers for our products and raw materials, which poses risks to our business operations.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We depend on third parties to manufacture our products and any disruption in our relationships with these parties or in their businesses may materially adversely affect our business.</w:t>
      </w:r>
      <w:r>
        <w:rPr>
          <w:rFonts w:ascii="Times New Roman" w:cs="Times New Roman" w:eastAsia="Times New Roman" w:hAnsi="Times New Roman"/>
          <w:sz w:val="17"/>
          <w:szCs w:val="17"/>
          <w:color w:val="auto"/>
        </w:rPr>
        <w:t>” for additional information.</w:t>
      </w:r>
    </w:p>
    <w:p>
      <w:pPr>
        <w:spacing w:after="0" w:line="194" w:lineRule="exact"/>
        <w:rPr>
          <w:sz w:val="20"/>
          <w:szCs w:val="20"/>
          <w:color w:val="auto"/>
        </w:rPr>
      </w:pPr>
    </w:p>
    <w:p>
      <w:pPr>
        <w:ind w:firstLine="625"/>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Increased regulation and stakeholder scrutiny regarding our corporate responsibility matters, could result in additional costs or risks and adversely impact our reputation.</w:t>
      </w:r>
    </w:p>
    <w:p>
      <w:pPr>
        <w:spacing w:after="0" w:line="169" w:lineRule="exact"/>
        <w:rPr>
          <w:sz w:val="20"/>
          <w:szCs w:val="20"/>
          <w:color w:val="auto"/>
        </w:rPr>
      </w:pPr>
    </w:p>
    <w:p>
      <w:pPr>
        <w:ind w:right="40" w:firstLine="625"/>
        <w:spacing w:after="0" w:line="258" w:lineRule="auto"/>
        <w:rPr>
          <w:sz w:val="20"/>
          <w:szCs w:val="20"/>
          <w:color w:val="auto"/>
        </w:rPr>
      </w:pPr>
      <w:r>
        <w:rPr>
          <w:rFonts w:ascii="Times New Roman" w:cs="Times New Roman" w:eastAsia="Times New Roman" w:hAnsi="Times New Roman"/>
          <w:sz w:val="17"/>
          <w:szCs w:val="17"/>
          <w:color w:val="auto"/>
        </w:rPr>
        <w:t>There is a focus from certain consumers, investors, our associates and other stakeholders on corporate responsibility matters, which has led to increased pressure to expand our disclosures, ensure labor and other sustainability standards within our value chain, make and establish corporate responsibility goals, and take actions to meet them, which could expose us to regulatory, legal, market, operational and execution costs or risks. The emergence of legislation and regulation regarding marketing of goods, business practices, and public reporting and disclosures related to issues under the corporate responsibility umbrella in various jurisdictions, including but not limited to, the European Union, the United Kingdom, Canada, Australia and various U.S.-state-level regulations, could also lead to risks associated with non-compliance. We seek to comply with all applicable laws, rules and regulations and have established focus areas and targets under our corporate responsibility strategy in respect to many measures, including in regard to greenhouse gas emissions, water usage and usage of more environmentally preferred materials and packaging, and human rights. There can be no assurance that we can achieve compliance without significant impact on our business or results of operations or that our stakeholders will agree with our strategy or that we will be successful in achieving our goals. This could result in our inability to achieve our targets or comply with reporting regulations. In addition, we could be criticized by stakeholders, regulators, or other interested parties for the scope or nature of our corporate responsibility initiatives or goals or for any revisions to these goals, including negative responses by governmental actors (such as anti-sustainability legislation or retaliatory legislative treatment) or consumers (such as boycotts or negative publicity campaigns). Any of these occurrences could adversely affect our reputation and the reputation of our brands, sales and demand for our products, retention of our associates, willingness of our suppliers to do business with us, and investor interest in our securities.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cost-saving initiatives may not generate the intended benefits or attain the projected cost savings we anticipate.</w:t>
      </w:r>
    </w:p>
    <w:p>
      <w:pPr>
        <w:spacing w:after="0" w:line="251"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We have embarked and may continue to embark on initiatives to drive more efficient and cost-effective ways of working across the organization, such as our Growth Driver 5 Actions and 2022 cost savings initiative described in Note 17, “Exit Activity Costs,” in the Notes to Consolidated Financial Statements included in Item 8 of this report. Our ability to realize anticipated benefits and cost savings from these initiatives are subject to many estimates and assumptions, which may change during implementation and execution. In addition, there can be no assurance regarding the timing of or extent to which we will realize the anticipated cost savings. We may also face disruptions to our business or operations as we execute on the initiatives.</w:t>
      </w:r>
    </w:p>
    <w:p>
      <w:pPr>
        <w:spacing w:after="0" w:line="192" w:lineRule="exact"/>
        <w:rPr>
          <w:sz w:val="20"/>
          <w:szCs w:val="20"/>
          <w:color w:val="auto"/>
        </w:rPr>
      </w:pPr>
    </w:p>
    <w:p>
      <w:pPr>
        <w:ind w:right="520" w:firstLine="625"/>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inability to execute our digital commerce strategy could materially adversely affect the reputation of our brands and our revenue and our operating results may be harmed.</w:t>
      </w:r>
    </w:p>
    <w:p>
      <w:pPr>
        <w:spacing w:after="0" w:line="167" w:lineRule="exact"/>
        <w:rPr>
          <w:sz w:val="20"/>
          <w:szCs w:val="20"/>
          <w:color w:val="auto"/>
        </w:rPr>
      </w:pPr>
    </w:p>
    <w:p>
      <w:pPr>
        <w:ind w:right="40" w:firstLine="625"/>
        <w:spacing w:after="0" w:line="261" w:lineRule="auto"/>
        <w:rPr>
          <w:sz w:val="20"/>
          <w:szCs w:val="20"/>
          <w:color w:val="auto"/>
        </w:rPr>
      </w:pPr>
      <w:r>
        <w:rPr>
          <w:rFonts w:ascii="Times New Roman" w:cs="Times New Roman" w:eastAsia="Times New Roman" w:hAnsi="Times New Roman"/>
          <w:sz w:val="17"/>
          <w:szCs w:val="17"/>
          <w:color w:val="auto"/>
        </w:rPr>
        <w:t>Growing digital revenue, both with respect to our direct-to-consumer businesses and our wholesale business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sales to pure play and digital commerce businesses of traditional retailers), continues to be a focus for us, representing approximately 20% of our total revenue during 2025. Our success depends, in part, on third parties and factors over which we have limited control, including changing consumer preferences and buying trends relating to digital commerce usage and promotional or other advertising initiatives employed by our wholesale customers or other third parties on their digital commerce sites. Any failure on our part, or on the part of our digital partners, to provide digital commerce platforms that attract consumers, build our brands, provide a satisfactory consumer purchasing experience and result in repeat consumer purchases could result in diminished brand image, relevance and loyalty, and lost revenue. Additionally, as online channels continue to grow in importance, the failure to attract new and existing consumers to our digital commerce channels and those operated by our wholesale partners and franchisees will adversely affect our financial condition and results of operations.</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operation of digital commerce sites poses risks and uncertainties including:</w:t>
      </w:r>
    </w:p>
    <w:p>
      <w:pPr>
        <w:spacing w:after="0" w:line="141" w:lineRule="exact"/>
        <w:rPr>
          <w:sz w:val="20"/>
          <w:szCs w:val="20"/>
          <w:color w:val="auto"/>
        </w:rPr>
      </w:pPr>
    </w:p>
    <w:p>
      <w:pPr>
        <w:ind w:left="620" w:hanging="304"/>
        <w:spacing w:after="0"/>
        <w:tabs>
          <w:tab w:leader="none" w:pos="62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required technology interfaces;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 w:name="page21"/>
    <w:bookmarkEnd w:id="20"/>
    <w:p>
      <w:pPr>
        <w:ind w:left="620" w:hanging="304"/>
        <w:spacing w:after="0"/>
        <w:tabs>
          <w:tab w:leader="none" w:pos="62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7"/>
          <w:szCs w:val="17"/>
          <w:color w:val="auto"/>
        </w:rPr>
        <w:t>website downtime and other technical failures;</w:t>
      </w:r>
    </w:p>
    <w:p>
      <w:pPr>
        <w:spacing w:after="0" w:line="109" w:lineRule="exact"/>
        <w:rPr>
          <w:rFonts w:ascii="Arial" w:cs="Arial" w:eastAsia="Arial" w:hAnsi="Arial"/>
          <w:sz w:val="21"/>
          <w:szCs w:val="21"/>
          <w:color w:val="auto"/>
        </w:rPr>
      </w:pPr>
    </w:p>
    <w:p>
      <w:pPr>
        <w:ind w:left="620" w:hanging="304"/>
        <w:spacing w:after="0"/>
        <w:tabs>
          <w:tab w:leader="none" w:pos="62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7"/>
          <w:szCs w:val="17"/>
          <w:color w:val="auto"/>
        </w:rPr>
        <w:t>costs and technical issues from website software upgrades;</w:t>
      </w:r>
    </w:p>
    <w:p>
      <w:pPr>
        <w:spacing w:after="0" w:line="109" w:lineRule="exact"/>
        <w:rPr>
          <w:rFonts w:ascii="Arial" w:cs="Arial" w:eastAsia="Arial" w:hAnsi="Arial"/>
          <w:sz w:val="21"/>
          <w:szCs w:val="21"/>
          <w:color w:val="auto"/>
        </w:rPr>
      </w:pPr>
    </w:p>
    <w:p>
      <w:pPr>
        <w:ind w:left="620" w:hanging="304"/>
        <w:spacing w:after="0"/>
        <w:tabs>
          <w:tab w:leader="none" w:pos="62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7"/>
          <w:szCs w:val="17"/>
          <w:color w:val="auto"/>
        </w:rPr>
        <w:t>potential failure to successfully implement any new or upgraded system or platform without disruption to our operations;</w:t>
      </w:r>
    </w:p>
    <w:p>
      <w:pPr>
        <w:spacing w:after="0" w:line="122" w:lineRule="exact"/>
        <w:rPr>
          <w:rFonts w:ascii="Arial" w:cs="Arial" w:eastAsia="Arial" w:hAnsi="Arial"/>
          <w:sz w:val="21"/>
          <w:szCs w:val="21"/>
          <w:color w:val="auto"/>
        </w:rPr>
      </w:pPr>
    </w:p>
    <w:p>
      <w:pPr>
        <w:ind w:left="620" w:hanging="304"/>
        <w:spacing w:after="0"/>
        <w:tabs>
          <w:tab w:leader="none" w:pos="62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7"/>
          <w:szCs w:val="17"/>
          <w:color w:val="auto"/>
        </w:rPr>
        <w:t>data and system security;</w:t>
      </w:r>
    </w:p>
    <w:p>
      <w:pPr>
        <w:spacing w:after="0" w:line="109" w:lineRule="exact"/>
        <w:rPr>
          <w:rFonts w:ascii="Arial" w:cs="Arial" w:eastAsia="Arial" w:hAnsi="Arial"/>
          <w:sz w:val="21"/>
          <w:szCs w:val="21"/>
          <w:color w:val="auto"/>
        </w:rPr>
      </w:pPr>
    </w:p>
    <w:p>
      <w:pPr>
        <w:ind w:left="620" w:hanging="304"/>
        <w:spacing w:after="0"/>
        <w:tabs>
          <w:tab w:leader="none" w:pos="62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7"/>
          <w:szCs w:val="17"/>
          <w:color w:val="auto"/>
        </w:rPr>
        <w:t>computer viruses and other malicious acts; and</w:t>
      </w:r>
    </w:p>
    <w:p>
      <w:pPr>
        <w:spacing w:after="0" w:line="109" w:lineRule="exact"/>
        <w:rPr>
          <w:rFonts w:ascii="Arial" w:cs="Arial" w:eastAsia="Arial" w:hAnsi="Arial"/>
          <w:sz w:val="21"/>
          <w:szCs w:val="21"/>
          <w:color w:val="auto"/>
        </w:rPr>
      </w:pPr>
    </w:p>
    <w:p>
      <w:pPr>
        <w:ind w:left="620" w:hanging="304"/>
        <w:spacing w:after="0"/>
        <w:tabs>
          <w:tab w:leader="none" w:pos="62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applicable laws and regulations.</w:t>
      </w:r>
    </w:p>
    <w:p>
      <w:pPr>
        <w:spacing w:after="0" w:line="216" w:lineRule="exact"/>
        <w:rPr>
          <w:sz w:val="20"/>
          <w:szCs w:val="20"/>
          <w:color w:val="auto"/>
        </w:rPr>
      </w:pPr>
    </w:p>
    <w:p>
      <w:pPr>
        <w:jc w:val="both"/>
        <w:ind w:right="120" w:firstLine="625"/>
        <w:spacing w:after="0" w:line="274" w:lineRule="auto"/>
        <w:rPr>
          <w:sz w:val="20"/>
          <w:szCs w:val="20"/>
          <w:color w:val="auto"/>
        </w:rPr>
      </w:pPr>
      <w:r>
        <w:rPr>
          <w:rFonts w:ascii="Times New Roman" w:cs="Times New Roman" w:eastAsia="Times New Roman" w:hAnsi="Times New Roman"/>
          <w:sz w:val="17"/>
          <w:szCs w:val="17"/>
          <w:color w:val="auto"/>
        </w:rPr>
        <w:t>Keeping current with technology, competitive trends, security and the like may increase our costs and may not succeed in increasing sales or attracting consumers. Our failure to respond successfully to these risks and uncertainties might adversely affect the reputation of our brands and our revenue and results of operations.</w:t>
      </w:r>
    </w:p>
    <w:p>
      <w:pPr>
        <w:spacing w:after="0" w:line="189" w:lineRule="exact"/>
        <w:rPr>
          <w:sz w:val="20"/>
          <w:szCs w:val="20"/>
          <w:color w:val="auto"/>
        </w:rPr>
      </w:pPr>
    </w:p>
    <w:p>
      <w:pPr>
        <w:ind w:right="80" w:firstLine="625"/>
        <w:spacing w:after="0" w:line="259" w:lineRule="auto"/>
        <w:rPr>
          <w:sz w:val="20"/>
          <w:szCs w:val="20"/>
          <w:color w:val="auto"/>
        </w:rPr>
      </w:pPr>
      <w:r>
        <w:rPr>
          <w:rFonts w:ascii="Times New Roman" w:cs="Times New Roman" w:eastAsia="Times New Roman" w:hAnsi="Times New Roman"/>
          <w:sz w:val="17"/>
          <w:szCs w:val="17"/>
          <w:color w:val="auto"/>
        </w:rPr>
        <w:t>The success of our digital strategy depends, in part, on consumer satisfaction, including timely receipt of orders. Fulfillment of these orders requires different logistics operations than for our retail store and wholesale customer operations. We need adequate capacity, systems and operations to sustain and support the continued growth in our digital commerce businesses. If we encounter difficulties with our operation of our directly operated distribution facilities or in our relationships with the third parties who operate our other distribution facilities, or if any such facilities were to shut down or be limited in capacity for any reason, including as a result of fire or other casualty, natural disaster, systems disruption (including as a result of ransomware and other cybersecurity attacks), labor shortage or other interruption, including as a result of epidemics and other health-related concerns (such as had occurred during the COVID-19 pandemic), or if there is a significant increase in demand for shipping capacity (as was the case due to the pandemic), we may experience (and, due to these factors in the past, have experienced) disruption or delay in distributing our products to our consumers, which could result in consumer dissatisfaction and lost sales. Additionally, in the event of any of the foregoing, we may incur higher costs than anticipated to ensure smooth and timely operation. Any of the foregoing could have an adverse effect on the reputation of our brands and our revenue and results of operations.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Global economic conditions, including volatility in the financial and credit markets, may adversely affect our business.</w:t>
      </w:r>
    </w:p>
    <w:p>
      <w:pPr>
        <w:spacing w:after="0" w:line="251"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Economic conditions in the past have adversely affected, and in the future may adversely affect, our business, our customers and licensees and their businesses, and our financing and contractual arrangements, as a result of, among other factors, pandemics, inflationary pressures and other macroeconomic pressures, such as tariffs imposed and threatened in 2025 and 2026 on goods imported into the United States, elevated interest rates, the risk of recession, the war in Ukraine and the conflict in the Middle East and its broader macroeconomic implications, and disruptions that have been occurring in the Red Sea. Such conditions, amongst other things, have resulted, and in the future may result, in financial difficulties leading to restructurings, bankruptcies, liquidations and other unfavorable events for our customers and licensees, may cause customers to reduce or discontinue orders of our products and licensed products sold by our licensees, and may result in customers being unable to pay us for products they have purchased from us and licensees being unable to pay us royalties owed to us. Financial difficulties of business partners also may affect their ability to access credit markets or lead to higher credit risk relating to receivables from them.</w:t>
      </w:r>
    </w:p>
    <w:p>
      <w:pPr>
        <w:spacing w:after="0" w:line="205"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Volatility in the financial and credit markets due, in part, to inflationary pressures or other macroeconomic or geopolitical factors, could also make it more difficult or expensive for us to obtain financing or refinance existing debt when the need arises, or on terms that would be acceptable to us. We have senior unsecured term loans (€408 million outstanding as of the end of 2025) and senior unsecured notes (€600.0 million principal amount) coming due in 2027 that will need to be paid or refinanced.</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primarily use foreign suppliers for our products and raw materials, which poses risks to our business operations.</w:t>
      </w:r>
    </w:p>
    <w:p>
      <w:pPr>
        <w:spacing w:after="0" w:line="251" w:lineRule="exact"/>
        <w:rPr>
          <w:sz w:val="20"/>
          <w:szCs w:val="20"/>
          <w:color w:val="auto"/>
        </w:rPr>
      </w:pPr>
    </w:p>
    <w:p>
      <w:pPr>
        <w:ind w:right="100" w:firstLine="625"/>
        <w:spacing w:after="0" w:line="293" w:lineRule="auto"/>
        <w:rPr>
          <w:sz w:val="20"/>
          <w:szCs w:val="20"/>
          <w:color w:val="auto"/>
        </w:rPr>
      </w:pPr>
      <w:r>
        <w:rPr>
          <w:rFonts w:ascii="Times New Roman" w:cs="Times New Roman" w:eastAsia="Times New Roman" w:hAnsi="Times New Roman"/>
          <w:sz w:val="17"/>
          <w:szCs w:val="17"/>
          <w:color w:val="auto"/>
        </w:rPr>
        <w:t>Our apparel, footwear and accessories are produced by and purchased or procured from independent manufacturers in approximately 30 countries, with most being located in Asia. Although no single supplier or country is or is expected to become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21" w:name="page22"/>
    <w:bookmarkEnd w:id="21"/>
    <w:p>
      <w:pPr>
        <w:ind w:right="160"/>
        <w:spacing w:after="0" w:line="293" w:lineRule="auto"/>
        <w:rPr>
          <w:sz w:val="20"/>
          <w:szCs w:val="20"/>
          <w:color w:val="auto"/>
        </w:rPr>
      </w:pPr>
      <w:r>
        <w:rPr>
          <w:rFonts w:ascii="Times New Roman" w:cs="Times New Roman" w:eastAsia="Times New Roman" w:hAnsi="Times New Roman"/>
          <w:sz w:val="17"/>
          <w:szCs w:val="17"/>
          <w:color w:val="auto"/>
        </w:rPr>
        <w:t>critical to our production needs, any of the following could materially and adversely affect our ability to produce or deliver our products and, as a result, have a material adverse effect on our business, financial condition and results of operations:</w:t>
      </w:r>
    </w:p>
    <w:p>
      <w:pPr>
        <w:spacing w:after="0" w:line="212" w:lineRule="exact"/>
        <w:rPr>
          <w:sz w:val="20"/>
          <w:szCs w:val="20"/>
          <w:color w:val="auto"/>
        </w:rPr>
      </w:pPr>
    </w:p>
    <w:p>
      <w:pPr>
        <w:ind w:left="620" w:right="160" w:hanging="304"/>
        <w:spacing w:after="0" w:line="238"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political or labor instability or military conflict involving any of the countries where we, our contractors, or our suppliers operate, which could cause a delay in the production or transportation of our products to us and an increase in production and transportation costs;</w:t>
      </w:r>
    </w:p>
    <w:p>
      <w:pPr>
        <w:spacing w:after="0" w:line="126" w:lineRule="exact"/>
        <w:rPr>
          <w:rFonts w:ascii="Arial" w:cs="Arial" w:eastAsia="Arial" w:hAnsi="Arial"/>
          <w:sz w:val="21"/>
          <w:szCs w:val="21"/>
          <w:color w:val="auto"/>
        </w:rPr>
      </w:pPr>
    </w:p>
    <w:p>
      <w:pPr>
        <w:ind w:left="620" w:right="120" w:hanging="304"/>
        <w:spacing w:after="0" w:line="245"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heightened terrorism security concerns, which could subject imported or exported goods to additional, more frequent or more thorough inspections, leading to delays in deliveries or impoundments of goods for extended periods or could result in decreased scrutiny by customs officials for counterfeit goods, leading to lost sales, increased costs for our anti-counterfeiting measures and damage to the reputation of our brands;</w:t>
      </w:r>
    </w:p>
    <w:p>
      <w:pPr>
        <w:spacing w:after="0" w:line="121" w:lineRule="exact"/>
        <w:rPr>
          <w:rFonts w:ascii="Arial" w:cs="Arial" w:eastAsia="Arial" w:hAnsi="Arial"/>
          <w:sz w:val="21"/>
          <w:szCs w:val="21"/>
          <w:color w:val="auto"/>
        </w:rPr>
      </w:pPr>
    </w:p>
    <w:p>
      <w:pPr>
        <w:ind w:left="620" w:right="800" w:hanging="304"/>
        <w:spacing w:after="0" w:line="253"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limitations on our ability to source raw materials or goods produced in a country that is a major provider due to political, human rights, labor, environmental, animal cruelty or other concerns;</w:t>
      </w:r>
    </w:p>
    <w:p>
      <w:pPr>
        <w:spacing w:after="0" w:line="96" w:lineRule="exact"/>
        <w:rPr>
          <w:rFonts w:ascii="Arial" w:cs="Arial" w:eastAsia="Arial" w:hAnsi="Arial"/>
          <w:sz w:val="21"/>
          <w:szCs w:val="21"/>
          <w:color w:val="auto"/>
        </w:rPr>
      </w:pPr>
    </w:p>
    <w:p>
      <w:pPr>
        <w:ind w:left="620" w:hanging="304"/>
        <w:spacing w:after="0"/>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a significant decrease in factory and shipping capacity or a significant increase in demand for such capacity;</w:t>
      </w:r>
    </w:p>
    <w:p>
      <w:pPr>
        <w:spacing w:after="0" w:line="124" w:lineRule="exact"/>
        <w:rPr>
          <w:rFonts w:ascii="Arial" w:cs="Arial" w:eastAsia="Arial" w:hAnsi="Arial"/>
          <w:sz w:val="21"/>
          <w:szCs w:val="21"/>
          <w:color w:val="auto"/>
        </w:rPr>
      </w:pPr>
    </w:p>
    <w:p>
      <w:pPr>
        <w:ind w:left="620" w:right="520" w:hanging="304"/>
        <w:spacing w:after="0" w:line="238"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a significant increase in wage, freight, shipping and other logistics costs, including as a result of disruption at ports of entry, which could result in increased freight and other logistics costs;</w:t>
      </w:r>
    </w:p>
    <w:p>
      <w:pPr>
        <w:spacing w:after="0" w:line="126" w:lineRule="exact"/>
        <w:rPr>
          <w:rFonts w:ascii="Arial" w:cs="Arial" w:eastAsia="Arial" w:hAnsi="Arial"/>
          <w:sz w:val="21"/>
          <w:szCs w:val="21"/>
          <w:color w:val="auto"/>
        </w:rPr>
      </w:pPr>
    </w:p>
    <w:p>
      <w:pPr>
        <w:ind w:left="620" w:right="220" w:hanging="304"/>
        <w:spacing w:after="0" w:line="238"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natural disasters, such as floods, earthquakes, wildfires and droughts, the frequency of some of which may be increasing due to climate change, could result in closed factories and scarcity of raw materials (particularly cotton);</w:t>
      </w:r>
    </w:p>
    <w:p>
      <w:pPr>
        <w:spacing w:after="0" w:line="126" w:lineRule="exact"/>
        <w:rPr>
          <w:rFonts w:ascii="Arial" w:cs="Arial" w:eastAsia="Arial" w:hAnsi="Arial"/>
          <w:sz w:val="21"/>
          <w:szCs w:val="21"/>
          <w:color w:val="auto"/>
        </w:rPr>
      </w:pPr>
    </w:p>
    <w:p>
      <w:pPr>
        <w:ind w:left="620" w:right="60" w:hanging="304"/>
        <w:spacing w:after="0" w:line="245"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disease epidemics and other health related concerns, such as the COVID-19 pandemic, which could result in (and in the case of the pandemic, did result in certain of the following) a significant decrease in factory and shipping capacity, closed factories, reduced workforces, scarcity of raw materials and scrutiny or embargoing of goods produced in infected areas;</w:t>
      </w:r>
    </w:p>
    <w:p>
      <w:pPr>
        <w:spacing w:after="0" w:line="106" w:lineRule="exact"/>
        <w:rPr>
          <w:rFonts w:ascii="Arial" w:cs="Arial" w:eastAsia="Arial" w:hAnsi="Arial"/>
          <w:sz w:val="21"/>
          <w:szCs w:val="21"/>
          <w:color w:val="auto"/>
        </w:rPr>
      </w:pPr>
    </w:p>
    <w:p>
      <w:pPr>
        <w:ind w:left="620" w:hanging="304"/>
        <w:spacing w:after="0"/>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the migration and development of manufacturers, which could affect where our products are or are planned to be produced;</w:t>
      </w:r>
    </w:p>
    <w:p>
      <w:pPr>
        <w:spacing w:after="0" w:line="137" w:lineRule="exact"/>
        <w:rPr>
          <w:rFonts w:ascii="Arial" w:cs="Arial" w:eastAsia="Arial" w:hAnsi="Arial"/>
          <w:sz w:val="21"/>
          <w:szCs w:val="21"/>
          <w:color w:val="auto"/>
        </w:rPr>
      </w:pPr>
    </w:p>
    <w:p>
      <w:pPr>
        <w:ind w:left="620" w:right="480" w:hanging="304"/>
        <w:spacing w:after="0" w:line="238"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the adoption of regulations, quotas and other restrictions relating to imports and our ability to adjust timely to changes in trade regulations, which, among other things, could limit our ability to produce products in cost-effective countries that have the labor and expertise needed;</w:t>
      </w:r>
    </w:p>
    <w:p>
      <w:pPr>
        <w:spacing w:after="0" w:line="111" w:lineRule="exact"/>
        <w:rPr>
          <w:rFonts w:ascii="Arial" w:cs="Arial" w:eastAsia="Arial" w:hAnsi="Arial"/>
          <w:sz w:val="21"/>
          <w:szCs w:val="21"/>
          <w:color w:val="auto"/>
        </w:rPr>
      </w:pPr>
    </w:p>
    <w:p>
      <w:pPr>
        <w:ind w:left="620" w:hanging="304"/>
        <w:spacing w:after="0"/>
        <w:tabs>
          <w:tab w:leader="none" w:pos="62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the implementation of new or increased duties, tariffs, taxes and other charges on imports;</w:t>
      </w:r>
    </w:p>
    <w:p>
      <w:pPr>
        <w:spacing w:after="0" w:line="124" w:lineRule="exact"/>
        <w:rPr>
          <w:rFonts w:ascii="Arial" w:cs="Arial" w:eastAsia="Arial" w:hAnsi="Arial"/>
          <w:sz w:val="21"/>
          <w:szCs w:val="21"/>
          <w:color w:val="auto"/>
        </w:rPr>
      </w:pPr>
    </w:p>
    <w:p>
      <w:pPr>
        <w:ind w:left="620" w:right="40" w:hanging="304"/>
        <w:spacing w:after="0" w:line="245"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the regulation or prohibition of the transaction of business with specific individuals or entities and their affiliates or goods manufactured in certain regions, such as the listing of a person or entity as a SDN (Specially Designated Nationals and Blocked Persons) by the United States Department of the Treasury’s Office of Foreign Assets Control and the issuance of WROs by the CBP; and</w:t>
      </w:r>
    </w:p>
    <w:p>
      <w:pPr>
        <w:spacing w:after="0" w:line="121" w:lineRule="exact"/>
        <w:rPr>
          <w:rFonts w:ascii="Arial" w:cs="Arial" w:eastAsia="Arial" w:hAnsi="Arial"/>
          <w:sz w:val="21"/>
          <w:szCs w:val="21"/>
          <w:color w:val="auto"/>
        </w:rPr>
      </w:pPr>
    </w:p>
    <w:p>
      <w:pPr>
        <w:ind w:left="620" w:right="320" w:hanging="304"/>
        <w:spacing w:after="0" w:line="245" w:lineRule="auto"/>
        <w:tabs>
          <w:tab w:leader="none" w:pos="615"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7"/>
          <w:szCs w:val="17"/>
          <w:color w:val="auto"/>
        </w:rPr>
        <w:t>legal or regulatory issues, such as those resulting from our listing on the UEL, could result in manufacturers or others in our supply chain being prohibited from, or choosing against, conducting business with us or our business partners or from others working with our licensees, franchisees or other business partners.</w:t>
      </w:r>
    </w:p>
    <w:p>
      <w:pPr>
        <w:spacing w:after="0" w:line="213"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There continues to be uncertainty in the current global trade environment due to recent changes in, and proposals and declared intentions to change trade policy, including trade restrictions, the negotiation, renegotiation or termination of trade agreements, and the imposition of new tariffs or increases in existing tariffs on imports into the affected countries. Recent legal and policy developments have further increased uncertainty. In February 2026, the U.S. Supreme Court ruled that many of the tariffs imposed by the U.S. federal government were unconstitutional. In response to that decision, the U.S. President issued an executive order imposing tariffs pursuant to Section 122 of the Trade Act of 1974 for 150 days, effective on February 24, 2026. There is significant uncertainty regarding further trade policy actions, including whether further additional tariffs or other retaliatory actions may be imposed, modified, or suspended, and in the amount and timing of tariff refunds.</w:t>
      </w:r>
    </w:p>
    <w:p>
      <w:pPr>
        <w:spacing w:after="0" w:line="203" w:lineRule="exact"/>
        <w:rPr>
          <w:sz w:val="20"/>
          <w:szCs w:val="20"/>
          <w:color w:val="auto"/>
        </w:rPr>
      </w:pPr>
    </w:p>
    <w:p>
      <w:pPr>
        <w:ind w:right="160" w:firstLine="625"/>
        <w:spacing w:after="0" w:line="293" w:lineRule="auto"/>
        <w:rPr>
          <w:sz w:val="20"/>
          <w:szCs w:val="20"/>
          <w:color w:val="auto"/>
        </w:rPr>
      </w:pPr>
      <w:r>
        <w:rPr>
          <w:rFonts w:ascii="Times New Roman" w:cs="Times New Roman" w:eastAsia="Times New Roman" w:hAnsi="Times New Roman"/>
          <w:sz w:val="17"/>
          <w:szCs w:val="17"/>
          <w:color w:val="auto"/>
        </w:rPr>
        <w:t>Tariffs and other changes in trade policy have triggered in the past, are currently triggering and could continue to trigger retaliatory actions by affected countries, including through the use of counter tariffs and other measures, which could</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22" w:name="page23"/>
    <w:bookmarkEnd w:id="22"/>
    <w:p>
      <w:pPr>
        <w:spacing w:after="0" w:line="263" w:lineRule="auto"/>
        <w:rPr>
          <w:sz w:val="20"/>
          <w:szCs w:val="20"/>
          <w:color w:val="auto"/>
        </w:rPr>
      </w:pPr>
      <w:r>
        <w:rPr>
          <w:rFonts w:ascii="Times New Roman" w:cs="Times New Roman" w:eastAsia="Times New Roman" w:hAnsi="Times New Roman"/>
          <w:sz w:val="17"/>
          <w:szCs w:val="17"/>
          <w:color w:val="auto"/>
        </w:rPr>
        <w:t>result in a higher cost or restrictions on the importation of the products we sell. We continuously look for alternative sourcing options, but we may not be able to shift timely, if at all, production from a country when new or increased duties, tariffs, taxes or other charges are imposed. In addition, higher costs in sourcing from other countries, including because others in the industry are looking to move production for the same reason, may make the move price-prohibitive. We may not be able to pass the entire cost increase resulting from tariffs, duties, taxes or other expenses onto consumers or could choose not to. Any increase in prices to consumers could have an adverse impact on our direct sales to consumers, as well as sales by our wholesale customers and our licensees. Any adverse impact on such sales or increase in our cost of goods sold could have a material adverse effect on our business and results of operations.</w:t>
      </w:r>
    </w:p>
    <w:p>
      <w:pPr>
        <w:spacing w:after="0" w:line="198" w:lineRule="exact"/>
        <w:rPr>
          <w:sz w:val="20"/>
          <w:szCs w:val="20"/>
          <w:color w:val="auto"/>
        </w:rPr>
      </w:pPr>
    </w:p>
    <w:p>
      <w:pPr>
        <w:ind w:right="60" w:firstLine="625"/>
        <w:spacing w:after="0" w:line="259" w:lineRule="auto"/>
        <w:rPr>
          <w:sz w:val="20"/>
          <w:szCs w:val="20"/>
          <w:color w:val="auto"/>
        </w:rPr>
      </w:pPr>
      <w:r>
        <w:rPr>
          <w:rFonts w:ascii="Times New Roman" w:cs="Times New Roman" w:eastAsia="Times New Roman" w:hAnsi="Times New Roman"/>
          <w:sz w:val="17"/>
          <w:szCs w:val="17"/>
          <w:color w:val="auto"/>
        </w:rPr>
        <w:t>Various actions by the United States Government, including SDN designations, have prohibited or limited the business that companies like us and, in many cases, our business partners, can conduct with numerous individuals, companies and entities, or where we or they can produce or sell products under our brands, whether directly or indirectly. These and other U.S. government actions, such as the enforcement of the Uyghur Forced Labor Prevention Act and the issuance of WROs, have affected and could continue to affect the sourcing and availability of raw materials used by our suppliers in the manufacturing of certain of our products and our importation of goods into the United States and elsewhere. These and related matters also have been subject to significant scrutiny in China, the United States and elsewhere, resulting in criticism against multinational companies, including us, as discussed in the risk factor entitled “</w:t>
      </w:r>
      <w:r>
        <w:rPr>
          <w:rFonts w:ascii="Times New Roman" w:cs="Times New Roman" w:eastAsia="Times New Roman" w:hAnsi="Times New Roman"/>
          <w:sz w:val="17"/>
          <w:szCs w:val="17"/>
          <w:i w:val="1"/>
          <w:iCs w:val="1"/>
          <w:color w:val="auto"/>
        </w:rPr>
        <w:t>China’s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Ministry of Commerce (“MOFCOM”) conducted an investigation into our business which resulted in PVH Corp. being placed on the List of Unreliable Entities (“UEL”) and could result in fines or restrictions on our ability to do business in China, which could have a material adverse effect on our revenue and results of operations</w:t>
      </w:r>
      <w:r>
        <w:rPr>
          <w:rFonts w:ascii="Times New Roman" w:cs="Times New Roman" w:eastAsia="Times New Roman" w:hAnsi="Times New Roman"/>
          <w:sz w:val="17"/>
          <w:szCs w:val="17"/>
          <w:color w:val="auto"/>
        </w:rPr>
        <w:t>.” As a consequence, these matters (and matters like them) have the potential to affect our revenue, our results of operations and the reputation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brands and us. In addition, while we make efforts to confirm that SDNs, people and materials covered by WROs, and other sanctioned entities, people and materials are not present in our supply chain, we could be subject to penalties, fines or sanctions (including on a strict liability basis) if any of the vendors from which we purchase goods is found to have dealings, directly or indirectly, with SDNs or other sanctioned persons or in banned materials.</w:t>
      </w:r>
    </w:p>
    <w:p>
      <w:pPr>
        <w:spacing w:after="0" w:line="200"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An additional risk that is related to the foreign production of goods is in regard to the transportation of goods from such foreign locations. Strikes, work slowdowns and stoppages and other actions at ports of shipment and entry could slow or stop the inflow of goods. Additionally, shipments are threatened by piracy, military actions and terrorism on shipping routes (like the disruptions that have been occurring in the Red Sea), and similar actions. The impact of these conditions could be the same as described in the risk factor entitled “</w:t>
      </w:r>
      <w:r>
        <w:rPr>
          <w:rFonts w:ascii="Times New Roman" w:cs="Times New Roman" w:eastAsia="Times New Roman" w:hAnsi="Times New Roman"/>
          <w:sz w:val="17"/>
          <w:szCs w:val="17"/>
          <w:i w:val="1"/>
          <w:iCs w:val="1"/>
          <w:color w:val="auto"/>
        </w:rPr>
        <w:t>We depend on third parties to manufacture our products and any disruption in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relationships with these parties or in their businesses may materially adversely affect our business.</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heavily dependent on the ability and desire of consumers to travel and shop.</w:t>
      </w:r>
    </w:p>
    <w:p>
      <w:pPr>
        <w:spacing w:after="0" w:line="251" w:lineRule="exact"/>
        <w:rPr>
          <w:sz w:val="20"/>
          <w:szCs w:val="20"/>
          <w:color w:val="auto"/>
        </w:rPr>
      </w:pPr>
    </w:p>
    <w:p>
      <w:pPr>
        <w:ind w:right="20" w:firstLine="625"/>
        <w:spacing w:after="0" w:line="259" w:lineRule="auto"/>
        <w:rPr>
          <w:sz w:val="20"/>
          <w:szCs w:val="20"/>
          <w:color w:val="auto"/>
        </w:rPr>
      </w:pPr>
      <w:r>
        <w:rPr>
          <w:rFonts w:ascii="Times New Roman" w:cs="Times New Roman" w:eastAsia="Times New Roman" w:hAnsi="Times New Roman"/>
          <w:sz w:val="17"/>
          <w:szCs w:val="17"/>
          <w:color w:val="auto"/>
        </w:rPr>
        <w:t>Reduced consumer traffic and purchasing, whether in our own retail stores or the stores operated by our business partners, could have a material adverse effect on our financial condition, results of operations and cash flows. Reductions could result from economic conditions, fuel shortages, increased fuel prices, travel restrictions, travel concerns and other circumstances, including adverse weather conditions, such as droughts and extreme heat, natural disasters, terrorist attacks or the perceived threat of terrorist attacks. Disease epidemics and other health-related concerns, such as the COVID-19 pandemic, also could result in (and, in the case of the pandemic, did result in) closed stores, reduced consumer traffic and purchasing, as consumers become ill or limit or cease shopping in order to avoid exposure, or governments impose mandatory business closures, travel restrictions, vaccine mandates or the like to prevent the spread of disease. Conflicts and wars, or the perceived threat of war, also could result in (and, in the case of the war in Ukraine and the conflict in the Middle East has resulted in and the Israel-Hamas war did result in) closed stores (those operated by us and/or by our business partners), and reduced consumer traffic and purchasing. Inflation, recessionary fears, and price increases due to shortages, tariffs or other trade policies, could result in weakened consumer spending and lower consumer sentiment, which may result in lower sales of our products. Additionally, political or civil unrest and demonstrations also could affect consumer traffic and purchasing.</w:t>
      </w:r>
    </w:p>
    <w:p>
      <w:pPr>
        <w:spacing w:after="0" w:line="200" w:lineRule="exact"/>
        <w:rPr>
          <w:sz w:val="20"/>
          <w:szCs w:val="20"/>
          <w:color w:val="auto"/>
        </w:rPr>
      </w:pPr>
    </w:p>
    <w:p>
      <w:pPr>
        <w:spacing w:after="0" w:line="214" w:lineRule="exact"/>
        <w:rPr>
          <w:sz w:val="20"/>
          <w:szCs w:val="20"/>
          <w:color w:val="auto"/>
        </w:rPr>
      </w:pPr>
    </w:p>
    <w:p>
      <w:pPr>
        <w:ind w:right="100" w:firstLine="625"/>
        <w:spacing w:after="0" w:line="261" w:lineRule="auto"/>
        <w:rPr>
          <w:sz w:val="20"/>
          <w:szCs w:val="20"/>
          <w:color w:val="auto"/>
        </w:rPr>
      </w:pPr>
      <w:r>
        <w:rPr>
          <w:rFonts w:ascii="Times New Roman" w:cs="Times New Roman" w:eastAsia="Times New Roman" w:hAnsi="Times New Roman"/>
          <w:sz w:val="17"/>
          <w:szCs w:val="17"/>
          <w:color w:val="auto"/>
        </w:rPr>
        <w:t>Our U.S. retail store operations are a material contributor to our revenue. The majority of our United States stores are located away from major residential centers or near vacation destinations, making travel and tourism a critical factor in their success. These retail businesses historically also have had a significant portion of their revenue attributable to sales to international tourists and, as such, have been negatively affected by the decrease in international tourists traveling to the United States. In addition to the factors discussed above, international tourism to the United States could be reduced, as could the extent to which international tourists shop at our stores, during times of a strengthening United States dollar, particularly against the euro, the Japanese yen, the Korean won, the British pound, the Australian dollar, the Canadian dollar, the Mexican peso, the Brazilian real and the Chinese yuan. Reductions in international tourist traffic and spending have had, and in the future may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3" w:name="page24"/>
    <w:bookmarkEnd w:id="23"/>
    <w:p>
      <w:pPr>
        <w:ind w:left="620"/>
        <w:spacing w:after="0"/>
        <w:rPr>
          <w:sz w:val="20"/>
          <w:szCs w:val="20"/>
          <w:color w:val="auto"/>
        </w:rPr>
      </w:pPr>
      <w:r>
        <w:rPr>
          <w:rFonts w:ascii="Times New Roman" w:cs="Times New Roman" w:eastAsia="Times New Roman" w:hAnsi="Times New Roman"/>
          <w:sz w:val="17"/>
          <w:szCs w:val="17"/>
          <w:color w:val="auto"/>
        </w:rPr>
        <w:t>Other factors that could affect the success of our stores include:</w:t>
      </w:r>
    </w:p>
    <w:p>
      <w:pPr>
        <w:spacing w:after="0" w:line="141" w:lineRule="exact"/>
        <w:rPr>
          <w:sz w:val="20"/>
          <w:szCs w:val="20"/>
          <w:color w:val="auto"/>
        </w:rPr>
      </w:pPr>
    </w:p>
    <w:p>
      <w:pPr>
        <w:ind w:left="620" w:hanging="304"/>
        <w:spacing w:after="0"/>
        <w:tabs>
          <w:tab w:leader="none" w:pos="62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the location of the store or mall, including the location of a particular store within the mall;</w:t>
      </w:r>
    </w:p>
    <w:p>
      <w:pPr>
        <w:spacing w:after="0" w:line="109" w:lineRule="exact"/>
        <w:rPr>
          <w:rFonts w:ascii="Arial" w:cs="Arial" w:eastAsia="Arial" w:hAnsi="Arial"/>
          <w:sz w:val="21"/>
          <w:szCs w:val="21"/>
          <w:color w:val="auto"/>
        </w:rPr>
      </w:pPr>
    </w:p>
    <w:p>
      <w:pPr>
        <w:ind w:left="620" w:hanging="304"/>
        <w:spacing w:after="0"/>
        <w:tabs>
          <w:tab w:leader="none" w:pos="62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the other tenants of the mall;</w:t>
      </w:r>
    </w:p>
    <w:p>
      <w:pPr>
        <w:spacing w:after="0" w:line="109" w:lineRule="exact"/>
        <w:rPr>
          <w:rFonts w:ascii="Arial" w:cs="Arial" w:eastAsia="Arial" w:hAnsi="Arial"/>
          <w:sz w:val="21"/>
          <w:szCs w:val="21"/>
          <w:color w:val="auto"/>
        </w:rPr>
      </w:pPr>
    </w:p>
    <w:p>
      <w:pPr>
        <w:ind w:left="620" w:hanging="304"/>
        <w:spacing w:after="0"/>
        <w:tabs>
          <w:tab w:leader="none" w:pos="62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competition in areas where the stores or malls are located;</w:t>
      </w:r>
    </w:p>
    <w:p>
      <w:pPr>
        <w:spacing w:after="0" w:line="122" w:lineRule="exact"/>
        <w:rPr>
          <w:rFonts w:ascii="Arial" w:cs="Arial" w:eastAsia="Arial" w:hAnsi="Arial"/>
          <w:sz w:val="21"/>
          <w:szCs w:val="21"/>
          <w:color w:val="auto"/>
        </w:rPr>
      </w:pPr>
    </w:p>
    <w:p>
      <w:pPr>
        <w:ind w:left="620" w:hanging="304"/>
        <w:spacing w:after="0"/>
        <w:tabs>
          <w:tab w:leader="none" w:pos="62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the amount of advertising and promotional dollars spent on attracting consumers to the store or mall;</w:t>
      </w:r>
    </w:p>
    <w:p>
      <w:pPr>
        <w:spacing w:after="0" w:line="109" w:lineRule="exact"/>
        <w:rPr>
          <w:rFonts w:ascii="Arial" w:cs="Arial" w:eastAsia="Arial" w:hAnsi="Arial"/>
          <w:sz w:val="21"/>
          <w:szCs w:val="21"/>
          <w:color w:val="auto"/>
        </w:rPr>
      </w:pPr>
    </w:p>
    <w:p>
      <w:pPr>
        <w:ind w:left="620" w:hanging="304"/>
        <w:spacing w:after="0"/>
        <w:tabs>
          <w:tab w:leader="none" w:pos="62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the changing patterns of consumer shopping behavior;</w:t>
      </w:r>
    </w:p>
    <w:p>
      <w:pPr>
        <w:spacing w:after="0" w:line="109" w:lineRule="exact"/>
        <w:rPr>
          <w:rFonts w:ascii="Arial" w:cs="Arial" w:eastAsia="Arial" w:hAnsi="Arial"/>
          <w:sz w:val="21"/>
          <w:szCs w:val="21"/>
          <w:color w:val="auto"/>
        </w:rPr>
      </w:pPr>
    </w:p>
    <w:p>
      <w:pPr>
        <w:ind w:left="620" w:hanging="304"/>
        <w:spacing w:after="0"/>
        <w:tabs>
          <w:tab w:leader="none" w:pos="62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competition from online retailers; and</w:t>
      </w:r>
    </w:p>
    <w:p>
      <w:pPr>
        <w:spacing w:after="0" w:line="109" w:lineRule="exact"/>
        <w:rPr>
          <w:rFonts w:ascii="Arial" w:cs="Arial" w:eastAsia="Arial" w:hAnsi="Arial"/>
          <w:sz w:val="21"/>
          <w:szCs w:val="21"/>
          <w:color w:val="auto"/>
        </w:rPr>
      </w:pPr>
    </w:p>
    <w:p>
      <w:pPr>
        <w:ind w:left="620" w:hanging="304"/>
        <w:spacing w:after="0"/>
        <w:tabs>
          <w:tab w:leader="none" w:pos="62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7"/>
          <w:szCs w:val="17"/>
          <w:color w:val="auto"/>
        </w:rPr>
        <w:t>the diversion of sales from our retail stores to our digital commerce sites.</w:t>
      </w:r>
    </w:p>
    <w:p>
      <w:pPr>
        <w:spacing w:after="0" w:line="212" w:lineRule="exact"/>
        <w:rPr>
          <w:sz w:val="20"/>
          <w:szCs w:val="20"/>
          <w:color w:val="auto"/>
        </w:rPr>
      </w:pPr>
    </w:p>
    <w:p>
      <w:pPr>
        <w:ind w:right="400" w:firstLine="625"/>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our suppliers, licensees, or other business partners, or the suppliers used by our licensees, fail to use legal and ethical business practices, our business could suffer.</w:t>
      </w:r>
    </w:p>
    <w:p>
      <w:pPr>
        <w:spacing w:after="0" w:line="169" w:lineRule="exact"/>
        <w:rPr>
          <w:sz w:val="20"/>
          <w:szCs w:val="20"/>
          <w:color w:val="auto"/>
        </w:rPr>
      </w:pPr>
    </w:p>
    <w:p>
      <w:pPr>
        <w:jc w:val="both"/>
        <w:ind w:firstLine="625"/>
        <w:spacing w:after="0" w:line="262" w:lineRule="auto"/>
        <w:rPr>
          <w:sz w:val="20"/>
          <w:szCs w:val="20"/>
          <w:color w:val="auto"/>
        </w:rPr>
      </w:pPr>
      <w:r>
        <w:rPr>
          <w:rFonts w:ascii="Times New Roman" w:cs="Times New Roman" w:eastAsia="Times New Roman" w:hAnsi="Times New Roman"/>
          <w:sz w:val="17"/>
          <w:szCs w:val="17"/>
          <w:color w:val="auto"/>
        </w:rPr>
        <w:t>We require our suppliers, licensees and other business partners, and the suppliers used by our licensees, to operate in compliance with international labor standards and applicable laws, rules and regulations regarding working conditions, employment practices and environmental compliance. Additionally, we impose upon our business partners operating guidelines that require additional obligations in order to promote ethical business practices. We require that third parties audit the operations of these independent parties to determine compliance. However, we do not oversee the entirety of the operations and supply chains utilized by our business partners and our licensees, including with respect to their labor, manufacturing and other business practices in their supply chains. Our industry has experienced and we have been impacted by increased regulation and enforcement, in particular in regards to concerns around forced labor in supply chains.</w:t>
      </w:r>
    </w:p>
    <w:p>
      <w:pPr>
        <w:spacing w:after="0" w:line="200" w:lineRule="exact"/>
        <w:rPr>
          <w:sz w:val="20"/>
          <w:szCs w:val="20"/>
          <w:color w:val="auto"/>
        </w:rPr>
      </w:pPr>
    </w:p>
    <w:p>
      <w:pPr>
        <w:spacing w:after="0" w:line="211" w:lineRule="exact"/>
        <w:rPr>
          <w:sz w:val="20"/>
          <w:szCs w:val="20"/>
          <w:color w:val="auto"/>
        </w:rPr>
      </w:pPr>
    </w:p>
    <w:p>
      <w:pPr>
        <w:jc w:val="both"/>
        <w:ind w:firstLine="625"/>
        <w:spacing w:after="0" w:line="265" w:lineRule="auto"/>
        <w:rPr>
          <w:sz w:val="20"/>
          <w:szCs w:val="20"/>
          <w:color w:val="auto"/>
        </w:rPr>
      </w:pPr>
      <w:r>
        <w:rPr>
          <w:rFonts w:ascii="Times New Roman" w:cs="Times New Roman" w:eastAsia="Times New Roman" w:hAnsi="Times New Roman"/>
          <w:sz w:val="17"/>
          <w:szCs w:val="17"/>
          <w:color w:val="auto"/>
        </w:rPr>
        <w:t>If any of these suppliers or business partners violates labor, environmental, building and fire safety, or other laws or implements labor, manufacturing or other business practices that are generally regarded as unethical, the shipment of finished products to us or our customers could be interrupted, orders could be canceled and relationships could be terminated. Further, we could be prohibited from importing or exporting goods by governmental authorities. In addition, we could be the focus of adverse publicity and our reputation and the reputation of our brands could be damaged. Any of these events could have a material adverse effect on our revenue and, consequently, our results of operations.</w:t>
      </w:r>
    </w:p>
    <w:p>
      <w:pPr>
        <w:spacing w:after="0" w:line="192" w:lineRule="exact"/>
        <w:rPr>
          <w:sz w:val="20"/>
          <w:szCs w:val="20"/>
          <w:color w:val="auto"/>
        </w:rPr>
      </w:pPr>
    </w:p>
    <w:p>
      <w:pPr>
        <w:ind w:right="560" w:firstLine="625"/>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depend on third parties to manufacture our products and any disruption in our relationships with these parties or in their businesses may materially adversely affect our business.</w:t>
      </w:r>
    </w:p>
    <w:p>
      <w:pPr>
        <w:spacing w:after="0" w:line="169" w:lineRule="exact"/>
        <w:rPr>
          <w:sz w:val="20"/>
          <w:szCs w:val="20"/>
          <w:color w:val="auto"/>
        </w:rPr>
      </w:pPr>
    </w:p>
    <w:p>
      <w:pPr>
        <w:ind w:right="60" w:firstLine="625"/>
        <w:spacing w:after="0" w:line="264" w:lineRule="auto"/>
        <w:rPr>
          <w:sz w:val="20"/>
          <w:szCs w:val="20"/>
          <w:color w:val="auto"/>
        </w:rPr>
      </w:pPr>
      <w:r>
        <w:rPr>
          <w:rFonts w:ascii="Times New Roman" w:cs="Times New Roman" w:eastAsia="Times New Roman" w:hAnsi="Times New Roman"/>
          <w:sz w:val="17"/>
          <w:szCs w:val="17"/>
          <w:color w:val="auto"/>
        </w:rPr>
        <w:t>We depend on third parties to manufacture all products that we sell. A manufacturer’s failure to ship products to us in a timely manner, as well as logistics disruptions, or for manufacturers to meet required quality standards could cause us to miss the delivery date requirements of our customers for those products, as well as prime selling periods in our direct-to-consumer channels. As a result, customers could cancel their orders, refuse to accept deliveries or demand reduced prices. Additionally, we may need to be more promotional in our direct-to-consumer channels, and we may also miss sales that would otherwise occur when our stores are properly merchandised. Any of these actions could have a material adverse effect on our revenue and, consequently, our results of operations.</w:t>
      </w:r>
    </w:p>
    <w:p>
      <w:pPr>
        <w:spacing w:after="0" w:line="200" w:lineRule="exact"/>
        <w:rPr>
          <w:sz w:val="20"/>
          <w:szCs w:val="20"/>
          <w:color w:val="auto"/>
        </w:rPr>
      </w:pPr>
    </w:p>
    <w:p>
      <w:pPr>
        <w:spacing w:after="0" w:line="208" w:lineRule="exact"/>
        <w:rPr>
          <w:sz w:val="20"/>
          <w:szCs w:val="20"/>
          <w:color w:val="auto"/>
        </w:rPr>
      </w:pPr>
    </w:p>
    <w:p>
      <w:pPr>
        <w:jc w:val="both"/>
        <w:ind w:right="440" w:firstLine="625"/>
        <w:spacing w:after="0" w:line="274" w:lineRule="auto"/>
        <w:rPr>
          <w:sz w:val="20"/>
          <w:szCs w:val="20"/>
          <w:color w:val="auto"/>
        </w:rPr>
      </w:pPr>
      <w:r>
        <w:rPr>
          <w:rFonts w:ascii="Times New Roman" w:cs="Times New Roman" w:eastAsia="Times New Roman" w:hAnsi="Times New Roman"/>
          <w:sz w:val="17"/>
          <w:szCs w:val="17"/>
          <w:color w:val="auto"/>
        </w:rPr>
        <w:t>Legal or reputational issues, such as those resulting from our listing on the UEL, could result in manufacturers or others in our supply chain being prohibited from, or choosing against, conducting business with us or our business partners. Any of these actions could have a material adverse effect on our revenue and, consequently, our results of operations.</w:t>
      </w:r>
    </w:p>
    <w:p>
      <w:pPr>
        <w:spacing w:after="0" w:line="185" w:lineRule="exact"/>
        <w:rPr>
          <w:sz w:val="20"/>
          <w:szCs w:val="20"/>
          <w:color w:val="auto"/>
        </w:rPr>
      </w:pPr>
    </w:p>
    <w:p>
      <w:pPr>
        <w:ind w:right="280" w:firstLine="625"/>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business is susceptible to risks associated with climate change and environmental degradation, and to an increased focus by stakeholders on climate change action and sustainability standards, which may adversely affect our business and results of operations.</w:t>
      </w:r>
    </w:p>
    <w:p>
      <w:pPr>
        <w:spacing w:after="0" w:line="169"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Our business is susceptible to risks associated by some parties with climate change and environmental degradation, including potential disruptions to our supply chain and impacts on the availability and costs of raw materials. Extreme heat as well as increased frequency and severity of adverse weather events (such as storms and floods) due to climate change could cause increased incidence of disruption to the production and distribution of our products, an adverse impact on consumer demand and spending, and/or more frequent store closures and/or lost sales as customers prioritize basic needs. Our supply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24" w:name="page25"/>
    <w:bookmarkEnd w:id="24"/>
    <w:p>
      <w:pPr>
        <w:ind w:right="120"/>
        <w:spacing w:after="0" w:line="259" w:lineRule="auto"/>
        <w:rPr>
          <w:sz w:val="20"/>
          <w:szCs w:val="20"/>
          <w:color w:val="auto"/>
        </w:rPr>
      </w:pPr>
      <w:r>
        <w:rPr>
          <w:rFonts w:ascii="Times New Roman" w:cs="Times New Roman" w:eastAsia="Times New Roman" w:hAnsi="Times New Roman"/>
          <w:sz w:val="17"/>
          <w:szCs w:val="17"/>
          <w:color w:val="auto"/>
        </w:rPr>
        <w:t>chain is also exposed to risks associated with water, including drought and water scarcity, which could impact raw materials sourcing, manufacturing processes, and workers and communities. In addition, evolving climate-related legislation and disclosure requirements, and the potential for more, coupled with carbon taxes and fluctuating costs of sourcing renewable energy, may also increase our compliance costs and operational complexity, including implementation of new information technology systems and the development of controls and processes to ensure completeness and accuracy of the reported data. Certain of our wholesale customers have also begun to establish sourcing requirements related to sustainability. As a result, we have received requests for sustainability related information about our products and, in some cases, customers have required that certain of our products include sustainable materials or packaging, which may result in higher raw material and production costs. Our inability to comply with these and other sustainability requirements in the future could adversely affect sales of and demand for our products. Further, certain online sellers of our products have begun to identify to consumers and help consumers limit purchases to product the sellers identify as being more sustainable. Our failure to offer products that meet these sustainability standards could result in decreased demand for our products and lost sales.</w:t>
      </w:r>
    </w:p>
    <w:p>
      <w:pPr>
        <w:spacing w:after="0" w:line="202" w:lineRule="exact"/>
        <w:rPr>
          <w:sz w:val="20"/>
          <w:szCs w:val="20"/>
          <w:color w:val="auto"/>
        </w:rPr>
      </w:pPr>
    </w:p>
    <w:p>
      <w:pPr>
        <w:ind w:firstLine="625"/>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a limited number of distribution facilities. If one becomes inoperable, our business, financial condition and operating results could be negatively impacted.</w:t>
      </w:r>
    </w:p>
    <w:p>
      <w:pPr>
        <w:spacing w:after="0" w:line="169" w:lineRule="exact"/>
        <w:rPr>
          <w:sz w:val="20"/>
          <w:szCs w:val="20"/>
          <w:color w:val="auto"/>
        </w:rPr>
      </w:pPr>
    </w:p>
    <w:p>
      <w:pPr>
        <w:ind w:right="140" w:firstLine="625"/>
        <w:spacing w:after="0" w:line="263" w:lineRule="auto"/>
        <w:rPr>
          <w:sz w:val="20"/>
          <w:szCs w:val="20"/>
          <w:color w:val="auto"/>
        </w:rPr>
      </w:pPr>
      <w:r>
        <w:rPr>
          <w:rFonts w:ascii="Times New Roman" w:cs="Times New Roman" w:eastAsia="Times New Roman" w:hAnsi="Times New Roman"/>
          <w:sz w:val="17"/>
          <w:szCs w:val="17"/>
          <w:color w:val="auto"/>
        </w:rPr>
        <w:t>We operate a limited number of distribution facilities and also engage independently operated distribution facilities around the world to warehouse and ship products to our customers and our retail stores, as well as perform related logistics services. Our ability to meet the needs of our customers and of our retail stores depends on the proper operation of our primary facilities. If any of our primary facilities were to shut down or otherwise become inoperable or inaccessible, including as a result of epidemic or other health-related concerns (such as the COVID-19 pandemic), or a cybersecurity incident, we could have a substantial loss of inventory or disruptions of deliveries to our customers and our stores, incur significantly higher costs or experience longer lead times associated with the distribution of our products. This could materially and adversely affect our business, financial condition and operating results.</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profitability may decline as a result of increasing pressure on margins.</w:t>
      </w:r>
    </w:p>
    <w:p>
      <w:pPr>
        <w:spacing w:after="0" w:line="251" w:lineRule="exact"/>
        <w:rPr>
          <w:sz w:val="20"/>
          <w:szCs w:val="20"/>
          <w:color w:val="auto"/>
        </w:rPr>
      </w:pPr>
    </w:p>
    <w:p>
      <w:pPr>
        <w:ind w:right="180" w:firstLine="625"/>
        <w:spacing w:after="0" w:line="268" w:lineRule="auto"/>
        <w:rPr>
          <w:sz w:val="20"/>
          <w:szCs w:val="20"/>
          <w:color w:val="auto"/>
        </w:rPr>
      </w:pPr>
      <w:r>
        <w:rPr>
          <w:rFonts w:ascii="Times New Roman" w:cs="Times New Roman" w:eastAsia="Times New Roman" w:hAnsi="Times New Roman"/>
          <w:sz w:val="17"/>
          <w:szCs w:val="17"/>
          <w:color w:val="auto"/>
        </w:rPr>
        <w:t>The apparel industry, particularly in the United States, is subject to significant pricing pressure caused by many factors, including intense competition, consolidation in the retail industry, pressure from retailers to reduce the costs of products, retailer demands for allowances, incentives and other forms of economic support, and changes in consumer demand. These factors may cause us to reduce our sales prices to retailers and consumers, which could cause our profitability to decline if we are unable to offset price reductions with sufficient reductions in product costs or operating expenses.</w:t>
      </w:r>
    </w:p>
    <w:p>
      <w:pPr>
        <w:spacing w:after="0" w:line="194"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Volatility in the availability and prices for commodities and raw materials we use in our products (such as cotton) and inflationary and other macroeconomic pressures, including, for example, the increased costs of labor and raw materials we experienced in 2022 and the first half of 2023 and the new and additional tariffs on goods imported into the United States that took effect beginning in the second quarter of 2025, have resulted in increased pricing pressures and, in turn, pressure on our margins. We have implemented in the past, and in the future may seek to implement price increases to mitigate higher costs but such actions have not always fully mitigated and, in the future, we may not be able to fully mitigate, the impact of any higher costs. Further, any such price increases could have an adverse impact on consumer demand for our products. In addition, consumer spending has been, and may continue to be, negatively impacted by reduced earnings power resulting from inflationary and other macroeconomic pressures, which has resulted, and may continue to result in, lower sales of our products, increased inventories, order cancellations, higher discounts, pricing pressure, higher inventory levels industry-wide, and lower gross margins.</w:t>
      </w:r>
    </w:p>
    <w:p>
      <w:pPr>
        <w:spacing w:after="0" w:line="200" w:lineRule="exact"/>
        <w:rPr>
          <w:sz w:val="20"/>
          <w:szCs w:val="20"/>
          <w:color w:val="auto"/>
        </w:rPr>
      </w:pPr>
    </w:p>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directly operating previously licensed businesses.</w:t>
      </w:r>
    </w:p>
    <w:p>
      <w:pPr>
        <w:spacing w:after="0" w:line="249" w:lineRule="exact"/>
        <w:rPr>
          <w:sz w:val="20"/>
          <w:szCs w:val="20"/>
          <w:color w:val="auto"/>
        </w:rPr>
      </w:pPr>
    </w:p>
    <w:p>
      <w:pPr>
        <w:ind w:right="100" w:firstLine="625"/>
        <w:spacing w:after="0" w:line="265" w:lineRule="auto"/>
        <w:rPr>
          <w:sz w:val="20"/>
          <w:szCs w:val="20"/>
          <w:color w:val="auto"/>
        </w:rPr>
      </w:pPr>
      <w:r>
        <w:rPr>
          <w:rFonts w:ascii="Times New Roman" w:cs="Times New Roman" w:eastAsia="Times New Roman" w:hAnsi="Times New Roman"/>
          <w:sz w:val="17"/>
          <w:szCs w:val="17"/>
          <w:color w:val="auto"/>
        </w:rPr>
        <w:t xml:space="preserve">We have announced that we will allow certain of our licenses for our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brands to expire in order to increase our management and oversight of the licensed businesses. We may in the future acquire licensed businesses or allow other licensed rights to expire for the same or similar reasons. We have been directly operating a significant portion of the businesses for the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product categories previously licensed to G-III in the United States and Canada, and we intend to continue to directly operate a significant portion of these businesses as the license agreements expire, through 2026, with the remainder being re-licensed to other third parties.</w:t>
      </w:r>
    </w:p>
    <w:p>
      <w:pPr>
        <w:spacing w:after="0" w:line="198" w:lineRule="exact"/>
        <w:rPr>
          <w:sz w:val="20"/>
          <w:szCs w:val="20"/>
          <w:color w:val="auto"/>
        </w:rPr>
      </w:pPr>
    </w:p>
    <w:p>
      <w:pPr>
        <w:ind w:right="80" w:firstLine="625"/>
        <w:spacing w:after="0" w:line="274" w:lineRule="auto"/>
        <w:rPr>
          <w:sz w:val="20"/>
          <w:szCs w:val="20"/>
          <w:color w:val="auto"/>
        </w:rPr>
      </w:pPr>
      <w:r>
        <w:rPr>
          <w:rFonts w:ascii="Times New Roman" w:cs="Times New Roman" w:eastAsia="Times New Roman" w:hAnsi="Times New Roman"/>
          <w:sz w:val="17"/>
          <w:szCs w:val="17"/>
          <w:color w:val="auto"/>
        </w:rPr>
        <w:t>The integration of previously licensed businesses may be complex, costly and time-consuming. We may have difficulty, or may not succeed, in growing or even maintaining the businesses compared to prior performance, integrating the businesses into our operations, hiring qualified employees needed to operate the businesses, or otherwise managing the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5" w:name="page26"/>
    <w:bookmarkEnd w:id="25"/>
    <w:p>
      <w:pPr>
        <w:ind w:right="160"/>
        <w:spacing w:after="0" w:line="268" w:lineRule="auto"/>
        <w:rPr>
          <w:sz w:val="20"/>
          <w:szCs w:val="20"/>
          <w:color w:val="auto"/>
        </w:rPr>
      </w:pPr>
      <w:r>
        <w:rPr>
          <w:rFonts w:ascii="Times New Roman" w:cs="Times New Roman" w:eastAsia="Times New Roman" w:hAnsi="Times New Roman"/>
          <w:sz w:val="17"/>
          <w:szCs w:val="17"/>
          <w:color w:val="auto"/>
        </w:rPr>
        <w:t>previously licensed businesses. Furthermore, we may incur higher than expected costs to bring previously licensed businesses in house and/or to operate these businesses. As such, operating previously licensed businesses may not achieve the intended benefits to our overall growth strategy, our brands and results of operations, and our overall profitability may decline to the extent we are unable to operate these businesses at the same level of earnings that we realized when they were licensed businesses.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 portion of our revenue is dependent on royalties and licensing.</w:t>
      </w:r>
    </w:p>
    <w:p>
      <w:pPr>
        <w:spacing w:after="0" w:line="251" w:lineRule="exact"/>
        <w:rPr>
          <w:sz w:val="20"/>
          <w:szCs w:val="20"/>
          <w:color w:val="auto"/>
        </w:rPr>
      </w:pPr>
    </w:p>
    <w:p>
      <w:pPr>
        <w:ind w:right="140" w:firstLine="625"/>
        <w:spacing w:after="0" w:line="263" w:lineRule="auto"/>
        <w:rPr>
          <w:sz w:val="20"/>
          <w:szCs w:val="20"/>
          <w:color w:val="auto"/>
        </w:rPr>
      </w:pPr>
      <w:r>
        <w:rPr>
          <w:rFonts w:ascii="Times New Roman" w:cs="Times New Roman" w:eastAsia="Times New Roman" w:hAnsi="Times New Roman"/>
          <w:sz w:val="17"/>
          <w:szCs w:val="17"/>
          <w:color w:val="auto"/>
        </w:rPr>
        <w:t xml:space="preserve">The operating profit of our Licensing segment is significant because the operating expenses directly associated with administering and monitoring an individual licensing or similar agreement are minimal. Therefore, the loss of a significant licensee, whether due to the termination or expiration of the relationship, the cessation of the licensee’s operations or otherwise (including as a result of financial difficulties of the licensee), without an equivalent replacement, or a significant decline in our licensees’ sales could materially impact our profitability. Although the licensing model can be highly profitable, we are planning to, and in the future may pursue further opportunities to, increase direct management of our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brands through takebacks of licensed businesses. Please see the Risk Factor entitled “</w:t>
      </w:r>
      <w:r>
        <w:rPr>
          <w:rFonts w:ascii="Times New Roman" w:cs="Times New Roman" w:eastAsia="Times New Roman" w:hAnsi="Times New Roman"/>
          <w:sz w:val="17"/>
          <w:szCs w:val="17"/>
          <w:i w:val="1"/>
          <w:iCs w:val="1"/>
          <w:color w:val="auto"/>
        </w:rPr>
        <w:t>We may not be successful in directly operating previously licensed businesses</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While we generally have significant approval rights over our licensees’ products and advertising, we rely on them for, among other things, operational and financial controls over their businesses. Our licensees’ failure to successfully market licensed products or our inability to find replacements for existing licensees once their respective licensing agreements end or are terminated could materially and adversely affect our revenue both directly from reduced licensing revenue received and indirectly from reduced sales of our other products. Risks are also associated with our licensees’ ability to obtain capital, execute their business plans, timely deliver quality products, manage their labor relations, maintain relationships with their suppliers, manage their credit risk effectively and maintain relationships with their customers.</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licensing business makes us susceptible to the actions of third parties over whom we have limited control.</w:t>
      </w:r>
    </w:p>
    <w:p>
      <w:pPr>
        <w:spacing w:after="0" w:line="251"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We rely on our licensees to preserve the value of our brands. Although we attempt to protect our brands through, among other things, approval rights over design, production quality, packaging, merchandising, distribution, advertising and promotion of our products, we cannot assure you that we can control our licensees’ use of our brands. The misuse of our brands by a licensee could have a material adverse effect on our business, financial condition and results of operations.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face intense competition in the apparel industry.</w:t>
      </w:r>
    </w:p>
    <w:p>
      <w:pPr>
        <w:spacing w:after="0" w:line="251"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Competition is intense in the apparel industry. We compete with numerous global, domestic and foreign designers, brand owners, manufacturers and retailers of apparel, accessories and footwear, some of which have greater resources than we do. We also face increased competition from digitally native brands; digital retailing is characterized by low barriers to entry. In addition, in certain instances, we compete directly with our wholesale customers, as they also sell their own private label products. We compete within the apparel industry primarily on the basis of:</w:t>
      </w:r>
    </w:p>
    <w:p>
      <w:pPr>
        <w:spacing w:after="0" w:line="103" w:lineRule="exact"/>
        <w:rPr>
          <w:sz w:val="20"/>
          <w:szCs w:val="20"/>
          <w:color w:val="auto"/>
        </w:rPr>
      </w:pPr>
    </w:p>
    <w:p>
      <w:pPr>
        <w:ind w:left="620" w:right="120" w:hanging="304"/>
        <w:spacing w:after="0" w:line="238" w:lineRule="auto"/>
        <w:tabs>
          <w:tab w:leader="none" w:pos="61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anticipating and responding to changing consumer tastes, demands and shopping preferences in a timely manner and developing distinctive, attractive, quality products;</w:t>
      </w:r>
    </w:p>
    <w:p>
      <w:pPr>
        <w:spacing w:after="0" w:line="111" w:lineRule="exact"/>
        <w:rPr>
          <w:rFonts w:ascii="Arial" w:cs="Arial" w:eastAsia="Arial" w:hAnsi="Arial"/>
          <w:sz w:val="21"/>
          <w:szCs w:val="21"/>
          <w:color w:val="auto"/>
        </w:rPr>
      </w:pPr>
    </w:p>
    <w:p>
      <w:pPr>
        <w:ind w:left="620" w:hanging="304"/>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maintaining favorable brand recognition, reputation and relevance, including through digital brand engagement and online and social media presence;</w:t>
      </w:r>
    </w:p>
    <w:p>
      <w:pPr>
        <w:spacing w:after="0" w:line="124" w:lineRule="exact"/>
        <w:rPr>
          <w:rFonts w:ascii="Arial" w:cs="Arial" w:eastAsia="Arial" w:hAnsi="Arial"/>
          <w:sz w:val="21"/>
          <w:szCs w:val="21"/>
          <w:color w:val="auto"/>
        </w:rPr>
      </w:pPr>
    </w:p>
    <w:p>
      <w:pPr>
        <w:ind w:left="620" w:right="60" w:hanging="304"/>
        <w:spacing w:after="0" w:line="253" w:lineRule="auto"/>
        <w:tabs>
          <w:tab w:leader="none" w:pos="61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appropriately pricing products and creating an acceptable value proposition for customers, including increasing prices to mitigate inflationary pressures (as we did in certain regions and for certain product categories during 2022) while minimizing the risks of dampening consumer demand;</w:t>
      </w:r>
    </w:p>
    <w:p>
      <w:pPr>
        <w:spacing w:after="0" w:line="96" w:lineRule="exact"/>
        <w:rPr>
          <w:rFonts w:ascii="Arial" w:cs="Arial" w:eastAsia="Arial" w:hAnsi="Arial"/>
          <w:sz w:val="21"/>
          <w:szCs w:val="21"/>
          <w:color w:val="auto"/>
        </w:rPr>
      </w:pPr>
    </w:p>
    <w:p>
      <w:pPr>
        <w:ind w:left="620" w:hanging="304"/>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providing strong and effective marketing support;</w:t>
      </w:r>
    </w:p>
    <w:p>
      <w:pPr>
        <w:spacing w:after="0" w:line="109" w:lineRule="exact"/>
        <w:rPr>
          <w:rFonts w:ascii="Arial" w:cs="Arial" w:eastAsia="Arial" w:hAnsi="Arial"/>
          <w:sz w:val="21"/>
          <w:szCs w:val="21"/>
          <w:color w:val="auto"/>
        </w:rPr>
      </w:pPr>
    </w:p>
    <w:p>
      <w:pPr>
        <w:ind w:left="620" w:hanging="304"/>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successfully implementing digitally-led marketing strategies to foster deeper consumer engagement and increased demand;</w:t>
      </w:r>
    </w:p>
    <w:p>
      <w:pPr>
        <w:spacing w:after="0" w:line="109" w:lineRule="exact"/>
        <w:rPr>
          <w:rFonts w:ascii="Arial" w:cs="Arial" w:eastAsia="Arial" w:hAnsi="Arial"/>
          <w:sz w:val="21"/>
          <w:szCs w:val="21"/>
          <w:color w:val="auto"/>
        </w:rPr>
      </w:pPr>
    </w:p>
    <w:p>
      <w:pPr>
        <w:ind w:left="620" w:hanging="304"/>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ensuring product availability and optimizing supply chain efficiencies with third party suppliers and retailers;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980" w:right="399" w:bottom="1440" w:gutter="0" w:footer="0" w:header="0"/>
        </w:sectPr>
      </w:pPr>
    </w:p>
    <w:bookmarkStart w:id="26" w:name="page27"/>
    <w:bookmarkEnd w:id="26"/>
    <w:p>
      <w:pPr>
        <w:ind w:left="620" w:right="60" w:hanging="304"/>
        <w:spacing w:after="0" w:line="238" w:lineRule="auto"/>
        <w:tabs>
          <w:tab w:leader="none" w:pos="615"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obtaining sufficient retail floor space and effective presentation of our products at retail locations, on digital commerce sites operated by our department store customers and pure play digital commerce retailers, and on our digital commerce sites;</w:t>
      </w:r>
    </w:p>
    <w:p>
      <w:pPr>
        <w:spacing w:after="0" w:line="126" w:lineRule="exact"/>
        <w:rPr>
          <w:rFonts w:ascii="Arial" w:cs="Arial" w:eastAsia="Arial" w:hAnsi="Arial"/>
          <w:sz w:val="21"/>
          <w:szCs w:val="21"/>
          <w:color w:val="auto"/>
        </w:rPr>
      </w:pPr>
    </w:p>
    <w:p>
      <w:pPr>
        <w:ind w:left="620" w:right="60" w:hanging="304"/>
        <w:spacing w:after="0" w:line="238" w:lineRule="auto"/>
        <w:tabs>
          <w:tab w:leader="none" w:pos="615"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establishing notable and effective relationships with actors, athletes, musicians, celebrities, social media influencers and others on a global, regional and local basis to promote our brands and products; and</w:t>
      </w:r>
    </w:p>
    <w:p>
      <w:pPr>
        <w:spacing w:after="0" w:line="111" w:lineRule="exact"/>
        <w:rPr>
          <w:rFonts w:ascii="Arial" w:cs="Arial" w:eastAsia="Arial" w:hAnsi="Arial"/>
          <w:sz w:val="21"/>
          <w:szCs w:val="21"/>
          <w:color w:val="auto"/>
        </w:rPr>
      </w:pPr>
    </w:p>
    <w:p>
      <w:pPr>
        <w:ind w:left="620" w:hanging="304"/>
        <w:spacing w:after="0"/>
        <w:tabs>
          <w:tab w:leader="none" w:pos="62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effectively utilizing data and technology, including the successful utilization of artificial intelligence, to achieve and exploit the foregoing.</w:t>
      </w:r>
    </w:p>
    <w:p>
      <w:pPr>
        <w:spacing w:after="0" w:line="229" w:lineRule="exact"/>
        <w:rPr>
          <w:sz w:val="20"/>
          <w:szCs w:val="20"/>
          <w:color w:val="auto"/>
        </w:rPr>
      </w:pPr>
    </w:p>
    <w:p>
      <w:pPr>
        <w:ind w:right="60" w:firstLine="625"/>
        <w:spacing w:after="0" w:line="293" w:lineRule="auto"/>
        <w:rPr>
          <w:sz w:val="20"/>
          <w:szCs w:val="20"/>
          <w:color w:val="auto"/>
        </w:rPr>
      </w:pPr>
      <w:r>
        <w:rPr>
          <w:rFonts w:ascii="Times New Roman" w:cs="Times New Roman" w:eastAsia="Times New Roman" w:hAnsi="Times New Roman"/>
          <w:sz w:val="17"/>
          <w:szCs w:val="17"/>
          <w:color w:val="auto"/>
        </w:rPr>
        <w:t>The failure to compete effectively or to keep pace with rapidly changing consumer preferences and technology and product trends could have a material adverse effect on our business, financial condition and results of operations.</w:t>
      </w:r>
    </w:p>
    <w:p>
      <w:pPr>
        <w:spacing w:after="0" w:line="169" w:lineRule="exact"/>
        <w:rPr>
          <w:sz w:val="20"/>
          <w:szCs w:val="20"/>
          <w:color w:val="auto"/>
        </w:rPr>
      </w:pPr>
    </w:p>
    <w:p>
      <w:pPr>
        <w:ind w:right="100" w:firstLine="625"/>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manage our inventory effectively and accurately forecast demand for our products, our results of operations could be materially adversely affected.</w:t>
      </w:r>
    </w:p>
    <w:p>
      <w:pPr>
        <w:spacing w:after="0" w:line="169"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We have made and continue to make investments in our supply chain management systems and processes that enable us to respond more rapidly to changes in sales trends and consumer demands and enhance our ability to manage inventory. However, there can be no assurance that we will be able to anticipate and respond successfully to changing consumer tastes and style trends or economic conditions and, as a result, we may not be able to manage inventory levels to meet future requirements. If we fail to accurately forecast demand, or our supply chain and logistics partners are unable to adjust to changes in demand, we may at times experience excess inventory levels or a shortage of product. Inventory levels in excess of consumer demand have resulted in, and may in the future result in, inventory write-downs and the sale of excess inventory at heavily discounted prices, as well as impact our ability to implement and execute profitable, competitive and effective pricing and promotional strategies, all of which could have a material adverse effect on our profitability and the reputation of our brands. If we underestimate consumer demand, we may not have sufficient inventories of product, which could result in lost revenues, as well as damage to our reputation, the reputation of our brands, and our relationships with customers and consumers.</w:t>
      </w:r>
    </w:p>
    <w:p>
      <w:pPr>
        <w:spacing w:after="0" w:line="198" w:lineRule="exact"/>
        <w:rPr>
          <w:sz w:val="20"/>
          <w:szCs w:val="20"/>
          <w:color w:val="auto"/>
        </w:rPr>
      </w:pPr>
    </w:p>
    <w:p>
      <w:pPr>
        <w:ind w:right="500" w:firstLine="625"/>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previously had a material weakness in our internal controls and if we have additional material weaknesses in the future, there could be an adverse impact on our ability to accurately report our financial results, we could fail to meet our reporting obligations, be subject to litigation and investigation, and lose investor confidence, resulting in an adverse impact to our stock price.</w:t>
      </w:r>
    </w:p>
    <w:p>
      <w:pPr>
        <w:spacing w:after="0" w:line="186"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Effective internal controls are critical to maintaining the accuracy of our financial reporting and disclosures. We reported in our Annual Report on Form 10-K as of February 2, 2025, a material weakness in internal control related to ineffective information technology general controls in the area of user access management over our enterprise resource planning system and the related systems in our Europe, the Middle East and Africa region. While the material weakness has been remediated, there can be no assurances that other deficiencies will not come to management’s attention in the future that could lead to additional material weaknesses. If we are unable to maintain effective internal control over financial reporting or disclosure controls and procedures, it could adversely affect our ability to accurately report our financial results, resulting in material misstatements in our financial statements or causing us to fail to meet our reporting obligations, which could subject us to litigation or investigations requiring management resources and payment of legal and other expenses, negatively affect investor confidence in our financial statements and adversely impact our stock price.</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The loss of members of our executive management and other key employees could have a material adverse effect on our business.</w:t>
      </w:r>
    </w:p>
    <w:p>
      <w:pPr>
        <w:spacing w:after="0" w:line="251"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We depend on the services and management experience of our executive officers and other key executives, who have substantial experience and capabilities in our industry and their areas of expertise. Competition for qualified personnel in the apparel industry and with certain skill sets is intense and competitors may use aggressive tactics to recruit these individuals. The loss of services of one or more of them or the inability to timely and effectively identify a suitable successor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auto"/>
        </w:rPr>
        <w:t>Financial Risks</w:t>
      </w:r>
    </w:p>
    <w:p>
      <w:pPr>
        <w:spacing w:after="0" w:line="245" w:lineRule="exact"/>
        <w:rPr>
          <w:sz w:val="20"/>
          <w:szCs w:val="20"/>
          <w:color w:val="auto"/>
        </w:rPr>
      </w:pPr>
    </w:p>
    <w:p>
      <w:pPr>
        <w:ind w:right="180" w:firstLine="625"/>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ability to obtain financing or refinance existing debt on terms that are acceptable to us could be adversely affected by general macroeconomic conditions or our financial performance and credit ratings.</w:t>
      </w:r>
    </w:p>
    <w:p>
      <w:pPr>
        <w:spacing w:after="0" w:line="169"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Disruption or volatility in the financial and credit markets, including as a result of macroeconomic pressures or geopolitical events, could limit the availability of funds or the ability or willingness of financial institutions to extend capital to us in the future. In addition, our ability to access financial and credit markets in the future as a source of funding, and the borrowing costs associated with such financing, is dependent upon our financial performance, outlook and credit rating.</w:t>
      </w:r>
    </w:p>
    <w:p>
      <w:pPr>
        <w:spacing w:after="0" w:line="194"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An inability to obtain additional financing or refinance existing debt on terms that are acceptable to us, if at all, could impact our ability to fund working capital, capital expenditures, acquisitions, dividend payments, share repurchases and general corporate requirements and/or significantly increase our cost of capital, which may have a material adverse effect on our results of operations, cash flows and financial condition. Furthermore, if our investment rating is downgraded in the future, in addition to it resulting in a higher cost of capital, it could also result in reduced access to the financial and credit markets and more restrictive covenants for future debt issuances.</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exposed to foreign currency exchange rate fluctuations and control regulations.</w:t>
      </w:r>
    </w:p>
    <w:p>
      <w:pPr>
        <w:spacing w:after="0" w:line="251"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Our Tommy Hilfiger and Calvin Klein businesses each have substantial international components that expose us to significant foreign exchange risk. Changes in exchange rates between the United States dollar and other currencies impact our financial results in two ways: a translational impact and a transactional impact. Please see our Management’s Discussion and Analysis of Financial Condition and Results of Operations included in Item 7 of this report for further discussion.</w:t>
      </w:r>
    </w:p>
    <w:p>
      <w:pPr>
        <w:spacing w:after="0" w:line="194" w:lineRule="exact"/>
        <w:rPr>
          <w:sz w:val="20"/>
          <w:szCs w:val="20"/>
          <w:color w:val="auto"/>
        </w:rPr>
      </w:pPr>
    </w:p>
    <w:p>
      <w:pPr>
        <w:ind w:right="120" w:firstLine="625"/>
        <w:spacing w:after="0" w:line="263" w:lineRule="auto"/>
        <w:rPr>
          <w:sz w:val="20"/>
          <w:szCs w:val="20"/>
          <w:color w:val="auto"/>
        </w:rPr>
      </w:pPr>
      <w:r>
        <w:rPr>
          <w:rFonts w:ascii="Times New Roman" w:cs="Times New Roman" w:eastAsia="Times New Roman" w:hAnsi="Times New Roman"/>
          <w:sz w:val="17"/>
          <w:szCs w:val="17"/>
          <w:color w:val="auto"/>
        </w:rPr>
        <w:t>Our results of operations will be unfavorably impacted by foreign currency translation during times of a strengthening United States dollar, particularly against the euro, the Japanese yen, the Korean won, the British pound, the Australian dollar, the Canadian dollar, the Mexican peso, the Brazilian real and the Chinese yuan, and favorably impacted during times of a weakening United States dollar against those currencies. There also is a transactional impact of foreign exchange because we have foreign subsidiaries that purchase inventory in a currency other than their functional currency. We currently use and plan to continue to use foreign currency forward contracts to mitigate the cash flow or market risks associated with these inventory transactions, but we are unable to eliminate these risks entirely.</w:t>
      </w:r>
    </w:p>
    <w:p>
      <w:pPr>
        <w:spacing w:after="0" w:line="198" w:lineRule="exact"/>
        <w:rPr>
          <w:sz w:val="20"/>
          <w:szCs w:val="20"/>
          <w:color w:val="auto"/>
        </w:rPr>
      </w:pPr>
    </w:p>
    <w:p>
      <w:pPr>
        <w:ind w:right="120" w:firstLine="625"/>
        <w:spacing w:after="0" w:line="274" w:lineRule="auto"/>
        <w:rPr>
          <w:sz w:val="20"/>
          <w:szCs w:val="20"/>
          <w:color w:val="auto"/>
        </w:rPr>
      </w:pPr>
      <w:r>
        <w:rPr>
          <w:rFonts w:ascii="Times New Roman" w:cs="Times New Roman" w:eastAsia="Times New Roman" w:hAnsi="Times New Roman"/>
          <w:sz w:val="17"/>
          <w:szCs w:val="17"/>
          <w:color w:val="auto"/>
        </w:rPr>
        <w:t>We conduct business in countries that have laws and regulations that restrict the ability of our foreign subsidiaries to pay dividends and remit cash to affiliated companies and, as a result, limit our ability to repatriate or use outside of the country the cash generated by the impacted subsidiaries, which may have an adverse impact on the funding of our business and operations.</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level of debt could impair our financial condition and ability to operate.</w:t>
      </w:r>
    </w:p>
    <w:p>
      <w:pPr>
        <w:spacing w:after="0" w:line="251" w:lineRule="exact"/>
        <w:rPr>
          <w:sz w:val="20"/>
          <w:szCs w:val="20"/>
          <w:color w:val="auto"/>
        </w:rPr>
      </w:pPr>
    </w:p>
    <w:p>
      <w:pPr>
        <w:ind w:right="20" w:firstLine="625"/>
        <w:spacing w:after="0" w:line="274" w:lineRule="auto"/>
        <w:rPr>
          <w:sz w:val="20"/>
          <w:szCs w:val="20"/>
          <w:color w:val="auto"/>
        </w:rPr>
      </w:pPr>
      <w:r>
        <w:rPr>
          <w:rFonts w:ascii="Times New Roman" w:cs="Times New Roman" w:eastAsia="Times New Roman" w:hAnsi="Times New Roman"/>
          <w:sz w:val="17"/>
          <w:szCs w:val="17"/>
          <w:color w:val="auto"/>
        </w:rPr>
        <w:t>We had outstanding as of February 1, 2026 an aggregate principal amount of $2.316 billion of indebtedness, of which senior unsecured term loans (€408 million outstanding as of the end of 2025) and senior unsecured notes (€600 million principal amount) are coming due in 2027. Our level of debt could have important consequences to investors, including:</w:t>
      </w:r>
    </w:p>
    <w:p>
      <w:pPr>
        <w:spacing w:after="0" w:line="98" w:lineRule="exact"/>
        <w:rPr>
          <w:sz w:val="20"/>
          <w:szCs w:val="20"/>
          <w:color w:val="auto"/>
        </w:rPr>
      </w:pPr>
    </w:p>
    <w:p>
      <w:pPr>
        <w:ind w:left="620" w:right="380" w:hanging="304"/>
        <w:spacing w:after="0" w:line="238" w:lineRule="auto"/>
        <w:tabs>
          <w:tab w:leader="none" w:pos="61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requiring a substantial portion of our cash flows be used for the payment of principal and interest, thereby reducing the funds available to us for our operations or other capital needs, including planning for, or reacting to, changes in our business;</w:t>
      </w:r>
    </w:p>
    <w:p>
      <w:pPr>
        <w:spacing w:after="0" w:line="126" w:lineRule="exact"/>
        <w:rPr>
          <w:rFonts w:ascii="Arial" w:cs="Arial" w:eastAsia="Arial" w:hAnsi="Arial"/>
          <w:sz w:val="21"/>
          <w:szCs w:val="21"/>
          <w:color w:val="auto"/>
        </w:rPr>
      </w:pPr>
    </w:p>
    <w:p>
      <w:pPr>
        <w:ind w:left="620" w:right="280" w:hanging="304"/>
        <w:spacing w:after="0" w:line="238" w:lineRule="auto"/>
        <w:tabs>
          <w:tab w:leader="none" w:pos="61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increasing our vulnerability to general adverse economic and industry conditions because, during periods in which we experience lower earnings and cash flows, we will be required to devote a greater proportion of our cash flow to paying principal and interest;</w:t>
      </w:r>
    </w:p>
    <w:p>
      <w:pPr>
        <w:spacing w:after="0" w:line="126" w:lineRule="exact"/>
        <w:rPr>
          <w:rFonts w:ascii="Arial" w:cs="Arial" w:eastAsia="Arial" w:hAnsi="Arial"/>
          <w:sz w:val="21"/>
          <w:szCs w:val="21"/>
          <w:color w:val="auto"/>
        </w:rPr>
      </w:pPr>
    </w:p>
    <w:p>
      <w:pPr>
        <w:ind w:left="620" w:right="220" w:hanging="304"/>
        <w:spacing w:after="0" w:line="253" w:lineRule="auto"/>
        <w:tabs>
          <w:tab w:leader="none" w:pos="61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limiting our ability to obtain additional financing in the future to fund working capital, capital expenditures, acquisitions, contributions to our pension plans and general corporate requirements;</w:t>
      </w:r>
    </w:p>
    <w:p>
      <w:pPr>
        <w:spacing w:after="0" w:line="111" w:lineRule="exact"/>
        <w:rPr>
          <w:rFonts w:ascii="Arial" w:cs="Arial" w:eastAsia="Arial" w:hAnsi="Arial"/>
          <w:sz w:val="21"/>
          <w:szCs w:val="21"/>
          <w:color w:val="auto"/>
        </w:rPr>
      </w:pPr>
    </w:p>
    <w:p>
      <w:pPr>
        <w:ind w:left="620" w:right="540" w:hanging="304"/>
        <w:spacing w:after="0" w:line="238" w:lineRule="auto"/>
        <w:tabs>
          <w:tab w:leader="none" w:pos="61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placing us at a competitive disadvantage to other relatively less leveraged competitors that have more cash flow available to utilize in, or grow or expand, their business, fund operations or provide returns to stockholders; and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28" w:name="page29"/>
    <w:bookmarkEnd w:id="28"/>
    <w:p>
      <w:pPr>
        <w:ind w:left="620" w:right="160" w:hanging="304"/>
        <w:spacing w:after="0" w:line="238" w:lineRule="auto"/>
        <w:tabs>
          <w:tab w:leader="none" w:pos="615"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7"/>
          <w:szCs w:val="17"/>
          <w:color w:val="auto"/>
        </w:rPr>
        <w:t>leaving us vulnerable to increases in interest rates with respect to our adjustable rate borrowings, including under our senior unsecured credit facilities, and any refinancings of our fixed rate debt at higher interest rates than the current rates applicable to them.</w:t>
      </w:r>
    </w:p>
    <w:p>
      <w:pPr>
        <w:spacing w:after="0" w:line="317" w:lineRule="exact"/>
        <w:rPr>
          <w:sz w:val="20"/>
          <w:szCs w:val="20"/>
          <w:color w:val="auto"/>
        </w:rPr>
      </w:pPr>
    </w:p>
    <w:p>
      <w:pPr>
        <w:ind w:right="420" w:firstLine="625"/>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ability to maintain compliance with the financial covenant under our senior unsecured credit facilities may be adversely affected by future economic conditions.</w:t>
      </w:r>
    </w:p>
    <w:p>
      <w:pPr>
        <w:spacing w:after="0" w:line="169" w:lineRule="exact"/>
        <w:rPr>
          <w:sz w:val="20"/>
          <w:szCs w:val="20"/>
          <w:color w:val="auto"/>
        </w:rPr>
      </w:pPr>
    </w:p>
    <w:p>
      <w:pPr>
        <w:ind w:right="320" w:firstLine="625"/>
        <w:spacing w:after="0" w:line="274" w:lineRule="auto"/>
        <w:rPr>
          <w:sz w:val="20"/>
          <w:szCs w:val="20"/>
          <w:color w:val="auto"/>
        </w:rPr>
      </w:pPr>
      <w:r>
        <w:rPr>
          <w:rFonts w:ascii="Times New Roman" w:cs="Times New Roman" w:eastAsia="Times New Roman" w:hAnsi="Times New Roman"/>
          <w:sz w:val="17"/>
          <w:szCs w:val="17"/>
          <w:color w:val="auto"/>
        </w:rPr>
        <w:t>We are required under our senior unsecured credit facilities to maintain a net leverage ratio below a maximum level. A prolonged disruption to our business may impact our ability to comply with this covenant. Non-compliance with this covenant would constitute an event of default under the terms of the facilities, which may result in an acceleration thereof, which in turn could trigger defaults under our other debt facilities.</w:t>
      </w:r>
    </w:p>
    <w:p>
      <w:pPr>
        <w:spacing w:after="0" w:line="189"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Our inability to comply with the covenant may require us to seek relief in the form of a waiver. Waivers often require payment of a fee and may lead to increased costs, increased interest rates, additional restrictive covenants, the granting of security interests and other lender protections, any of which could be significant. Furthermore, our ability to provide additional protections under the senior unsecured credit facilities will be limited by the restrictions under our other debt facilities. There can be no assurance that we would be able to obtain waivers in a timely manner, on terms acceptable to us, or at all. If we are not able to obtain a needed waiver, there can be no assurance that we would be able to raise sufficient capital, or divest assets, to refinance or repay such facilities.</w:t>
      </w:r>
    </w:p>
    <w:p>
      <w:pPr>
        <w:spacing w:after="0" w:line="192" w:lineRule="exact"/>
        <w:rPr>
          <w:sz w:val="20"/>
          <w:szCs w:val="20"/>
          <w:color w:val="auto"/>
        </w:rPr>
      </w:pPr>
    </w:p>
    <w:p>
      <w:pPr>
        <w:ind w:right="260" w:firstLine="625"/>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Adverse decisions of tax authorities or changes in tax treaties, laws, rules or interpretations could have a material adverse effect on our results of operations and cash flow.</w:t>
      </w:r>
    </w:p>
    <w:p>
      <w:pPr>
        <w:spacing w:after="0" w:line="169"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We have direct operations in many countries and the applicable tax rates vary by jurisdiction. The tax laws and regulations in the countries where we operate are subject to change. Moreover, there may be changes from time to time in interpretation and enforcement of existing tax law. As a result, we may pay additional taxes if rates increase or if laws, regulations or treaties in the jurisdictions where we operate are modified. The Organization for Economic Cooperation and Development (“OECD”) has proposed updates to long-standing international tax principles, addressing issues such as profit shifting among affiliated entities in different tax jurisdictions and a global minimum effective tax rate of 15%, generally referred to as “Pillar Two.” In response, some member countries have already implemented or are planning to implement legislation to align their tax rules with the OECD’s recommendations in 2025 and beyond. The Pillar Two legislation did not have a material impact on our 2025 effective tax rate. However, the final outcome and application of these rules in the U.S. and other jurisdictions could potentially have a material adverse financial impact on us.</w:t>
      </w:r>
    </w:p>
    <w:p>
      <w:pPr>
        <w:spacing w:after="0" w:line="205" w:lineRule="exact"/>
        <w:rPr>
          <w:sz w:val="20"/>
          <w:szCs w:val="20"/>
          <w:color w:val="auto"/>
        </w:rPr>
      </w:pPr>
    </w:p>
    <w:p>
      <w:pPr>
        <w:ind w:right="140" w:firstLine="625"/>
        <w:spacing w:after="0" w:line="274" w:lineRule="auto"/>
        <w:rPr>
          <w:sz w:val="20"/>
          <w:szCs w:val="20"/>
          <w:color w:val="auto"/>
        </w:rPr>
      </w:pPr>
      <w:r>
        <w:rPr>
          <w:rFonts w:ascii="Times New Roman" w:cs="Times New Roman" w:eastAsia="Times New Roman" w:hAnsi="Times New Roman"/>
          <w:sz w:val="17"/>
          <w:szCs w:val="17"/>
          <w:color w:val="auto"/>
        </w:rPr>
        <w:t>In addition, various national and local taxing authorities periodically audit our returns. The resolution of an audit may result in us paying more than the amount that we may have reserved for a particular tax matter, which could have a material adverse effect on our cash flows, business, financial condition and results of operations for any affected reporting period.</w:t>
      </w:r>
    </w:p>
    <w:p>
      <w:pPr>
        <w:spacing w:after="0" w:line="189" w:lineRule="exact"/>
        <w:rPr>
          <w:sz w:val="20"/>
          <w:szCs w:val="20"/>
          <w:color w:val="auto"/>
        </w:rPr>
      </w:pPr>
    </w:p>
    <w:p>
      <w:pPr>
        <w:ind w:right="280" w:firstLine="625"/>
        <w:spacing w:after="0" w:line="274" w:lineRule="auto"/>
        <w:rPr>
          <w:sz w:val="20"/>
          <w:szCs w:val="20"/>
          <w:color w:val="auto"/>
        </w:rPr>
      </w:pPr>
      <w:r>
        <w:rPr>
          <w:rFonts w:ascii="Times New Roman" w:cs="Times New Roman" w:eastAsia="Times New Roman" w:hAnsi="Times New Roman"/>
          <w:sz w:val="17"/>
          <w:szCs w:val="17"/>
          <w:color w:val="auto"/>
        </w:rPr>
        <w:t>We and our subsidiaries are engaged in various intercompany transactions. While we believe these transactions are conducted at arm’s length and are supported by the appropriate transfer pricing documentation, local tax authorities may scrutinize the transfer prices and conditions in place, which could potentially result in additional tax liabilities.</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fully utilize our deferred tax assets, our profitability could be reduced.</w:t>
      </w:r>
    </w:p>
    <w:p>
      <w:pPr>
        <w:spacing w:after="0" w:line="251"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Our deferred tax assets are valuable to us. These assets include tax loss and foreign tax credit carryforwards in various jurisdictions. Realization of deferred tax assets is based on a number of factors, including whether there will be adequate levels of taxable income in future periods to offset the tax loss and foreign tax credit carryforwards in jurisdictions where such assets have arisen. Valuation allowances are recorded in order to reduce the deferred tax assets to the amount expected to be realized in the future. In assessing the adequacy of our valuation allowances, we consider various factors including reversal of deferred tax liabilities, forecasted future taxable income and potential tax planning strategies. These factors could reduce the value of the deferred tax assets, which could have a material effect on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29" w:name="page30"/>
    <w:bookmarkEnd w:id="29"/>
    <w:p>
      <w:pPr>
        <w:ind w:right="720" w:firstLine="625"/>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Volatility in securities markets, interest rates and other economic factors could increase substantially our defined benefit pension costs and liabilities.</w:t>
      </w:r>
    </w:p>
    <w:p>
      <w:pPr>
        <w:spacing w:after="0" w:line="169"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We have significant obligations under our defined benefit pension plans. The funded status of our pension plans is dependent on many factors, including returns on invested plan assets and the discount rate used to measure pension obligations. Unfavorable returns on plan assets, a lower discount rate or unfavorable changes in the applicable laws or regulations could materially change the timing and amount of pension funding requirements, which could reduce cash available for our business.</w:t>
      </w:r>
    </w:p>
    <w:p>
      <w:pPr>
        <w:spacing w:after="0" w:line="194" w:lineRule="exact"/>
        <w:rPr>
          <w:sz w:val="20"/>
          <w:szCs w:val="20"/>
          <w:color w:val="auto"/>
        </w:rPr>
      </w:pPr>
    </w:p>
    <w:p>
      <w:pPr>
        <w:ind w:right="140" w:firstLine="625"/>
        <w:spacing w:after="0" w:line="261" w:lineRule="auto"/>
        <w:rPr>
          <w:sz w:val="20"/>
          <w:szCs w:val="20"/>
          <w:color w:val="auto"/>
        </w:rPr>
      </w:pPr>
      <w:r>
        <w:rPr>
          <w:rFonts w:ascii="Times New Roman" w:cs="Times New Roman" w:eastAsia="Times New Roman" w:hAnsi="Times New Roman"/>
          <w:sz w:val="17"/>
          <w:szCs w:val="17"/>
          <w:color w:val="auto"/>
        </w:rPr>
        <w:t>Our operating performance also may be significantly impacted by the amount of expense recorded for our pension plans. Pension expense recorded throughout the year is calculated using actuarial valuations that incorporate assumptions and estimates about financial market, economic and demographic conditions. Differences between estimated and actual results give rise to gains and losses that are recorded immediately in pension expense, generally in the fourth quarter of the year. These gains and losses can be significant and can create volatility in our operating results. As a result of the recent volatility in the financial markets, there continues to be significant uncertainty with respect to the actuarial gain or loss we may record on our retirement plans in 2026. We may incur a significant actuarial gain or loss in 2026 if there is a significant increase or decrease in discount rates, respectively, or if there is a difference between the actual and expected return on plan assets.</w:t>
      </w:r>
    </w:p>
    <w:p>
      <w:pPr>
        <w:spacing w:after="0" w:line="199" w:lineRule="exact"/>
        <w:rPr>
          <w:sz w:val="20"/>
          <w:szCs w:val="20"/>
          <w:color w:val="auto"/>
        </w:rPr>
      </w:pPr>
    </w:p>
    <w:p>
      <w:pPr>
        <w:ind w:right="220" w:firstLine="625"/>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Our balance sheet includes a significant amount of intangible assets and goodwill, as well as long-lived assets in our retail stores. A decline in the estimated fair value of an intangible asset or of a reporting unit or in the current and projected cash flows in our retail stores could result in impairment charges recorded in our operating results, which could be material.</w:t>
      </w:r>
    </w:p>
    <w:p>
      <w:pPr>
        <w:spacing w:after="0" w:line="186" w:lineRule="exact"/>
        <w:rPr>
          <w:sz w:val="20"/>
          <w:szCs w:val="20"/>
          <w:color w:val="auto"/>
        </w:rPr>
      </w:pPr>
    </w:p>
    <w:p>
      <w:pPr>
        <w:ind w:right="40" w:firstLine="625"/>
        <w:spacing w:after="0" w:line="261" w:lineRule="auto"/>
        <w:rPr>
          <w:sz w:val="20"/>
          <w:szCs w:val="20"/>
          <w:color w:val="auto"/>
        </w:rPr>
      </w:pPr>
      <w:r>
        <w:rPr>
          <w:rFonts w:ascii="Times New Roman" w:cs="Times New Roman" w:eastAsia="Times New Roman" w:hAnsi="Times New Roman"/>
          <w:sz w:val="17"/>
          <w:szCs w:val="17"/>
          <w:color w:val="auto"/>
        </w:rPr>
        <w:t>Goodwill and other indefinite-lived intangible assets are tested for impairment annually and between annual tests if an event occurs or circumstances change that would indicate that it is more likely than not that the carrying amount may be impaired. Long-lived assets, such as operating lease right-of-use assets and property, plant and equipment in our retail stores and intangible assets with finite lives, are tested for impairment if an event occurs or circumstances change that would indicate the carrying amount may not be recoverable. Please see the section entitled “Critical Accounting Policies and Estimates” within Management’s Discussion and Analysis of Financial Condition and Results of Operations included in Item 7 of this report for further discussion of our impairment testing. If any of our goodwill, other indefinite-lived intangible assets or long-lived assets were determined to be impaired, the asset would be written down and an impairment charge would be recognized as a noncash expense in our operating results.</w:t>
      </w:r>
    </w:p>
    <w:p>
      <w:pPr>
        <w:spacing w:after="0" w:line="203" w:lineRule="exact"/>
        <w:rPr>
          <w:sz w:val="20"/>
          <w:szCs w:val="20"/>
          <w:color w:val="auto"/>
        </w:rPr>
      </w:pPr>
    </w:p>
    <w:p>
      <w:pPr>
        <w:jc w:val="both"/>
        <w:ind w:right="240" w:firstLine="625"/>
        <w:spacing w:after="0" w:line="274" w:lineRule="auto"/>
        <w:rPr>
          <w:sz w:val="20"/>
          <w:szCs w:val="20"/>
          <w:color w:val="auto"/>
        </w:rPr>
      </w:pPr>
      <w:r>
        <w:rPr>
          <w:rFonts w:ascii="Times New Roman" w:cs="Times New Roman" w:eastAsia="Times New Roman" w:hAnsi="Times New Roman"/>
          <w:sz w:val="17"/>
          <w:szCs w:val="17"/>
          <w:color w:val="auto"/>
        </w:rPr>
        <w:t>Adverse changes in future market conditions, a shift in consumer buying trends or weaker operating results compared to our expectations may impact our projected cash flows and estimates of weighted average cost of capital, which could result in a material impairment charge if we are unable to recover the carrying value of our goodwill, other indefinite-lived intangible assets and long-lived assets.</w:t>
      </w:r>
    </w:p>
    <w:p>
      <w:pPr>
        <w:spacing w:after="0" w:line="189"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Macroeconomic and geopolitical factors that occurred during the first quarter of 2025 resulted in significant market volatility and a decrease in our stock price, which was determined to be a triggering event that required us to perform quantitative interim impairment tests for our goodwill and other indefinite-lived intangible assets as of the end of the first quarter of 2025. As a result of these interim impairment tests, we recorded $480 million of noncash impairment charges. The impairments were non-operational and driven primarily by a significant increase in discount rates, as a result of then-current economic conditions. As of February 1, 2026, we had $2.022 billion of goodwill and $3.096 billion of other intangible assets on our balance sheet, which together represented 44% of our total assets.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Legal and Regulatory Risks</w:t>
      </w: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protect our trademarks and other intellectual property rights.</w:t>
      </w:r>
    </w:p>
    <w:p>
      <w:pPr>
        <w:spacing w:after="0" w:line="251" w:lineRule="exact"/>
        <w:rPr>
          <w:sz w:val="20"/>
          <w:szCs w:val="20"/>
          <w:color w:val="auto"/>
        </w:rPr>
      </w:pPr>
    </w:p>
    <w:p>
      <w:pPr>
        <w:ind w:right="140" w:firstLine="625"/>
        <w:spacing w:after="0" w:line="261" w:lineRule="auto"/>
        <w:rPr>
          <w:sz w:val="20"/>
          <w:szCs w:val="20"/>
          <w:color w:val="auto"/>
        </w:rPr>
      </w:pPr>
      <w:r>
        <w:rPr>
          <w:rFonts w:ascii="Times New Roman" w:cs="Times New Roman" w:eastAsia="Times New Roman" w:hAnsi="Times New Roman"/>
          <w:sz w:val="17"/>
          <w:szCs w:val="17"/>
          <w:color w:val="auto"/>
        </w:rPr>
        <w:t xml:space="preserve">Our trademarks and other intellectual property rights are important to our success and our competitive position. We are susceptible to others imitating our products and infringing on our intellectual property rights, as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enjoy significant worldwide consumer recognition and the generally premium pricing of products under the brands creates incentive for counterfeiters and infringers. Imitation or counterfeiting of our products or infringement of our intellectual property rights could diminish the value of our brands or otherwise adversely affect our revenue. We cannot assure you that the actions we take to establish and protect our trademarks and other intellectual property rights will be adequate to prevent imitation by others. We cannot assure you that other third parties will not seek to invalidate our trademarks or block sales of our products as a violation of their own trademarks and intellectual property rights. In addition, we cannot assure you</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0" w:name="page31"/>
    <w:bookmarkEnd w:id="30"/>
    <w:p>
      <w:pPr>
        <w:ind w:right="40"/>
        <w:spacing w:after="0" w:line="265" w:lineRule="auto"/>
        <w:rPr>
          <w:sz w:val="20"/>
          <w:szCs w:val="20"/>
          <w:color w:val="auto"/>
        </w:rPr>
      </w:pPr>
      <w:r>
        <w:rPr>
          <w:rFonts w:ascii="Times New Roman" w:cs="Times New Roman" w:eastAsia="Times New Roman" w:hAnsi="Times New Roman"/>
          <w:sz w:val="17"/>
          <w:szCs w:val="17"/>
          <w:color w:val="auto"/>
        </w:rPr>
        <w:t>that others will not assert rights in, or ownership of, trademarks and other intellectual property rights of ours or in marks that are similar to ours or that we will be able to successfully resolve these types of conflicts to our satisfaction. In some cases, there may be trademark owners who have prior rights to our marks because the laws of certain foreign countries may not protect intellectual property rights to the same extent as do the laws of the United States. In other cases, there may be holders who have prior rights to similar trademarks. We have in the past been and currently are involved in proceedings relating to marks similar to some of ours or a company’s claim of prior rights to some of our trademarks.</w:t>
      </w:r>
    </w:p>
    <w:p>
      <w:pPr>
        <w:spacing w:after="0" w:line="192" w:lineRule="exact"/>
        <w:rPr>
          <w:sz w:val="20"/>
          <w:szCs w:val="20"/>
          <w:color w:val="auto"/>
        </w:rPr>
      </w:pPr>
    </w:p>
    <w:p>
      <w:pPr>
        <w:ind w:right="300" w:firstLine="625"/>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certificate of incorporation and our by-laws and Delaware General Corporation Law could make it more difficult to acquire us and may reduce the market price of our common stock.</w:t>
      </w:r>
    </w:p>
    <w:p>
      <w:pPr>
        <w:spacing w:after="0" w:line="169"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Our certificate of incorporation and by-laws contain provisions requiring stockholders who seek to introduce proposals at a stockholders meeting or nominate a person to become a director to provide us with advance notice and certain information, as well as meet certain ownership criteria; permitting our Board of Directors to fill vacancies on the Board; and authorizing the Board of Directors to issue shares of preferred stock without approval of our stockholders. These provisions could have the effect of deterring changes of control.</w:t>
      </w:r>
    </w:p>
    <w:p>
      <w:pPr>
        <w:spacing w:after="0" w:line="194" w:lineRule="exact"/>
        <w:rPr>
          <w:sz w:val="20"/>
          <w:szCs w:val="20"/>
          <w:color w:val="auto"/>
        </w:rPr>
      </w:pPr>
    </w:p>
    <w:p>
      <w:pPr>
        <w:ind w:right="20" w:firstLine="625"/>
        <w:spacing w:after="0" w:line="274" w:lineRule="auto"/>
        <w:rPr>
          <w:sz w:val="20"/>
          <w:szCs w:val="20"/>
          <w:color w:val="auto"/>
        </w:rPr>
      </w:pPr>
      <w:r>
        <w:rPr>
          <w:rFonts w:ascii="Times New Roman" w:cs="Times New Roman" w:eastAsia="Times New Roman" w:hAnsi="Times New Roman"/>
          <w:sz w:val="17"/>
          <w:szCs w:val="17"/>
          <w:color w:val="auto"/>
        </w:rPr>
        <w:t>In addition, Section 203 of the Delaware General Corporation Law imposes restrictions on mergers and other business combinations between us and any holder of 15% or more of our common stock. The existence of this provision may have an anti-takeover effect with respect to transactions not approved in advance by the Board of Directors.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Information Technology and Data Privacy Risks</w:t>
      </w:r>
    </w:p>
    <w:p>
      <w:pPr>
        <w:spacing w:after="0" w:line="245" w:lineRule="exact"/>
        <w:rPr>
          <w:sz w:val="20"/>
          <w:szCs w:val="20"/>
          <w:color w:val="auto"/>
        </w:rPr>
      </w:pPr>
    </w:p>
    <w:p>
      <w:pPr>
        <w:ind w:right="20" w:firstLine="625"/>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rely significantly on information technology. Our business and reputation could be adversely impacted if our computer systems, or the systems of our business partners and service providers, are disrupted or cease to operate effectively or if we or they are subject to a data security or privacy breach.</w:t>
      </w:r>
    </w:p>
    <w:p>
      <w:pPr>
        <w:spacing w:after="0" w:line="169" w:lineRule="exact"/>
        <w:rPr>
          <w:sz w:val="20"/>
          <w:szCs w:val="20"/>
          <w:color w:val="auto"/>
        </w:rPr>
      </w:pPr>
    </w:p>
    <w:p>
      <w:pPr>
        <w:ind w:right="80" w:firstLine="625"/>
        <w:spacing w:after="0" w:line="261" w:lineRule="auto"/>
        <w:rPr>
          <w:sz w:val="20"/>
          <w:szCs w:val="20"/>
          <w:color w:val="auto"/>
        </w:rPr>
      </w:pPr>
      <w:r>
        <w:rPr>
          <w:rFonts w:ascii="Times New Roman" w:cs="Times New Roman" w:eastAsia="Times New Roman" w:hAnsi="Times New Roman"/>
          <w:sz w:val="17"/>
          <w:szCs w:val="17"/>
          <w:color w:val="auto"/>
        </w:rPr>
        <w:t>Our ability to manage and operate our business effectively depends significantly on information technology systems, including systems operated by third parties and us, systems that communicate with third parties, and website and mobile applications through which we communicate with our consumers and our employees. We process, transmit, store and maintain information about consumers, associates and other individuals, as well as business partners, in the ordinary course of business. This includes personally identifiable information protected under applicable laws, the processing of customers’ credit and debit card numbers, and reliance on systems maintained by third parties with whom we contract to provide payment processing. The failure of any system, website or application to operate effectively or any significant disruption thereto that may occur, including as a result of malicious actors, catastrophic events, natural disasters, or otherwise, could require significant remediation costs and adversely impact our operations.</w:t>
      </w:r>
    </w:p>
    <w:p>
      <w:pPr>
        <w:spacing w:after="0" w:line="203" w:lineRule="exact"/>
        <w:rPr>
          <w:sz w:val="20"/>
          <w:szCs w:val="20"/>
          <w:color w:val="auto"/>
        </w:rPr>
      </w:pPr>
    </w:p>
    <w:p>
      <w:pPr>
        <w:ind w:right="20" w:firstLine="625"/>
        <w:spacing w:after="0" w:line="266" w:lineRule="auto"/>
        <w:rPr>
          <w:sz w:val="20"/>
          <w:szCs w:val="20"/>
          <w:color w:val="auto"/>
        </w:rPr>
      </w:pPr>
      <w:r>
        <w:rPr>
          <w:rFonts w:ascii="Times New Roman" w:cs="Times New Roman" w:eastAsia="Times New Roman" w:hAnsi="Times New Roman"/>
          <w:sz w:val="17"/>
          <w:szCs w:val="17"/>
          <w:color w:val="auto"/>
        </w:rPr>
        <w:t>We recently announced a partnership with OpenAI to integrate an enterprise ChatGPT platform throughout various aspects of our operations for which there can be no assurance that we will be fully successful in our utilization of artificial intelligence. The growing integration of artificial intelligence into business systems and processes both by us and our business partners poses data exposure, privacy, legal, operational and other risks that could adversely affect us and our business. Additionally, malicious actors are using artificial intelligence to carry out more sophisticated social engineering attacks, increasing the potential for harm.</w:t>
      </w:r>
    </w:p>
    <w:p>
      <w:pPr>
        <w:spacing w:after="0" w:line="200" w:lineRule="exact"/>
        <w:rPr>
          <w:sz w:val="20"/>
          <w:szCs w:val="20"/>
          <w:color w:val="auto"/>
        </w:rPr>
      </w:pPr>
    </w:p>
    <w:p>
      <w:pPr>
        <w:spacing w:after="0" w:line="208" w:lineRule="exact"/>
        <w:rPr>
          <w:sz w:val="20"/>
          <w:szCs w:val="20"/>
          <w:color w:val="auto"/>
        </w:rPr>
      </w:pPr>
    </w:p>
    <w:p>
      <w:pPr>
        <w:ind w:right="40" w:firstLine="625"/>
        <w:spacing w:after="0" w:line="260" w:lineRule="auto"/>
        <w:rPr>
          <w:sz w:val="20"/>
          <w:szCs w:val="20"/>
          <w:color w:val="auto"/>
        </w:rPr>
      </w:pPr>
      <w:r>
        <w:rPr>
          <w:rFonts w:ascii="Times New Roman" w:cs="Times New Roman" w:eastAsia="Times New Roman" w:hAnsi="Times New Roman"/>
          <w:sz w:val="17"/>
          <w:szCs w:val="17"/>
          <w:color w:val="auto"/>
        </w:rPr>
        <w:t>We utilize a risk-based, multi-layered information security approach based on the “NIST” (National Institute of Standards and Technology) Cybersecurity Framework version 2.0 to identify and address cybersecurity risks. We take measures to protect data and ensure that those who use our systems are aware of the importance of protecting our systems and data. These steps include implementing security standards, endpoint and network system security tools, associate training programs and security response and recovery procedures. To measure the effectiveness of our cybersecurity controls, we frequently perform phishing exercises, tabletop exercises and penetration tests. We also provide training throughout each year to all associates with access to our systems through online courses, including 8 covering information security and data privacy and 12 phishing-related exercises/tests. We maintain an escalating discipline schedule for individual phishing test failures, including additional training. We also administer specific training courses to the members of the Board of Directors, one of which is typically mandatory annually. In addition, to measure and assess compliance, our information security approach is subject to an annual assessment of its maturity, within the NIST Cybersecurity Framework, by an independent third party consultant.</w:t>
      </w:r>
    </w:p>
    <w:p>
      <w:pPr>
        <w:spacing w:after="0" w:line="202" w:lineRule="exact"/>
        <w:rPr>
          <w:sz w:val="20"/>
          <w:szCs w:val="20"/>
          <w:color w:val="auto"/>
        </w:rPr>
      </w:pPr>
    </w:p>
    <w:p>
      <w:pPr>
        <w:ind w:firstLine="625"/>
        <w:spacing w:after="0" w:line="293" w:lineRule="auto"/>
        <w:rPr>
          <w:sz w:val="20"/>
          <w:szCs w:val="20"/>
          <w:color w:val="auto"/>
        </w:rPr>
      </w:pPr>
      <w:r>
        <w:rPr>
          <w:rFonts w:ascii="Times New Roman" w:cs="Times New Roman" w:eastAsia="Times New Roman" w:hAnsi="Times New Roman"/>
          <w:sz w:val="17"/>
          <w:szCs w:val="17"/>
          <w:color w:val="auto"/>
        </w:rPr>
        <w:t>We require third party providers who have access to our systems or receive personally identifiable information or other confidential data to take effective measures to protect data, but have no control over their efforts and are limited in our ability to</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1" w:name="page32"/>
    <w:bookmarkEnd w:id="31"/>
    <w:p>
      <w:pPr>
        <w:ind w:right="20"/>
        <w:spacing w:after="0" w:line="259" w:lineRule="auto"/>
        <w:rPr>
          <w:sz w:val="20"/>
          <w:szCs w:val="20"/>
          <w:color w:val="auto"/>
        </w:rPr>
      </w:pPr>
      <w:r>
        <w:rPr>
          <w:rFonts w:ascii="Times New Roman" w:cs="Times New Roman" w:eastAsia="Times New Roman" w:hAnsi="Times New Roman"/>
          <w:sz w:val="17"/>
          <w:szCs w:val="17"/>
          <w:color w:val="auto"/>
        </w:rPr>
        <w:t>assess their systems and processes. As a result, these third party providers also are a source of cybersecurity and other related risks for us. When third party service organizations process data that affects our financial statements, System and Organization Controls (SOC) 1 reports are obtained and evaluated annually. While we invest, and believe our service providers invest, considerable resources in protecting systems and information, including through the training of the people who have access to our systems and information, we all are still subject to security events, including but not limited to cybercrimes and cybersecurity attacks, such as those perpetrated by sophisticated and well-resourced bad actors attempting to disrupt operations or access or steal data. Security events may not be detected for an extended period of time, which could compound the scope and extent of the damage and problems. These security events could disrupt our business, severely damage our reputation and our relationship with vendors, customers and consumers, and expose us to risks of regulatory enforcement activity, litigation and liability. While we maintain insurance coverage, including cybersecurity insurance, it may be unavailable or insufficient to cover all losses or claims, and it does not remedy the reputational and future business impacts. Although we require third party providers with access to our systems and confidential information to have insurance coverage for any losses we may experience due to their work, the amount we can recover may not fully compensate us for any loss we experience.</w:t>
      </w:r>
    </w:p>
    <w:p>
      <w:pPr>
        <w:spacing w:after="0" w:line="200" w:lineRule="exact"/>
        <w:rPr>
          <w:sz w:val="20"/>
          <w:szCs w:val="20"/>
          <w:color w:val="auto"/>
        </w:rPr>
      </w:pPr>
    </w:p>
    <w:p>
      <w:pPr>
        <w:spacing w:after="0" w:line="214" w:lineRule="exact"/>
        <w:rPr>
          <w:sz w:val="20"/>
          <w:szCs w:val="20"/>
          <w:color w:val="auto"/>
        </w:rPr>
      </w:pPr>
    </w:p>
    <w:p>
      <w:pPr>
        <w:jc w:val="both"/>
        <w:ind w:right="20" w:firstLine="625"/>
        <w:spacing w:after="0" w:line="274" w:lineRule="auto"/>
        <w:rPr>
          <w:sz w:val="20"/>
          <w:szCs w:val="20"/>
          <w:color w:val="auto"/>
        </w:rPr>
      </w:pPr>
      <w:r>
        <w:rPr>
          <w:rFonts w:ascii="Times New Roman" w:cs="Times New Roman" w:eastAsia="Times New Roman" w:hAnsi="Times New Roman"/>
          <w:sz w:val="17"/>
          <w:szCs w:val="17"/>
          <w:color w:val="auto"/>
        </w:rPr>
        <w:t>We regularly implement new systems and hardware and are currently undertaking a major multi-year SAP S/4 implementation to upgrade our platforms and systems worldwide. The implementation of new software and hardware involves risks and uncertainties that could cause disruptions, delays or deficiencies in the design, implementation or application of these systems including:</w:t>
      </w:r>
    </w:p>
    <w:p>
      <w:pPr>
        <w:spacing w:after="0" w:line="83" w:lineRule="exact"/>
        <w:rPr>
          <w:sz w:val="20"/>
          <w:szCs w:val="20"/>
          <w:color w:val="auto"/>
        </w:rPr>
      </w:pPr>
    </w:p>
    <w:p>
      <w:pPr>
        <w:ind w:left="620" w:hanging="304"/>
        <w:spacing w:after="0"/>
        <w:tabs>
          <w:tab w:leader="none" w:pos="62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adversely impacting our operations;</w:t>
      </w:r>
    </w:p>
    <w:p>
      <w:pPr>
        <w:spacing w:after="0" w:line="109" w:lineRule="exact"/>
        <w:rPr>
          <w:rFonts w:ascii="Arial" w:cs="Arial" w:eastAsia="Arial" w:hAnsi="Arial"/>
          <w:sz w:val="21"/>
          <w:szCs w:val="21"/>
          <w:color w:val="auto"/>
        </w:rPr>
      </w:pPr>
    </w:p>
    <w:p>
      <w:pPr>
        <w:ind w:left="620" w:hanging="304"/>
        <w:spacing w:after="0"/>
        <w:tabs>
          <w:tab w:leader="none" w:pos="62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costs;</w:t>
      </w:r>
    </w:p>
    <w:p>
      <w:pPr>
        <w:spacing w:after="0" w:line="109" w:lineRule="exact"/>
        <w:rPr>
          <w:rFonts w:ascii="Arial" w:cs="Arial" w:eastAsia="Arial" w:hAnsi="Arial"/>
          <w:sz w:val="21"/>
          <w:szCs w:val="21"/>
          <w:color w:val="auto"/>
        </w:rPr>
      </w:pPr>
    </w:p>
    <w:p>
      <w:pPr>
        <w:ind w:left="620" w:hanging="304"/>
        <w:spacing w:after="0"/>
        <w:tabs>
          <w:tab w:leader="none" w:pos="62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disruptions in our ability to effectively source, sell or ship our products;</w:t>
      </w:r>
    </w:p>
    <w:p>
      <w:pPr>
        <w:spacing w:after="0" w:line="122" w:lineRule="exact"/>
        <w:rPr>
          <w:rFonts w:ascii="Arial" w:cs="Arial" w:eastAsia="Arial" w:hAnsi="Arial"/>
          <w:sz w:val="21"/>
          <w:szCs w:val="21"/>
          <w:color w:val="auto"/>
        </w:rPr>
      </w:pPr>
    </w:p>
    <w:p>
      <w:pPr>
        <w:ind w:left="620" w:hanging="304"/>
        <w:spacing w:after="0"/>
        <w:tabs>
          <w:tab w:leader="none" w:pos="62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delays in collecting payments from our customers; and</w:t>
      </w:r>
    </w:p>
    <w:p>
      <w:pPr>
        <w:spacing w:after="0" w:line="109" w:lineRule="exact"/>
        <w:rPr>
          <w:rFonts w:ascii="Arial" w:cs="Arial" w:eastAsia="Arial" w:hAnsi="Arial"/>
          <w:sz w:val="21"/>
          <w:szCs w:val="21"/>
          <w:color w:val="auto"/>
        </w:rPr>
      </w:pPr>
    </w:p>
    <w:p>
      <w:pPr>
        <w:ind w:left="620" w:hanging="304"/>
        <w:spacing w:after="0"/>
        <w:tabs>
          <w:tab w:leader="none" w:pos="620"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adversely affecting our ability to timely report our financial results.</w:t>
      </w:r>
    </w:p>
    <w:p>
      <w:pPr>
        <w:spacing w:after="0" w:line="216" w:lineRule="exact"/>
        <w:rPr>
          <w:sz w:val="20"/>
          <w:szCs w:val="20"/>
          <w:color w:val="auto"/>
        </w:rPr>
      </w:pPr>
    </w:p>
    <w:p>
      <w:pPr>
        <w:ind w:right="320" w:firstLine="625"/>
        <w:spacing w:after="0" w:line="274" w:lineRule="auto"/>
        <w:rPr>
          <w:sz w:val="20"/>
          <w:szCs w:val="20"/>
          <w:color w:val="auto"/>
        </w:rPr>
      </w:pPr>
      <w:r>
        <w:rPr>
          <w:rFonts w:ascii="Times New Roman" w:cs="Times New Roman" w:eastAsia="Times New Roman" w:hAnsi="Times New Roman"/>
          <w:sz w:val="17"/>
          <w:szCs w:val="17"/>
          <w:color w:val="auto"/>
        </w:rPr>
        <w:t>Our business, results of operations and financial condition could be materially adversely affected as a result of these implementation initiatives. In addition, intended improvements may not be realized. Our business partners and service providers face the same risks, which could also adversely impact our business and operations.</w:t>
      </w:r>
    </w:p>
    <w:p>
      <w:pPr>
        <w:spacing w:after="0" w:line="185" w:lineRule="exact"/>
        <w:rPr>
          <w:sz w:val="20"/>
          <w:szCs w:val="20"/>
          <w:color w:val="auto"/>
        </w:rPr>
      </w:pPr>
    </w:p>
    <w:p>
      <w:pPr>
        <w:ind w:firstLine="625"/>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are subject to data privacy and security laws and regulations globally, the number and complexity of which are increasing. We may be the subject of enforcement or other legal actions despite our compliance efforts.</w:t>
      </w:r>
    </w:p>
    <w:p>
      <w:pPr>
        <w:spacing w:after="0" w:line="169"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We collect, use, store, and otherwise process or rely upon access to data, including personally identifiable information, of consumers, employees, and other individuals in the daily conduct of our business. There have been significant enactments and developments in the area of data privacy and cybersecurity laws and regulations, such as the General Data Protection Regulation in the European Union, the California Consumer Privacy Act/California Privacy Rights Act, Personal Information Protection Law in China, and Personal Information Protection Act in South Korea . These laws and regulations have caused and could continue to cause us to change the way we operate, including in a less efficient manner, in order to comply with these laws. We have a global data privacy program and, as discussed above, have guidelines and a training program to ensure our associates understand the laws and how to collect, use and protect our confidential data (including personally identifiable information). However, our compliance efforts are not an assurance that we will not be the subject of regulatory or other legal actions. We could expend significant management and associate time and incur significant cost investigating and defending ourselves against the claims in any such matter, which matters also could result in us being the subject of significant fines, judgments or settlements. In addition, any such claim could give rise to significant reputational damages, whether or not we ultimately are successful in defending ourselves.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249"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Cybersecurity is a critical priority within, and has been integrated into, our enterprise risk management framework. We have in place a risk-based, multi-dimensional global cybersecurity program, guided by the framework established by NIST. This program aims to assess, identify, and manage risks from potential threats to our data, systems and networks, as well as those of our primary third-party suppliers. We have deployed a suite of physical, administrative and technological safeguards to protect our information systems, encompassing personal data (associate, consumer, customer and other business partner), intellectual property and confidential business information. These protections are designed to maintain the confidentiality, integrity and availability of all information housed within our network infrastructure.</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key cybersecurity processes within our program include the following:</w:t>
      </w:r>
    </w:p>
    <w:p>
      <w:pPr>
        <w:spacing w:after="0" w:line="245" w:lineRule="exact"/>
        <w:rPr>
          <w:sz w:val="20"/>
          <w:szCs w:val="20"/>
          <w:color w:val="auto"/>
        </w:rPr>
      </w:pPr>
    </w:p>
    <w:p>
      <w:pPr>
        <w:ind w:right="260" w:firstLine="625"/>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Risk-based Controls for Information and Systems – </w:t>
      </w:r>
      <w:r>
        <w:rPr>
          <w:rFonts w:ascii="Times New Roman" w:cs="Times New Roman" w:eastAsia="Times New Roman" w:hAnsi="Times New Roman"/>
          <w:sz w:val="17"/>
          <w:szCs w:val="17"/>
          <w:color w:val="auto"/>
        </w:rPr>
        <w:t>We strive to secure our information technology infrastructure and data by implementing,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maintaining and executing controls, and continuously improving our cybersecurity program’s maturity, risk management framework, policies, procedures and governance.</w:t>
      </w:r>
    </w:p>
    <w:p>
      <w:pPr>
        <w:spacing w:after="0" w:line="187" w:lineRule="exact"/>
        <w:rPr>
          <w:sz w:val="20"/>
          <w:szCs w:val="20"/>
          <w:color w:val="auto"/>
        </w:rPr>
      </w:pPr>
    </w:p>
    <w:p>
      <w:pPr>
        <w:ind w:right="180" w:firstLine="625"/>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Incident Response Plan and Testing </w:t>
      </w:r>
      <w:r>
        <w:rPr>
          <w:rFonts w:ascii="Times New Roman" w:cs="Times New Roman" w:eastAsia="Times New Roman" w:hAnsi="Times New Roman"/>
          <w:sz w:val="17"/>
          <w:szCs w:val="17"/>
          <w:color w:val="auto"/>
        </w:rPr>
        <w:t>– We have a cybersecurity incident response plan and dedicated teams to respond to incidents. Cross-functional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teams assess priority and severity, and external experts, including legal counsel, may be consulted. Our cybersecurity teams respond to incidents based on severity levels and improve our plan through regular table top breach exercises, penetration tests and simulations.</w:t>
      </w:r>
    </w:p>
    <w:p>
      <w:pPr>
        <w:spacing w:after="0" w:line="187"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Education and Interactive Training – </w:t>
      </w:r>
      <w:r>
        <w:rPr>
          <w:rFonts w:ascii="Times New Roman" w:cs="Times New Roman" w:eastAsia="Times New Roman" w:hAnsi="Times New Roman"/>
          <w:sz w:val="17"/>
          <w:szCs w:val="17"/>
          <w:color w:val="auto"/>
        </w:rPr>
        <w:t>We maintain an annual mandatory training program for all associates, which includes an online cybersecurity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training course designed to educate them on how to protect sensitive information and on best practices. We deliver monthly global phishing exercises and provide additional training to any associate who has demonstrated low levels of phishing awareness by failing testing. We also offer role-based training for regulatory compliance, and work with external partners to develop and deliver training to identify and mitigate cybersecurity risks. We continually evaluate trends within the industry, apply necessary controls, and empower our leadership to make informed, risk-based decisions.</w:t>
      </w:r>
    </w:p>
    <w:p>
      <w:pPr>
        <w:spacing w:after="0" w:line="196" w:lineRule="exact"/>
        <w:rPr>
          <w:sz w:val="20"/>
          <w:szCs w:val="20"/>
          <w:color w:val="auto"/>
        </w:rPr>
      </w:pPr>
    </w:p>
    <w:p>
      <w:pPr>
        <w:ind w:right="680" w:firstLine="625"/>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Third-Party Risk Management – </w:t>
      </w:r>
      <w:r>
        <w:rPr>
          <w:rFonts w:ascii="Times New Roman" w:cs="Times New Roman" w:eastAsia="Times New Roman" w:hAnsi="Times New Roman"/>
          <w:sz w:val="17"/>
          <w:szCs w:val="17"/>
          <w:color w:val="auto"/>
        </w:rPr>
        <w:t>We execute targeted cybersecurity assessments of suppliers, evaluating their risk profiles and using a rating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mechanism to identify vulnerabilities. We also partner with primary suppliers to implement advanced security measures to safeguard their information technology systems and have data security provisions in our contracts with third parties that handle our data.</w:t>
      </w:r>
    </w:p>
    <w:p>
      <w:pPr>
        <w:spacing w:after="0" w:line="187" w:lineRule="exact"/>
        <w:rPr>
          <w:sz w:val="20"/>
          <w:szCs w:val="20"/>
          <w:color w:val="auto"/>
        </w:rPr>
      </w:pPr>
    </w:p>
    <w:p>
      <w:pPr>
        <w:ind w:right="260" w:firstLine="625"/>
        <w:spacing w:after="0" w:line="296" w:lineRule="auto"/>
        <w:rPr>
          <w:sz w:val="20"/>
          <w:szCs w:val="20"/>
          <w:color w:val="auto"/>
        </w:rPr>
      </w:pPr>
      <w:r>
        <w:rPr>
          <w:rFonts w:ascii="Times New Roman" w:cs="Times New Roman" w:eastAsia="Times New Roman" w:hAnsi="Times New Roman"/>
          <w:sz w:val="17"/>
          <w:szCs w:val="17"/>
          <w:b w:val="1"/>
          <w:bCs w:val="1"/>
          <w:color w:val="auto"/>
        </w:rPr>
        <w:t xml:space="preserve">Threat and Vulnerability Management – </w:t>
      </w:r>
      <w:r>
        <w:rPr>
          <w:rFonts w:ascii="Times New Roman" w:cs="Times New Roman" w:eastAsia="Times New Roman" w:hAnsi="Times New Roman"/>
          <w:sz w:val="17"/>
          <w:szCs w:val="17"/>
          <w:color w:val="auto"/>
        </w:rPr>
        <w:t>We, along with our external partners, use resources, technology, and processes to identify, remediate,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report security threats in our systems. These controls are crucial to minimize our attack surface and prioritize possible threats.</w:t>
      </w:r>
    </w:p>
    <w:p>
      <w:pPr>
        <w:spacing w:after="0" w:line="168" w:lineRule="exact"/>
        <w:rPr>
          <w:sz w:val="20"/>
          <w:szCs w:val="20"/>
          <w:color w:val="auto"/>
        </w:rPr>
      </w:pPr>
    </w:p>
    <w:p>
      <w:pPr>
        <w:ind w:right="20" w:firstLine="625"/>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Cybersecurity and Compliance Assessment Practices – </w:t>
      </w:r>
      <w:r>
        <w:rPr>
          <w:rFonts w:ascii="Times New Roman" w:cs="Times New Roman" w:eastAsia="Times New Roman" w:hAnsi="Times New Roman"/>
          <w:sz w:val="17"/>
          <w:szCs w:val="17"/>
          <w:color w:val="auto"/>
        </w:rPr>
        <w:t>We conduct regular cybersecurity assessments with independent firms and annual evaluations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compliance with Payment Card Industry – Data Security Standards (PCI DSS) and benchmark maturity assessments aligned with the NIST Cybersecurity Framework version 2.0. Our Internal Audit department evaluates our information security program through annual information security and cybersecurity audits. We also perform internal controls testing as Section 404 of the Sarbanes-Oxley Act mandates.</w:t>
      </w:r>
    </w:p>
    <w:p>
      <w:pPr>
        <w:spacing w:after="0" w:line="192"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As of the date of this report, we are not aware of any cybersecurity incidents that have materially affected or are reasonably likely to materially affect us, including our business strategy, results of operations or financial condition. For a discussion of related risks, please see our Information Technology risk factor “</w:t>
      </w:r>
      <w:r>
        <w:rPr>
          <w:rFonts w:ascii="Times New Roman" w:cs="Times New Roman" w:eastAsia="Times New Roman" w:hAnsi="Times New Roman"/>
          <w:sz w:val="17"/>
          <w:szCs w:val="17"/>
          <w:i w:val="1"/>
          <w:iCs w:val="1"/>
          <w:color w:val="auto"/>
        </w:rPr>
        <w:t>We rely significantly on information technology. Our business and reputation could be adversely impacted if our computer systems, or the systems of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business partners and service providers, are disrupted or cease to operate effectively or if we or they are subject to a data security or privacy breach” </w:t>
      </w:r>
      <w:r>
        <w:rPr>
          <w:rFonts w:ascii="Times New Roman" w:cs="Times New Roman" w:eastAsia="Times New Roman" w:hAnsi="Times New Roman"/>
          <w:sz w:val="17"/>
          <w:szCs w:val="17"/>
          <w:color w:val="auto"/>
        </w:rPr>
        <w:t>in Item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1A. Risk Factors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78"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Board of Directors</w:t>
      </w:r>
    </w:p>
    <w:p>
      <w:pPr>
        <w:spacing w:after="0" w:line="251" w:lineRule="exact"/>
        <w:rPr>
          <w:sz w:val="20"/>
          <w:szCs w:val="20"/>
          <w:color w:val="auto"/>
        </w:rPr>
      </w:pPr>
    </w:p>
    <w:p>
      <w:pPr>
        <w:ind w:firstLine="625"/>
        <w:spacing w:after="0" w:line="258" w:lineRule="auto"/>
        <w:rPr>
          <w:sz w:val="20"/>
          <w:szCs w:val="20"/>
          <w:color w:val="auto"/>
        </w:rPr>
      </w:pPr>
      <w:r>
        <w:rPr>
          <w:rFonts w:ascii="Times New Roman" w:cs="Times New Roman" w:eastAsia="Times New Roman" w:hAnsi="Times New Roman"/>
          <w:sz w:val="17"/>
          <w:szCs w:val="17"/>
          <w:color w:val="auto"/>
        </w:rPr>
        <w:t>The Board of Directors oversees the management of risks related to the operation of our business. As part of its oversight, the Board receives periodic reports (no less often than annually) from members of senior management on various aspects of risk, including, among other things, our enterprise risk management program, business continuity planning, and cybersecurity. The Audit &amp; Risk Management Committee of the Board of Directors has principal Board-level responsibility for reviewing and assessing our significant risks, including cybersecurity risks, and management’s program to assess, monitor, and manage such exposures, and can raise any significant issues pertaining to these items with the full Board of Directors at each Board meeting. As part of this role, the Committee receives updates from the Chief Information Security Officer (“CISO”) multiple times throughout the year on various cybersecurity matters, including material risks and threat trends, mitigation strategies, security incidents, the status of priorities and initiatives, and other related matters of importance, as well as an annual in-depth review of cybersecurity strategy and initiatives for the coming year. Additionally, quarterly advisory services and annual training are provided to the Committee from an independent firm, which gives the Committee an outside perspective on the Company’s cybersecurity program and keeps them abreast of cybersecurity trends affecting the industry. The Committee also reviews the results of the independent cybersecurity assessments and compliance evaluations discussed above. In addition to these regular updates, the Committee and the full Board of Directors would also be promptly informed by the Chief Executive Officer or Interim Chief Financial Officer of any potentially significant cybersecurity incident should one occur, as well as provided ongoing updates from lead members of the incident response teams, including the CISO, regarding any such incidents in accordance with our incident response plan.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w:t>
      </w:r>
    </w:p>
    <w:p>
      <w:pPr>
        <w:spacing w:after="0" w:line="251" w:lineRule="exact"/>
        <w:rPr>
          <w:sz w:val="20"/>
          <w:szCs w:val="20"/>
          <w:color w:val="auto"/>
        </w:rPr>
      </w:pPr>
    </w:p>
    <w:p>
      <w:pPr>
        <w:ind w:right="200" w:firstLine="625"/>
        <w:spacing w:after="0" w:line="261" w:lineRule="auto"/>
        <w:rPr>
          <w:sz w:val="20"/>
          <w:szCs w:val="20"/>
          <w:color w:val="auto"/>
        </w:rPr>
      </w:pPr>
      <w:r>
        <w:rPr>
          <w:rFonts w:ascii="Times New Roman" w:cs="Times New Roman" w:eastAsia="Times New Roman" w:hAnsi="Times New Roman"/>
          <w:sz w:val="17"/>
          <w:szCs w:val="17"/>
          <w:color w:val="auto"/>
        </w:rPr>
        <w:t>The CISO leads our Information Security Group, a global function that spans our organization and is responsible for executing against our global cybersecurity program. The CISO is informed about and monitors the prevention, detection, mitigation, and remediation of cybersecurity incidents through our key cybersecurity processes, discussed above, and, together with other lead members of the incident response teams, is responsible for informing senior leadership across the organization about any cybersecurity incidents that may occur. Our CISO has over 25 years of experience managing and leading information technology and cybersecurity teams and participates in various industry and public sector cybersecurity groups. The CISO reports to the Chief Technology and Information Officer, who has over 20 years of experience leading technology teams for multi-brand consumer businesses and leads the Company’s information technology strategy and oversees the global cybersecurity function.</w:t>
      </w:r>
    </w:p>
    <w:p>
      <w:pPr>
        <w:spacing w:after="0" w:line="203"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Our cybersecurity team members hold certifications from industry recognized organizations such as the Information Systems Audit and Control Association (ISACA), the International Information System Security Certification Consortium (ISC2), and the International Council of E-Commerce Consultants (EC-Council). Cybersecurity team members also receive vendor-specific training and certifications, and attend and participate in technical and vendor conferences. As well, certain members of our global privacy team hold certifications from the International Association of Privacy Professionals (IAPP).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general location, use, ownership status and approximate size of the principal properties that we occupied as of February 1, 2026 are set forth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Ownership</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Approximate</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30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4440" w:type="dxa"/>
            <w:vAlign w:val="bottom"/>
            <w:gridSpan w:val="2"/>
            <w:vMerge w:val="restart"/>
          </w:tcPr>
          <w:p>
            <w:pPr>
              <w:ind w:left="2040"/>
              <w:spacing w:after="0"/>
              <w:rPr>
                <w:sz w:val="20"/>
                <w:szCs w:val="20"/>
                <w:color w:val="auto"/>
              </w:rPr>
            </w:pPr>
            <w:r>
              <w:rPr>
                <w:rFonts w:ascii="Times New Roman" w:cs="Times New Roman" w:eastAsia="Times New Roman" w:hAnsi="Times New Roman"/>
                <w:sz w:val="17"/>
                <w:szCs w:val="17"/>
                <w:b w:val="1"/>
                <w:bCs w:val="1"/>
                <w:color w:val="auto"/>
              </w:rPr>
              <w:t>Use</w:t>
            </w:r>
          </w:p>
        </w:tc>
        <w:tc>
          <w:tcPr>
            <w:tcW w:w="1400" w:type="dxa"/>
            <w:vAlign w:val="bottom"/>
            <w:gridSpan w:val="2"/>
            <w:vMerge w:val="continue"/>
          </w:tcPr>
          <w:p>
            <w:pPr>
              <w:spacing w:after="0"/>
              <w:rPr>
                <w:sz w:val="14"/>
                <w:szCs w:val="14"/>
                <w:color w:val="auto"/>
              </w:rPr>
            </w:pPr>
          </w:p>
        </w:tc>
        <w:tc>
          <w:tcPr>
            <w:tcW w:w="170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b w:val="1"/>
                <w:bCs w:val="1"/>
                <w:color w:val="auto"/>
              </w:rPr>
              <w:t>Area in</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300" w:type="dxa"/>
            <w:vAlign w:val="bottom"/>
            <w:gridSpan w:val="2"/>
            <w:vMerge w:val="continue"/>
          </w:tcPr>
          <w:p>
            <w:pPr>
              <w:spacing w:after="0"/>
              <w:rPr>
                <w:sz w:val="19"/>
                <w:szCs w:val="19"/>
                <w:color w:val="auto"/>
              </w:rPr>
            </w:pPr>
          </w:p>
        </w:tc>
        <w:tc>
          <w:tcPr>
            <w:tcW w:w="4440" w:type="dxa"/>
            <w:vAlign w:val="bottom"/>
            <w:gridSpan w:val="2"/>
            <w:vMerge w:val="continue"/>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Status</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Square Feet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3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Corporate, Tommy Hilfiger and Calvin Klein administrative</w:t>
            </w: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York, New York</w:t>
            </w:r>
          </w:p>
        </w:tc>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offices and showrooms</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Leased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643,000</w:t>
            </w: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Bridgewater, New Jersey</w:t>
            </w:r>
          </w:p>
        </w:tc>
        <w:tc>
          <w:tcPr>
            <w:tcW w:w="4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Corporate administrative offices</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Leased</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224,000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4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Tommy Hilfiger and Calvin Klein administrative offices and</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Amsterdam, The Netherlands</w:t>
            </w:r>
          </w:p>
        </w:tc>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showrooms</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Leased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474,000</w:t>
            </w: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0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Venlo/Oud Gastel/Sevenum, The</w:t>
            </w: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Netherlands</w:t>
            </w:r>
          </w:p>
        </w:tc>
        <w:tc>
          <w:tcPr>
            <w:tcW w:w="4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Warehouse and distribution centers</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Leased</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3,202,000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Palmetto/McDonough, Georgia</w:t>
            </w:r>
          </w:p>
        </w:tc>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Warehouse and distribution centers</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Leased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1,834,000</w:t>
            </w: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Jonesville, North Carolina</w:t>
            </w:r>
          </w:p>
        </w:tc>
        <w:tc>
          <w:tcPr>
            <w:tcW w:w="4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Warehouse and distribution center</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Owned</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778,000</w:t>
            </w:r>
          </w:p>
        </w:tc>
        <w:tc>
          <w:tcPr>
            <w:tcW w:w="400" w:type="dxa"/>
            <w:vAlign w:val="bottom"/>
          </w:tcPr>
          <w:p>
            <w:pPr>
              <w:jc w:val="right"/>
              <w:ind w:right="188"/>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69"/>
        </w:trPr>
        <w:tc>
          <w:tcPr>
            <w:tcW w:w="3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4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Corporate, Tommy Hilfiger and Calvin Klein administrative</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Hong Kong SAR, China</w:t>
            </w:r>
          </w:p>
        </w:tc>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offices</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Leased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88,000</w:t>
            </w: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620" w:right="100" w:hanging="148"/>
        <w:spacing w:after="0" w:line="266" w:lineRule="auto"/>
        <w:tabs>
          <w:tab w:leader="none" w:pos="638"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warehouse and distribution center located in Jonesville, NC is classified as held for sale as of February 1, 2026. We intend to sell the building and related assets within the next 12 months. Please see Note 3, “Assets Held For Sale,” in the Notes to Consolidated Financial Statements included in Item 8 of this report for further discussion.</w:t>
      </w:r>
    </w:p>
    <w:p>
      <w:pPr>
        <w:spacing w:after="0" w:line="196" w:lineRule="exact"/>
        <w:rPr>
          <w:sz w:val="20"/>
          <w:szCs w:val="20"/>
          <w:color w:val="auto"/>
        </w:rPr>
      </w:pPr>
    </w:p>
    <w:p>
      <w:pPr>
        <w:jc w:val="both"/>
        <w:ind w:right="380" w:firstLine="625"/>
        <w:spacing w:after="0" w:line="274" w:lineRule="auto"/>
        <w:rPr>
          <w:sz w:val="20"/>
          <w:szCs w:val="20"/>
          <w:color w:val="auto"/>
        </w:rPr>
      </w:pPr>
      <w:r>
        <w:rPr>
          <w:rFonts w:ascii="Times New Roman" w:cs="Times New Roman" w:eastAsia="Times New Roman" w:hAnsi="Times New Roman"/>
          <w:sz w:val="17"/>
          <w:szCs w:val="17"/>
          <w:color w:val="auto"/>
        </w:rPr>
        <w:t>As of February 1, 2026, we leased certain other administrative offices, showrooms and warehouse and distribution centers in various domestic and international locations. We also leased and operated as of February 1, 2026, approximately 1,350 retail locations in the United States, Canada, Europe, Asia-Pacific and Brazil.</w:t>
      </w:r>
    </w:p>
    <w:p>
      <w:pPr>
        <w:spacing w:after="0" w:line="189" w:lineRule="exact"/>
        <w:rPr>
          <w:sz w:val="20"/>
          <w:szCs w:val="20"/>
          <w:color w:val="auto"/>
        </w:rPr>
      </w:pPr>
    </w:p>
    <w:p>
      <w:pPr>
        <w:ind w:right="520" w:firstLine="625"/>
        <w:spacing w:after="0" w:line="293" w:lineRule="auto"/>
        <w:rPr>
          <w:sz w:val="20"/>
          <w:szCs w:val="20"/>
          <w:color w:val="auto"/>
        </w:rPr>
      </w:pPr>
      <w:r>
        <w:rPr>
          <w:rFonts w:ascii="Times New Roman" w:cs="Times New Roman" w:eastAsia="Times New Roman" w:hAnsi="Times New Roman"/>
          <w:sz w:val="17"/>
          <w:szCs w:val="17"/>
          <w:color w:val="auto"/>
        </w:rPr>
        <w:t>Information with respect to maturities of the Company’s lease liabilities in which we are a lessee is included in Note 16, “Leases,” in the Notes to Consolidated Financial Statements included in Item 8 of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Investigation by China’s Ministry of Commerce</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September 2024, MOFCOM announced that it had initiated an investigation into our business under the UEL Provisions upon the suspicion that we</w:t>
      </w:r>
    </w:p>
    <w:p>
      <w:pPr>
        <w:spacing w:after="0" w:line="31" w:lineRule="exact"/>
        <w:rPr>
          <w:sz w:val="20"/>
          <w:szCs w:val="20"/>
          <w:color w:val="auto"/>
        </w:rPr>
      </w:pPr>
    </w:p>
    <w:p>
      <w:pPr>
        <w:ind w:right="160" w:firstLine="4"/>
        <w:spacing w:after="0" w:line="256" w:lineRule="auto"/>
        <w:tabs>
          <w:tab w:leader="none" w:pos="20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suspended normal transactions with Chinese entities or individuals, (ii) adopted discriminatory measures against products produced in or made from raw materials or component parts from China’s Xinjiang Uyghur Autonomous Region, and (iii) violated normal market trading principles. In October 2024, we submitted a written response to MOFCOM and, in December 2024, we submitted a supplemental response. </w:t>
      </w:r>
      <w:r>
        <w:rPr>
          <w:rFonts w:ascii="Times New Roman" w:cs="Times New Roman" w:eastAsia="Times New Roman" w:hAnsi="Times New Roman"/>
          <w:sz w:val="17"/>
          <w:szCs w:val="17"/>
          <w:color w:val="212121"/>
        </w:rPr>
        <w:t>In January 2025, MOFCOM issued a preliminary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121"/>
        </w:rPr>
        <w:t xml:space="preserve">finding that PVH Corp. had violated normal market trading principles and in February 2025, it announced its determination and placed PVH Corp. on the UEL. We do not know if or when MOFCOM will implement any measures as a result of the listing or what they will be if any are imposed. </w:t>
      </w:r>
      <w:r>
        <w:rPr>
          <w:rFonts w:ascii="Times New Roman" w:cs="Times New Roman" w:eastAsia="Times New Roman" w:hAnsi="Times New Roman"/>
          <w:sz w:val="17"/>
          <w:szCs w:val="17"/>
          <w:color w:val="000000"/>
        </w:rPr>
        <w:t>According to the UEL</w:t>
      </w:r>
      <w:r>
        <w:rPr>
          <w:rFonts w:ascii="Times New Roman" w:cs="Times New Roman" w:eastAsia="Times New Roman" w:hAnsi="Times New Roman"/>
          <w:sz w:val="17"/>
          <w:szCs w:val="17"/>
          <w:color w:val="212121"/>
        </w:rPr>
        <w:t xml:space="preserve"> </w:t>
      </w:r>
      <w:r>
        <w:rPr>
          <w:rFonts w:ascii="Times New Roman" w:cs="Times New Roman" w:eastAsia="Times New Roman" w:hAnsi="Times New Roman"/>
          <w:sz w:val="17"/>
          <w:szCs w:val="17"/>
          <w:color w:val="000000"/>
        </w:rPr>
        <w:t>Provisions, potential measures could include monetary fines, restrictions or prohibitions on engaging in import and export activities related to China or making investments in China, entry denial of our relevant personnel into China, restrictions or revocation of work permits, stay or residence status of our relevant personnel in China, or other measures. No measures have been imposed on us at this time. The practical impact of any such restrictions or prohibitions could include our inability to produce goods in China for sale elsewhere, our inability to sell goods on a wholesale or retail basis in China, or our inability to make investments in China. Please see our risk factor “</w:t>
      </w:r>
      <w:r>
        <w:rPr>
          <w:rFonts w:ascii="Times New Roman" w:cs="Times New Roman" w:eastAsia="Times New Roman" w:hAnsi="Times New Roman"/>
          <w:sz w:val="17"/>
          <w:szCs w:val="17"/>
          <w:i w:val="1"/>
          <w:iCs w:val="1"/>
          <w:color w:val="000000"/>
        </w:rPr>
        <w:t>China’s Ministry of Commerce (“MOFCOM”) conducted an investigation into our business which resulted in</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color w:val="000000"/>
        </w:rPr>
        <w:t>PVH Corp. being placed on the List of Unreliable Entities (“UEL”) and could result in fines or restrictions on our ability to do business in China, which could have a material adverse effect on our revenue and results of operations</w:t>
      </w:r>
      <w:r>
        <w:rPr>
          <w:rFonts w:ascii="Times New Roman" w:cs="Times New Roman" w:eastAsia="Times New Roman" w:hAnsi="Times New Roman"/>
          <w:sz w:val="17"/>
          <w:szCs w:val="17"/>
          <w:color w:val="000000"/>
        </w:rPr>
        <w:t>” in Item 1A. Risk Factors for additional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Matters</w:t>
      </w:r>
    </w:p>
    <w:p>
      <w:pPr>
        <w:spacing w:after="0" w:line="249" w:lineRule="exact"/>
        <w:rPr>
          <w:sz w:val="20"/>
          <w:szCs w:val="20"/>
          <w:color w:val="auto"/>
        </w:rPr>
      </w:pPr>
    </w:p>
    <w:p>
      <w:pPr>
        <w:ind w:right="180" w:firstLine="625"/>
        <w:spacing w:after="0" w:line="293" w:lineRule="auto"/>
        <w:rPr>
          <w:sz w:val="20"/>
          <w:szCs w:val="20"/>
          <w:color w:val="auto"/>
        </w:rPr>
      </w:pPr>
      <w:r>
        <w:rPr>
          <w:rFonts w:ascii="Times New Roman" w:cs="Times New Roman" w:eastAsia="Times New Roman" w:hAnsi="Times New Roman"/>
          <w:sz w:val="17"/>
          <w:szCs w:val="17"/>
          <w:color w:val="auto"/>
        </w:rPr>
        <w:t>We are a party to certain litigations which, in management’s judgment based, in part, on the opinions of legal counsel, will not have a material adverse effect on our financial position.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35" w:name="page36"/>
    <w:bookmarkEnd w:id="35"/>
    <w:p>
      <w:pPr>
        <w:jc w:val="center"/>
        <w:ind w:right="779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39"/>
          </w:cols>
          <w:pgMar w:left="320" w:top="978" w:right="1440" w:bottom="1440" w:gutter="0" w:footer="0" w:header="0"/>
        </w:sectPr>
      </w:pPr>
    </w:p>
    <w:bookmarkStart w:id="36" w:name="page37"/>
    <w:bookmarkEnd w:id="36"/>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49"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Our common stock is traded on the New York Stock Exchange under the symbol “PVH.” Certain information with respect to the dividends declared on our common stock appear in the Consolidated Statements of Changes in Stockholders’ Equity included in Item 8 of this report. As of March 11, 2026, there were 408 stockholders of record of our common stock.</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ISSUER PURCHASES OF EQUITY SECURITIES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8"/>
              </w:rPr>
              <w:t>(c) Total Number of Shares</w:t>
            </w:r>
          </w:p>
        </w:tc>
        <w:tc>
          <w:tcPr>
            <w:tcW w:w="140" w:type="dxa"/>
            <w:vAlign w:val="bottom"/>
          </w:tcPr>
          <w:p>
            <w:pPr>
              <w:spacing w:after="0"/>
              <w:rPr>
                <w:sz w:val="13"/>
                <w:szCs w:val="13"/>
                <w:color w:val="auto"/>
              </w:rPr>
            </w:pPr>
          </w:p>
        </w:tc>
        <w:tc>
          <w:tcPr>
            <w:tcW w:w="1660" w:type="dxa"/>
            <w:vAlign w:val="bottom"/>
          </w:tcPr>
          <w:p>
            <w:pPr>
              <w:jc w:val="right"/>
              <w:ind w:right="99"/>
              <w:spacing w:after="0"/>
              <w:rPr>
                <w:sz w:val="20"/>
                <w:szCs w:val="20"/>
                <w:color w:val="auto"/>
              </w:rPr>
            </w:pPr>
            <w:r>
              <w:rPr>
                <w:rFonts w:ascii="Times New Roman" w:cs="Times New Roman" w:eastAsia="Times New Roman" w:hAnsi="Times New Roman"/>
                <w:sz w:val="14"/>
                <w:szCs w:val="14"/>
                <w:color w:val="auto"/>
                <w:w w:val="99"/>
              </w:rPr>
              <w:t>(d) Maximum Number (or</w:t>
            </w:r>
          </w:p>
        </w:tc>
        <w:tc>
          <w:tcPr>
            <w:tcW w:w="0" w:type="dxa"/>
            <w:vAlign w:val="bottom"/>
          </w:tcPr>
          <w:p>
            <w:pPr>
              <w:spacing w:after="0"/>
              <w:rPr>
                <w:sz w:val="1"/>
                <w:szCs w:val="1"/>
                <w:color w:val="auto"/>
              </w:rPr>
            </w:pPr>
          </w:p>
        </w:tc>
      </w:tr>
      <w:tr>
        <w:trPr>
          <w:trHeight w:val="140"/>
        </w:trPr>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(b) Average Price Paid</w:t>
            </w:r>
          </w:p>
        </w:tc>
        <w:tc>
          <w:tcPr>
            <w:tcW w:w="1840" w:type="dxa"/>
            <w:vAlign w:val="bottom"/>
            <w:gridSpan w:val="2"/>
            <w:vMerge w:val="continue"/>
          </w:tcPr>
          <w:p>
            <w:pPr>
              <w:spacing w:after="0"/>
              <w:rPr>
                <w:sz w:val="12"/>
                <w:szCs w:val="12"/>
                <w:color w:val="auto"/>
              </w:rPr>
            </w:pPr>
          </w:p>
        </w:tc>
        <w:tc>
          <w:tcPr>
            <w:tcW w:w="180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4"/>
                <w:szCs w:val="14"/>
                <w:color w:val="auto"/>
              </w:rPr>
              <w:t>Approximate Dollar Value) of</w:t>
            </w: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(a) Total Number of Shares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840" w:type="dxa"/>
            <w:vAlign w:val="bottom"/>
            <w:gridSpan w:val="2"/>
          </w:tcPr>
          <w:p>
            <w:pPr>
              <w:jc w:val="center"/>
              <w:ind w:right="100"/>
              <w:spacing w:after="0" w:line="130" w:lineRule="exact"/>
              <w:rPr>
                <w:sz w:val="20"/>
                <w:szCs w:val="20"/>
                <w:color w:val="auto"/>
              </w:rPr>
            </w:pPr>
            <w:r>
              <w:rPr>
                <w:rFonts w:ascii="Times New Roman" w:cs="Times New Roman" w:eastAsia="Times New Roman" w:hAnsi="Times New Roman"/>
                <w:sz w:val="14"/>
                <w:szCs w:val="14"/>
                <w:color w:val="auto"/>
                <w:w w:val="98"/>
              </w:rPr>
              <w:t>(or Units) Purchased as Part of</w:t>
            </w:r>
          </w:p>
        </w:tc>
        <w:tc>
          <w:tcPr>
            <w:tcW w:w="180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4"/>
                <w:szCs w:val="14"/>
                <w:color w:val="auto"/>
                <w:w w:val="99"/>
              </w:rPr>
              <w:t>Shares (or Units) that May Yet</w:t>
            </w:r>
          </w:p>
        </w:tc>
        <w:tc>
          <w:tcPr>
            <w:tcW w:w="0" w:type="dxa"/>
            <w:vAlign w:val="bottom"/>
          </w:tcPr>
          <w:p>
            <w:pPr>
              <w:spacing w:after="0"/>
              <w:rPr>
                <w:sz w:val="1"/>
                <w:szCs w:val="1"/>
                <w:color w:val="auto"/>
              </w:rPr>
            </w:pPr>
          </w:p>
        </w:tc>
      </w:tr>
      <w:tr>
        <w:trPr>
          <w:trHeight w:val="143"/>
        </w:trPr>
        <w:tc>
          <w:tcPr>
            <w:tcW w:w="3740" w:type="dxa"/>
            <w:vAlign w:val="bottom"/>
            <w:gridSpan w:val="2"/>
            <w:vMerge w:val="restart"/>
          </w:tcPr>
          <w:p>
            <w:pPr>
              <w:ind w:left="1440"/>
              <w:spacing w:after="0"/>
              <w:rPr>
                <w:sz w:val="20"/>
                <w:szCs w:val="20"/>
                <w:color w:val="auto"/>
              </w:rPr>
            </w:pPr>
            <w:r>
              <w:rPr>
                <w:rFonts w:ascii="Times New Roman" w:cs="Times New Roman" w:eastAsia="Times New Roman" w:hAnsi="Times New Roman"/>
                <w:sz w:val="14"/>
                <w:szCs w:val="14"/>
                <w:color w:val="auto"/>
              </w:rPr>
              <w:t>Period</w:t>
            </w:r>
          </w:p>
        </w:tc>
        <w:tc>
          <w:tcPr>
            <w:tcW w:w="1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ind w:left="440"/>
              <w:spacing w:after="0" w:line="143" w:lineRule="exact"/>
              <w:rPr>
                <w:sz w:val="20"/>
                <w:szCs w:val="20"/>
                <w:color w:val="auto"/>
              </w:rPr>
            </w:pPr>
            <w:r>
              <w:rPr>
                <w:rFonts w:ascii="Times New Roman" w:cs="Times New Roman" w:eastAsia="Times New Roman" w:hAnsi="Times New Roman"/>
                <w:sz w:val="14"/>
                <w:szCs w:val="14"/>
                <w:color w:val="auto"/>
              </w:rPr>
              <w:t>per Share</w:t>
            </w:r>
          </w:p>
        </w:tc>
        <w:tc>
          <w:tcPr>
            <w:tcW w:w="18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w w:val="98"/>
              </w:rPr>
              <w:t>Publicly Announced Plans or</w:t>
            </w:r>
          </w:p>
        </w:tc>
        <w:tc>
          <w:tcPr>
            <w:tcW w:w="18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color w:val="auto"/>
              </w:rPr>
              <w:t>Be Purchased Under the Plans</w:t>
            </w:r>
          </w:p>
        </w:tc>
        <w:tc>
          <w:tcPr>
            <w:tcW w:w="0" w:type="dxa"/>
            <w:vAlign w:val="bottom"/>
          </w:tcPr>
          <w:p>
            <w:pPr>
              <w:spacing w:after="0"/>
              <w:rPr>
                <w:sz w:val="1"/>
                <w:szCs w:val="1"/>
                <w:color w:val="auto"/>
              </w:rPr>
            </w:pPr>
          </w:p>
        </w:tc>
      </w:tr>
      <w:tr>
        <w:trPr>
          <w:trHeight w:val="195"/>
        </w:trPr>
        <w:tc>
          <w:tcPr>
            <w:tcW w:w="3740" w:type="dxa"/>
            <w:vAlign w:val="bottom"/>
            <w:gridSpan w:val="2"/>
            <w:vMerge w:val="continue"/>
          </w:tcPr>
          <w:p>
            <w:pPr>
              <w:spacing w:after="0"/>
              <w:rPr>
                <w:sz w:val="16"/>
                <w:szCs w:val="16"/>
                <w:color w:val="auto"/>
              </w:rPr>
            </w:pPr>
          </w:p>
        </w:tc>
        <w:tc>
          <w:tcPr>
            <w:tcW w:w="1740" w:type="dxa"/>
            <w:vAlign w:val="bottom"/>
          </w:tcPr>
          <w:p>
            <w:pPr>
              <w:jc w:val="right"/>
              <w:ind w:right="119"/>
              <w:spacing w:after="0" w:line="195" w:lineRule="exact"/>
              <w:rPr>
                <w:sz w:val="20"/>
                <w:szCs w:val="20"/>
                <w:color w:val="auto"/>
              </w:rPr>
            </w:pPr>
            <w:r>
              <w:rPr>
                <w:rFonts w:ascii="Times New Roman" w:cs="Times New Roman" w:eastAsia="Times New Roman" w:hAnsi="Times New Roman"/>
                <w:sz w:val="14"/>
                <w:szCs w:val="14"/>
                <w:color w:val="auto"/>
              </w:rPr>
              <w:t>(or Units) Purchased</w:t>
            </w:r>
            <w:r>
              <w:rPr>
                <w:rFonts w:ascii="Times New Roman" w:cs="Times New Roman" w:eastAsia="Times New Roman" w:hAnsi="Times New Roman"/>
                <w:sz w:val="18"/>
                <w:szCs w:val="18"/>
                <w:color w:val="auto"/>
                <w:vertAlign w:val="superscript"/>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420"/>
              <w:spacing w:after="0" w:line="196" w:lineRule="exact"/>
              <w:rPr>
                <w:sz w:val="20"/>
                <w:szCs w:val="20"/>
                <w:color w:val="auto"/>
              </w:rPr>
            </w:pPr>
            <w:r>
              <w:rPr>
                <w:rFonts w:ascii="Times New Roman" w:cs="Times New Roman" w:eastAsia="Times New Roman" w:hAnsi="Times New Roman"/>
                <w:sz w:val="22"/>
                <w:szCs w:val="22"/>
                <w:color w:val="auto"/>
                <w:vertAlign w:val="subscript"/>
              </w:rPr>
              <w:t>(or Unit)</w:t>
            </w:r>
            <w:r>
              <w:rPr>
                <w:rFonts w:ascii="Times New Roman" w:cs="Times New Roman" w:eastAsia="Times New Roman" w:hAnsi="Times New Roman"/>
                <w:sz w:val="8"/>
                <w:szCs w:val="8"/>
                <w:color w:val="auto"/>
              </w:rPr>
              <w:t>(1)(2)(3)</w:t>
            </w:r>
          </w:p>
        </w:tc>
        <w:tc>
          <w:tcPr>
            <w:tcW w:w="1840" w:type="dxa"/>
            <w:vAlign w:val="bottom"/>
            <w:gridSpan w:val="2"/>
          </w:tcPr>
          <w:p>
            <w:pPr>
              <w:jc w:val="center"/>
              <w:ind w:right="120"/>
              <w:spacing w:after="0" w:line="195" w:lineRule="exact"/>
              <w:rPr>
                <w:sz w:val="20"/>
                <w:szCs w:val="20"/>
                <w:color w:val="auto"/>
              </w:rPr>
            </w:pPr>
            <w:r>
              <w:rPr>
                <w:rFonts w:ascii="Times New Roman" w:cs="Times New Roman" w:eastAsia="Times New Roman" w:hAnsi="Times New Roman"/>
                <w:sz w:val="14"/>
                <w:szCs w:val="14"/>
                <w:color w:val="auto"/>
                <w:w w:val="94"/>
              </w:rPr>
              <w:t>Programs</w:t>
            </w:r>
            <w:r>
              <w:rPr>
                <w:rFonts w:ascii="Times New Roman" w:cs="Times New Roman" w:eastAsia="Times New Roman" w:hAnsi="Times New Roman"/>
                <w:sz w:val="18"/>
                <w:szCs w:val="18"/>
                <w:color w:val="auto"/>
                <w:w w:val="94"/>
                <w:vertAlign w:val="superscript"/>
              </w:rPr>
              <w:t>(1)</w:t>
            </w:r>
          </w:p>
        </w:tc>
        <w:tc>
          <w:tcPr>
            <w:tcW w:w="140" w:type="dxa"/>
            <w:vAlign w:val="bottom"/>
          </w:tcPr>
          <w:p>
            <w:pPr>
              <w:spacing w:after="0"/>
              <w:rPr>
                <w:sz w:val="16"/>
                <w:szCs w:val="16"/>
                <w:color w:val="auto"/>
              </w:rPr>
            </w:pPr>
          </w:p>
        </w:tc>
        <w:tc>
          <w:tcPr>
            <w:tcW w:w="1660" w:type="dxa"/>
            <w:vAlign w:val="bottom"/>
          </w:tcPr>
          <w:p>
            <w:pPr>
              <w:jc w:val="right"/>
              <w:ind w:right="419"/>
              <w:spacing w:after="0" w:line="195" w:lineRule="exact"/>
              <w:rPr>
                <w:sz w:val="20"/>
                <w:szCs w:val="20"/>
                <w:color w:val="auto"/>
              </w:rPr>
            </w:pPr>
            <w:r>
              <w:rPr>
                <w:rFonts w:ascii="Times New Roman" w:cs="Times New Roman" w:eastAsia="Times New Roman" w:hAnsi="Times New Roman"/>
                <w:sz w:val="14"/>
                <w:szCs w:val="14"/>
                <w:color w:val="auto"/>
              </w:rPr>
              <w:t>or Programs</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214"/>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November 3, 2025 - November 30, 2025</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78.30</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1,211,808,469</w:t>
            </w:r>
          </w:p>
        </w:tc>
        <w:tc>
          <w:tcPr>
            <w:tcW w:w="0" w:type="dxa"/>
            <w:vAlign w:val="bottom"/>
          </w:tcPr>
          <w:p>
            <w:pPr>
              <w:spacing w:after="0"/>
              <w:rPr>
                <w:sz w:val="1"/>
                <w:szCs w:val="1"/>
                <w:color w:val="auto"/>
              </w:rPr>
            </w:pPr>
          </w:p>
        </w:tc>
      </w:tr>
      <w:tr>
        <w:trPr>
          <w:trHeight w:val="221"/>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December 1, 2025 - January 4, 2026</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82.69</w:t>
            </w:r>
          </w:p>
        </w:tc>
        <w:tc>
          <w:tcPr>
            <w:tcW w:w="120" w:type="dxa"/>
            <w:vAlign w:val="bottom"/>
          </w:tcPr>
          <w:p>
            <w:pPr>
              <w:spacing w:after="0"/>
              <w:rPr>
                <w:sz w:val="19"/>
                <w:szCs w:val="19"/>
                <w:color w:val="auto"/>
              </w:rPr>
            </w:pP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1,211,808,469</w:t>
            </w:r>
          </w:p>
        </w:tc>
        <w:tc>
          <w:tcPr>
            <w:tcW w:w="0" w:type="dxa"/>
            <w:vAlign w:val="bottom"/>
          </w:tcPr>
          <w:p>
            <w:pPr>
              <w:spacing w:after="0"/>
              <w:rPr>
                <w:sz w:val="1"/>
                <w:szCs w:val="1"/>
                <w:color w:val="auto"/>
              </w:rPr>
            </w:pPr>
          </w:p>
        </w:tc>
      </w:tr>
      <w:tr>
        <w:trPr>
          <w:trHeight w:val="221"/>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5, 2026 - February 1, 2026</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66.65</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1,211,808,469</w:t>
            </w:r>
          </w:p>
        </w:tc>
        <w:tc>
          <w:tcPr>
            <w:tcW w:w="0" w:type="dxa"/>
            <w:vAlign w:val="bottom"/>
          </w:tcPr>
          <w:p>
            <w:pPr>
              <w:spacing w:after="0"/>
              <w:rPr>
                <w:sz w:val="1"/>
                <w:szCs w:val="1"/>
                <w:color w:val="auto"/>
              </w:rPr>
            </w:pPr>
          </w:p>
        </w:tc>
      </w:tr>
      <w:tr>
        <w:trPr>
          <w:trHeight w:val="21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1,211,808,469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620" w:hanging="304"/>
        <w:spacing w:after="0" w:line="245" w:lineRule="auto"/>
        <w:tabs>
          <w:tab w:leader="none" w:pos="60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The Company’s Board of Directors has authorized over time beginning in 2015 an aggregate $5.0 billion stock repurchase program through July 30, 2028. Repurchases under the program may be made from time to time over the period through open market purchases, accelerated share repurchase programs, privately negotiated transactions or other methods, as we deem appropriate. Purchases are made based on a variety of factors, such as price, corporate requirements and overall market conditions, applicable legal requirements and limitations, trading restrictions under our insider trading policy and other relevant factors. The program may be modified by the Board of Directors, including to increase or decrease the repurchase limitation or extend, suspend, or terminate the program, at any time, without prior notice. Excise taxes do not reduce the authorized amount remaining under this program.</w:t>
      </w:r>
    </w:p>
    <w:p>
      <w:pPr>
        <w:spacing w:after="0" w:line="200" w:lineRule="exact"/>
        <w:rPr>
          <w:rFonts w:ascii="Times New Roman" w:cs="Times New Roman" w:eastAsia="Times New Roman" w:hAnsi="Times New Roman"/>
          <w:sz w:val="23"/>
          <w:szCs w:val="23"/>
          <w:color w:val="auto"/>
          <w:vertAlign w:val="superscript"/>
        </w:rPr>
      </w:pPr>
    </w:p>
    <w:p>
      <w:pPr>
        <w:spacing w:after="0" w:line="327" w:lineRule="exact"/>
        <w:rPr>
          <w:rFonts w:ascii="Times New Roman" w:cs="Times New Roman" w:eastAsia="Times New Roman" w:hAnsi="Times New Roman"/>
          <w:sz w:val="23"/>
          <w:szCs w:val="23"/>
          <w:color w:val="auto"/>
          <w:vertAlign w:val="superscript"/>
        </w:rPr>
      </w:pPr>
    </w:p>
    <w:p>
      <w:pPr>
        <w:ind w:left="620" w:right="80" w:hanging="304"/>
        <w:spacing w:after="0" w:line="243" w:lineRule="auto"/>
        <w:tabs>
          <w:tab w:leader="none" w:pos="60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Our Stock Incentive Plan provides us with the right to deduct or withhold, or require employees to remit to us, an amount sufficient to satisfy any applicable tax withholding requirements applicable to stock-based compensation awards. To the extent permitted, employees may elect to satisfy all or part of such withholding requirements by tendering previously owned shares or by having us withhold shares having a fair market value equal to the minimum statutory tax withholding rate that could be imposed on the transaction. Included in this table are shares withheld during the fourth quarter of 2025 in connection with the settlement of restricted stock units to satisfy tax withholding requirements.</w:t>
      </w:r>
    </w:p>
    <w:p>
      <w:pPr>
        <w:spacing w:after="0" w:line="281" w:lineRule="exact"/>
        <w:rPr>
          <w:rFonts w:ascii="Times New Roman" w:cs="Times New Roman" w:eastAsia="Times New Roman" w:hAnsi="Times New Roman"/>
          <w:sz w:val="23"/>
          <w:szCs w:val="23"/>
          <w:color w:val="auto"/>
          <w:vertAlign w:val="superscript"/>
        </w:rPr>
      </w:pPr>
    </w:p>
    <w:p>
      <w:pPr>
        <w:ind w:left="620" w:hanging="304"/>
        <w:spacing w:after="0"/>
        <w:tabs>
          <w:tab w:leader="none" w:pos="6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Average price paid per share (or unit) excludes excise taxes.</w:t>
      </w:r>
    </w:p>
    <w:p>
      <w:pPr>
        <w:spacing w:after="0" w:line="216" w:lineRule="exact"/>
        <w:rPr>
          <w:sz w:val="20"/>
          <w:szCs w:val="20"/>
          <w:color w:val="auto"/>
        </w:rPr>
      </w:pPr>
    </w:p>
    <w:p>
      <w:pPr>
        <w:ind w:right="140" w:firstLine="625"/>
        <w:spacing w:after="0" w:line="268" w:lineRule="auto"/>
        <w:rPr>
          <w:sz w:val="20"/>
          <w:szCs w:val="20"/>
          <w:color w:val="auto"/>
        </w:rPr>
      </w:pPr>
      <w:r>
        <w:rPr>
          <w:rFonts w:ascii="Times New Roman" w:cs="Times New Roman" w:eastAsia="Times New Roman" w:hAnsi="Times New Roman"/>
          <w:sz w:val="17"/>
          <w:szCs w:val="17"/>
          <w:color w:val="auto"/>
        </w:rPr>
        <w:t>The following performance graph and return to stockholders information shown below are provided pursuant to Item 201(e) of Regulation S-K promulgated under the Exchange Act. The graph and information are not deemed to be “filed” under the Exchange Act or otherwise subject to liabilities thereunder, nor are they to be deemed to be incorporated by reference in any filing under the Securities Act or Exchange Act unless we specifically incorporate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37" w:name="page38"/>
    <w:bookmarkEnd w:id="37"/>
    <w:p>
      <w:pPr>
        <w:ind w:right="20" w:firstLine="625"/>
        <w:spacing w:after="0" w:line="293" w:lineRule="auto"/>
        <w:rPr>
          <w:sz w:val="20"/>
          <w:szCs w:val="20"/>
          <w:color w:val="auto"/>
        </w:rPr>
      </w:pPr>
      <w:r>
        <w:rPr>
          <w:rFonts w:ascii="Times New Roman" w:cs="Times New Roman" w:eastAsia="Times New Roman" w:hAnsi="Times New Roman"/>
          <w:sz w:val="17"/>
          <w:szCs w:val="17"/>
          <w:color w:val="auto"/>
        </w:rPr>
        <w:t>The performance graph compares the yearly change in the cumulative total stockholder return on our common stock against the cumulative return of the Russell 3000 Index and the S&amp;P 1500 Apparel, Accessories &amp; Luxury Goods Index for the five fiscal years ended February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1233170</wp:posOffset>
            </wp:positionH>
            <wp:positionV relativeFrom="paragraph">
              <wp:posOffset>121920</wp:posOffset>
            </wp:positionV>
            <wp:extent cx="5080635" cy="3964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80635" cy="3964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Value of $100.00 invested after 5 years:</w:t>
            </w:r>
          </w:p>
        </w:tc>
        <w:tc>
          <w:tcPr>
            <w:tcW w:w="3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7"/>
        </w:trPr>
        <w:tc>
          <w:tcPr>
            <w:tcW w:w="69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Our Common Stock</w:t>
            </w:r>
          </w:p>
        </w:tc>
        <w:tc>
          <w:tcPr>
            <w:tcW w:w="3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73.70</w:t>
            </w:r>
          </w:p>
        </w:tc>
      </w:tr>
      <w:tr>
        <w:trPr>
          <w:trHeight w:val="221"/>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Russell 3000 Index</w:t>
            </w:r>
          </w:p>
        </w:tc>
        <w:tc>
          <w:tcPr>
            <w:tcW w:w="3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189.19</w:t>
            </w:r>
          </w:p>
        </w:tc>
      </w:tr>
      <w:tr>
        <w:trPr>
          <w:trHeight w:val="221"/>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S&amp;P 1500 Apparel, Accessories &amp; Luxury Goods Index</w:t>
            </w:r>
          </w:p>
        </w:tc>
        <w:tc>
          <w:tcPr>
            <w:tcW w:w="3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68.73</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9" w:lineRule="exact"/>
        <w:rPr>
          <w:sz w:val="20"/>
          <w:szCs w:val="20"/>
          <w:color w:val="auto"/>
        </w:rPr>
      </w:pPr>
    </w:p>
    <w:p>
      <w:pPr>
        <w:ind w:right="700" w:firstLine="625"/>
        <w:spacing w:after="0" w:line="293" w:lineRule="auto"/>
        <w:rPr>
          <w:sz w:val="20"/>
          <w:szCs w:val="20"/>
          <w:color w:val="auto"/>
        </w:rPr>
      </w:pPr>
      <w:r>
        <w:rPr>
          <w:rFonts w:ascii="Times New Roman" w:cs="Times New Roman" w:eastAsia="Times New Roman" w:hAnsi="Times New Roman"/>
          <w:sz w:val="17"/>
          <w:szCs w:val="17"/>
          <w:color w:val="auto"/>
        </w:rPr>
        <w:t>The following discussion and analysis is intended to help you understand us, our operations and our financial performance. It should be read in conjunction with our consolidated financial statements and the accompanying notes, which are included elsewhere in this report.</w:t>
      </w:r>
    </w:p>
    <w:p>
      <w:pPr>
        <w:spacing w:after="0" w:line="173" w:lineRule="exact"/>
        <w:rPr>
          <w:sz w:val="20"/>
          <w:szCs w:val="20"/>
          <w:color w:val="auto"/>
        </w:rPr>
      </w:pPr>
    </w:p>
    <w:p>
      <w:pPr>
        <w:ind w:right="140" w:firstLine="625"/>
        <w:spacing w:after="0" w:line="293" w:lineRule="auto"/>
        <w:rPr>
          <w:sz w:val="20"/>
          <w:szCs w:val="20"/>
          <w:color w:val="auto"/>
        </w:rPr>
      </w:pPr>
      <w:r>
        <w:rPr>
          <w:rFonts w:ascii="Times New Roman" w:cs="Times New Roman" w:eastAsia="Times New Roman" w:hAnsi="Times New Roman"/>
          <w:sz w:val="17"/>
          <w:szCs w:val="17"/>
          <w:color w:val="auto"/>
        </w:rPr>
        <w:t>We are one of the largest global apparel companies in the world, with a history going back over 140 years. We have been listed on the New York Stock Exchange for over 100 years.</w:t>
      </w:r>
    </w:p>
    <w:p>
      <w:pPr>
        <w:spacing w:after="0" w:line="147" w:lineRule="exact"/>
        <w:rPr>
          <w:sz w:val="20"/>
          <w:szCs w:val="20"/>
          <w:color w:val="auto"/>
        </w:rPr>
      </w:pPr>
    </w:p>
    <w:p>
      <w:pPr>
        <w:jc w:val="both"/>
        <w:ind w:right="240" w:firstLine="625"/>
        <w:spacing w:after="0" w:line="274" w:lineRule="auto"/>
        <w:rPr>
          <w:sz w:val="20"/>
          <w:szCs w:val="20"/>
          <w:color w:val="auto"/>
        </w:rPr>
      </w:pPr>
      <w:r>
        <w:rPr>
          <w:rFonts w:ascii="Times New Roman" w:cs="Times New Roman" w:eastAsia="Times New Roman" w:hAnsi="Times New Roman"/>
          <w:sz w:val="17"/>
          <w:szCs w:val="17"/>
          <w:color w:val="auto"/>
        </w:rPr>
        <w:t xml:space="preserve">We generated revenue of $9.0 billion, $8.7 billion, and $9.2 billion in 2025, 2024 and 2023 respectively, with over 70% of our revenue in 2025, 2024 and 2023 generated outside of the United States. Our global iconic lifestyle brands,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together generated over 95% of our revenue during each of 2025 and 2024, and over 90% of our revenue during 2023.</w:t>
      </w:r>
    </w:p>
    <w:p>
      <w:pPr>
        <w:spacing w:after="0" w:line="187" w:lineRule="exact"/>
        <w:rPr>
          <w:sz w:val="20"/>
          <w:szCs w:val="20"/>
          <w:color w:val="auto"/>
        </w:rPr>
      </w:pPr>
    </w:p>
    <w:p>
      <w:pPr>
        <w:ind w:right="200" w:firstLine="625"/>
        <w:spacing w:after="0" w:line="296" w:lineRule="auto"/>
        <w:rPr>
          <w:sz w:val="20"/>
          <w:szCs w:val="20"/>
          <w:color w:val="auto"/>
        </w:rPr>
      </w:pPr>
      <w:r>
        <w:rPr>
          <w:rFonts w:ascii="Times New Roman" w:cs="Times New Roman" w:eastAsia="Times New Roman" w:hAnsi="Times New Roman"/>
          <w:sz w:val="17"/>
          <w:szCs w:val="17"/>
          <w:color w:val="auto"/>
        </w:rPr>
        <w:t xml:space="preserve">In addition to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which are owned, we previously owned a portfolio of other brands, which primarily consisted of </w:t>
      </w:r>
      <w:r>
        <w:rPr>
          <w:rFonts w:ascii="Times New Roman" w:cs="Times New Roman" w:eastAsia="Times New Roman" w:hAnsi="Times New Roman"/>
          <w:sz w:val="17"/>
          <w:szCs w:val="17"/>
          <w:i w:val="1"/>
          <w:iCs w:val="1"/>
          <w:color w:val="auto"/>
        </w:rPr>
        <w:t>Warner’s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Olga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True&amp;Co.</w:t>
      </w:r>
      <w:r>
        <w:rPr>
          <w:rFonts w:ascii="Times New Roman" w:cs="Times New Roman" w:eastAsia="Times New Roman" w:hAnsi="Times New Roman"/>
          <w:sz w:val="17"/>
          <w:szCs w:val="17"/>
          <w:color w:val="auto"/>
        </w:rPr>
        <w:t>, which we owned until November 27, 2023. We also license</w:t>
      </w:r>
      <w:r>
        <w:rPr>
          <w:rFonts w:ascii="Times New Roman" w:cs="Times New Roman" w:eastAsia="Times New Roman" w:hAnsi="Times New Roman"/>
          <w:sz w:val="17"/>
          <w:szCs w:val="17"/>
          <w:i w:val="1"/>
          <w:iCs w:val="1"/>
          <w:color w:val="auto"/>
        </w:rPr>
        <w:t xml:space="preserve"> Van Heusen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Nike </w:t>
      </w:r>
      <w:r>
        <w:rPr>
          <w:rFonts w:ascii="Times New Roman" w:cs="Times New Roman" w:eastAsia="Times New Roman" w:hAnsi="Times New Roman"/>
          <w:sz w:val="17"/>
          <w:szCs w:val="17"/>
          <w:color w:val="auto"/>
        </w:rPr>
        <w:t>and other brands for certain product categories.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PVH+ Plan</w:t>
      </w:r>
    </w:p>
    <w:p>
      <w:pPr>
        <w:spacing w:after="0" w:line="249" w:lineRule="exact"/>
        <w:rPr>
          <w:sz w:val="20"/>
          <w:szCs w:val="20"/>
          <w:color w:val="auto"/>
        </w:rPr>
      </w:pPr>
    </w:p>
    <w:p>
      <w:pPr>
        <w:ind w:right="120" w:firstLine="625"/>
        <w:spacing w:after="0" w:line="287" w:lineRule="auto"/>
        <w:rPr>
          <w:sz w:val="20"/>
          <w:szCs w:val="20"/>
          <w:color w:val="auto"/>
        </w:rPr>
      </w:pPr>
      <w:r>
        <w:rPr>
          <w:rFonts w:ascii="Times New Roman" w:cs="Times New Roman" w:eastAsia="Times New Roman" w:hAnsi="Times New Roman"/>
          <w:sz w:val="17"/>
          <w:szCs w:val="17"/>
          <w:color w:val="auto"/>
        </w:rPr>
        <w:t xml:space="preserve">The PVH+ Plan is our multi-year, strategic plan to build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into the most desirable lifestyle brands in the world and make PVH the leading brand building group in our sector. A description of the plan can be seen in Item 1 of this report under the heading “Our Business Strategy.”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Macroeconomic Environment</w:t>
      </w:r>
    </w:p>
    <w:p>
      <w:pPr>
        <w:spacing w:after="0" w:line="251" w:lineRule="exact"/>
        <w:rPr>
          <w:sz w:val="20"/>
          <w:szCs w:val="20"/>
          <w:color w:val="auto"/>
        </w:rPr>
      </w:pPr>
    </w:p>
    <w:p>
      <w:pPr>
        <w:ind w:right="260" w:firstLine="625"/>
        <w:spacing w:after="0" w:line="265" w:lineRule="auto"/>
        <w:rPr>
          <w:sz w:val="20"/>
          <w:szCs w:val="20"/>
          <w:color w:val="auto"/>
        </w:rPr>
      </w:pPr>
      <w:r>
        <w:rPr>
          <w:rFonts w:ascii="Times New Roman" w:cs="Times New Roman" w:eastAsia="Times New Roman" w:hAnsi="Times New Roman"/>
          <w:sz w:val="17"/>
          <w:szCs w:val="17"/>
          <w:color w:val="auto"/>
        </w:rPr>
        <w:t>The conflict in the Middle East, which began in March 2026, has resulted in increased fuel and oil costs, the strengthening of the United States dollar against other currencies, in particular the euro, and volatility in world financial markets. These and other factors may lead to broader macroeconomic implications that could have a significant impact on our business including a decline in consumer spending and inventory availability. The length, scope and intensity of the conflict is unknown. As a result, there is significant uncertainty regarding the extent to which the conflict and its broader macroeconomic implications will impact our business, financial condition and results of operations in 2026.</w:t>
      </w:r>
    </w:p>
    <w:p>
      <w:pPr>
        <w:spacing w:after="0" w:line="196" w:lineRule="exact"/>
        <w:rPr>
          <w:sz w:val="20"/>
          <w:szCs w:val="20"/>
          <w:color w:val="auto"/>
        </w:rPr>
      </w:pPr>
    </w:p>
    <w:p>
      <w:pPr>
        <w:jc w:val="both"/>
        <w:ind w:right="460" w:firstLine="625"/>
        <w:spacing w:after="0" w:line="274" w:lineRule="auto"/>
        <w:rPr>
          <w:sz w:val="20"/>
          <w:szCs w:val="20"/>
          <w:color w:val="auto"/>
        </w:rPr>
      </w:pPr>
      <w:r>
        <w:rPr>
          <w:rFonts w:ascii="Times New Roman" w:cs="Times New Roman" w:eastAsia="Times New Roman" w:hAnsi="Times New Roman"/>
          <w:sz w:val="17"/>
          <w:szCs w:val="17"/>
          <w:color w:val="auto"/>
        </w:rPr>
        <w:t>Inflation and other macroeconomic pressures, such as tariffs (discussed further below), elevated interest rates and the risk of recession, continue to create a complex and challenging retail environment globally, particularly in North America. Macroeconomic factors have had and may continue to have a negative impact on consumer demand for apparel and related products globally.</w:t>
      </w:r>
    </w:p>
    <w:p>
      <w:pPr>
        <w:spacing w:after="0" w:line="189"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Beginning in the first quarter of 2025, the United States government announced additional tariffs on goods imported into the United States, with incremental tariffs on products imported from most countries and economic unions, and the potential for further increases and revisions or terminations to existing trade agreements. In response, some countries and economic unions announced retaliatory tariffs on United States exports and other trade restrictions. In February 2026, the U.S. Supreme Court ruled that many of the tariffs imposed by the U.S. federal government were unconstitutional. In response to that decision, the U.S. President issued an executive order imposing tariffs pursuant to Section 122 of the Trade Act of 1974 for 150 days, effective on February 24, 2026. The outlook on further trade policy actions is unclear, including whether further additional tariffs or other retaliatory actions may be imposed, modified, or suspended. These actions have led to significant volatility and uncertainty in global markets. We continue to analyze the impact of incremental tariffs on our business and are taking steps to mitigate our tariff exposure to the extent possible. Mitigation strategies have included, and may continue to more significantly include further sourcing optimization, negotiations with our vendors, internal efficiencies to drive cost savings, optimizing our discount strategies and pricing actions.</w:t>
      </w:r>
    </w:p>
    <w:p>
      <w:pPr>
        <w:spacing w:after="0" w:line="202" w:lineRule="exact"/>
        <w:rPr>
          <w:sz w:val="20"/>
          <w:szCs w:val="20"/>
          <w:color w:val="auto"/>
        </w:rPr>
      </w:pPr>
    </w:p>
    <w:p>
      <w:pPr>
        <w:ind w:right="380" w:firstLine="625"/>
        <w:spacing w:after="0" w:line="274" w:lineRule="auto"/>
        <w:rPr>
          <w:sz w:val="20"/>
          <w:szCs w:val="20"/>
          <w:color w:val="auto"/>
        </w:rPr>
      </w:pPr>
      <w:r>
        <w:rPr>
          <w:rFonts w:ascii="Times New Roman" w:cs="Times New Roman" w:eastAsia="Times New Roman" w:hAnsi="Times New Roman"/>
          <w:sz w:val="17"/>
          <w:szCs w:val="17"/>
          <w:color w:val="auto"/>
        </w:rPr>
        <w:t>The increased tariffs for goods entering the United States had a net negative impact on our full year 2025 gross profit, including a gross impact of approximately $69 million and a partially offsetting impact from mitigation actions which began in the third quarter and more significantly took effect in the fourth quarter. Our outlook assumes a 15% tariff rate on goods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right="180"/>
        <w:spacing w:after="0" w:line="265" w:lineRule="auto"/>
        <w:rPr>
          <w:sz w:val="20"/>
          <w:szCs w:val="20"/>
          <w:color w:val="auto"/>
        </w:rPr>
      </w:pPr>
      <w:r>
        <w:rPr>
          <w:rFonts w:ascii="Times New Roman" w:cs="Times New Roman" w:eastAsia="Times New Roman" w:hAnsi="Times New Roman"/>
          <w:sz w:val="17"/>
          <w:szCs w:val="17"/>
          <w:color w:val="auto"/>
        </w:rPr>
        <w:t>coming into the U.S. effective February 24, 2026 and assumes that U.S. inventory receipts prior to that include the tariff rates that were in place for each applicable country prior to the Supreme Court ruling. We currently expect an estimated net negative impact on our full year 2026 gross profit, including a gross impact of approximately $195 million and a partially offsetting impact from planned mitigation actions. However, the duration, magnitude and scope of any additional tariffs are difficult to predict, along with the extent (if any) to which we will be able to offset the impact through our mitigation efforts. In addition, there is significant uncertainty as to the amount and timing of tariff refunds, and as such, our outlook does not assume refunds for tariffs previously paid.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Outlook Uncertainty</w:t>
      </w:r>
    </w:p>
    <w:p>
      <w:pPr>
        <w:spacing w:after="0" w:line="251"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There is significant uncertainty with respect to the conflict in the Middle East, global trade policies (including tariffs) and the related impacts of each on the broader macroeconomic environment, as well as the impact of inflation and other macroeconomic factors, and foreign currency volatility. Our 2026 outlook excludes any potential impacts from a prolonged, expanded or more intense conflict in the Middle East and assumes no material worsening of current conditions. Our revenue and earnings in 2026 may be subject to material change as a result of these and other macroeconomic factors.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Operations Overview</w:t>
      </w:r>
    </w:p>
    <w:p>
      <w:pPr>
        <w:spacing w:after="0" w:line="251" w:lineRule="exact"/>
        <w:rPr>
          <w:sz w:val="20"/>
          <w:szCs w:val="20"/>
          <w:color w:val="auto"/>
        </w:rPr>
      </w:pPr>
    </w:p>
    <w:p>
      <w:pPr>
        <w:ind w:right="60" w:firstLine="625"/>
        <w:spacing w:after="0" w:line="261" w:lineRule="auto"/>
        <w:rPr>
          <w:sz w:val="20"/>
          <w:szCs w:val="20"/>
          <w:color w:val="auto"/>
        </w:rPr>
      </w:pPr>
      <w:r>
        <w:rPr>
          <w:rFonts w:ascii="Times New Roman" w:cs="Times New Roman" w:eastAsia="Times New Roman" w:hAnsi="Times New Roman"/>
          <w:sz w:val="17"/>
          <w:szCs w:val="17"/>
          <w:color w:val="auto"/>
        </w:rPr>
        <w:t xml:space="preserve">We generate net sales from (i) the wholesale distribution to traditional retailers (both for stores and digital operations), pure play digital commerce retailers, franchisees, licensees and distributors of branded sportswear (casual apparel), jeanswear, performance apparel, intimate apparel, underwear, swimwear, dress shirts, handbags, accessories, footwear and other related products under owned and licensed trademarks, and (ii) the sale of certain of these products through (a) approximately 1,350 Company-operated free-standing store locations worldwide under our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trademarks, (b) approximately 1,450 Company-operated shop-in-shop/concession locations worldwide under our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trademarks, and (c) digital commerce sites worldwide under our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trademarks. Additionally, we generate revenue from fees for licensing the use of our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trademarks.</w:t>
      </w:r>
    </w:p>
    <w:p>
      <w:pPr>
        <w:spacing w:after="0" w:line="203" w:lineRule="exact"/>
        <w:rPr>
          <w:sz w:val="20"/>
          <w:szCs w:val="20"/>
          <w:color w:val="auto"/>
        </w:rPr>
      </w:pPr>
    </w:p>
    <w:p>
      <w:pPr>
        <w:ind w:right="20" w:firstLine="625"/>
        <w:spacing w:after="0" w:line="261" w:lineRule="auto"/>
        <w:rPr>
          <w:sz w:val="20"/>
          <w:szCs w:val="20"/>
          <w:color w:val="auto"/>
        </w:rPr>
      </w:pPr>
      <w:r>
        <w:rPr>
          <w:rFonts w:ascii="Times New Roman" w:cs="Times New Roman" w:eastAsia="Times New Roman" w:hAnsi="Times New Roman"/>
          <w:sz w:val="17"/>
          <w:szCs w:val="17"/>
          <w:color w:val="auto"/>
        </w:rPr>
        <w:t xml:space="preserve">Effective February 3, 2025, the first day of 2025, we changed our reportable segments to be region-focused to align with changes in our business and organizational structure. We operate our business through the following reportable segments: (i) EMEA, (ii) Americas, (iii) APAC, and (iv) Licensing. Our historical segment results have been recast to reflect the new organizational structure. Our reportable segments include the brand businesses we operate under our </w:t>
      </w:r>
      <w:r>
        <w:rPr>
          <w:rFonts w:ascii="Times New Roman" w:cs="Times New Roman" w:eastAsia="Times New Roman" w:hAnsi="Times New Roman"/>
          <w:sz w:val="17"/>
          <w:szCs w:val="17"/>
          <w:i w:val="1"/>
          <w:iCs w:val="1"/>
          <w:color w:val="auto"/>
        </w:rPr>
        <w:t xml:space="preserve">TOMMY HILFIGER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Calvin Klein </w:t>
      </w:r>
      <w:r>
        <w:rPr>
          <w:rFonts w:ascii="Times New Roman" w:cs="Times New Roman" w:eastAsia="Times New Roman" w:hAnsi="Times New Roman"/>
          <w:sz w:val="17"/>
          <w:szCs w:val="17"/>
          <w:color w:val="auto"/>
        </w:rPr>
        <w:t>trademarks, which we own, and</w:t>
      </w:r>
      <w:r>
        <w:rPr>
          <w:rFonts w:ascii="Times New Roman" w:cs="Times New Roman" w:eastAsia="Times New Roman" w:hAnsi="Times New Roman"/>
          <w:sz w:val="17"/>
          <w:szCs w:val="17"/>
          <w:i w:val="1"/>
          <w:iCs w:val="1"/>
          <w:color w:val="auto"/>
        </w:rPr>
        <w:t xml:space="preserve"> Van Heusen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Nike </w:t>
      </w:r>
      <w:r>
        <w:rPr>
          <w:rFonts w:ascii="Times New Roman" w:cs="Times New Roman" w:eastAsia="Times New Roman" w:hAnsi="Times New Roman"/>
          <w:sz w:val="17"/>
          <w:szCs w:val="17"/>
          <w:color w:val="auto"/>
        </w:rPr>
        <w:t>and other trademarks, which we license for certain product categories.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References to brand names are to registered and common law trademarks owned by us or licensed to us by third parties and identified by italicizing the brand name. Please see Note 20, “Segment Data,” in the Notes to Consolidated Financial Statements included in Item 8 of this report for further discussion of our reportable segments.</w:t>
      </w:r>
    </w:p>
    <w:p>
      <w:pPr>
        <w:spacing w:after="0" w:line="177" w:lineRule="exact"/>
        <w:rPr>
          <w:sz w:val="20"/>
          <w:szCs w:val="20"/>
          <w:color w:val="auto"/>
        </w:rPr>
      </w:pPr>
    </w:p>
    <w:p>
      <w:pPr>
        <w:ind w:right="240" w:firstLine="625"/>
        <w:spacing w:after="0" w:line="293" w:lineRule="auto"/>
        <w:rPr>
          <w:sz w:val="20"/>
          <w:szCs w:val="20"/>
          <w:color w:val="auto"/>
        </w:rPr>
      </w:pPr>
      <w:r>
        <w:rPr>
          <w:rFonts w:ascii="Times New Roman" w:cs="Times New Roman" w:eastAsia="Times New Roman" w:hAnsi="Times New Roman"/>
          <w:sz w:val="17"/>
          <w:szCs w:val="17"/>
          <w:color w:val="auto"/>
        </w:rPr>
        <w:t>The following actions, transactions and events have impacted our results of operations and the comparability among the years, including our full year 2026 expectations, as discussed below:</w:t>
      </w:r>
    </w:p>
    <w:p>
      <w:pPr>
        <w:spacing w:after="0" w:line="173" w:lineRule="exact"/>
        <w:rPr>
          <w:sz w:val="20"/>
          <w:szCs w:val="20"/>
          <w:color w:val="auto"/>
        </w:rPr>
      </w:pPr>
    </w:p>
    <w:p>
      <w:pPr>
        <w:ind w:left="620" w:right="100" w:hanging="304"/>
        <w:spacing w:after="0" w:line="271"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recorded pre-tax noncash goodwill and other intangible asset impairment charges of $480 million in the first quarter of 2025 in conjunction with interim goodwill and other intangible assets impairment tests. The impairments were primarily due to a significant increase in discount rates. Please see Note 7, “Goodwill and Other Intangible Assets,” in the Notes to Consolidated Financial Statements included in Item 8 of this report for further discussion.</w:t>
      </w:r>
    </w:p>
    <w:p>
      <w:pPr>
        <w:spacing w:after="0" w:line="200" w:lineRule="exact"/>
        <w:rPr>
          <w:rFonts w:ascii="Times New Roman" w:cs="Times New Roman" w:eastAsia="Times New Roman" w:hAnsi="Times New Roman"/>
          <w:sz w:val="17"/>
          <w:szCs w:val="17"/>
          <w:color w:val="auto"/>
        </w:rPr>
      </w:pPr>
    </w:p>
    <w:p>
      <w:pPr>
        <w:spacing w:after="0" w:line="204" w:lineRule="exact"/>
        <w:rPr>
          <w:rFonts w:ascii="Times New Roman" w:cs="Times New Roman" w:eastAsia="Times New Roman" w:hAnsi="Times New Roman"/>
          <w:sz w:val="17"/>
          <w:szCs w:val="17"/>
          <w:color w:val="auto"/>
        </w:rPr>
      </w:pPr>
    </w:p>
    <w:p>
      <w:pPr>
        <w:ind w:left="620" w:hanging="304"/>
        <w:spacing w:after="0" w:line="260"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embarked on a multi-year initiative beginning in the second quarter of 2024 to simplify our operating model through the Growth Driver 5 Actions. The initiative has resulted in annualized cost savings of over $200 million, while making targeted investments to drive our strategic initiatives. While the actions to support this initiative were largely completed by the end of 2025, there are certain actions to be completed and additional actions that we plan to take under this initiative, on a limited basis, in 2026. We recorded pre-tax costs of $93 million during 2025 in connection with this initiative consisting principally of severance. We recorded pre-tax costs of $24 million during 2024 in connection with this initiative, including $33 million of costs consisting principally of severance, which were partially offset by a $10 million gain on the sale of a warehouse and distribution center. We expect to incur additional costs in 2026, however the additional costs cannot be quantified at this time. Please see Note 17, “Exit Activity Costs,” in the Notes to Consolidated Financial Statements included in Item 8 of this report for further discussion.</w:t>
      </w:r>
    </w:p>
    <w:p>
      <w:pPr>
        <w:spacing w:after="0" w:line="205" w:lineRule="exact"/>
        <w:rPr>
          <w:rFonts w:ascii="Times New Roman" w:cs="Times New Roman" w:eastAsia="Times New Roman" w:hAnsi="Times New Roman"/>
          <w:sz w:val="17"/>
          <w:szCs w:val="17"/>
          <w:color w:val="auto"/>
        </w:rPr>
      </w:pPr>
    </w:p>
    <w:p>
      <w:pPr>
        <w:ind w:left="620" w:right="360" w:hanging="304"/>
        <w:spacing w:after="0" w:line="293"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amended in September 2024 Mr. Tommy Hilfiger’s employment agreement, pursuant to which we made a cash buyout of a portion of the future payment obligation (the “Mr. Hilfiger amendment”). We recorded pre-tax costs of</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0" w:name="page41"/>
    <w:bookmarkEnd w:id="40"/>
    <w:p>
      <w:pPr>
        <w:ind w:left="620"/>
        <w:spacing w:after="0"/>
        <w:rPr>
          <w:sz w:val="20"/>
          <w:szCs w:val="20"/>
          <w:color w:val="auto"/>
        </w:rPr>
      </w:pPr>
      <w:r>
        <w:rPr>
          <w:rFonts w:ascii="Times New Roman" w:cs="Times New Roman" w:eastAsia="Times New Roman" w:hAnsi="Times New Roman"/>
          <w:sz w:val="17"/>
          <w:szCs w:val="17"/>
          <w:color w:val="auto"/>
        </w:rPr>
        <w:t>$51 million during the third quarter of 2024 in connection with the Mr. Hilfiger amendment.</w:t>
      </w:r>
    </w:p>
    <w:p>
      <w:pPr>
        <w:spacing w:after="0" w:line="245" w:lineRule="exact"/>
        <w:rPr>
          <w:sz w:val="20"/>
          <w:szCs w:val="20"/>
          <w:color w:val="auto"/>
        </w:rPr>
      </w:pPr>
    </w:p>
    <w:p>
      <w:pPr>
        <w:ind w:left="620" w:right="20" w:hanging="304"/>
        <w:spacing w:after="0" w:line="262" w:lineRule="auto"/>
        <w:tabs>
          <w:tab w:leader="none" w:pos="6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completed the sale of our </w:t>
      </w:r>
      <w:r>
        <w:rPr>
          <w:rFonts w:ascii="Times New Roman" w:cs="Times New Roman" w:eastAsia="Times New Roman" w:hAnsi="Times New Roman"/>
          <w:sz w:val="17"/>
          <w:szCs w:val="17"/>
          <w:i w:val="1"/>
          <w:iCs w:val="1"/>
          <w:color w:val="auto"/>
        </w:rPr>
        <w:t>Warner’s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Olga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True&amp;Co.</w:t>
      </w:r>
      <w:r>
        <w:rPr>
          <w:rFonts w:ascii="Times New Roman" w:cs="Times New Roman" w:eastAsia="Times New Roman" w:hAnsi="Times New Roman"/>
          <w:sz w:val="17"/>
          <w:szCs w:val="17"/>
          <w:color w:val="auto"/>
        </w:rPr>
        <w:t xml:space="preserve"> women’s intimates businesses, including net assets with a carrying value of $140 million, to Basic Resources on November 27, 2023 for net proceeds of $156 million. We recorded an aggregate net pre-tax gain of $13 million in the fourth quarter of 2023 in connection with the closing of the transaction, consisting of (i) a gain of $15 million, which represented the excess of the amount of consideration received over the carrying value of the net assets, less costs to sell, partially offset by (ii) $2 million of pre-tax severance and other termination benefits associated with the transaction. We recorded an incremental gain of $10 million in the first quarter of 2024 due to the accelerated realization of the earnout provided for in the agreement with Basic Resources. Please see Note 4, “Divestitures,” in the Notes to Consolidated Financial Statements included in Item 8 of this report for further discussion.</w:t>
      </w:r>
    </w:p>
    <w:p>
      <w:pPr>
        <w:spacing w:after="0" w:line="199" w:lineRule="exact"/>
        <w:rPr>
          <w:rFonts w:ascii="Times New Roman" w:cs="Times New Roman" w:eastAsia="Times New Roman" w:hAnsi="Times New Roman"/>
          <w:sz w:val="17"/>
          <w:szCs w:val="17"/>
          <w:color w:val="auto"/>
        </w:rPr>
      </w:pPr>
    </w:p>
    <w:p>
      <w:pPr>
        <w:ind w:left="620" w:right="120" w:hanging="304"/>
        <w:spacing w:after="0" w:line="263" w:lineRule="auto"/>
        <w:tabs>
          <w:tab w:leader="none" w:pos="6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announced in August 2022 plans to reduce people costs in our global offices by approximately 10% by the end of 2023 to drive efficiencies and enable continued strategic investments to fuel growth, including in digital, supply chain and consumer engagement (the “2022 cost savings initiative”), which has resulted in annual cost savings of over $100 million, net of continued strategic people investments. We recorded pre-tax costs of $61 million during 2023, consisting principally of severance related to additional actions taken in July and September 2023. All costs related to these actions were incurred by the end of 2023. Please see Note 17, “Exit Activity Costs,” in the Notes to Consolidated Financial Statements included in Item 8 of this report for further discussion.</w:t>
      </w:r>
    </w:p>
    <w:p>
      <w:pPr>
        <w:spacing w:after="0" w:line="196" w:lineRule="exact"/>
        <w:rPr>
          <w:sz w:val="20"/>
          <w:szCs w:val="20"/>
          <w:color w:val="auto"/>
        </w:rPr>
      </w:pPr>
    </w:p>
    <w:p>
      <w:pPr>
        <w:ind w:right="60" w:firstLine="625"/>
        <w:spacing w:after="0" w:line="261" w:lineRule="auto"/>
        <w:rPr>
          <w:sz w:val="20"/>
          <w:szCs w:val="20"/>
          <w:color w:val="auto"/>
        </w:rPr>
      </w:pPr>
      <w:r>
        <w:rPr>
          <w:rFonts w:ascii="Times New Roman" w:cs="Times New Roman" w:eastAsia="Times New Roman" w:hAnsi="Times New Roman"/>
          <w:sz w:val="17"/>
          <w:szCs w:val="17"/>
          <w:color w:val="auto"/>
        </w:rPr>
        <w:t xml:space="preserve">We extended in 2022 most of our licensing agreements with G-III for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in the United States and Canada, largely pertaining to the women’s apparel product categories sold at wholesale in North America. These agreements now have staggered expirations through 2026, the first of which occurred at the end of calendar 2023. We have been directly operating a significant portion of the businesses for the previously licensed product categories, and we intend to continue to directly operate a significant portion of these businesses as the license agreements expire, with the remainder being re-licensed to other third parties. The expiration of these licenses and the transition of previously licensed women’s product categories in house did not have a material impact on our revenue and gross margin in 2024 and resulted in a 1% net increase to our revenue and an approximately 50 basis point decline in our gross margin in 2025. In 2026, the transition of previously licensed product categories in house is expected to result in a less than 1% net increase to our revenue and an approximately 50 basis point decline in our gross margin.</w:t>
      </w:r>
    </w:p>
    <w:p>
      <w:pPr>
        <w:spacing w:after="0" w:line="201" w:lineRule="exact"/>
        <w:rPr>
          <w:sz w:val="20"/>
          <w:szCs w:val="20"/>
          <w:color w:val="auto"/>
        </w:rPr>
      </w:pPr>
    </w:p>
    <w:p>
      <w:pPr>
        <w:ind w:right="160" w:firstLine="625"/>
        <w:spacing w:after="0" w:line="265" w:lineRule="auto"/>
        <w:rPr>
          <w:sz w:val="20"/>
          <w:szCs w:val="20"/>
          <w:color w:val="auto"/>
        </w:rPr>
      </w:pPr>
      <w:r>
        <w:rPr>
          <w:rFonts w:ascii="Times New Roman" w:cs="Times New Roman" w:eastAsia="Times New Roman" w:hAnsi="Times New Roman"/>
          <w:sz w:val="17"/>
          <w:szCs w:val="17"/>
          <w:color w:val="auto"/>
        </w:rPr>
        <w:t>Our Tommy Hilfiger and Calvin Klein businesses each have substantial international components that expose us to significant foreign exchange risk. Our results of operations in local foreign currencies are translated into United States dollars using an average exchange rate over the representative period. Accordingly, our results of operations are unfavorably impacted during times of a strengthening United States dollar against the foreign currencies in which we generate significant revenue and earnings and favorably impacted during times of a weakening United States dollar against those currencies. Over 70% of our 2025 revenue was subject to foreign currency translation.</w:t>
      </w:r>
    </w:p>
    <w:p>
      <w:pPr>
        <w:spacing w:after="0" w:line="196"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During 2024 the United States dollar weakened against the euro, which is the foreign currency in which we transact the most business, and then further weakened during 2025. As a result, our 2025 revenue and net income increased by approximately $250 million and $25 million, respectively, as compared to 2024 due to the impact of foreign currency translation. We currently expect our 2026 revenue and net income to increase by approximately $100 million and $15 million, respectively, as compared to 2025 due to the impact of foreign currency translation.</w:t>
      </w:r>
    </w:p>
    <w:p>
      <w:pPr>
        <w:spacing w:after="0" w:line="194" w:lineRule="exact"/>
        <w:rPr>
          <w:sz w:val="20"/>
          <w:szCs w:val="20"/>
          <w:color w:val="auto"/>
        </w:rPr>
      </w:pPr>
    </w:p>
    <w:p>
      <w:pPr>
        <w:ind w:right="40" w:firstLine="625"/>
        <w:spacing w:after="0" w:line="261" w:lineRule="auto"/>
        <w:rPr>
          <w:sz w:val="20"/>
          <w:szCs w:val="20"/>
          <w:color w:val="auto"/>
        </w:rPr>
      </w:pPr>
      <w:r>
        <w:rPr>
          <w:rFonts w:ascii="Times New Roman" w:cs="Times New Roman" w:eastAsia="Times New Roman" w:hAnsi="Times New Roman"/>
          <w:sz w:val="17"/>
          <w:szCs w:val="17"/>
          <w:color w:val="auto"/>
        </w:rPr>
        <w:t>There also is a transactional impact of foreign exchange because we have foreign subsidiaries that purchase inventory in a currency other than their functional currency. We use foreign currency forward contracts to hedge against a portion of the exposure related to this transactional impact. We enter into these contracts up to 15 months in advance for a portion of the projected inventory purchases and may enter into incremental contracts leading up to the time the inventory purchases occur. The impact of foreign currency fluctuations on the cost of inventory purchases covered by these contracts is then realized in our results of operations as the underlying inventory hedged by the contracts is sold. The transactional impact of foreign currency on our 2025 gross margin as compared to 2024 was immaterial. The transactional impact of foreign currency on our 2026 gross margin as compared to 2025 is expected to be favorable by approximately 50 basis points.</w:t>
      </w:r>
    </w:p>
    <w:p>
      <w:pPr>
        <w:spacing w:after="0" w:line="203"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We also have exposure to changes in foreign currency exchange rates related to our €1.125 billion aggregate principal amount of senior notes that are held in the United States. The strengthening of the United States dollar against the euro would require us to use a lower amount of our cash flows from operations to pay interest and make long-term debt repayments, whereas the weakening of the United States dollar against the euro would require us to use a greater amount of our cash flows from operations to pay interest and make long-term debt repayments. We designated the par value of these senior notes issued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41" w:name="page42"/>
    <w:bookmarkEnd w:id="41"/>
    <w:p>
      <w:pPr>
        <w:ind w:right="80"/>
        <w:spacing w:after="0" w:line="260" w:lineRule="auto"/>
        <w:rPr>
          <w:sz w:val="20"/>
          <w:szCs w:val="20"/>
          <w:color w:val="auto"/>
        </w:rPr>
      </w:pPr>
      <w:r>
        <w:rPr>
          <w:rFonts w:ascii="Times New Roman" w:cs="Times New Roman" w:eastAsia="Times New Roman" w:hAnsi="Times New Roman"/>
          <w:sz w:val="17"/>
          <w:szCs w:val="17"/>
          <w:color w:val="auto"/>
        </w:rPr>
        <w:t>by PVH Corp., a U.S.-based entity, as net investment hedges of our investments in certain of our foreign subsidiaries that use the euro as their functional currency. In addition, we entered into multiple fixed-to-fixed cross-currency swap contracts in 2023, with a maturity date of July 2025, which, in aggregate, economically converted our $500 million principal amount of 4 5/8% senior notes due July 2025 from a United States dollar-denominated obligation to a euro-denominated obligation of €457 million. In July 2025, we completed a transaction to effectively blend and extend those cross-currency swaps with new fixed-to-fixed cross-currency swap contracts maturing in July 2027 and July 2028. We also designated these cross-currency swap contracts as net investment hedges of our investments in certain of our foreign subsidiaries that use the euro as their functional currency. As a result, the remeasurement of these foreign currency borrowings and cross-currency swaps at the end of each period is recorded in equity. Please see Note 10, “Derivative Financial Instruments,” in the Notes to Consolidated Financial Statements included in Item 8 of this report for further discussion.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Investigation by China’s Ministry of Commerce</w:t>
      </w:r>
    </w:p>
    <w:p>
      <w:pPr>
        <w:spacing w:after="0" w:line="251" w:lineRule="exact"/>
        <w:rPr>
          <w:sz w:val="20"/>
          <w:szCs w:val="20"/>
          <w:color w:val="auto"/>
        </w:rPr>
      </w:pPr>
    </w:p>
    <w:p>
      <w:pPr>
        <w:ind w:right="160" w:firstLine="625"/>
        <w:spacing w:after="0" w:line="261" w:lineRule="auto"/>
        <w:rPr>
          <w:sz w:val="20"/>
          <w:szCs w:val="20"/>
          <w:color w:val="auto"/>
        </w:rPr>
      </w:pPr>
      <w:r>
        <w:rPr>
          <w:rFonts w:ascii="Times New Roman" w:cs="Times New Roman" w:eastAsia="Times New Roman" w:hAnsi="Times New Roman"/>
          <w:sz w:val="17"/>
          <w:szCs w:val="17"/>
          <w:color w:val="212121"/>
        </w:rPr>
        <w:t xml:space="preserve">In September 2024, MOFCOM announced that it had initiated an investigation into our business under the </w:t>
      </w:r>
      <w:r>
        <w:rPr>
          <w:rFonts w:ascii="Times New Roman" w:cs="Times New Roman" w:eastAsia="Times New Roman" w:hAnsi="Times New Roman"/>
          <w:sz w:val="17"/>
          <w:szCs w:val="17"/>
          <w:color w:val="000000"/>
        </w:rPr>
        <w:t>UEL Provisions</w:t>
      </w:r>
      <w:r>
        <w:rPr>
          <w:rFonts w:ascii="Times New Roman" w:cs="Times New Roman" w:eastAsia="Times New Roman" w:hAnsi="Times New Roman"/>
          <w:sz w:val="17"/>
          <w:szCs w:val="17"/>
          <w:color w:val="212121"/>
        </w:rPr>
        <w:t>. In October 2024, we submitted a written response to MOFCOM and, in December 2024, we submitted a supplemental response. In January 2025, MOFCOM issued a preliminary finding that PVH Corp. had violated normal market trading principles and in February 2025, it announced its determination and placed PVH Corp. on the UEL. We do not know if or when MOFCOM will implement any measures as a result of the listing or what they will be if any are imposed. Approximately 6</w:t>
      </w:r>
      <w:r>
        <w:rPr>
          <w:rFonts w:ascii="Times New Roman" w:cs="Times New Roman" w:eastAsia="Times New Roman" w:hAnsi="Times New Roman"/>
          <w:sz w:val="17"/>
          <w:szCs w:val="17"/>
          <w:color w:val="000000"/>
        </w:rPr>
        <w:t>% and</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 xml:space="preserve">20% of our revenue and income before interest and taxes (excluding goodwill and other intangible asset impairment charges recorded in 2025), respectively, were generated in China in each of 2024 and 2025. Furthermore, if, as a result of any such measures, it is necessary for us to cease certain or all operations in China, it may result in charges related to excess inventory and difficulty collecting trade receivables, among other things. We may also incur material non-cash impairment charges if we are unable to recover the carrying value of our indefinite-lived intangible assets and long-lived assets. </w:t>
      </w:r>
      <w:r>
        <w:rPr>
          <w:rFonts w:ascii="Times New Roman" w:cs="Times New Roman" w:eastAsia="Times New Roman" w:hAnsi="Times New Roman"/>
          <w:sz w:val="17"/>
          <w:szCs w:val="17"/>
          <w:color w:val="212121"/>
        </w:rPr>
        <w:t>Please see our risk factor “</w:t>
      </w:r>
      <w:r>
        <w:rPr>
          <w:rFonts w:ascii="Times New Roman" w:cs="Times New Roman" w:eastAsia="Times New Roman" w:hAnsi="Times New Roman"/>
          <w:sz w:val="17"/>
          <w:szCs w:val="17"/>
          <w:i w:val="1"/>
          <w:iCs w:val="1"/>
          <w:color w:val="auto"/>
        </w:rPr>
        <w:t>China’s Ministry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Commerce (“MOFCOM”) conducted an investigation into our business which resulted in PVH Corp. being placed on the List of Unreliable Entities (“UEL”) and could result in fines or restrictions on our ability to do business in China, which could have a material adverse effect on our revenue and results of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212121"/>
        </w:rPr>
        <w:t>in Part I, Item 1A. Risk Factors of this report for additional information.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consolidated statements of operations in 2025, 2024 and 2023:</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7"/>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(Dollars in millions)</w:t>
            </w: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2023</w:t>
            </w:r>
          </w:p>
        </w:tc>
      </w:tr>
      <w:tr>
        <w:trPr>
          <w:trHeight w:val="214"/>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Revenue</w:t>
            </w:r>
          </w:p>
        </w:tc>
        <w:tc>
          <w:tcPr>
            <w:tcW w:w="4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8,950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8,653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9,218</w:t>
            </w:r>
          </w:p>
        </w:tc>
      </w:tr>
      <w:tr>
        <w:trPr>
          <w:trHeight w:val="221"/>
        </w:trPr>
        <w:tc>
          <w:tcPr>
            <w:tcW w:w="7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Gross profit</w:t>
            </w:r>
          </w:p>
        </w:tc>
        <w:tc>
          <w:tcPr>
            <w:tcW w:w="46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5,149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5,143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5,363</w:t>
            </w:r>
          </w:p>
        </w:tc>
      </w:tr>
      <w:tr>
        <w:trPr>
          <w:trHeight w:val="221"/>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i w:val="1"/>
                <w:iCs w:val="1"/>
                <w:color w:val="auto"/>
              </w:rPr>
              <w:t>% of total revenue</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57.5 %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59.4 %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58.2 %</w:t>
            </w:r>
          </w:p>
        </w:tc>
      </w:tr>
      <w:tr>
        <w:trPr>
          <w:trHeight w:val="221"/>
        </w:trPr>
        <w:tc>
          <w:tcPr>
            <w:tcW w:w="7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SG&amp;A expenses</w:t>
            </w:r>
          </w:p>
        </w:tc>
        <w:tc>
          <w:tcPr>
            <w:tcW w:w="46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4,492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4,411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4,543</w:t>
            </w:r>
          </w:p>
        </w:tc>
      </w:tr>
      <w:tr>
        <w:trPr>
          <w:trHeight w:val="221"/>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i w:val="1"/>
                <w:iCs w:val="1"/>
                <w:color w:val="auto"/>
              </w:rPr>
              <w:t>% of total revenue</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50.2 %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51.0 %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49.3 %</w:t>
            </w:r>
          </w:p>
        </w:tc>
      </w:tr>
      <w:tr>
        <w:trPr>
          <w:trHeight w:val="221"/>
        </w:trPr>
        <w:tc>
          <w:tcPr>
            <w:tcW w:w="7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Goodwill and other intangible asset impairments</w:t>
            </w:r>
          </w:p>
        </w:tc>
        <w:tc>
          <w:tcPr>
            <w:tcW w:w="460" w:type="dxa"/>
            <w:vAlign w:val="bottom"/>
          </w:tcPr>
          <w:p>
            <w:pPr>
              <w:spacing w:after="0"/>
              <w:rPr>
                <w:sz w:val="19"/>
                <w:szCs w:val="19"/>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Non-service related pension and postretirement income (cost)</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47</w:t>
            </w:r>
          </w:p>
        </w:tc>
      </w:tr>
      <w:tr>
        <w:trPr>
          <w:trHeight w:val="221"/>
        </w:trPr>
        <w:tc>
          <w:tcPr>
            <w:tcW w:w="7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gain</w:t>
            </w:r>
          </w:p>
        </w:tc>
        <w:tc>
          <w:tcPr>
            <w:tcW w:w="46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15</w:t>
            </w:r>
          </w:p>
        </w:tc>
      </w:tr>
      <w:tr>
        <w:trPr>
          <w:trHeight w:val="221"/>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Equity in net income of unconsolidated affiliates</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46</w:t>
            </w:r>
          </w:p>
        </w:tc>
      </w:tr>
      <w:tr>
        <w:trPr>
          <w:trHeight w:val="214"/>
        </w:trPr>
        <w:tc>
          <w:tcPr>
            <w:tcW w:w="7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Income before interest and taxes</w:t>
            </w:r>
          </w:p>
        </w:tc>
        <w:tc>
          <w:tcPr>
            <w:tcW w:w="46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929</w:t>
            </w:r>
          </w:p>
        </w:tc>
      </w:tr>
      <w:tr>
        <w:trPr>
          <w:trHeight w:val="221"/>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99</w:t>
            </w:r>
          </w:p>
        </w:tc>
      </w:tr>
      <w:tr>
        <w:trPr>
          <w:trHeight w:val="221"/>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11</w:t>
            </w:r>
          </w:p>
        </w:tc>
      </w:tr>
      <w:tr>
        <w:trPr>
          <w:trHeight w:val="214"/>
        </w:trPr>
        <w:tc>
          <w:tcPr>
            <w:tcW w:w="7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Income before taxes</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706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841</w:t>
            </w:r>
          </w:p>
        </w:tc>
      </w:tr>
      <w:tr>
        <w:trPr>
          <w:trHeight w:val="221"/>
        </w:trPr>
        <w:tc>
          <w:tcPr>
            <w:tcW w:w="7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Income tax expense</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177</w:t>
            </w:r>
          </w:p>
        </w:tc>
      </w:tr>
      <w:tr>
        <w:trPr>
          <w:trHeight w:val="239"/>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income</w:t>
            </w: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599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664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Fiscal 2025 Compared to Fiscal 2024</w:t>
      </w:r>
    </w:p>
    <w:p>
      <w:pPr>
        <w:spacing w:after="0" w:line="247" w:lineRule="exact"/>
        <w:rPr>
          <w:sz w:val="20"/>
          <w:szCs w:val="20"/>
          <w:color w:val="auto"/>
        </w:rPr>
      </w:pPr>
    </w:p>
    <w:p>
      <w:pPr>
        <w:ind w:right="660" w:firstLine="625"/>
        <w:spacing w:after="0" w:line="293" w:lineRule="auto"/>
        <w:rPr>
          <w:sz w:val="20"/>
          <w:szCs w:val="20"/>
          <w:color w:val="auto"/>
        </w:rPr>
      </w:pPr>
      <w:r>
        <w:rPr>
          <w:rFonts w:ascii="Times New Roman" w:cs="Times New Roman" w:eastAsia="Times New Roman" w:hAnsi="Times New Roman"/>
          <w:sz w:val="17"/>
          <w:szCs w:val="17"/>
          <w:color w:val="auto"/>
        </w:rPr>
        <w:t>Total revenue in 2025 was $8.950 billion compared to $8.653 billion in 2024. The overall increase in revenue was $297 million, or 3%, in 2025 compared to 2024, including a positive impact of $251 million or 3% related to foreign currency translation.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i w:val="1"/>
          <w:iCs w:val="1"/>
          <w:color w:val="auto"/>
        </w:rPr>
        <w:t>Revenue by Segment</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jc w:val="both"/>
        <w:ind w:left="620" w:right="360" w:hanging="304"/>
        <w:spacing w:after="0" w:line="275" w:lineRule="auto"/>
        <w:tabs>
          <w:tab w:leader="none" w:pos="6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EMEA – </w:t>
      </w:r>
      <w:r>
        <w:rPr>
          <w:rFonts w:ascii="Times New Roman" w:cs="Times New Roman" w:eastAsia="Times New Roman" w:hAnsi="Times New Roman"/>
          <w:sz w:val="17"/>
          <w:szCs w:val="17"/>
          <w:color w:val="auto"/>
        </w:rPr>
        <w:t>Revenue increased $210 million, or 5%, compared to 2024, including a positive impact of $249 million, or 6%, related to foreign currency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translation. Excluding the impact of foreign currency translation, the decrease in revenue was driven by declines in both the direct-to-consumer and wholesale businesses.</w:t>
      </w:r>
    </w:p>
    <w:p>
      <w:pPr>
        <w:spacing w:after="0" w:line="186" w:lineRule="exact"/>
        <w:rPr>
          <w:rFonts w:ascii="Times New Roman" w:cs="Times New Roman" w:eastAsia="Times New Roman" w:hAnsi="Times New Roman"/>
          <w:sz w:val="17"/>
          <w:szCs w:val="17"/>
          <w:color w:val="auto"/>
        </w:rPr>
      </w:pPr>
    </w:p>
    <w:p>
      <w:pPr>
        <w:jc w:val="both"/>
        <w:ind w:left="620" w:right="160" w:hanging="304"/>
        <w:spacing w:after="0" w:line="275" w:lineRule="auto"/>
        <w:tabs>
          <w:tab w:leader="none" w:pos="615"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7"/>
          <w:szCs w:val="17"/>
          <w:i w:val="1"/>
          <w:iCs w:val="1"/>
          <w:color w:val="auto"/>
        </w:rPr>
        <w:t xml:space="preserve">Americas – </w:t>
      </w:r>
      <w:r>
        <w:rPr>
          <w:rFonts w:ascii="Times New Roman" w:cs="Times New Roman" w:eastAsia="Times New Roman" w:hAnsi="Times New Roman"/>
          <w:sz w:val="17"/>
          <w:szCs w:val="17"/>
          <w:color w:val="auto"/>
        </w:rPr>
        <w:t>Revenue increased $154 million, or 6%, compared to 2024, driven by growth in the wholesale business partially offset by a decrease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direct-to-consumer business. The increase in wholesale revenue included the transition to in-house of previously licensed women’s product categories. The impact of foreign currency translation on our Americas segment was not significant.</w:t>
      </w:r>
    </w:p>
    <w:p>
      <w:pPr>
        <w:spacing w:after="0" w:line="185" w:lineRule="exact"/>
        <w:rPr>
          <w:rFonts w:ascii="Arial" w:cs="Arial" w:eastAsia="Arial" w:hAnsi="Arial"/>
          <w:sz w:val="17"/>
          <w:szCs w:val="17"/>
          <w:color w:val="auto"/>
        </w:rPr>
      </w:pPr>
    </w:p>
    <w:p>
      <w:pPr>
        <w:jc w:val="both"/>
        <w:ind w:left="620" w:right="400" w:hanging="304"/>
        <w:spacing w:after="0" w:line="275" w:lineRule="auto"/>
        <w:tabs>
          <w:tab w:leader="none" w:pos="6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APAC – </w:t>
      </w:r>
      <w:r>
        <w:rPr>
          <w:rFonts w:ascii="Times New Roman" w:cs="Times New Roman" w:eastAsia="Times New Roman" w:hAnsi="Times New Roman"/>
          <w:sz w:val="17"/>
          <w:szCs w:val="17"/>
          <w:color w:val="auto"/>
        </w:rPr>
        <w:t>Revenue decreased $60 million, or 4%, compared to 2024, including an approximately 2% decline resulting from the timing of Lunar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which occurred in the first and fourth quarters of 2024 but did not occur at all in 2025. The decrease in revenue reflected declines in both the direct-to-consumer and wholesale businesses. The impact of foreign currency translation on our APAC segment was not significant.</w:t>
      </w:r>
    </w:p>
    <w:p>
      <w:pPr>
        <w:spacing w:after="0" w:line="18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Licensing – </w:t>
      </w:r>
      <w:r>
        <w:rPr>
          <w:rFonts w:ascii="Times New Roman" w:cs="Times New Roman" w:eastAsia="Times New Roman" w:hAnsi="Times New Roman"/>
          <w:sz w:val="17"/>
          <w:szCs w:val="17"/>
          <w:color w:val="auto"/>
        </w:rPr>
        <w:t>Revenue decreased $7 million, or 2%, compared to 2024.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by Brand</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left="620" w:hanging="304"/>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Tommy Hilfiger – </w:t>
      </w:r>
      <w:r>
        <w:rPr>
          <w:rFonts w:ascii="Times New Roman" w:cs="Times New Roman" w:eastAsia="Times New Roman" w:hAnsi="Times New Roman"/>
          <w:sz w:val="17"/>
          <w:szCs w:val="17"/>
          <w:color w:val="auto"/>
        </w:rPr>
        <w:t>Revenue increased 4% compared to 2024, including a 3% positive foreign currency impact.</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Calvin Klein – </w:t>
      </w:r>
      <w:r>
        <w:rPr>
          <w:rFonts w:ascii="Times New Roman" w:cs="Times New Roman" w:eastAsia="Times New Roman" w:hAnsi="Times New Roman"/>
          <w:sz w:val="17"/>
          <w:szCs w:val="17"/>
          <w:color w:val="auto"/>
        </w:rPr>
        <w:t>Revenue increased 3% compared to 2024, including a 2% positive foreign currency impact.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by Channel:</w:t>
      </w:r>
    </w:p>
    <w:p>
      <w:pPr>
        <w:spacing w:after="0" w:line="247" w:lineRule="exact"/>
        <w:rPr>
          <w:sz w:val="20"/>
          <w:szCs w:val="20"/>
          <w:color w:val="auto"/>
        </w:rPr>
      </w:pPr>
    </w:p>
    <w:p>
      <w:pPr>
        <w:ind w:left="620" w:hanging="304"/>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Direct-to-consumer – </w:t>
      </w:r>
      <w:r>
        <w:rPr>
          <w:rFonts w:ascii="Times New Roman" w:cs="Times New Roman" w:eastAsia="Times New Roman" w:hAnsi="Times New Roman"/>
          <w:sz w:val="17"/>
          <w:szCs w:val="17"/>
          <w:color w:val="auto"/>
        </w:rPr>
        <w:t>Revenue increased 1% compared to 2024, including a 3% positive foreign currency impact.</w:t>
      </w:r>
    </w:p>
    <w:p>
      <w:pPr>
        <w:spacing w:after="0" w:line="33" w:lineRule="exact"/>
        <w:rPr>
          <w:rFonts w:ascii="Times New Roman" w:cs="Times New Roman" w:eastAsia="Times New Roman" w:hAnsi="Times New Roman"/>
          <w:sz w:val="17"/>
          <w:szCs w:val="17"/>
          <w:color w:val="auto"/>
        </w:rPr>
      </w:pPr>
    </w:p>
    <w:p>
      <w:pPr>
        <w:ind w:left="1260" w:hanging="319"/>
        <w:spacing w:after="0" w:line="255" w:lineRule="auto"/>
        <w:tabs>
          <w:tab w:leader="none" w:pos="1256"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Owned and operated retail stores – </w:t>
      </w:r>
      <w:r>
        <w:rPr>
          <w:rFonts w:ascii="Times New Roman" w:cs="Times New Roman" w:eastAsia="Times New Roman" w:hAnsi="Times New Roman"/>
          <w:sz w:val="17"/>
          <w:szCs w:val="17"/>
          <w:color w:val="auto"/>
        </w:rPr>
        <w:t>Revenue was flat compared to 2024, including a 3% positive foreign currency impact. Excluding the impact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foreign currency translation, revenue declined in Americas and APAC, with EMEA revenue flat compared to the prior year period.</w:t>
      </w:r>
    </w:p>
    <w:p>
      <w:pPr>
        <w:ind w:left="1260" w:hanging="319"/>
        <w:spacing w:after="0" w:line="271" w:lineRule="auto"/>
        <w:tabs>
          <w:tab w:leader="none" w:pos="1256"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Owned and operated digital commerce – </w:t>
      </w:r>
      <w:r>
        <w:rPr>
          <w:rFonts w:ascii="Times New Roman" w:cs="Times New Roman" w:eastAsia="Times New Roman" w:hAnsi="Times New Roman"/>
          <w:sz w:val="17"/>
          <w:szCs w:val="17"/>
          <w:color w:val="auto"/>
        </w:rPr>
        <w:t>Revenue increased 4% compared to 2024, including a 3% positive foreign currency impact. Excluding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impact of foreign currency translation, growth in Americas and APAC was partially offset by a decline in EMEA.</w:t>
      </w:r>
    </w:p>
    <w:p>
      <w:pPr>
        <w:spacing w:after="0" w:line="188" w:lineRule="exact"/>
        <w:rPr>
          <w:rFonts w:ascii="Times New Roman" w:cs="Times New Roman" w:eastAsia="Times New Roman" w:hAnsi="Times New Roman"/>
          <w:sz w:val="17"/>
          <w:szCs w:val="17"/>
          <w:color w:val="auto"/>
        </w:rPr>
      </w:pPr>
    </w:p>
    <w:p>
      <w:pPr>
        <w:ind w:left="620" w:right="460" w:hanging="304"/>
        <w:spacing w:after="0" w:line="296" w:lineRule="auto"/>
        <w:tabs>
          <w:tab w:leader="none" w:pos="615" w:val="left"/>
        </w:tabs>
        <w:numPr>
          <w:ilvl w:val="0"/>
          <w:numId w:val="2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Wholesale – </w:t>
      </w:r>
      <w:r>
        <w:rPr>
          <w:rFonts w:ascii="Times New Roman" w:cs="Times New Roman" w:eastAsia="Times New Roman" w:hAnsi="Times New Roman"/>
          <w:sz w:val="17"/>
          <w:szCs w:val="17"/>
          <w:color w:val="auto"/>
        </w:rPr>
        <w:t>Revenue increased 7% compared to 2024, including a 3% positive foreign currency impact. Excluding the impact of foreign currency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translation, revenue growth in Americas was partially offset by the decreases in APAC and EMEA.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Fiscal 2024 Compared to Fiscal 2023</w:t>
      </w:r>
    </w:p>
    <w:p>
      <w:pPr>
        <w:spacing w:after="0" w:line="247" w:lineRule="exact"/>
        <w:rPr>
          <w:sz w:val="20"/>
          <w:szCs w:val="20"/>
          <w:color w:val="auto"/>
        </w:rPr>
      </w:pPr>
    </w:p>
    <w:p>
      <w:pPr>
        <w:ind w:right="180" w:firstLine="625"/>
        <w:spacing w:after="0" w:line="274" w:lineRule="auto"/>
        <w:rPr>
          <w:sz w:val="20"/>
          <w:szCs w:val="20"/>
          <w:color w:val="auto"/>
        </w:rPr>
      </w:pPr>
      <w:r>
        <w:rPr>
          <w:rFonts w:ascii="Times New Roman" w:cs="Times New Roman" w:eastAsia="Times New Roman" w:hAnsi="Times New Roman"/>
          <w:sz w:val="17"/>
          <w:szCs w:val="17"/>
          <w:color w:val="auto"/>
        </w:rPr>
        <w:t>Total revenue in 2024 was $8.653 billion compared to $9.218 billion in 2023. The decrease in revenue of $565 million, or 6%, in 2024 compared to 2023 included (i) a 2% decline due to the Heritage Brands intimates transaction, (ii) a 1% decline from the 53rd week in 2023 and (iii) a 1% negative impact of foreign currency translation.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by Segment</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left="620" w:right="20" w:hanging="304"/>
        <w:spacing w:after="0" w:line="275" w:lineRule="auto"/>
        <w:tabs>
          <w:tab w:leader="none" w:pos="6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EMEA – </w:t>
      </w:r>
      <w:r>
        <w:rPr>
          <w:rFonts w:ascii="Times New Roman" w:cs="Times New Roman" w:eastAsia="Times New Roman" w:hAnsi="Times New Roman"/>
          <w:sz w:val="17"/>
          <w:szCs w:val="17"/>
          <w:color w:val="auto"/>
        </w:rPr>
        <w:t>Revenue decreased $253 million, or 6%, in 2024 compared to 2023, including a negative impact of $23 million, or 1%, related to foreign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currency translation. Excluding the impact of foreign currency translation, the decrease in revenue was driven by declines in both the direct-to-consumer and wholesale businesses, primarily due to a planned strategic reduction of sales in EMEA to drive overall higher quality of sales in the region.</w:t>
      </w:r>
    </w:p>
    <w:p>
      <w:pPr>
        <w:spacing w:after="0" w:line="186" w:lineRule="exact"/>
        <w:rPr>
          <w:rFonts w:ascii="Times New Roman" w:cs="Times New Roman" w:eastAsia="Times New Roman" w:hAnsi="Times New Roman"/>
          <w:sz w:val="17"/>
          <w:szCs w:val="17"/>
          <w:color w:val="auto"/>
        </w:rPr>
      </w:pPr>
    </w:p>
    <w:p>
      <w:pPr>
        <w:ind w:left="620" w:right="180" w:hanging="304"/>
        <w:spacing w:after="0" w:line="275" w:lineRule="auto"/>
        <w:tabs>
          <w:tab w:leader="none" w:pos="615" w:val="left"/>
        </w:tabs>
        <w:numPr>
          <w:ilvl w:val="0"/>
          <w:numId w:val="28"/>
        </w:numPr>
        <w:rPr>
          <w:rFonts w:ascii="Arial" w:cs="Arial" w:eastAsia="Arial" w:hAnsi="Arial"/>
          <w:sz w:val="17"/>
          <w:szCs w:val="17"/>
          <w:color w:val="auto"/>
        </w:rPr>
      </w:pPr>
      <w:r>
        <w:rPr>
          <w:rFonts w:ascii="Times New Roman" w:cs="Times New Roman" w:eastAsia="Times New Roman" w:hAnsi="Times New Roman"/>
          <w:sz w:val="17"/>
          <w:szCs w:val="17"/>
          <w:i w:val="1"/>
          <w:iCs w:val="1"/>
          <w:color w:val="auto"/>
        </w:rPr>
        <w:t xml:space="preserve">Americas – </w:t>
      </w:r>
      <w:r>
        <w:rPr>
          <w:rFonts w:ascii="Times New Roman" w:cs="Times New Roman" w:eastAsia="Times New Roman" w:hAnsi="Times New Roman"/>
          <w:sz w:val="17"/>
          <w:szCs w:val="17"/>
          <w:color w:val="auto"/>
        </w:rPr>
        <w:t>Revenue decreased $270 million, or 9%, in 2024 compared to 2023, driven by declines in both the direct-to-consumer and wholesale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businesses. The decrease in wholesale revenue was driven by a 15% reduction resulting from the Heritage Brands intimates transaction. The impact of foreign currency translation on our Americas segment was not significant.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620" w:right="360" w:hanging="304"/>
        <w:spacing w:after="0" w:line="275" w:lineRule="auto"/>
        <w:tabs>
          <w:tab w:leader="none" w:pos="6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APAC – </w:t>
      </w:r>
      <w:r>
        <w:rPr>
          <w:rFonts w:ascii="Times New Roman" w:cs="Times New Roman" w:eastAsia="Times New Roman" w:hAnsi="Times New Roman"/>
          <w:sz w:val="17"/>
          <w:szCs w:val="17"/>
          <w:color w:val="auto"/>
        </w:rPr>
        <w:t>Revenue decreased $27 million, or 2%, in 2024 compared to 2023, including a negative impact of $35 million, or 2%, related to foreign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currency translation. Excluding the impact of foreign currency translation, an increase in revenue in the direct-to-consumer business was offset by a decrease in wholesale revenue.</w:t>
      </w:r>
    </w:p>
    <w:p>
      <w:pPr>
        <w:spacing w:after="0" w:line="18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Licensing – </w:t>
      </w:r>
      <w:r>
        <w:rPr>
          <w:rFonts w:ascii="Times New Roman" w:cs="Times New Roman" w:eastAsia="Times New Roman" w:hAnsi="Times New Roman"/>
          <w:sz w:val="17"/>
          <w:szCs w:val="17"/>
          <w:color w:val="auto"/>
        </w:rPr>
        <w:t>Revenue decreased $15 million, or 3% in 2024, compared to 2023.</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by Brand</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jc w:val="both"/>
        <w:ind w:left="620" w:right="300" w:hanging="304"/>
        <w:spacing w:after="0" w:line="275" w:lineRule="auto"/>
        <w:tabs>
          <w:tab w:leader="none" w:pos="61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Tommy Hilfiger – </w:t>
      </w:r>
      <w:r>
        <w:rPr>
          <w:rFonts w:ascii="Times New Roman" w:cs="Times New Roman" w:eastAsia="Times New Roman" w:hAnsi="Times New Roman"/>
          <w:sz w:val="17"/>
          <w:szCs w:val="17"/>
          <w:color w:val="auto"/>
        </w:rPr>
        <w:t>Revenue decreased 5% in 2024 compared to 2023, including a 1% negative foreign currency impact. The decrease in revenue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driven by a revenue decline in Europe, including our planned strategic reduction to drive overall higher quality of sales in the region, which weighed more heavily on Tommy Hilfiger revenue given the size of the business in Europe.</w:t>
      </w:r>
    </w:p>
    <w:p>
      <w:pPr>
        <w:spacing w:after="0" w:line="18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Calvin Klein – </w:t>
      </w:r>
      <w:r>
        <w:rPr>
          <w:rFonts w:ascii="Times New Roman" w:cs="Times New Roman" w:eastAsia="Times New Roman" w:hAnsi="Times New Roman"/>
          <w:sz w:val="17"/>
          <w:szCs w:val="17"/>
          <w:color w:val="auto"/>
        </w:rPr>
        <w:t>Revenue decreased 1% in 2024 compared to 2023, including a 1% negative foreign currency impact.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by Channel:</w:t>
      </w:r>
    </w:p>
    <w:p>
      <w:pPr>
        <w:spacing w:after="0" w:line="247" w:lineRule="exact"/>
        <w:rPr>
          <w:sz w:val="20"/>
          <w:szCs w:val="20"/>
          <w:color w:val="auto"/>
        </w:rPr>
      </w:pPr>
    </w:p>
    <w:p>
      <w:pPr>
        <w:ind w:left="620" w:right="100" w:hanging="304"/>
        <w:spacing w:after="0" w:line="268" w:lineRule="auto"/>
        <w:tabs>
          <w:tab w:leader="none" w:pos="61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Direct-to-consumer – </w:t>
      </w:r>
      <w:r>
        <w:rPr>
          <w:rFonts w:ascii="Times New Roman" w:cs="Times New Roman" w:eastAsia="Times New Roman" w:hAnsi="Times New Roman"/>
          <w:sz w:val="17"/>
          <w:szCs w:val="17"/>
          <w:color w:val="auto"/>
        </w:rPr>
        <w:t>Revenue decreased 2% in 2024 compared to 2023, including a 1% decline from the 53rd week in 2023 and a 1% negative foreign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currency impact.</w:t>
      </w:r>
    </w:p>
    <w:p>
      <w:pPr>
        <w:ind w:left="1260" w:right="500" w:hanging="319"/>
        <w:spacing w:after="0" w:line="254" w:lineRule="auto"/>
        <w:tabs>
          <w:tab w:leader="none" w:pos="1257" w:val="left"/>
        </w:tabs>
        <w:numPr>
          <w:ilvl w:val="1"/>
          <w:numId w:val="31"/>
        </w:numPr>
        <w:rPr>
          <w:rFonts w:ascii="Courier New" w:cs="Courier New" w:eastAsia="Courier New" w:hAnsi="Courier New"/>
          <w:sz w:val="17"/>
          <w:szCs w:val="17"/>
          <w:color w:val="auto"/>
        </w:rPr>
      </w:pPr>
      <w:r>
        <w:rPr>
          <w:rFonts w:ascii="Times New Roman" w:cs="Times New Roman" w:eastAsia="Times New Roman" w:hAnsi="Times New Roman"/>
          <w:sz w:val="17"/>
          <w:szCs w:val="17"/>
          <w:i w:val="1"/>
          <w:iCs w:val="1"/>
          <w:color w:val="auto"/>
        </w:rPr>
        <w:t xml:space="preserve">Owned and operated retail stores – </w:t>
      </w:r>
      <w:r>
        <w:rPr>
          <w:rFonts w:ascii="Times New Roman" w:cs="Times New Roman" w:eastAsia="Times New Roman" w:hAnsi="Times New Roman"/>
          <w:sz w:val="17"/>
          <w:szCs w:val="17"/>
          <w:color w:val="auto"/>
        </w:rPr>
        <w:t>Revenue decreased 1% in 2024 compared to 2023, including a 1% negative foreign currency impact.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Excluding the impact of foreign currency translation, growth in EMEA and APAC was offset by a decline in Americas.</w:t>
      </w:r>
    </w:p>
    <w:p>
      <w:pPr>
        <w:ind w:left="1260" w:right="120" w:hanging="319"/>
        <w:spacing w:after="0" w:line="263" w:lineRule="auto"/>
        <w:tabs>
          <w:tab w:leader="none" w:pos="125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Owned and operated digital commerce – </w:t>
      </w:r>
      <w:r>
        <w:rPr>
          <w:rFonts w:ascii="Times New Roman" w:cs="Times New Roman" w:eastAsia="Times New Roman" w:hAnsi="Times New Roman"/>
          <w:sz w:val="17"/>
          <w:szCs w:val="17"/>
          <w:color w:val="auto"/>
        </w:rPr>
        <w:t>Revenue decreased 7% in 2024 compared to 2023, including a 1% negative foreign currency impact,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primarily due to the planned strategic reduction of sales in EMEA to drive overall higher quality of sales in the region, partially offset by growth in Americas.</w:t>
      </w:r>
    </w:p>
    <w:p>
      <w:pPr>
        <w:spacing w:after="0" w:line="195" w:lineRule="exact"/>
        <w:rPr>
          <w:rFonts w:ascii="Times New Roman" w:cs="Times New Roman" w:eastAsia="Times New Roman" w:hAnsi="Times New Roman"/>
          <w:sz w:val="17"/>
          <w:szCs w:val="17"/>
          <w:color w:val="auto"/>
        </w:rPr>
      </w:pPr>
    </w:p>
    <w:p>
      <w:pPr>
        <w:ind w:left="620" w:right="80" w:hanging="304"/>
        <w:spacing w:after="0" w:line="275" w:lineRule="auto"/>
        <w:tabs>
          <w:tab w:leader="none" w:pos="615" w:val="left"/>
        </w:tabs>
        <w:numPr>
          <w:ilvl w:val="0"/>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Wholesale – </w:t>
      </w:r>
      <w:r>
        <w:rPr>
          <w:rFonts w:ascii="Times New Roman" w:cs="Times New Roman" w:eastAsia="Times New Roman" w:hAnsi="Times New Roman"/>
          <w:sz w:val="17"/>
          <w:szCs w:val="17"/>
          <w:color w:val="auto"/>
        </w:rPr>
        <w:t>Revenue decreased 10% in 2024 compared to 2023, primarily due to (i) a 5% reduction resulting from the Heritage Brands intimates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 and (ii) the planned strategic reduction of sales in EMEA to drive overall higher quality of sales in the region. The impact in 2024 of foreign currency translation on our wholesale distribution revenue was not significant.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Fiscal 2026 Compared to Fiscal 2025</w:t>
      </w:r>
    </w:p>
    <w:p>
      <w:pPr>
        <w:spacing w:after="0" w:line="247" w:lineRule="exact"/>
        <w:rPr>
          <w:sz w:val="20"/>
          <w:szCs w:val="20"/>
          <w:color w:val="auto"/>
        </w:rPr>
      </w:pPr>
    </w:p>
    <w:p>
      <w:pPr>
        <w:ind w:right="440" w:firstLine="625"/>
        <w:spacing w:after="0" w:line="293" w:lineRule="auto"/>
        <w:rPr>
          <w:sz w:val="20"/>
          <w:szCs w:val="20"/>
          <w:color w:val="auto"/>
        </w:rPr>
      </w:pPr>
      <w:r>
        <w:rPr>
          <w:rFonts w:ascii="Times New Roman" w:cs="Times New Roman" w:eastAsia="Times New Roman" w:hAnsi="Times New Roman"/>
          <w:sz w:val="17"/>
          <w:szCs w:val="17"/>
          <w:color w:val="auto"/>
        </w:rPr>
        <w:t>We currently expect revenue for the full year 2026 to increase slightly compared to 2025. Excluding the impact of foreign currency translation, we currently expect revenue for the full year 2026 to be flat to increase slightly.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251"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Gross profit is calculated as total revenue less cost of goods sold, and gross margin is calculated as gross profit divided by total revenue. Included as cost of goods sold are costs associated with the production and procurement of product, such as inbound freight costs, purchasing and receiving costs, inspection costs and tariff and other import costs. Also included as cost of goods sold are the amounts recognized on foreign currency forward contracts as the underlying inventory hedged by such forward contracts is sold. Warehousing and distribution expenses are included in selling, general and administrative (“SG&amp;A”) expenses. Revenue from licensing the use of our trademarks is included in gross profit because there is no cost of goods sold associated with such revenue. As a result, our gross profit may not be comparable to that of other entities.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9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Our gross margin was as follows: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7"/>
        </w:trPr>
        <w:tc>
          <w:tcPr>
            <w:tcW w:w="69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2023</w:t>
            </w:r>
          </w:p>
        </w:tc>
      </w:tr>
      <w:tr>
        <w:trPr>
          <w:trHeight w:val="21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5,149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5,143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5,363</w:t>
            </w:r>
          </w:p>
        </w:tc>
      </w:tr>
      <w:tr>
        <w:trPr>
          <w:trHeight w:val="227"/>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total revenue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58.2 %</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Fiscal 2025 Compared to Fiscal 2024</w:t>
      </w:r>
    </w:p>
    <w:p>
      <w:pPr>
        <w:spacing w:after="0" w:line="247" w:lineRule="exact"/>
        <w:rPr>
          <w:sz w:val="20"/>
          <w:szCs w:val="20"/>
          <w:color w:val="auto"/>
        </w:rPr>
      </w:pPr>
    </w:p>
    <w:p>
      <w:pPr>
        <w:ind w:right="240" w:firstLine="625"/>
        <w:spacing w:after="0" w:line="268" w:lineRule="auto"/>
        <w:rPr>
          <w:sz w:val="20"/>
          <w:szCs w:val="20"/>
          <w:color w:val="auto"/>
        </w:rPr>
      </w:pPr>
      <w:r>
        <w:rPr>
          <w:rFonts w:ascii="Times New Roman" w:cs="Times New Roman" w:eastAsia="Times New Roman" w:hAnsi="Times New Roman"/>
          <w:sz w:val="17"/>
          <w:szCs w:val="17"/>
          <w:color w:val="auto"/>
        </w:rPr>
        <w:t>Gross profit in 2025 was $5.149 billion, or 57.5% of total revenue, compared to $5.143 billion, or 59.4% of total revenue, in 2024. Approximately 80 basis points of the decline was due to the gross negative impact of the tariffs enacted in the first quarter of 2025 that were in place for goods coming into the United States and approximately 50 basis points of the decline was due to the transition of previously licensed product categories into our directly operated wholesale business, as revenue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ind w:right="100"/>
        <w:spacing w:after="0" w:line="265" w:lineRule="auto"/>
        <w:rPr>
          <w:sz w:val="20"/>
          <w:szCs w:val="20"/>
          <w:color w:val="auto"/>
        </w:rPr>
      </w:pPr>
      <w:r>
        <w:rPr>
          <w:rFonts w:ascii="Times New Roman" w:cs="Times New Roman" w:eastAsia="Times New Roman" w:hAnsi="Times New Roman"/>
          <w:sz w:val="17"/>
          <w:szCs w:val="17"/>
          <w:color w:val="auto"/>
        </w:rPr>
        <w:t xml:space="preserve">through our wholesale distribution channel carries lower gross margins. The remaining 60 basis point decrease was primarily driven by (i) an increase in promotional selling as compared to the prior year period and (ii) higher freight costs and incremental discounts provided to customers to address the impact of </w:t>
      </w:r>
      <w:r>
        <w:rPr>
          <w:rFonts w:ascii="Times New Roman" w:cs="Times New Roman" w:eastAsia="Times New Roman" w:hAnsi="Times New Roman"/>
          <w:sz w:val="17"/>
          <w:szCs w:val="17"/>
          <w:i w:val="1"/>
          <w:iCs w:val="1"/>
          <w:color w:val="auto"/>
        </w:rPr>
        <w:t xml:space="preserve">Calvin Klein </w:t>
      </w:r>
      <w:r>
        <w:rPr>
          <w:rFonts w:ascii="Times New Roman" w:cs="Times New Roman" w:eastAsia="Times New Roman" w:hAnsi="Times New Roman"/>
          <w:sz w:val="17"/>
          <w:szCs w:val="17"/>
          <w:color w:val="auto"/>
        </w:rPr>
        <w:t>product delivery delays, partially offset by (i) lower product costs as compared to the prior year period which benefited us more significantly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fourth quarter of the year, including a slightly favorable transactional impact of foreign exchange on our international businesses, particularly our European business, and (ii) mitigation actions to address the impact of tariffs.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Fiscal 2024 Compared to Fiscal 2023</w:t>
      </w:r>
    </w:p>
    <w:p>
      <w:pPr>
        <w:spacing w:after="0" w:line="247" w:lineRule="exact"/>
        <w:rPr>
          <w:sz w:val="20"/>
          <w:szCs w:val="20"/>
          <w:color w:val="auto"/>
        </w:rPr>
      </w:pPr>
    </w:p>
    <w:p>
      <w:pPr>
        <w:ind w:right="40" w:firstLine="625"/>
        <w:spacing w:after="0" w:line="261" w:lineRule="auto"/>
        <w:rPr>
          <w:sz w:val="20"/>
          <w:szCs w:val="20"/>
          <w:color w:val="auto"/>
        </w:rPr>
      </w:pPr>
      <w:r>
        <w:rPr>
          <w:rFonts w:ascii="Times New Roman" w:cs="Times New Roman" w:eastAsia="Times New Roman" w:hAnsi="Times New Roman"/>
          <w:sz w:val="17"/>
          <w:szCs w:val="17"/>
          <w:color w:val="auto"/>
        </w:rPr>
        <w:t>Gross profit in 2024 was $5.143 billion, or 59.4% of total revenue, compared to $5.363 billion, or 58.2% of total revenue, in 2023. The 120 basis point gross margin increase was primarily driven by (i) lower product costs as compared to 2023, which benefited us more significantly in the first half of the year, (ii) the impact of a change in the revenue mix between our direct-to-consumer distribution channel and our wholesale distribution channel, as our direct-to-consumer distribution channel was a larger proportion of total revenue in 2024 than in 2023 and carries higher gross margins, and (iii) the impact of the reduction in revenue as a result of the Heritage Brands intimates transaction, as the revenue from the Heritage Brands intimates business carried lower gross margins. These increases were partially offset by increased promotional selling in the fourth quarter of 2024 due to continued softness in the consumer environment particularly in North America.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Fiscal 2026 Compared to Fiscal 2025</w:t>
      </w:r>
    </w:p>
    <w:p>
      <w:pPr>
        <w:spacing w:after="0" w:line="247" w:lineRule="exact"/>
        <w:rPr>
          <w:sz w:val="20"/>
          <w:szCs w:val="20"/>
          <w:color w:val="auto"/>
        </w:rPr>
      </w:pPr>
    </w:p>
    <w:p>
      <w:pPr>
        <w:ind w:right="60" w:firstLine="625"/>
        <w:spacing w:after="0" w:line="260" w:lineRule="auto"/>
        <w:rPr>
          <w:sz w:val="20"/>
          <w:szCs w:val="20"/>
          <w:color w:val="auto"/>
        </w:rPr>
      </w:pPr>
      <w:r>
        <w:rPr>
          <w:rFonts w:ascii="Times New Roman" w:cs="Times New Roman" w:eastAsia="Times New Roman" w:hAnsi="Times New Roman"/>
          <w:sz w:val="17"/>
          <w:szCs w:val="17"/>
          <w:color w:val="auto"/>
        </w:rPr>
        <w:t>We currently expect that gross margin in 2026 will be up slightly compared to 2025, despite (i) the approximately 215 basis point gross negative impact in 2026 of the tariffs on goods coming into the United States which reflects an assumed 15% tariff rate effective February 24, 2026 and the tariff rates previously in place for each applicable country prior to the Supreme Court ruling, compared to the approximately 80 basis point gross negative impact in 2025 and (ii) the approximately 50 basis point decline expected in connection with the above-mentioned transition of previously licensed product categories into our directly operated wholesale business. These decreases are expected to be more than offset by (i) the impact of planned mitigation actions to address the impacts of tariffs,</w:t>
      </w:r>
    </w:p>
    <w:p>
      <w:pPr>
        <w:ind w:firstLine="4"/>
        <w:spacing w:after="0" w:line="263" w:lineRule="auto"/>
        <w:tabs>
          <w:tab w:leader="none" w:pos="25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approximately 50 basis point increase due to the favorable transactional impact of foreign exchange on our international businesses, particularly our European business, (iii) lower product costs, and (iv) the absence of higher freight costs and incremental discounts provided to customers to address the impact of </w:t>
      </w:r>
      <w:r>
        <w:rPr>
          <w:rFonts w:ascii="Times New Roman" w:cs="Times New Roman" w:eastAsia="Times New Roman" w:hAnsi="Times New Roman"/>
          <w:sz w:val="17"/>
          <w:szCs w:val="17"/>
          <w:i w:val="1"/>
          <w:iCs w:val="1"/>
          <w:color w:val="auto"/>
        </w:rPr>
        <w:t xml:space="preserve">Calvin Klein </w:t>
      </w:r>
      <w:r>
        <w:rPr>
          <w:rFonts w:ascii="Times New Roman" w:cs="Times New Roman" w:eastAsia="Times New Roman" w:hAnsi="Times New Roman"/>
          <w:sz w:val="17"/>
          <w:szCs w:val="17"/>
          <w:color w:val="auto"/>
        </w:rPr>
        <w:t>product delivery delays.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96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SG&amp;A Expenses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42"/>
        </w:trPr>
        <w:tc>
          <w:tcPr>
            <w:tcW w:w="69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Our SG&amp;A expenses were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7"/>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2023</w:t>
            </w:r>
          </w:p>
        </w:tc>
      </w:tr>
      <w:tr>
        <w:trPr>
          <w:trHeight w:val="21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SG&amp;A expenses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4,492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4,411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4,543</w:t>
            </w:r>
          </w:p>
        </w:tc>
      </w:tr>
      <w:tr>
        <w:trPr>
          <w:trHeight w:val="227"/>
        </w:trPr>
        <w:tc>
          <w:tcPr>
            <w:tcW w:w="6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total revenue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49.3 %</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Fiscal 2025 Compared to Fiscal 2024</w:t>
      </w:r>
    </w:p>
    <w:p>
      <w:pPr>
        <w:spacing w:after="0" w:line="247" w:lineRule="exact"/>
        <w:rPr>
          <w:sz w:val="20"/>
          <w:szCs w:val="20"/>
          <w:color w:val="auto"/>
        </w:rPr>
      </w:pPr>
    </w:p>
    <w:p>
      <w:pPr>
        <w:ind w:right="220" w:firstLine="625"/>
        <w:spacing w:after="0" w:line="268" w:lineRule="auto"/>
        <w:rPr>
          <w:sz w:val="20"/>
          <w:szCs w:val="20"/>
          <w:color w:val="auto"/>
        </w:rPr>
      </w:pPr>
      <w:r>
        <w:rPr>
          <w:rFonts w:ascii="Times New Roman" w:cs="Times New Roman" w:eastAsia="Times New Roman" w:hAnsi="Times New Roman"/>
          <w:sz w:val="17"/>
          <w:szCs w:val="17"/>
          <w:color w:val="auto"/>
        </w:rPr>
        <w:t>SG&amp;A expenses in 2025 were $4.492 billion, or 50.2% of total revenue, compared to $4.411 billion, or 51.0% of total revenue in 2024. The 80 basis point decrease in SG&amp;A as a percentage of revenue was primarily driven by (i) the non-recurrence of costs incurred in the prior year period in connection with the Mr. Hilfiger amendment, and (ii) cost savings resulting from the Growth Driver 5 Actions. These decreases were partially offset by a net increase in restructuring costs incurred in connection with the Growth Driver 5 Actions.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Fiscal 2024 Compared to Fiscal 2023</w:t>
      </w:r>
    </w:p>
    <w:p>
      <w:pPr>
        <w:spacing w:after="0" w:line="247" w:lineRule="exact"/>
        <w:rPr>
          <w:sz w:val="20"/>
          <w:szCs w:val="20"/>
          <w:color w:val="auto"/>
        </w:rPr>
      </w:pPr>
    </w:p>
    <w:p>
      <w:pPr>
        <w:ind w:right="20" w:firstLine="625"/>
        <w:spacing w:after="0" w:line="261" w:lineRule="auto"/>
        <w:rPr>
          <w:sz w:val="20"/>
          <w:szCs w:val="20"/>
          <w:color w:val="auto"/>
        </w:rPr>
      </w:pPr>
      <w:r>
        <w:rPr>
          <w:rFonts w:ascii="Times New Roman" w:cs="Times New Roman" w:eastAsia="Times New Roman" w:hAnsi="Times New Roman"/>
          <w:sz w:val="17"/>
          <w:szCs w:val="17"/>
          <w:color w:val="auto"/>
        </w:rPr>
        <w:t>SG&amp;A expenses in 2024 were $4.411 billion, or 51.0% of total revenue, compared to $4.543 billion, or 49.3% of total revenue in 2023. The $132 million decrease in SG&amp;A expenses was primarily driven by cost efficiencies across the business as we continued to take a disciplined approach to managing expenses. The 170 basis point increase in SG&amp;A as a percentage of revenue was primarily driven by (i) the impact of a change in the revenue mix between our direct-to-consumer distribution channel and our wholesale distribution channel as compared to 2023, as our direct-to-consumer distribution channel was a larger proportion of our total revenue in 2024 than in 2023 and carries higher SG&amp;A expenses as a percentage of total revenue, (ii) the impact from the deleveraging of expenses resulting from the decline in revenue in 2024, (iii) costs incurred in connection with the Mr. Hilfiger amendment, and (iv) restructuring costs incurred in connection with the Growth Driver 5</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5" w:name="page46"/>
    <w:bookmarkEnd w:id="45"/>
    <w:p>
      <w:pPr>
        <w:ind w:right="240"/>
        <w:spacing w:after="0" w:line="293" w:lineRule="auto"/>
        <w:rPr>
          <w:sz w:val="20"/>
          <w:szCs w:val="20"/>
          <w:color w:val="auto"/>
        </w:rPr>
      </w:pPr>
      <w:r>
        <w:rPr>
          <w:rFonts w:ascii="Times New Roman" w:cs="Times New Roman" w:eastAsia="Times New Roman" w:hAnsi="Times New Roman"/>
          <w:sz w:val="17"/>
          <w:szCs w:val="17"/>
          <w:color w:val="auto"/>
        </w:rPr>
        <w:t>Actions. These increases were partially offset by the favorable impact of (i) the 2022 costs savings initiative and (ii) cost efficiencies across the business as we continued to take a disciplined approach to managing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Fiscal 2026 Compared to Fiscal 2025</w:t>
      </w:r>
    </w:p>
    <w:p>
      <w:pPr>
        <w:spacing w:after="0" w:line="247" w:lineRule="exact"/>
        <w:rPr>
          <w:sz w:val="20"/>
          <w:szCs w:val="20"/>
          <w:color w:val="auto"/>
        </w:rPr>
      </w:pPr>
    </w:p>
    <w:p>
      <w:pPr>
        <w:ind w:right="200" w:firstLine="625"/>
        <w:spacing w:after="0" w:line="265" w:lineRule="auto"/>
        <w:rPr>
          <w:sz w:val="20"/>
          <w:szCs w:val="20"/>
          <w:color w:val="auto"/>
        </w:rPr>
      </w:pPr>
      <w:r>
        <w:rPr>
          <w:rFonts w:ascii="Times New Roman" w:cs="Times New Roman" w:eastAsia="Times New Roman" w:hAnsi="Times New Roman"/>
          <w:sz w:val="17"/>
          <w:szCs w:val="17"/>
          <w:color w:val="auto"/>
        </w:rPr>
        <w:t>We currently expect that SG&amp;A expenses as a percentage of revenue in 2026 will decrease compared to 2025 primarily due to an approximately 100 basis points decrease resulting from the non-recurrence of restructuring costs incurred in 2025 in connection with the Growth Driver 5 actions. This decrease is expected to be offset by the net impact of an increase in strategic investments to fuel growth, including increased marketing, partially offset by the cost savings resulting from the Growth Driver 5 actions. Our expectation for 2026 does not include any further restructuring costs in connection with the Growth Driver 5 actions as they cannot be quantified at this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Other Intangible Asset Impairments</w:t>
      </w:r>
    </w:p>
    <w:p>
      <w:pPr>
        <w:spacing w:after="0" w:line="251" w:lineRule="exact"/>
        <w:rPr>
          <w:sz w:val="20"/>
          <w:szCs w:val="20"/>
          <w:color w:val="auto"/>
        </w:rPr>
      </w:pPr>
    </w:p>
    <w:p>
      <w:pPr>
        <w:ind w:right="380" w:firstLine="625"/>
        <w:spacing w:after="0" w:line="274" w:lineRule="auto"/>
        <w:rPr>
          <w:sz w:val="20"/>
          <w:szCs w:val="20"/>
          <w:color w:val="auto"/>
        </w:rPr>
      </w:pPr>
      <w:r>
        <w:rPr>
          <w:rFonts w:ascii="Times New Roman" w:cs="Times New Roman" w:eastAsia="Times New Roman" w:hAnsi="Times New Roman"/>
          <w:sz w:val="17"/>
          <w:szCs w:val="17"/>
          <w:color w:val="auto"/>
        </w:rPr>
        <w:t>We recorded noncash impairment charges of $480 million during the first quarter of 2025 in conjunction with interim goodwill and other intangible assets impairment tests, including $426 million related to goodwill and $54 million related to our Australia reacquired perpetual license rights, which were primarily due to a significant increase in discount rates.</w:t>
      </w:r>
    </w:p>
    <w:p>
      <w:pPr>
        <w:spacing w:after="0" w:line="189" w:lineRule="exact"/>
        <w:rPr>
          <w:sz w:val="20"/>
          <w:szCs w:val="20"/>
          <w:color w:val="auto"/>
        </w:rPr>
      </w:pPr>
    </w:p>
    <w:p>
      <w:pPr>
        <w:ind w:right="480" w:firstLine="625"/>
        <w:spacing w:after="0" w:line="293" w:lineRule="auto"/>
        <w:rPr>
          <w:sz w:val="20"/>
          <w:szCs w:val="20"/>
          <w:color w:val="auto"/>
        </w:rPr>
      </w:pPr>
      <w:r>
        <w:rPr>
          <w:rFonts w:ascii="Times New Roman" w:cs="Times New Roman" w:eastAsia="Times New Roman" w:hAnsi="Times New Roman"/>
          <w:sz w:val="17"/>
          <w:szCs w:val="17"/>
          <w:color w:val="auto"/>
        </w:rPr>
        <w:t>Please see Note 7, “Goodwill and Other Intangible Assets,” in the Notes to Consolidated Financial Statements included in Item 8 of this report for further discussion of these impairments.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Non-Service Related Pension and Postretirement Income (Cost)</w:t>
      </w:r>
    </w:p>
    <w:p>
      <w:pPr>
        <w:spacing w:after="0" w:line="251"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Non-service related pension and postretirement income (cost) was $9 million, $(27) million, and $47 million in 2025, 2024 and 2023, respectively. Non-service related pension and postretirement income in 2025 included an actuarial gain on our retirement plans of $13 million. Non-service related pension and postretirement cost in 2024 included an actuarial loss on our retirement plans of $28 million. Non-service related pension and postretirement cost in 2023 included an actuarial gain on our retirement plans of $46 million, inclusive of a $20 million pre-tax curtailment gain recorded in connection with a change to freeze our defined benefit pension plans.</w:t>
      </w:r>
    </w:p>
    <w:p>
      <w:pPr>
        <w:spacing w:after="0" w:line="196" w:lineRule="exact"/>
        <w:rPr>
          <w:sz w:val="20"/>
          <w:szCs w:val="20"/>
          <w:color w:val="auto"/>
        </w:rPr>
      </w:pPr>
    </w:p>
    <w:p>
      <w:pPr>
        <w:ind w:right="460" w:firstLine="625"/>
        <w:spacing w:after="0" w:line="293" w:lineRule="auto"/>
        <w:rPr>
          <w:sz w:val="20"/>
          <w:szCs w:val="20"/>
          <w:color w:val="auto"/>
        </w:rPr>
      </w:pPr>
      <w:r>
        <w:rPr>
          <w:rFonts w:ascii="Times New Roman" w:cs="Times New Roman" w:eastAsia="Times New Roman" w:hAnsi="Times New Roman"/>
          <w:sz w:val="17"/>
          <w:szCs w:val="17"/>
          <w:color w:val="auto"/>
        </w:rPr>
        <w:t>Please see Note 12, “Retirement and Benefit Plans,” in the Notes to Consolidated Financial Statements included in Item 8 of this report for further discussion of our pension and postretirement plans, including the 2023 change to freeze our defined benefit pension plans.</w:t>
      </w:r>
    </w:p>
    <w:p>
      <w:pPr>
        <w:spacing w:after="0" w:line="173"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Non-service related pension and postretirement income (cost) recorded throughout the year is calculated using actuarial valuations that incorporate assumptions and estimates about financial market, economic and demographic conditions. Differences between estimated and actual results give rise to gains and losses that are recorded immediately in earnings, generally in the fourth quarter of the year, which can create volatility in our results of operations. We currently expect that non-service related pension and postretirement income for 2026 will be approximately $3 million. However, our expectation of 2026 non-service related pension and post-retirement income does not include the impact of an actuarial gain or loss. As a result of volatility in the financial markets, there is significant uncertainty with respect to the actuarial gain or loss we may record on our retirement plans in 2026. We may record a significant actuarial gain or loss in 2026 if there is a significant increase or decrease in discount rates, respectively, or if there is a difference between the actual and expected return on plan assets. As such, our actual 2026 non-service related pension and postretirement income may be significantly different than our projections.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Gain</w:t>
      </w:r>
    </w:p>
    <w:p>
      <w:pPr>
        <w:spacing w:after="0" w:line="251" w:lineRule="exact"/>
        <w:rPr>
          <w:sz w:val="20"/>
          <w:szCs w:val="20"/>
          <w:color w:val="auto"/>
        </w:rPr>
      </w:pPr>
    </w:p>
    <w:p>
      <w:pPr>
        <w:ind w:right="200" w:firstLine="625"/>
        <w:spacing w:after="0" w:line="274" w:lineRule="auto"/>
        <w:rPr>
          <w:sz w:val="20"/>
          <w:szCs w:val="20"/>
          <w:color w:val="auto"/>
        </w:rPr>
      </w:pPr>
      <w:r>
        <w:rPr>
          <w:rFonts w:ascii="Times New Roman" w:cs="Times New Roman" w:eastAsia="Times New Roman" w:hAnsi="Times New Roman"/>
          <w:sz w:val="17"/>
          <w:szCs w:val="17"/>
          <w:color w:val="auto"/>
        </w:rPr>
        <w:t>We recorded a gain of $10 million related to the sale of a warehouse and distribution center in the third quarter of 2024 in connection with the Growth Driver 5 Actions. Please see Note 17, “Exit Activity Costs,” in the Notes to Consolidated Financial Statements included in Item 8 of this report for further discussion.</w:t>
      </w:r>
    </w:p>
    <w:p>
      <w:pPr>
        <w:spacing w:after="0" w:line="189" w:lineRule="exact"/>
        <w:rPr>
          <w:sz w:val="20"/>
          <w:szCs w:val="20"/>
          <w:color w:val="auto"/>
        </w:rPr>
      </w:pPr>
    </w:p>
    <w:p>
      <w:pPr>
        <w:ind w:right="160" w:firstLine="625"/>
        <w:spacing w:after="0" w:line="274" w:lineRule="auto"/>
        <w:rPr>
          <w:sz w:val="20"/>
          <w:szCs w:val="20"/>
          <w:color w:val="auto"/>
        </w:rPr>
      </w:pPr>
      <w:r>
        <w:rPr>
          <w:rFonts w:ascii="Times New Roman" w:cs="Times New Roman" w:eastAsia="Times New Roman" w:hAnsi="Times New Roman"/>
          <w:sz w:val="17"/>
          <w:szCs w:val="17"/>
          <w:color w:val="auto"/>
        </w:rPr>
        <w:t>We recorded a gain of $15 million in the fourth quarter of 2023 in connection with the closing of the Heritage Brands intimates transaction and an incremental gain of $10 million in the first quarter of 2024 due to the accelerated realization of the earnout provided for in the agreement with Basic Resources. Please see Note 4, “Divestitures,” in the Notes to Consolidated Financial Statements included in Item 8 of this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 Net Income of Unconsolidated Affiliates</w:t>
      </w:r>
    </w:p>
    <w:p>
      <w:pPr>
        <w:spacing w:after="0" w:line="251"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 xml:space="preserve">The equity in net income of unconsolidated affiliates was $45 million, $48 million, and $46 million in 2025, 2024, and 2023 respectively. These amounts relate to our share of income (loss) from (i) our joint venture for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and certain licensed trademarks in Mexico, (ii) our joint venture for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in India, (iii) our joint venture for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brand in Brazil, and</w:t>
      </w:r>
    </w:p>
    <w:p>
      <w:pPr>
        <w:jc w:val="both"/>
        <w:ind w:right="20" w:firstLine="4"/>
        <w:spacing w:after="0" w:line="271" w:lineRule="auto"/>
        <w:tabs>
          <w:tab w:leader="none" w:pos="29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PVH Legwear joint venture for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and certain licensed trademarks in the United States and Canada. Please see Note 6, “Investments in Unconsolidated Affiliates,” in the Notes to Consolidated Financial Statements included in Item 8 of this report for further discussion.</w:t>
      </w:r>
    </w:p>
    <w:p>
      <w:pPr>
        <w:spacing w:after="0" w:line="191" w:lineRule="exact"/>
        <w:rPr>
          <w:sz w:val="20"/>
          <w:szCs w:val="20"/>
          <w:color w:val="auto"/>
        </w:rPr>
      </w:pPr>
    </w:p>
    <w:p>
      <w:pPr>
        <w:ind w:right="560" w:firstLine="625"/>
        <w:spacing w:after="0" w:line="293" w:lineRule="auto"/>
        <w:rPr>
          <w:sz w:val="20"/>
          <w:szCs w:val="20"/>
          <w:color w:val="auto"/>
        </w:rPr>
      </w:pPr>
      <w:r>
        <w:rPr>
          <w:rFonts w:ascii="Times New Roman" w:cs="Times New Roman" w:eastAsia="Times New Roman" w:hAnsi="Times New Roman"/>
          <w:sz w:val="17"/>
          <w:szCs w:val="17"/>
          <w:color w:val="auto"/>
        </w:rPr>
        <w:t>The equity in net income of unconsolidated affiliates for 2025 was relatively flat compared to 2024, relatively flat in 2024 compared to 2023 and expected to continue to be flat in 2026 compared to 2025.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Income Before Interest and Taxes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2"/>
        </w:trPr>
        <w:tc>
          <w:tcPr>
            <w:tcW w:w="69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Our income before interest and taxes were as follows: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7"/>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(Dollars in millions)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2023</w:t>
            </w:r>
          </w:p>
        </w:tc>
      </w:tr>
      <w:tr>
        <w:trPr>
          <w:trHeight w:val="21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interest and taxes</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772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929</w:t>
            </w:r>
          </w:p>
        </w:tc>
      </w:tr>
      <w:tr>
        <w:trPr>
          <w:trHeight w:val="227"/>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total revenue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10.1 %</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Fiscal 2025 Compared to Fiscal 2024</w:t>
      </w:r>
    </w:p>
    <w:p>
      <w:pPr>
        <w:spacing w:after="0" w:line="247" w:lineRule="exact"/>
        <w:rPr>
          <w:sz w:val="20"/>
          <w:szCs w:val="20"/>
          <w:color w:val="auto"/>
        </w:rPr>
      </w:pPr>
    </w:p>
    <w:p>
      <w:pPr>
        <w:ind w:right="360" w:firstLine="625"/>
        <w:spacing w:after="0" w:line="293" w:lineRule="auto"/>
        <w:rPr>
          <w:sz w:val="20"/>
          <w:szCs w:val="20"/>
          <w:color w:val="auto"/>
        </w:rPr>
      </w:pPr>
      <w:r>
        <w:rPr>
          <w:rFonts w:ascii="Times New Roman" w:cs="Times New Roman" w:eastAsia="Times New Roman" w:hAnsi="Times New Roman"/>
          <w:sz w:val="17"/>
          <w:szCs w:val="17"/>
          <w:color w:val="auto"/>
        </w:rPr>
        <w:t>Income before interest and taxes in 2025 was $231 million, or 2.6% of revenue compared to $772 million or 8.9% of revenue in 2024, and included changes in our segments’ income before interest and taxes and other reconciling items as follows:</w:t>
      </w:r>
    </w:p>
    <w:p>
      <w:pPr>
        <w:spacing w:after="0" w:line="171" w:lineRule="exact"/>
        <w:rPr>
          <w:sz w:val="20"/>
          <w:szCs w:val="20"/>
          <w:color w:val="auto"/>
        </w:rPr>
      </w:pPr>
    </w:p>
    <w:p>
      <w:pPr>
        <w:ind w:left="620" w:right="60" w:hanging="304"/>
        <w:spacing w:after="0" w:line="269" w:lineRule="auto"/>
        <w:tabs>
          <w:tab w:leader="none" w:pos="6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EMEA – </w:t>
      </w:r>
      <w:r>
        <w:rPr>
          <w:rFonts w:ascii="Times New Roman" w:cs="Times New Roman" w:eastAsia="Times New Roman" w:hAnsi="Times New Roman"/>
          <w:sz w:val="17"/>
          <w:szCs w:val="17"/>
          <w:color w:val="auto"/>
        </w:rPr>
        <w:t>Income before interest and taxes in 2025 was $749 million, or 17.5% of total revenue, compared to $728 million, or 17.9% of total revenue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 The 40 basis point decrease was driven by a decrease in gross margin. SG&amp;A expenses as a percentage of revenue were flat compared to the prior year period as savings resulting from the Growth Driver 5 Actions were offset by the deleveraging of expenses resulting from the decrease in revenue excluding the impact of foreign currency translation.</w:t>
      </w:r>
    </w:p>
    <w:p>
      <w:pPr>
        <w:spacing w:after="0" w:line="190" w:lineRule="exact"/>
        <w:rPr>
          <w:rFonts w:ascii="Times New Roman" w:cs="Times New Roman" w:eastAsia="Times New Roman" w:hAnsi="Times New Roman"/>
          <w:sz w:val="17"/>
          <w:szCs w:val="17"/>
          <w:color w:val="auto"/>
        </w:rPr>
      </w:pPr>
    </w:p>
    <w:p>
      <w:pPr>
        <w:ind w:left="620" w:right="40" w:hanging="304"/>
        <w:spacing w:after="0" w:line="269" w:lineRule="auto"/>
        <w:tabs>
          <w:tab w:leader="none" w:pos="615" w:val="left"/>
        </w:tabs>
        <w:numPr>
          <w:ilvl w:val="0"/>
          <w:numId w:val="3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Americas – </w:t>
      </w:r>
      <w:r>
        <w:rPr>
          <w:rFonts w:ascii="Times New Roman" w:cs="Times New Roman" w:eastAsia="Times New Roman" w:hAnsi="Times New Roman"/>
          <w:sz w:val="17"/>
          <w:szCs w:val="17"/>
          <w:color w:val="auto"/>
        </w:rPr>
        <w:t>Income before interest and taxes in 2025 was $252 million, or 9.2% of total revenue, compared to $320 million, or 12.4% of total revenue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 The 320 basis point decrease was driven by a gross margin decline inclusive of the negative impact of the tariffs enacted in the first quarter of 2025 that were in place for goods coming into the United States, partially offset by a decrease in SG&amp;A expenses as a percentage of revenue due to (i) savings primarily resulting from the Growth Driver 5 Actions and (ii) the leveraging of expenses resulting from the increase in revenue.</w:t>
      </w:r>
    </w:p>
    <w:p>
      <w:pPr>
        <w:spacing w:after="0" w:line="190" w:lineRule="exact"/>
        <w:rPr>
          <w:rFonts w:ascii="Times New Roman" w:cs="Times New Roman" w:eastAsia="Times New Roman" w:hAnsi="Times New Roman"/>
          <w:sz w:val="17"/>
          <w:szCs w:val="17"/>
          <w:i w:val="1"/>
          <w:iCs w:val="1"/>
          <w:color w:val="auto"/>
        </w:rPr>
      </w:pPr>
    </w:p>
    <w:p>
      <w:pPr>
        <w:ind w:left="620" w:right="200" w:hanging="304"/>
        <w:spacing w:after="0" w:line="275" w:lineRule="auto"/>
        <w:tabs>
          <w:tab w:leader="none" w:pos="615" w:val="left"/>
        </w:tabs>
        <w:numPr>
          <w:ilvl w:val="0"/>
          <w:numId w:val="3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APAC – </w:t>
      </w:r>
      <w:r>
        <w:rPr>
          <w:rFonts w:ascii="Times New Roman" w:cs="Times New Roman" w:eastAsia="Times New Roman" w:hAnsi="Times New Roman"/>
          <w:sz w:val="17"/>
          <w:szCs w:val="17"/>
          <w:color w:val="auto"/>
        </w:rPr>
        <w:t>Income before interest and taxes in 2025 was $292 million, or 19.3% of total revenue, compared to $317 million, or 20.1% of total revenue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 The 80 basis point decrease was primarily driven by an increase in SG&amp;A expenses as a percentage of revenue driven by the deleveraging of expenses resulting from the decline in revenue partially offset by a slight increase in gross margin.</w:t>
      </w:r>
    </w:p>
    <w:p>
      <w:pPr>
        <w:spacing w:after="0" w:line="186" w:lineRule="exact"/>
        <w:rPr>
          <w:rFonts w:ascii="Times New Roman" w:cs="Times New Roman" w:eastAsia="Times New Roman" w:hAnsi="Times New Roman"/>
          <w:sz w:val="17"/>
          <w:szCs w:val="17"/>
          <w:i w:val="1"/>
          <w:iCs w:val="1"/>
          <w:color w:val="auto"/>
        </w:rPr>
      </w:pPr>
    </w:p>
    <w:p>
      <w:pPr>
        <w:ind w:left="620" w:hanging="304"/>
        <w:spacing w:after="0"/>
        <w:tabs>
          <w:tab w:leader="none" w:pos="620" w:val="left"/>
        </w:tabs>
        <w:numPr>
          <w:ilvl w:val="0"/>
          <w:numId w:val="3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Licensing – </w:t>
      </w:r>
      <w:r>
        <w:rPr>
          <w:rFonts w:ascii="Times New Roman" w:cs="Times New Roman" w:eastAsia="Times New Roman" w:hAnsi="Times New Roman"/>
          <w:sz w:val="17"/>
          <w:szCs w:val="17"/>
          <w:color w:val="auto"/>
        </w:rPr>
        <w:t>Income before interest and taxes was $357 million in 2025, compared to $352 million in 2024.</w:t>
      </w:r>
    </w:p>
    <w:p>
      <w:pPr>
        <w:spacing w:after="0" w:line="246" w:lineRule="exact"/>
        <w:rPr>
          <w:rFonts w:ascii="Times New Roman" w:cs="Times New Roman" w:eastAsia="Times New Roman" w:hAnsi="Times New Roman"/>
          <w:sz w:val="17"/>
          <w:szCs w:val="17"/>
          <w:i w:val="1"/>
          <w:iCs w:val="1"/>
          <w:color w:val="auto"/>
        </w:rPr>
      </w:pPr>
    </w:p>
    <w:p>
      <w:pPr>
        <w:ind w:left="620" w:right="20" w:hanging="304"/>
        <w:spacing w:after="0" w:line="275" w:lineRule="auto"/>
        <w:tabs>
          <w:tab w:leader="none" w:pos="615" w:val="left"/>
        </w:tabs>
        <w:numPr>
          <w:ilvl w:val="0"/>
          <w:numId w:val="3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Corporate and other </w:t>
      </w:r>
      <w:r>
        <w:rPr>
          <w:rFonts w:ascii="Times New Roman" w:cs="Times New Roman" w:eastAsia="Times New Roman" w:hAnsi="Times New Roman"/>
          <w:sz w:val="17"/>
          <w:szCs w:val="17"/>
          <w:color w:val="auto"/>
        </w:rPr>
        <w:t>costs were $859 million in 2025, an increase of $7 million compared to $852 million in 2024, primarily due to an increase in global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brands costs, partially offset by a decrease in corporate costs which includes savings resulting from the Growth Driver 5 Actions along with other efficiencies.</w:t>
      </w:r>
    </w:p>
    <w:p>
      <w:pPr>
        <w:spacing w:after="0" w:line="186" w:lineRule="exact"/>
        <w:rPr>
          <w:rFonts w:ascii="Times New Roman" w:cs="Times New Roman" w:eastAsia="Times New Roman" w:hAnsi="Times New Roman"/>
          <w:sz w:val="17"/>
          <w:szCs w:val="17"/>
          <w:i w:val="1"/>
          <w:iCs w:val="1"/>
          <w:color w:val="auto"/>
        </w:rPr>
      </w:pPr>
    </w:p>
    <w:p>
      <w:pPr>
        <w:ind w:left="620" w:right="140" w:hanging="304"/>
        <w:spacing w:after="0" w:line="265" w:lineRule="auto"/>
        <w:tabs>
          <w:tab w:leader="none" w:pos="615" w:val="left"/>
        </w:tabs>
        <w:numPr>
          <w:ilvl w:val="0"/>
          <w:numId w:val="3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Restructuring and other items </w:t>
      </w:r>
      <w:r>
        <w:rPr>
          <w:rFonts w:ascii="Times New Roman" w:cs="Times New Roman" w:eastAsia="Times New Roman" w:hAnsi="Times New Roman"/>
          <w:sz w:val="17"/>
          <w:szCs w:val="17"/>
          <w:color w:val="auto"/>
        </w:rPr>
        <w:t>included $560 million of net expenses in 2025, including (i) $480 million of noncash goodwill and other intangible asset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impairment charges and (ii) $93 million of restructuring costs in connection with the Growth Driver 5 Actions, partially offset by (iii) a $13 million actuarial gain on retirement plans. Restructuring and other items included $93 million of net expenses in 2024, including (i) $51 million of costs in connection with the Mr. Hilfiger amendment, (ii) a $28 million actuarial loss on retirement plans, and (iii) $24 million of net restructuring costs related to the Growth Driver 5 Actions, partially offset by (iv) a $10 million gain related to the Heritage Brands intimates transaction.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auto"/>
        </w:rPr>
        <w:t>Fiscal 2024 Compared to Fiscal 2023</w:t>
      </w:r>
    </w:p>
    <w:p>
      <w:pPr>
        <w:spacing w:after="0" w:line="247" w:lineRule="exact"/>
        <w:rPr>
          <w:sz w:val="20"/>
          <w:szCs w:val="20"/>
          <w:color w:val="auto"/>
        </w:rPr>
      </w:pPr>
    </w:p>
    <w:p>
      <w:pPr>
        <w:ind w:right="220" w:firstLine="625"/>
        <w:spacing w:after="0" w:line="293" w:lineRule="auto"/>
        <w:rPr>
          <w:sz w:val="20"/>
          <w:szCs w:val="20"/>
          <w:color w:val="auto"/>
        </w:rPr>
      </w:pPr>
      <w:r>
        <w:rPr>
          <w:rFonts w:ascii="Times New Roman" w:cs="Times New Roman" w:eastAsia="Times New Roman" w:hAnsi="Times New Roman"/>
          <w:sz w:val="17"/>
          <w:szCs w:val="17"/>
          <w:color w:val="auto"/>
        </w:rPr>
        <w:t>Income before interest and taxes in 2024 was $772 million, or 8.9% of total revenue compared to $929 million or 10.1% of total revenue in 2023, and included changes in our segments’ income before interest and taxes and other reconciling items as follows:</w:t>
      </w:r>
    </w:p>
    <w:p>
      <w:pPr>
        <w:spacing w:after="0" w:line="171" w:lineRule="exact"/>
        <w:rPr>
          <w:sz w:val="20"/>
          <w:szCs w:val="20"/>
          <w:color w:val="auto"/>
        </w:rPr>
      </w:pPr>
    </w:p>
    <w:p>
      <w:pPr>
        <w:ind w:left="620" w:right="140" w:hanging="304"/>
        <w:spacing w:after="0" w:line="275" w:lineRule="auto"/>
        <w:tabs>
          <w:tab w:leader="none" w:pos="61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EMEA – </w:t>
      </w:r>
      <w:r>
        <w:rPr>
          <w:rFonts w:ascii="Times New Roman" w:cs="Times New Roman" w:eastAsia="Times New Roman" w:hAnsi="Times New Roman"/>
          <w:sz w:val="17"/>
          <w:szCs w:val="17"/>
          <w:color w:val="auto"/>
        </w:rPr>
        <w:t>Income before interest and taxes in 2024 was $728 million, or 17.9% of total revenue, compared to $837 million, or 19.4% of total revenue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The 150 basis point decrease was driven by an increase in SG&amp;A expenses as a percentage of revenue due primarily to the deleveraging of expenses resulting from the decrease in revenue, partially offset by an increase in gross margin.</w:t>
      </w:r>
    </w:p>
    <w:p>
      <w:pPr>
        <w:spacing w:after="0" w:line="186" w:lineRule="exact"/>
        <w:rPr>
          <w:rFonts w:ascii="Times New Roman" w:cs="Times New Roman" w:eastAsia="Times New Roman" w:hAnsi="Times New Roman"/>
          <w:sz w:val="17"/>
          <w:szCs w:val="17"/>
          <w:color w:val="auto"/>
        </w:rPr>
      </w:pPr>
    </w:p>
    <w:p>
      <w:pPr>
        <w:ind w:left="620" w:right="40" w:hanging="304"/>
        <w:spacing w:after="0" w:line="296" w:lineRule="auto"/>
        <w:tabs>
          <w:tab w:leader="none" w:pos="615" w:val="left"/>
        </w:tabs>
        <w:numPr>
          <w:ilvl w:val="0"/>
          <w:numId w:val="3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Americas – </w:t>
      </w:r>
      <w:r>
        <w:rPr>
          <w:rFonts w:ascii="Times New Roman" w:cs="Times New Roman" w:eastAsia="Times New Roman" w:hAnsi="Times New Roman"/>
          <w:sz w:val="17"/>
          <w:szCs w:val="17"/>
          <w:color w:val="auto"/>
        </w:rPr>
        <w:t>Income before interest and taxes in 2024 was $320 million, or 12.4% of total revenue, compared to $253 million, or 8.9% of total revenue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The 350 basis point increase was primarily due to an increase in gross margin and a decrease in SG&amp;A expenses as a percentage of revenue.</w:t>
      </w:r>
    </w:p>
    <w:p>
      <w:pPr>
        <w:spacing w:after="0" w:line="168" w:lineRule="exact"/>
        <w:rPr>
          <w:rFonts w:ascii="Times New Roman" w:cs="Times New Roman" w:eastAsia="Times New Roman" w:hAnsi="Times New Roman"/>
          <w:sz w:val="17"/>
          <w:szCs w:val="17"/>
          <w:i w:val="1"/>
          <w:iCs w:val="1"/>
          <w:color w:val="auto"/>
        </w:rPr>
      </w:pPr>
    </w:p>
    <w:p>
      <w:pPr>
        <w:ind w:left="620" w:right="200" w:hanging="304"/>
        <w:spacing w:after="0" w:line="296" w:lineRule="auto"/>
        <w:tabs>
          <w:tab w:leader="none" w:pos="615" w:val="left"/>
        </w:tabs>
        <w:numPr>
          <w:ilvl w:val="0"/>
          <w:numId w:val="3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APAC – </w:t>
      </w:r>
      <w:r>
        <w:rPr>
          <w:rFonts w:ascii="Times New Roman" w:cs="Times New Roman" w:eastAsia="Times New Roman" w:hAnsi="Times New Roman"/>
          <w:sz w:val="17"/>
          <w:szCs w:val="17"/>
          <w:color w:val="auto"/>
        </w:rPr>
        <w:t>Income before interest and taxes in 2024 was $317 million, or 20.1% of total revenue, compared to $329 million, or 20.5% of total revenue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2023. The 40 basis point decrease was primarily driven by a decrease in gross margin.</w:t>
      </w:r>
    </w:p>
    <w:p>
      <w:pPr>
        <w:spacing w:after="0" w:line="168" w:lineRule="exact"/>
        <w:rPr>
          <w:rFonts w:ascii="Times New Roman" w:cs="Times New Roman" w:eastAsia="Times New Roman" w:hAnsi="Times New Roman"/>
          <w:sz w:val="17"/>
          <w:szCs w:val="17"/>
          <w:i w:val="1"/>
          <w:iCs w:val="1"/>
          <w:color w:val="auto"/>
        </w:rPr>
      </w:pPr>
    </w:p>
    <w:p>
      <w:pPr>
        <w:ind w:left="620" w:hanging="304"/>
        <w:spacing w:after="0"/>
        <w:tabs>
          <w:tab w:leader="none" w:pos="620" w:val="left"/>
        </w:tabs>
        <w:numPr>
          <w:ilvl w:val="0"/>
          <w:numId w:val="3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Licensing – </w:t>
      </w:r>
      <w:r>
        <w:rPr>
          <w:rFonts w:ascii="Times New Roman" w:cs="Times New Roman" w:eastAsia="Times New Roman" w:hAnsi="Times New Roman"/>
          <w:sz w:val="17"/>
          <w:szCs w:val="17"/>
          <w:color w:val="auto"/>
        </w:rPr>
        <w:t>Income before interest and taxes in 2024 was $352 million, a 3% decrease compared to $363 million in 2023.</w:t>
      </w:r>
    </w:p>
    <w:p>
      <w:pPr>
        <w:spacing w:after="0" w:line="246" w:lineRule="exact"/>
        <w:rPr>
          <w:rFonts w:ascii="Times New Roman" w:cs="Times New Roman" w:eastAsia="Times New Roman" w:hAnsi="Times New Roman"/>
          <w:sz w:val="17"/>
          <w:szCs w:val="17"/>
          <w:i w:val="1"/>
          <w:iCs w:val="1"/>
          <w:color w:val="auto"/>
        </w:rPr>
      </w:pPr>
    </w:p>
    <w:p>
      <w:pPr>
        <w:ind w:left="620" w:hanging="304"/>
        <w:spacing w:after="0"/>
        <w:tabs>
          <w:tab w:leader="none" w:pos="620" w:val="left"/>
        </w:tabs>
        <w:numPr>
          <w:ilvl w:val="0"/>
          <w:numId w:val="3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Corporate and other </w:t>
      </w:r>
      <w:r>
        <w:rPr>
          <w:rFonts w:ascii="Times New Roman" w:cs="Times New Roman" w:eastAsia="Times New Roman" w:hAnsi="Times New Roman"/>
          <w:sz w:val="17"/>
          <w:szCs w:val="17"/>
          <w:color w:val="auto"/>
        </w:rPr>
        <w:t>costs were $852 million in 2024, relatively flat compared to $851 million in 2023.</w:t>
      </w:r>
    </w:p>
    <w:p>
      <w:pPr>
        <w:spacing w:after="0" w:line="246" w:lineRule="exact"/>
        <w:rPr>
          <w:rFonts w:ascii="Times New Roman" w:cs="Times New Roman" w:eastAsia="Times New Roman" w:hAnsi="Times New Roman"/>
          <w:sz w:val="17"/>
          <w:szCs w:val="17"/>
          <w:i w:val="1"/>
          <w:iCs w:val="1"/>
          <w:color w:val="auto"/>
        </w:rPr>
      </w:pPr>
    </w:p>
    <w:p>
      <w:pPr>
        <w:ind w:left="620" w:hanging="304"/>
        <w:spacing w:after="0" w:line="263" w:lineRule="auto"/>
        <w:tabs>
          <w:tab w:leader="none" w:pos="615" w:val="left"/>
        </w:tabs>
        <w:numPr>
          <w:ilvl w:val="0"/>
          <w:numId w:val="3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Restructuring and other items </w:t>
      </w:r>
      <w:r>
        <w:rPr>
          <w:rFonts w:ascii="Times New Roman" w:cs="Times New Roman" w:eastAsia="Times New Roman" w:hAnsi="Times New Roman"/>
          <w:sz w:val="17"/>
          <w:szCs w:val="17"/>
          <w:color w:val="auto"/>
        </w:rPr>
        <w:t>included $93 million of net expenses in 2024, including (i) $51 million of costs incurred in connection with the Mr.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Hilfiger amendment, (ii) a $28 million actuarial loss on retirement plans, and (iii) $24 million of net restructuring costs related to the Growth Driver 5 Actions, partially offset by (iv) a $10 million gain related to the Heritage Brands intimates transaction. Restructuring and other items included $2 million of net expenses in 2023, including (i) $61 million of expenses in connection with the 2022 cost savings initiative, partially offset by (i) a $46 million actuarial gain on retirement plans and (ii) an aggregate net gain of $13 million in connection with the Heritage Brands intimates transaction, consisting of a $15 million gain partially offset by $2 million of severance and other termination benefits.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251"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Interest expense, net increased to $79 million in 2025 from $67 million in 2024 primarily due to the impact of the accelerated share repurchase (“ASR”) agreements we entered into in April 2025 to repurchase $500 million shares of our common stock. Please see the section entitled “Acquisition of Treasury Shares” within “Liquidity and Capital Resources” below for further discussion.</w:t>
      </w:r>
    </w:p>
    <w:p>
      <w:pPr>
        <w:spacing w:after="0" w:line="189" w:lineRule="exact"/>
        <w:rPr>
          <w:sz w:val="20"/>
          <w:szCs w:val="20"/>
          <w:color w:val="auto"/>
        </w:rPr>
      </w:pPr>
    </w:p>
    <w:p>
      <w:pPr>
        <w:jc w:val="both"/>
        <w:ind w:right="80" w:firstLine="625"/>
        <w:spacing w:after="0" w:line="274" w:lineRule="auto"/>
        <w:rPr>
          <w:sz w:val="20"/>
          <w:szCs w:val="20"/>
          <w:color w:val="auto"/>
        </w:rPr>
      </w:pPr>
      <w:r>
        <w:rPr>
          <w:rFonts w:ascii="Times New Roman" w:cs="Times New Roman" w:eastAsia="Times New Roman" w:hAnsi="Times New Roman"/>
          <w:sz w:val="17"/>
          <w:szCs w:val="17"/>
          <w:color w:val="auto"/>
        </w:rPr>
        <w:t>Interest expense, net decreased to $67 million in 2024 from $88 million in 2023 primarily due to (i) an increase in interest income resulting from higher levels of invested cash and higher interest rates as compared to the prior year period and (ii) the impact of the repayment of the $100 million 7 3/4% debentures in November 2023.</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Please see the section entitled “Financing Arrangements” within “Liquidity and Capital Resources” below for further discussion.</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Interest expense, net for the full year 2026 is currently expected to be approximately flat as compared to $79 million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1"/>
        </w:trPr>
        <w:tc>
          <w:tcPr>
            <w:tcW w:w="69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2"/>
        </w:trPr>
        <w:tc>
          <w:tcPr>
            <w:tcW w:w="69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Income tax expense was as follows: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7"/>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(Dollars in millions)</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2023</w:t>
            </w:r>
          </w:p>
        </w:tc>
      </w:tr>
      <w:tr>
        <w:trPr>
          <w:trHeight w:val="21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177</w:t>
            </w:r>
          </w:p>
        </w:tc>
      </w:tr>
      <w:tr>
        <w:trPr>
          <w:trHeight w:val="227"/>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as a % of pre-tax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21.1 %</w:t>
            </w:r>
          </w:p>
        </w:tc>
      </w:tr>
    </w:tbl>
    <w:p>
      <w:pPr>
        <w:spacing w:after="0" w:line="301" w:lineRule="exact"/>
        <w:rPr>
          <w:sz w:val="20"/>
          <w:szCs w:val="20"/>
          <w:color w:val="auto"/>
        </w:rPr>
      </w:pPr>
    </w:p>
    <w:p>
      <w:pPr>
        <w:ind w:right="180" w:firstLine="625"/>
        <w:spacing w:after="0" w:line="293" w:lineRule="auto"/>
        <w:rPr>
          <w:sz w:val="20"/>
          <w:szCs w:val="20"/>
          <w:color w:val="auto"/>
        </w:rPr>
      </w:pPr>
      <w:r>
        <w:rPr>
          <w:rFonts w:ascii="Times New Roman" w:cs="Times New Roman" w:eastAsia="Times New Roman" w:hAnsi="Times New Roman"/>
          <w:sz w:val="17"/>
          <w:szCs w:val="17"/>
          <w:color w:val="auto"/>
        </w:rPr>
        <w:t>Significant items which have caused our tax rate to fluctuate each year include the items discussed below. The effect that discrete tax amounts have on the effective income tax rate in each year is not comparable due to changes in our pre-tax income.</w:t>
      </w:r>
    </w:p>
    <w:p>
      <w:pPr>
        <w:spacing w:after="0" w:line="173" w:lineRule="exact"/>
        <w:rPr>
          <w:sz w:val="20"/>
          <w:szCs w:val="20"/>
          <w:color w:val="auto"/>
        </w:rPr>
      </w:pPr>
    </w:p>
    <w:p>
      <w:pPr>
        <w:jc w:val="both"/>
        <w:ind w:right="220" w:firstLine="625"/>
        <w:spacing w:after="0" w:line="274" w:lineRule="auto"/>
        <w:rPr>
          <w:sz w:val="20"/>
          <w:szCs w:val="20"/>
          <w:color w:val="auto"/>
        </w:rPr>
      </w:pPr>
      <w:r>
        <w:rPr>
          <w:rFonts w:ascii="Times New Roman" w:cs="Times New Roman" w:eastAsia="Times New Roman" w:hAnsi="Times New Roman"/>
          <w:sz w:val="17"/>
          <w:szCs w:val="17"/>
          <w:color w:val="auto"/>
        </w:rPr>
        <w:t>Our effective income tax rate for 2025 was 83.3% primarily due to the impact of the $480 million pre-tax noncash goodwill and other intangible asset impairment charges that were recorded during the first quarter of 2025, which were non-deductible for tax purposes and factored into our annualized effective income tax rate, and resulted in a 60.8% increase to our effective income tax rate.</w:t>
      </w:r>
    </w:p>
    <w:p>
      <w:pPr>
        <w:spacing w:after="0" w:line="189"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Our effective income tax rate for 2024 was 15.2% primarily due to (i) a favorable change in our uncertain tax positions including a benefit to our effective tax rate of 4.7% from the settlement of a multi-year audit in an international jurisdiction in the second quarter of 2024 and (ii) the favorable tax impacts of the foreign derived intangible income deduction and the generation of certain foreign tax credits, partially offset by (iii) an unfavorable change in our jurisdictional mix of earnings.</w:t>
      </w:r>
    </w:p>
    <w:p>
      <w:pPr>
        <w:spacing w:after="0" w:line="194" w:lineRule="exact"/>
        <w:rPr>
          <w:sz w:val="20"/>
          <w:szCs w:val="20"/>
          <w:color w:val="auto"/>
        </w:rPr>
      </w:pPr>
    </w:p>
    <w:p>
      <w:pPr>
        <w:ind w:right="80" w:firstLine="625"/>
        <w:spacing w:after="0" w:line="293" w:lineRule="auto"/>
        <w:rPr>
          <w:sz w:val="20"/>
          <w:szCs w:val="20"/>
          <w:color w:val="auto"/>
        </w:rPr>
      </w:pPr>
      <w:r>
        <w:rPr>
          <w:rFonts w:ascii="Times New Roman" w:cs="Times New Roman" w:eastAsia="Times New Roman" w:hAnsi="Times New Roman"/>
          <w:sz w:val="17"/>
          <w:szCs w:val="17"/>
          <w:color w:val="auto"/>
        </w:rPr>
        <w:t>Our effective income tax rate for 2023 was 21.1% primarily due to the favorable tax impacts of the foreign derived intangible income deduction and the generation of certain foreign tax credits, offset by our jurisdictional mix of earnings.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currently expect that our effective income tax rate in 2026 will be in a range of 22% to 23%.</w:t>
      </w:r>
    </w:p>
    <w:p>
      <w:pPr>
        <w:spacing w:after="0" w:line="247" w:lineRule="exact"/>
        <w:rPr>
          <w:sz w:val="20"/>
          <w:szCs w:val="20"/>
          <w:color w:val="auto"/>
        </w:rPr>
      </w:pPr>
    </w:p>
    <w:p>
      <w:pPr>
        <w:ind w:right="140" w:firstLine="625"/>
        <w:spacing w:after="0" w:line="268" w:lineRule="auto"/>
        <w:rPr>
          <w:sz w:val="20"/>
          <w:szCs w:val="20"/>
          <w:color w:val="auto"/>
        </w:rPr>
      </w:pPr>
      <w:r>
        <w:rPr>
          <w:rFonts w:ascii="Times New Roman" w:cs="Times New Roman" w:eastAsia="Times New Roman" w:hAnsi="Times New Roman"/>
          <w:sz w:val="17"/>
          <w:szCs w:val="17"/>
          <w:color w:val="auto"/>
        </w:rPr>
        <w:t>We file income tax returns in more than 40 international jurisdictions each year. Our tax rate is influenced by several factors, including the mix of international and domestic pre-tax earnings, specific discrete transactions and events, new regulations, audits by tax authorities, and new information received. These elements may lead to adjustments in both our estimate for uncertain tax positions and the overall effective tax rate. Please see Note 9, “Income Taxes,” in the Notes to Consolidated Financial Statements included in Item 8 of this report for further discussion.</w:t>
      </w:r>
    </w:p>
    <w:p>
      <w:pPr>
        <w:spacing w:after="0" w:line="194" w:lineRule="exact"/>
        <w:rPr>
          <w:sz w:val="20"/>
          <w:szCs w:val="20"/>
          <w:color w:val="auto"/>
        </w:rPr>
      </w:pPr>
    </w:p>
    <w:p>
      <w:pPr>
        <w:ind w:right="380" w:firstLine="625"/>
        <w:spacing w:after="0" w:line="274"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into law, introducing a broad range of tax reform provisions. The enacted changes did not have a material impact on the 2025 effective tax rate. We do not expect the enacted changes to materially affect our 2026 estimated annual effective tax rate and we will continue to monitor future guidance related to the OBBBA.</w:t>
      </w:r>
    </w:p>
    <w:p>
      <w:pPr>
        <w:spacing w:after="0" w:line="189"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The Organization for Economic Cooperation and Development released the Pillar Two framework which includes transition and safe harbor guidelines around the implementation of a global minimum effective tax rate of 15%. Pillar Two legislation was enacted in certain jurisdictions where we operate and was effective in 2024. The global minimum effective tax rate did not have a material impact on our 2025 and 2024 effective tax rates. Based on our current analysis of the Pillar Two provisions, we do not expect it to have a material impact on our 2026 effective tax rate. We continue to monitor and reflect the impact of such legislative changes in future financial statements as appropriate.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Summary and Trends</w:t>
      </w:r>
    </w:p>
    <w:p>
      <w:pPr>
        <w:spacing w:after="0" w:line="251" w:lineRule="exact"/>
        <w:rPr>
          <w:sz w:val="20"/>
          <w:szCs w:val="20"/>
          <w:color w:val="auto"/>
        </w:rPr>
      </w:pPr>
    </w:p>
    <w:p>
      <w:pPr>
        <w:ind w:right="160" w:firstLine="625"/>
        <w:spacing w:after="0" w:line="263" w:lineRule="auto"/>
        <w:rPr>
          <w:sz w:val="20"/>
          <w:szCs w:val="20"/>
          <w:color w:val="auto"/>
        </w:rPr>
      </w:pPr>
      <w:r>
        <w:rPr>
          <w:rFonts w:ascii="Times New Roman" w:cs="Times New Roman" w:eastAsia="Times New Roman" w:hAnsi="Times New Roman"/>
          <w:sz w:val="17"/>
          <w:szCs w:val="17"/>
          <w:color w:val="auto"/>
        </w:rPr>
        <w:t>Cash and cash equivalents at February 1, 2026 was $701 million, a decrease of $47 million from $748 million at February 2, 2025. The change in cash and cash equivalents included the impact of (i) cash generated from our operations, (ii) $561 million paid in connection with ASR agreements and open market purchases to repurchase common stock under our stock repurchase program (please see section entitled “Acquisition of Treasury Shares” below for further discussion), (iii) the redemption of $500 million principal amount of 4 5/8% senior notes due 2025 and (iv) $494 million of net proceeds from the issuance of $500 million principal amount of 5 1/2% senior notes due 2030. We ended 2025 with approximately $1.7 billion of borrowing capacity available under our various debt facilities, which included $250 million related to the delayed draw term loan facility that expired on February 4, 2026, as discussed below.</w:t>
      </w:r>
    </w:p>
    <w:p>
      <w:pPr>
        <w:spacing w:after="0" w:line="198"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Cash flow in 2026 will be impacted by various factors, including, as discussed further below in this “Liquidity and Capital Resources” section, (i) expected common stock repurchases under the stock repurchase program of at least $300 million, (ii) projected capital expenditures of approximately $250 million and (iii) mandatory long-term debt repayments on our term loan under our 2022 senior unsecured credit facilities of approximately $13 million, subject to exchange rate fluctuations.</w:t>
      </w:r>
    </w:p>
    <w:p>
      <w:pPr>
        <w:spacing w:after="0" w:line="194" w:lineRule="exact"/>
        <w:rPr>
          <w:sz w:val="20"/>
          <w:szCs w:val="20"/>
          <w:color w:val="auto"/>
        </w:rPr>
      </w:pPr>
    </w:p>
    <w:p>
      <w:pPr>
        <w:ind w:right="220" w:firstLine="625"/>
        <w:spacing w:after="0" w:line="268" w:lineRule="auto"/>
        <w:rPr>
          <w:sz w:val="20"/>
          <w:szCs w:val="20"/>
          <w:color w:val="auto"/>
        </w:rPr>
      </w:pPr>
      <w:r>
        <w:rPr>
          <w:rFonts w:ascii="Times New Roman" w:cs="Times New Roman" w:eastAsia="Times New Roman" w:hAnsi="Times New Roman"/>
          <w:sz w:val="17"/>
          <w:szCs w:val="17"/>
          <w:color w:val="auto"/>
        </w:rPr>
        <w:t>As of February 1, 2026, $334 million of cash and cash equivalents was held by international subsidiaries. Our intent is to reinvest indefinitely substantially all of our historical earnings in foreign subsidiaries outside of the United States in jurisdictions which we would expect to incur material tax costs upon the distribution of such amounts. It is not practicable to estimate the amount of tax that might be payable if these earnings were repatriated due to the complexities associated with the hypothetical calculation.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Operations</w:t>
      </w:r>
    </w:p>
    <w:p>
      <w:pPr>
        <w:spacing w:after="0" w:line="251" w:lineRule="exact"/>
        <w:rPr>
          <w:sz w:val="20"/>
          <w:szCs w:val="20"/>
          <w:color w:val="auto"/>
        </w:rPr>
      </w:pPr>
    </w:p>
    <w:p>
      <w:pPr>
        <w:ind w:right="20" w:firstLine="625"/>
        <w:spacing w:after="0" w:line="274" w:lineRule="auto"/>
        <w:rPr>
          <w:sz w:val="20"/>
          <w:szCs w:val="20"/>
          <w:color w:val="auto"/>
        </w:rPr>
      </w:pPr>
      <w:r>
        <w:rPr>
          <w:rFonts w:ascii="Times New Roman" w:cs="Times New Roman" w:eastAsia="Times New Roman" w:hAnsi="Times New Roman"/>
          <w:sz w:val="17"/>
          <w:szCs w:val="17"/>
          <w:color w:val="auto"/>
        </w:rPr>
        <w:t>Cash provided by operating activities was $680 million in 2025 compared to $741 million in 2024. The decrease in cash provided by operating activities as compared to 2024 was primarily driven by (i) a decrease in net income as adjusted for noncash charges and (ii) changes in our working capital, including changes in inventories net of the related change in payables.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Supply Chain Finance Program</w:t>
      </w:r>
    </w:p>
    <w:p>
      <w:pPr>
        <w:spacing w:after="0" w:line="251"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We have a voluntary supply chain finance program (the “SCF program”) administered through a third party platform that provides our inventory suppliers with the opportunity to sell their receivables due from us to participating financial institutions in advance of the invoice due date, at the sole discretion of both the suppliers and the financial institutions. We are not a party to the agreements between the suppliers and the financial institutions and have no economic interest in a supplier’s decision to sell a receivable. Our payment obligations, including the amounts due and payment terms, which generally do not exceed 90 days, are not impacted by suppliers’ participation in the SCF program. Please see Note 22, “Other Comments,” in the Notes to Consolidated Financial Statements included in Item 8 of this report for further discussion of our SCF program.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Unconsolidated Affiliates</w:t>
      </w:r>
    </w:p>
    <w:p>
      <w:pPr>
        <w:spacing w:after="0" w:line="251"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Dividends received from our investments in unconsolidated affiliates of $46 million, $42 million and $30 million during 2025, 2024 and 2023, respectively, are included in our net cash provided by operating activities in our Consolidated Statements of Cash Flows for the respective period. Please see Note 6, “Investments in Unconsolidated Affiliates,” in the Notes to Consolidated Financial Statements included in Item 8 of this report for further discussion.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Heritage Brands Intimates Transaction</w:t>
      </w:r>
    </w:p>
    <w:p>
      <w:pPr>
        <w:spacing w:after="0" w:line="249"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 xml:space="preserve">We completed the sale of our women’s intimates businesses conducted under the </w:t>
      </w:r>
      <w:r>
        <w:rPr>
          <w:rFonts w:ascii="Times New Roman" w:cs="Times New Roman" w:eastAsia="Times New Roman" w:hAnsi="Times New Roman"/>
          <w:sz w:val="17"/>
          <w:szCs w:val="17"/>
          <w:i w:val="1"/>
          <w:iCs w:val="1"/>
          <w:color w:val="auto"/>
        </w:rPr>
        <w:t>Warner’s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Olga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True&amp;Co.</w:t>
      </w:r>
      <w:r>
        <w:rPr>
          <w:rFonts w:ascii="Times New Roman" w:cs="Times New Roman" w:eastAsia="Times New Roman" w:hAnsi="Times New Roman"/>
          <w:sz w:val="17"/>
          <w:szCs w:val="17"/>
          <w:color w:val="auto"/>
        </w:rPr>
        <w:t xml:space="preserve"> trademarks to Basic Resources on November 27, 2023 for net proceeds of $156 million, of which $160 million of gross proceeds are presented as investing cash flows and $4 million of transaction costs are presented as operating cash flows in the Consolidated Statement of Cash Flows for 2023. Due to the accelerated realization of the earnout provided for in the agreement with Basic Resources that occurred during the first quarter of 2024, we received additional proceeds of $10 million, which was paid to us in equal quarterly installments through the first quarter of 2025. Please see Note 4, “Divestitures,” in the Notes to Consolidated Financial Statements included in Item 8 of this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i w:val="1"/>
          <w:iCs w:val="1"/>
          <w:color w:val="auto"/>
        </w:rPr>
        <w:t>Sale of Warehouse and Distribution Center</w:t>
      </w:r>
    </w:p>
    <w:p>
      <w:pPr>
        <w:spacing w:after="0" w:line="251"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We completed the sale of a warehouse and distribution center in the third quarter of 2024 for net proceeds of $10 million in connection with our multiyear initiative to simplify our operating model by centralizing certain processes and improving systems and automation to drive more efficient and cost-effective ways of working across the organization. Please see Note 17, “Exit Activity Costs,” in the Notes to Consolidated Financial Statements included in Item 8 of this report for further discussion.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Karl Lagerfeld Transaction</w:t>
      </w:r>
    </w:p>
    <w:p>
      <w:pPr>
        <w:spacing w:after="0" w:line="251" w:lineRule="exact"/>
        <w:rPr>
          <w:sz w:val="20"/>
          <w:szCs w:val="20"/>
          <w:color w:val="auto"/>
        </w:rPr>
      </w:pPr>
    </w:p>
    <w:p>
      <w:pPr>
        <w:ind w:right="360" w:firstLine="625"/>
        <w:spacing w:after="0" w:line="293" w:lineRule="auto"/>
        <w:rPr>
          <w:sz w:val="20"/>
          <w:szCs w:val="20"/>
          <w:color w:val="auto"/>
        </w:rPr>
      </w:pPr>
      <w:r>
        <w:rPr>
          <w:rFonts w:ascii="Times New Roman" w:cs="Times New Roman" w:eastAsia="Times New Roman" w:hAnsi="Times New Roman"/>
          <w:sz w:val="17"/>
          <w:szCs w:val="17"/>
          <w:color w:val="auto"/>
        </w:rPr>
        <w:t>We completed the sale of our approximately 8% economic interest in Karl Lagerfeld Holding B.V. to a subsidiary of G-III on May 31, 2022 for $20 million in cash, of which $19 million was received in 2022 and the remaining $1 million which was previously held in escrow was received in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225" w:lineRule="exact"/>
        <w:rPr>
          <w:sz w:val="20"/>
          <w:szCs w:val="20"/>
          <w:color w:val="auto"/>
        </w:rPr>
      </w:pPr>
    </w:p>
    <w:p>
      <w:pPr>
        <w:ind w:right="420" w:firstLine="625"/>
        <w:spacing w:after="0" w:line="268" w:lineRule="auto"/>
        <w:rPr>
          <w:sz w:val="20"/>
          <w:szCs w:val="20"/>
          <w:color w:val="auto"/>
        </w:rPr>
      </w:pPr>
      <w:r>
        <w:rPr>
          <w:rFonts w:ascii="Times New Roman" w:cs="Times New Roman" w:eastAsia="Times New Roman" w:hAnsi="Times New Roman"/>
          <w:sz w:val="17"/>
          <w:szCs w:val="17"/>
          <w:color w:val="auto"/>
        </w:rPr>
        <w:t>Our capital expenditures in 2025 were $142 million compared to $159 million in 2024. The capital expenditures in 2025 primarily consisted of (i) investments in new stores and store renovations, (ii) investments, upgrades and enhancements in our information technology platforms, systems and infrastructure worldwide, and (iii) enhancements to our warehouse and distribution network in Europe and North America. We currently project that capital expenditures for 2026 will increase to approximately $250 million and will primarily consist of continued investments in these same categories.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Cash dividends paid on our common stock totaled $7 million, $9 million and $9 million in 2025, 2024 and 2023, respectively.</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currently project that cash dividends paid on our common stock in 2026 will be approximately $7 million.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 of Treasury Shares</w:t>
      </w:r>
    </w:p>
    <w:p>
      <w:pPr>
        <w:spacing w:after="0" w:line="251"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The Board of Directors has authorized over time beginning in 2015 an aggregate $5 billion stock repurchase program through July 30, 2028. Repurchases under the program may be made from time to time over the period through open market purchases, accelerated share repurchase programs, privately negotiated transactions or other methods, as we deem appropriate. Purchases are made based on a variety of factors, such as price, corporate requirements and overall market conditions, applicable legal requirements and limitations, trading restrictions under our insider trading policy and other relevant factors. The program may be modified by the Board of Directors, including to increase or decrease the repurchase limitation or extend, suspend, or terminate the program at any time, without prior notice. Our share repurchases in excess of issuances are subject to a 1% excise tax enacted by the Inflation Reduction Act of 2022.</w:t>
      </w:r>
    </w:p>
    <w:p>
      <w:pPr>
        <w:spacing w:after="0" w:line="198" w:lineRule="exact"/>
        <w:rPr>
          <w:sz w:val="20"/>
          <w:szCs w:val="20"/>
          <w:color w:val="auto"/>
        </w:rPr>
      </w:pPr>
    </w:p>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On April 1, 2025, we entered into ASR agreements with financial institutions to repurchase an aggregate of $500 million of our shares of common stock under our existing $5 billion stock repurchase authorization. We paid $500 million to the financial institutions and received initial deliveries of an aggregate of approximately 4.6 million shares of our common stock at a price of $76.43 per share, the closing share price of our common stock on April 1, 2025. The value of the initial shares delivered represented approximately 70% of the aggregate purchase price. The ASR agreements were funded with cash on hand and $115 million of short-term borrowings. During the third quarter of 2025, the ASR agreements were settled, and we received an aggregate of approximately 2.3 million of additional shares of our common stock. The total number of shares purchased under the ASR agreements was approximately 6.9 million shares at a price paid per share of $72.44, which was based on the daily volume-weighted average price of our common stock over the term of the ASR agreements, less a discount, and subject to customary adjustments pursuant to the terms and conditions of the ASR agreements. The ASR agreements were accounted for as a share purchase transaction and forward stock purchase agreement indexed to our common stock.</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2025, we additionally purchased 0.8 million shares (all prior to the execution of the ASR agreements) and during 2024 and 2023, we purchased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4.7 million shares and 5.7 million shares, respectively, of our common stock under the program in open market transactions for $61 million, $501 million 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$550 million, respectively. Excise taxes of $6 million, $5 million and $5 million were excluded from the share repurchases for 2025, 2024 and 2023, respectively,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including in respect of the shares repurchased under the ASR agreements. Purchases of $4 million that were accrued for in our Consolidated Balance Sheet as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 2025 were paid in 2025. Purchases of $2 million that were accrued for in our Consolidated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98" w:right="359" w:bottom="1440" w:gutter="0" w:footer="0" w:header="0"/>
        </w:sectPr>
      </w:pPr>
    </w:p>
    <w:bookmarkStart w:id="51" w:name="page52"/>
    <w:bookmarkEnd w:id="51"/>
    <w:p>
      <w:pPr>
        <w:ind w:right="320"/>
        <w:spacing w:after="0" w:line="293" w:lineRule="auto"/>
        <w:rPr>
          <w:sz w:val="20"/>
          <w:szCs w:val="20"/>
          <w:color w:val="auto"/>
        </w:rPr>
      </w:pPr>
      <w:r>
        <w:rPr>
          <w:rFonts w:ascii="Times New Roman" w:cs="Times New Roman" w:eastAsia="Times New Roman" w:hAnsi="Times New Roman"/>
          <w:sz w:val="17"/>
          <w:szCs w:val="17"/>
          <w:color w:val="auto"/>
        </w:rPr>
        <w:t>Balance Sheet as of February 4, 2024 were paid in 2024. As of February 1, 2026, the repurchased shares were held as treasury stock and $1.212 billion of the authorization remained available for future share repurchases, excluding excise taxes, as the excise taxes do not reduce the authorized amount remaining.</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currently expect common stock repurchases under the stock repurchase program of at least $300 million during 2026.</w:t>
      </w:r>
    </w:p>
    <w:p>
      <w:pPr>
        <w:spacing w:after="0" w:line="247" w:lineRule="exact"/>
        <w:rPr>
          <w:sz w:val="20"/>
          <w:szCs w:val="20"/>
          <w:color w:val="auto"/>
        </w:rPr>
      </w:pPr>
    </w:p>
    <w:p>
      <w:pPr>
        <w:ind w:right="20" w:firstLine="625"/>
        <w:spacing w:after="0" w:line="293" w:lineRule="auto"/>
        <w:rPr>
          <w:sz w:val="20"/>
          <w:szCs w:val="20"/>
          <w:color w:val="auto"/>
        </w:rPr>
      </w:pPr>
      <w:r>
        <w:rPr>
          <w:rFonts w:ascii="Times New Roman" w:cs="Times New Roman" w:eastAsia="Times New Roman" w:hAnsi="Times New Roman"/>
          <w:sz w:val="17"/>
          <w:szCs w:val="17"/>
          <w:color w:val="auto"/>
        </w:rPr>
        <w:t>Treasury stock activity also includes shares that were withheld in conjunction with the settlement of restricted stock units and performance share units to satisfy tax withholding requirements.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5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Arrangements</w:t>
            </w: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42"/>
        </w:trPr>
        <w:tc>
          <w:tcPr>
            <w:tcW w:w="35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Our capital structure was as follows:</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47"/>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color w:val="auto"/>
              </w:rPr>
              <w:t>2/1/26</w:t>
            </w:r>
          </w:p>
        </w:tc>
        <w:tc>
          <w:tcPr>
            <w:tcW w:w="3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color w:val="auto"/>
              </w:rPr>
              <w:t>2/2/25</w:t>
            </w:r>
          </w:p>
        </w:tc>
      </w:tr>
      <w:tr>
        <w:trPr>
          <w:trHeight w:val="21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borrowings</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w:t>
            </w:r>
          </w:p>
        </w:tc>
      </w:tr>
      <w:tr>
        <w:trPr>
          <w:trHeight w:val="22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1"/>
        </w:trPr>
        <w:tc>
          <w:tcPr>
            <w:tcW w:w="3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2,291</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w:t>
            </w:r>
          </w:p>
        </w:tc>
      </w:tr>
      <w:tr>
        <w:trPr>
          <w:trHeight w:val="22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4,792</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w:t>
            </w:r>
          </w:p>
        </w:tc>
      </w:tr>
    </w:tbl>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we had $701 million and $748 million of cash and cash equivalents as of February 1, 2026 and February 2, 2025, respectively.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Short-Term Borrowings</w:t>
      </w:r>
    </w:p>
    <w:p>
      <w:pPr>
        <w:spacing w:after="0" w:line="247" w:lineRule="exact"/>
        <w:rPr>
          <w:sz w:val="20"/>
          <w:szCs w:val="20"/>
          <w:color w:val="auto"/>
        </w:rPr>
      </w:pPr>
    </w:p>
    <w:p>
      <w:pPr>
        <w:ind w:right="500" w:firstLine="625"/>
        <w:spacing w:after="0" w:line="293" w:lineRule="auto"/>
        <w:rPr>
          <w:sz w:val="20"/>
          <w:szCs w:val="20"/>
          <w:color w:val="auto"/>
        </w:rPr>
      </w:pPr>
      <w:r>
        <w:rPr>
          <w:rFonts w:ascii="Times New Roman" w:cs="Times New Roman" w:eastAsia="Times New Roman" w:hAnsi="Times New Roman"/>
          <w:sz w:val="17"/>
          <w:szCs w:val="17"/>
          <w:color w:val="auto"/>
        </w:rPr>
        <w:t>We have the ability to draw revolving borrowings under the senior unsecured credit facilities discussed below in the section entitled “2022 Senior Unsecured Credit Facilities.” We had no revolving borrowings outstanding under these facilities as of February 1, 2026 and February 2, 2025.</w:t>
      </w:r>
    </w:p>
    <w:p>
      <w:pPr>
        <w:spacing w:after="0" w:line="173" w:lineRule="exact"/>
        <w:rPr>
          <w:sz w:val="20"/>
          <w:szCs w:val="20"/>
          <w:color w:val="auto"/>
        </w:rPr>
      </w:pPr>
    </w:p>
    <w:p>
      <w:pPr>
        <w:jc w:val="both"/>
        <w:ind w:right="100" w:firstLine="625"/>
        <w:spacing w:after="0" w:line="274" w:lineRule="auto"/>
        <w:rPr>
          <w:sz w:val="20"/>
          <w:szCs w:val="20"/>
          <w:color w:val="auto"/>
        </w:rPr>
      </w:pPr>
      <w:r>
        <w:rPr>
          <w:rFonts w:ascii="Times New Roman" w:cs="Times New Roman" w:eastAsia="Times New Roman" w:hAnsi="Times New Roman"/>
          <w:sz w:val="17"/>
          <w:szCs w:val="17"/>
          <w:color w:val="auto"/>
        </w:rPr>
        <w:t>Additionally, we have the ability to borrow under short-term lines of credit, overdraft facilities and short-term revolving credit facilities denominated in various foreign currencies. These facilities provided for borrowing capacity of up to $235 million based on exchange rates in effect on February 1, 2026 and are utilized primarily to fund working capital needs. We had no borrowings outstanding under these facilities as of February 1, 2026 and February 2,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Commercial Paper</w:t>
      </w:r>
    </w:p>
    <w:p>
      <w:pPr>
        <w:spacing w:after="0" w:line="223" w:lineRule="exact"/>
        <w:rPr>
          <w:sz w:val="20"/>
          <w:szCs w:val="20"/>
          <w:color w:val="auto"/>
        </w:rPr>
      </w:pPr>
    </w:p>
    <w:p>
      <w:pPr>
        <w:jc w:val="both"/>
        <w:ind w:right="100" w:firstLine="625"/>
        <w:spacing w:after="0" w:line="268" w:lineRule="auto"/>
        <w:rPr>
          <w:sz w:val="20"/>
          <w:szCs w:val="20"/>
          <w:color w:val="auto"/>
        </w:rPr>
      </w:pPr>
      <w:r>
        <w:rPr>
          <w:rFonts w:ascii="Times New Roman" w:cs="Times New Roman" w:eastAsia="Times New Roman" w:hAnsi="Times New Roman"/>
          <w:sz w:val="17"/>
          <w:szCs w:val="17"/>
          <w:color w:val="auto"/>
        </w:rPr>
        <w:t>We have the ability to issue unsecured commercial paper notes with maturities that vary but do not exceed 397 days from the date of issuance primarily to fund working capital needs. Borrowings under the commercial paper note program, when taken together with the revolving borrowings outstanding under the multicurrency revolving credit facility included in the 2022 facilities (as defined below), cannot exceed $1.150 billion. We had no borrowings outstanding under the commercial paper note program as of February 1, 2026 and February 2,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Unsecured Delayed Draw Term Loan Facilities</w:t>
      </w:r>
    </w:p>
    <w:p>
      <w:pPr>
        <w:spacing w:after="0" w:line="249" w:lineRule="exact"/>
        <w:rPr>
          <w:sz w:val="20"/>
          <w:szCs w:val="20"/>
          <w:color w:val="auto"/>
        </w:rPr>
      </w:pPr>
    </w:p>
    <w:p>
      <w:pPr>
        <w:ind w:right="160" w:firstLine="625"/>
        <w:spacing w:after="0" w:line="268" w:lineRule="auto"/>
        <w:rPr>
          <w:sz w:val="20"/>
          <w:szCs w:val="20"/>
          <w:color w:val="auto"/>
        </w:rPr>
      </w:pPr>
      <w:r>
        <w:rPr>
          <w:rFonts w:ascii="Times New Roman" w:cs="Times New Roman" w:eastAsia="Times New Roman" w:hAnsi="Times New Roman"/>
          <w:sz w:val="17"/>
          <w:szCs w:val="17"/>
          <w:color w:val="auto"/>
        </w:rPr>
        <w:t>On April 4, 2025, we entered into a credit agreement that provided for a delayed draw term loan facility with aggregate lending commitments of $250 million for United States dollar-denominated senior unsecured term loans (the “April 4 facility”). On April 25, 2025, we entered into an additional credit agreement that provided for a delayed draw term loan facility with aggregate lending commitments of $450 million for United States dollar-denominated senior unsecured term loans (the “April 25 facility”).</w:t>
      </w:r>
    </w:p>
    <w:p>
      <w:pPr>
        <w:spacing w:after="0" w:line="194"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The April 25 facility terminated by its terms during the second quarter of 2025 as a result of our issuance of the $500 million principal amount of 5 1/2% senior notes due June 13, 2030 discussed below. The April 4 facility terminated by its terms on February 4, 2026. We had not drawn on these facilities prior to their terminations.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auto"/>
        </w:rPr>
        <w:t>Finance Lease Obligations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cash payments for finance lease obligations totaled $3 million, $4 million and $5 million in 2025, 2024 and 2023, respectively.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2022 Senior Unsecured Credit Facilities</w:t>
      </w:r>
    </w:p>
    <w:p>
      <w:pPr>
        <w:spacing w:after="0" w:line="247" w:lineRule="exact"/>
        <w:rPr>
          <w:sz w:val="20"/>
          <w:szCs w:val="20"/>
          <w:color w:val="auto"/>
        </w:rPr>
      </w:pPr>
    </w:p>
    <w:p>
      <w:pPr>
        <w:jc w:val="both"/>
        <w:ind w:right="120" w:firstLine="625"/>
        <w:spacing w:after="0" w:line="263" w:lineRule="auto"/>
        <w:rPr>
          <w:sz w:val="20"/>
          <w:szCs w:val="20"/>
          <w:color w:val="auto"/>
        </w:rPr>
      </w:pPr>
      <w:r>
        <w:rPr>
          <w:rFonts w:ascii="Times New Roman" w:cs="Times New Roman" w:eastAsia="Times New Roman" w:hAnsi="Times New Roman"/>
          <w:sz w:val="17"/>
          <w:szCs w:val="17"/>
          <w:color w:val="auto"/>
        </w:rPr>
        <w:t>On December 9, 2022 (the “Closing Date”), we entered into senior unsecured credit facilities (the “2022 facilities”). The 2022 facilities consist of (a) a €441 million euro-denominated Term Loan A facility (the “Euro TLA facility”), (b) a $1.150 billion United States dollar-denominated multicurrency revolving credit facility (the “multicurrency revolving credit facility”), which is available in (i) United States dollars, (ii) Australian dollars (limited to A$50 million), (iii)</w:t>
      </w:r>
    </w:p>
    <w:p>
      <w:pPr>
        <w:ind w:right="20"/>
        <w:spacing w:after="0" w:line="263" w:lineRule="auto"/>
        <w:rPr>
          <w:sz w:val="20"/>
          <w:szCs w:val="20"/>
          <w:color w:val="auto"/>
        </w:rPr>
      </w:pPr>
      <w:r>
        <w:rPr>
          <w:rFonts w:ascii="Times New Roman" w:cs="Times New Roman" w:eastAsia="Times New Roman" w:hAnsi="Times New Roman"/>
          <w:sz w:val="17"/>
          <w:szCs w:val="17"/>
          <w:color w:val="auto"/>
        </w:rPr>
        <w:t>Canadian dollars (limited to C$70 million), or (iv) euros, yen, pounds sterling, Swiss francs or other agreed foreign currencies (limited to €250 million), and (c) a $50 million United States dollar-denominated revolving credit facility available in United States dollars or Hong Kong dollars (together with the multicurrency revolving credit facility, the “revolving credit facilities”). The 2022 facilities are due on December 9, 2027.</w:t>
      </w:r>
    </w:p>
    <w:p>
      <w:pPr>
        <w:spacing w:after="0" w:line="198"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The multicurrency revolving credit facility also includes amounts available for letters of credit and has a portion available for the making of swingline loans. The issuance of such letters of credit and the making of any swingline loan reduces the amount available under the multicurrency revolving credit facility. So long as certain conditions are satisfied, we may add one or more senior unsecured term loan facilities or increase the commitments under the revolving credit facilities by an aggregate amount not to exceed $1.5 billion. The lenders under the 2022 facilities are not required to provide commitments with respect to such additional facilities or increased commitments.</w:t>
      </w:r>
    </w:p>
    <w:p>
      <w:pPr>
        <w:spacing w:after="0" w:line="196"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The terms of the Euro TLA facility require us to make quarterly repayments of amounts outstanding, which commenced with the calendar quarter ending March 31, 2023. Such required repayment amounts equal 2.50% per annum of the principal amount outstanding on the Closing Date, paid in equal installments and subject to certain customary adjustments, with the balance due on the maturity date of the Euro TLA facility. The outstanding borrowings under the 2022 facilities are prepayable at any time without penalty (other than customary breakage costs). Any voluntary repayments made by us would reduce the future required repayment amounts. The outstanding principal balance for the Euro TLA facility was €408 million as of February 1, 2026.</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made payments totaling $13 million, $12 million and $12 million on our term loan under the 2022 facilities in 2025, 2024 and 2023, respectively.</w:t>
      </w:r>
    </w:p>
    <w:p>
      <w:pPr>
        <w:spacing w:after="0" w:line="247"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The euro-denominated borrowings under the Euro TLA facility and multicurrency revolving credit facility bear interest at a rate per annum equal to a euro interbank offered rate (“EURIBOR”) and the euro-denominated swing line borrowings under the 2022 facilities bear interest at a rate per annum equal to an adjusted daily simple euro short term rate (“ESTR”), calculated in a manner set forth in the 2022 facilities, plus in each case an applicable margin.</w:t>
      </w:r>
    </w:p>
    <w:p>
      <w:pPr>
        <w:spacing w:after="0" w:line="189" w:lineRule="exact"/>
        <w:rPr>
          <w:sz w:val="20"/>
          <w:szCs w:val="20"/>
          <w:color w:val="auto"/>
        </w:rPr>
      </w:pPr>
    </w:p>
    <w:p>
      <w:pPr>
        <w:ind w:right="120" w:firstLine="625"/>
        <w:spacing w:after="0" w:line="293" w:lineRule="auto"/>
        <w:rPr>
          <w:sz w:val="20"/>
          <w:szCs w:val="20"/>
          <w:color w:val="auto"/>
        </w:rPr>
      </w:pPr>
      <w:r>
        <w:rPr>
          <w:rFonts w:ascii="Times New Roman" w:cs="Times New Roman" w:eastAsia="Times New Roman" w:hAnsi="Times New Roman"/>
          <w:sz w:val="17"/>
          <w:szCs w:val="17"/>
          <w:color w:val="auto"/>
        </w:rPr>
        <w:t>The United States dollar-denominated borrowings under the 2022 facilities bear interest at a rate per annum equal to, at our option, either a base rate or an adjusted term secured overnight financing rate, calculated in a manner set forth in the 2022 facilities, plus an applicable margin.</w:t>
      </w:r>
    </w:p>
    <w:p>
      <w:pPr>
        <w:spacing w:after="0" w:line="173" w:lineRule="exact"/>
        <w:rPr>
          <w:sz w:val="20"/>
          <w:szCs w:val="20"/>
          <w:color w:val="auto"/>
        </w:rPr>
      </w:pPr>
    </w:p>
    <w:p>
      <w:pPr>
        <w:ind w:right="240" w:firstLine="625"/>
        <w:spacing w:after="0" w:line="293" w:lineRule="auto"/>
        <w:rPr>
          <w:sz w:val="20"/>
          <w:szCs w:val="20"/>
          <w:color w:val="auto"/>
        </w:rPr>
      </w:pPr>
      <w:r>
        <w:rPr>
          <w:rFonts w:ascii="Times New Roman" w:cs="Times New Roman" w:eastAsia="Times New Roman" w:hAnsi="Times New Roman"/>
          <w:sz w:val="17"/>
          <w:szCs w:val="17"/>
          <w:color w:val="auto"/>
        </w:rPr>
        <w:t>The borrowings denominated in other foreign currencies under the 2022 facilities bear interest at various indexed rates specified in the 2022 facilities and are calculated in a manner set forth in the 2022 facilities, plus an applicable margin.</w:t>
      </w:r>
    </w:p>
    <w:p>
      <w:pPr>
        <w:spacing w:after="0" w:line="173"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The applicable margin with respect to the Euro TLA facility as of February 1, 2026 was 1.250%. The applicable margin with respect to the revolving credit facilities as of February 1, 2026 was 0.125% for loans bearing interest at the base rate, Canadian prime rate or daily simple ESTR and 1.125% for loans bearing interest at the EURIBOR or any other rate specified in the 2022 facilities. The applicable margin for borrowings under the Euro TLA facility and each revolving credit facility is subject to adjustment (i) after the date of delivery of the compliance certificate and financial statements, with respect to each of our fiscal quarters, based upon our net leverage ratio or (ii) after the date of delivery of notice of a change in our public debt rating by Standard &amp; Poor’s or Moody’s.</w:t>
      </w:r>
    </w:p>
    <w:p>
      <w:pPr>
        <w:spacing w:after="0" w:line="196"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The 2022 facilities contain customary events of default, including but not limited to nonpayment; material inaccuracy of representations and warranties; violations of covenants; certain bankruptcies and liquidations; cross-default to material indebtedness; certain material judgments; certain events related to the Employee Retirement Income Security Act of 1974, as amended; and a change in control (as defined in the 2022 facilities).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53" w:name="page54"/>
    <w:bookmarkEnd w:id="53"/>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The 2022 facilities require us to comply with customary affirmative, negative and financial covenants, including a maximum net leverage ratio, calculated in a manner set forth in the 2022 facilities. A breach of any of these operating or financial covenants would result in a default under the 2022 facilities. If an event of default occurs and is continuing, the lenders could elect to declare all amounts then outstanding, together with accrued interest, to be immediately due and payable, which would result in acceleration of our other debt.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7 3/4% Debentures Due 2023</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had $100 million of debentures due November 15, 2023 that accrued interest at the rate of 7 3/4%. We repaid these debentures at maturity.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3 5/8% Euro Senior Notes Due 2024</w:t>
      </w:r>
    </w:p>
    <w:p>
      <w:pPr>
        <w:spacing w:after="0" w:line="247" w:lineRule="exact"/>
        <w:rPr>
          <w:sz w:val="20"/>
          <w:szCs w:val="20"/>
          <w:color w:val="auto"/>
        </w:rPr>
      </w:pPr>
    </w:p>
    <w:p>
      <w:pPr>
        <w:jc w:val="both"/>
        <w:ind w:right="180" w:firstLine="625"/>
        <w:spacing w:after="0" w:line="274" w:lineRule="auto"/>
        <w:rPr>
          <w:sz w:val="20"/>
          <w:szCs w:val="20"/>
          <w:color w:val="auto"/>
        </w:rPr>
      </w:pPr>
      <w:r>
        <w:rPr>
          <w:rFonts w:ascii="Times New Roman" w:cs="Times New Roman" w:eastAsia="Times New Roman" w:hAnsi="Times New Roman"/>
          <w:sz w:val="17"/>
          <w:szCs w:val="17"/>
          <w:color w:val="auto"/>
        </w:rPr>
        <w:t>We had outstanding €525 million principal amount of 3 5/8% senior notes due July 15, 2024. We redeemed these notes on April 25, 2024 utilizing the net proceeds from the issuance of the €525 million principal amount of 4 1/8% senior notes due July 16, 2029 together with other available funds, as discussed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4 5/8% Senior Notes Due 2025</w:t>
      </w:r>
    </w:p>
    <w:p>
      <w:pPr>
        <w:spacing w:after="0" w:line="247" w:lineRule="exact"/>
        <w:rPr>
          <w:sz w:val="20"/>
          <w:szCs w:val="20"/>
          <w:color w:val="auto"/>
        </w:rPr>
      </w:pPr>
    </w:p>
    <w:p>
      <w:pPr>
        <w:jc w:val="both"/>
        <w:ind w:right="420" w:firstLine="625"/>
        <w:spacing w:after="0" w:line="274" w:lineRule="auto"/>
        <w:rPr>
          <w:sz w:val="20"/>
          <w:szCs w:val="20"/>
          <w:color w:val="auto"/>
        </w:rPr>
      </w:pPr>
      <w:r>
        <w:rPr>
          <w:rFonts w:ascii="Times New Roman" w:cs="Times New Roman" w:eastAsia="Times New Roman" w:hAnsi="Times New Roman"/>
          <w:sz w:val="17"/>
          <w:szCs w:val="17"/>
          <w:color w:val="auto"/>
        </w:rPr>
        <w:t>We had outstanding $500 million principal amount of 4 5/8% senior notes due July 10, 2025. We repaid these notes upon maturity utilizing the net proceeds from the issuance of the $500 million principal amount of 5 1/2% senior notes due June 13, 2030 together with other available funds, as discussed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3 1/8% Euro Senior Notes Due 2027</w:t>
      </w:r>
    </w:p>
    <w:p>
      <w:pPr>
        <w:spacing w:after="0" w:line="247" w:lineRule="exact"/>
        <w:rPr>
          <w:sz w:val="20"/>
          <w:szCs w:val="20"/>
          <w:color w:val="auto"/>
        </w:rPr>
      </w:pPr>
    </w:p>
    <w:p>
      <w:pPr>
        <w:jc w:val="both"/>
        <w:ind w:right="120" w:firstLine="625"/>
        <w:spacing w:after="0" w:line="274" w:lineRule="auto"/>
        <w:rPr>
          <w:sz w:val="20"/>
          <w:szCs w:val="20"/>
          <w:color w:val="auto"/>
        </w:rPr>
      </w:pPr>
      <w:r>
        <w:rPr>
          <w:rFonts w:ascii="Times New Roman" w:cs="Times New Roman" w:eastAsia="Times New Roman" w:hAnsi="Times New Roman"/>
          <w:sz w:val="17"/>
          <w:szCs w:val="17"/>
          <w:color w:val="auto"/>
        </w:rPr>
        <w:t>We have outstanding €600 million principal amount of 3 1/8% senior notes due December 15, 2027. We may redeem some or all of these notes at any time prior to September 15, 2027 by paying a “make whole” premium plus any accrued and unpaid interest. In addition, in advance of maturity, we may redeem the remaining outstanding notes beginning on September 15, 2027 at their principal amount plus any accrued and unpaid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4 1/8% Euro Senior Notes Due 2029</w:t>
      </w:r>
    </w:p>
    <w:p>
      <w:pPr>
        <w:spacing w:after="0" w:line="247" w:lineRule="exact"/>
        <w:rPr>
          <w:sz w:val="20"/>
          <w:szCs w:val="20"/>
          <w:color w:val="auto"/>
        </w:rPr>
      </w:pPr>
    </w:p>
    <w:p>
      <w:pPr>
        <w:jc w:val="both"/>
        <w:ind w:right="640" w:firstLine="625"/>
        <w:spacing w:after="0" w:line="293" w:lineRule="auto"/>
        <w:rPr>
          <w:sz w:val="20"/>
          <w:szCs w:val="20"/>
          <w:color w:val="auto"/>
        </w:rPr>
      </w:pPr>
      <w:r>
        <w:rPr>
          <w:rFonts w:ascii="Times New Roman" w:cs="Times New Roman" w:eastAsia="Times New Roman" w:hAnsi="Times New Roman"/>
          <w:sz w:val="17"/>
          <w:szCs w:val="17"/>
          <w:color w:val="auto"/>
        </w:rPr>
        <w:t>We issued on April 15, 2024, €525 million principal amount of 4 1/8% senior notes due July 16, 2029. We paid €5 million ($6 million based on exchange rates in effect on the payment date) of fees in connection with the issuance of the notes, which are being amortized over the term of the notes.</w:t>
      </w:r>
    </w:p>
    <w:p>
      <w:pPr>
        <w:spacing w:after="0" w:line="173"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During the first quarter of 2025, we completed the allocation of an amount equal to 100% of the net proceeds of the offering to sustainable materials, which qualify as environmental Eligible Projects (as defined in our prospectus relating to the notes offering). During the first quarter of 2024, we utilized the net proceeds of the offering, together with other available funds, to redeem the €525 million principal amount of 3 5/8% senior notes due July 15, 2024, as discussed above.</w:t>
      </w:r>
    </w:p>
    <w:p>
      <w:pPr>
        <w:spacing w:after="0" w:line="194"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We may redeem some or all of these notes at any time prior to April 16, 2029 by paying a “make whole” premium, plus any accrued and unpaid interest. In addition, in advance of maturity, we may redeem the remaining outstanding notes beginning on April 16, 2029, or all of these notes at any time in the event of certain developments affecting taxation, at their principal amount plus any accrued and unpaid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5 1/2% Senior Notes Due 2030</w:t>
      </w:r>
    </w:p>
    <w:p>
      <w:pPr>
        <w:spacing w:after="0" w:line="247" w:lineRule="exact"/>
        <w:rPr>
          <w:sz w:val="20"/>
          <w:szCs w:val="20"/>
          <w:color w:val="auto"/>
        </w:rPr>
      </w:pPr>
    </w:p>
    <w:p>
      <w:pPr>
        <w:ind w:right="40" w:firstLine="625"/>
        <w:spacing w:after="0" w:line="293" w:lineRule="auto"/>
        <w:rPr>
          <w:sz w:val="20"/>
          <w:szCs w:val="20"/>
          <w:color w:val="auto"/>
        </w:rPr>
      </w:pPr>
      <w:r>
        <w:rPr>
          <w:rFonts w:ascii="Times New Roman" w:cs="Times New Roman" w:eastAsia="Times New Roman" w:hAnsi="Times New Roman"/>
          <w:sz w:val="17"/>
          <w:szCs w:val="17"/>
          <w:color w:val="auto"/>
        </w:rPr>
        <w:t>We issued on June 13, 2025, $500 million principal amount of 5 1/2% senior notes due June 13, 2030. We paid $6 million of fees in connection with the issuance of the notes, which are being amortized over the term of the notes.</w:t>
      </w:r>
    </w:p>
    <w:p>
      <w:pPr>
        <w:spacing w:after="0" w:line="173" w:lineRule="exact"/>
        <w:rPr>
          <w:sz w:val="20"/>
          <w:szCs w:val="20"/>
          <w:color w:val="auto"/>
        </w:rPr>
      </w:pPr>
    </w:p>
    <w:p>
      <w:pPr>
        <w:ind w:right="120" w:firstLine="625"/>
        <w:spacing w:after="0" w:line="293" w:lineRule="auto"/>
        <w:rPr>
          <w:sz w:val="20"/>
          <w:szCs w:val="20"/>
          <w:color w:val="auto"/>
        </w:rPr>
      </w:pPr>
      <w:r>
        <w:rPr>
          <w:rFonts w:ascii="Times New Roman" w:cs="Times New Roman" w:eastAsia="Times New Roman" w:hAnsi="Times New Roman"/>
          <w:sz w:val="17"/>
          <w:szCs w:val="17"/>
          <w:color w:val="auto"/>
        </w:rPr>
        <w:t>We utilized the net proceeds of the offering, together with other available funds, to repay the $500 million principal amount of 4 5/8% senior notes due July 10, 2025, as discussed above.</w:t>
      </w:r>
    </w:p>
    <w:p>
      <w:pPr>
        <w:spacing w:after="0" w:line="173"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We may redeem some or all of these notes at any time prior to May 13, 2030 by paying a “make whole” premium, plus any accrued and unpaid interest. In addition, in advance of maturity, we may redeem the remaining outstanding notes beginning on May 13, 2030 at their principal amount plus any accrued and unpaid interest.</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136" w:right="359" w:bottom="1440" w:gutter="0" w:footer="0" w:header="0"/>
        </w:sectPr>
      </w:pPr>
    </w:p>
    <w:bookmarkStart w:id="54" w:name="page55"/>
    <w:bookmarkEnd w:id="54"/>
    <w:p>
      <w:pPr>
        <w:ind w:left="620"/>
        <w:spacing w:after="0"/>
        <w:rPr>
          <w:sz w:val="20"/>
          <w:szCs w:val="20"/>
          <w:color w:val="auto"/>
        </w:rPr>
      </w:pPr>
      <w:r>
        <w:rPr>
          <w:rFonts w:ascii="Times New Roman" w:cs="Times New Roman" w:eastAsia="Times New Roman" w:hAnsi="Times New Roman"/>
          <w:sz w:val="17"/>
          <w:szCs w:val="17"/>
          <w:color w:val="auto"/>
        </w:rPr>
        <w:t>Our ability to create liens on our assets or engage in sale/leaseback transactions is restricted under the indentures governing our senior notes.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February 1, 2026, we were in compliance with all applicable financial and non-financial covenants under our financing arrangements.</w:t>
      </w:r>
    </w:p>
    <w:p>
      <w:pPr>
        <w:spacing w:after="0" w:line="247" w:lineRule="exact"/>
        <w:rPr>
          <w:sz w:val="20"/>
          <w:szCs w:val="20"/>
          <w:color w:val="auto"/>
        </w:rPr>
      </w:pPr>
    </w:p>
    <w:p>
      <w:pPr>
        <w:ind w:right="140" w:firstLine="625"/>
        <w:spacing w:after="0" w:line="266" w:lineRule="auto"/>
        <w:rPr>
          <w:sz w:val="20"/>
          <w:szCs w:val="20"/>
          <w:color w:val="auto"/>
        </w:rPr>
      </w:pPr>
      <w:r>
        <w:rPr>
          <w:rFonts w:ascii="Times New Roman" w:cs="Times New Roman" w:eastAsia="Times New Roman" w:hAnsi="Times New Roman"/>
          <w:sz w:val="17"/>
          <w:szCs w:val="17"/>
          <w:color w:val="auto"/>
        </w:rPr>
        <w:t>As of February 1, 2026, our issuer credit was rated BBB- by Standard &amp; Poor’s with a positive outlook and our corporate credit was rated Baa3 by Moody’s with a stable outlook, and our commercial paper was rated A-3 by Standard &amp; Poor’s and P-3 by Moody’s. In assessing our credit strength, we believe that both Standard &amp; Poor’s and Moody’s considered, among other things, our capital structure and financial policies, our consolidated balance sheet, our historical acquisition activity and other financial information, including our revenue growth and operating margin, as well as industry and other qualitative factors.</w:t>
      </w:r>
    </w:p>
    <w:p>
      <w:pPr>
        <w:spacing w:after="0" w:line="200" w:lineRule="exact"/>
        <w:rPr>
          <w:sz w:val="20"/>
          <w:szCs w:val="20"/>
          <w:color w:val="auto"/>
        </w:rPr>
      </w:pP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Please see Note 8, “Debt,” in the Notes to Consolidated Financial Statements included in Item 8 of this report for further discussion of our debt.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Additional Cash Requirements</w:t>
      </w:r>
    </w:p>
    <w:p>
      <w:pPr>
        <w:spacing w:after="0" w:line="251" w:lineRule="exact"/>
        <w:rPr>
          <w:sz w:val="20"/>
          <w:szCs w:val="20"/>
          <w:color w:val="auto"/>
        </w:rPr>
      </w:pPr>
    </w:p>
    <w:p>
      <w:pPr>
        <w:ind w:firstLine="625"/>
        <w:spacing w:after="0" w:line="279" w:lineRule="auto"/>
        <w:rPr>
          <w:sz w:val="20"/>
          <w:szCs w:val="20"/>
          <w:color w:val="auto"/>
        </w:rPr>
      </w:pPr>
      <w:r>
        <w:rPr>
          <w:rFonts w:ascii="Times New Roman" w:cs="Times New Roman" w:eastAsia="Times New Roman" w:hAnsi="Times New Roman"/>
          <w:sz w:val="17"/>
          <w:szCs w:val="17"/>
          <w:color w:val="auto"/>
        </w:rPr>
        <w:t>The following table summarizes current and long-term cash requirements as of February 1, 2026, which we expect to fund primarily with cash generated from operating cash flows and continued access to financial and credit markets: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7"/>
                <w:szCs w:val="17"/>
                <w:color w:val="auto"/>
              </w:rPr>
              <w:t>Cash Requirements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14"/>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Description</w:t>
            </w:r>
          </w:p>
        </w:tc>
        <w:tc>
          <w:tcPr>
            <w:tcW w:w="26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Pr>
          <w:p>
            <w:pPr>
              <w:spacing w:after="0"/>
              <w:rPr>
                <w:sz w:val="18"/>
                <w:szCs w:val="18"/>
                <w:color w:val="auto"/>
              </w:rPr>
            </w:pPr>
          </w:p>
        </w:tc>
        <w:tc>
          <w:tcPr>
            <w:tcW w:w="9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2027-2028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2029-2030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Thereafter</w:t>
            </w:r>
          </w:p>
        </w:tc>
      </w:tr>
      <w:tr>
        <w:trPr>
          <w:trHeight w:val="214"/>
        </w:trPr>
        <w:tc>
          <w:tcPr>
            <w:tcW w:w="4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21"/>
        </w:trPr>
        <w:tc>
          <w:tcPr>
            <w:tcW w:w="4680" w:type="dxa"/>
            <w:vAlign w:val="bottom"/>
            <w:gridSpan w:val="2"/>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Long-term debt</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1"/>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payments on long-term debt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1"/>
        </w:trPr>
        <w:tc>
          <w:tcPr>
            <w:tcW w:w="4680" w:type="dxa"/>
            <w:vAlign w:val="bottom"/>
            <w:gridSpan w:val="2"/>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Operating and finance leases</w:t>
            </w:r>
            <w:r>
              <w:rPr>
                <w:rFonts w:ascii="Times New Roman" w:cs="Times New Roman" w:eastAsia="Times New Roman" w:hAnsi="Times New Roman"/>
                <w:sz w:val="22"/>
                <w:szCs w:val="22"/>
                <w:color w:val="auto"/>
                <w:vertAlign w:val="superscript"/>
              </w:rPr>
              <w:t>(2)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w:t>
            </w:r>
          </w:p>
        </w:tc>
      </w:tr>
      <w:tr>
        <w:trPr>
          <w:trHeight w:val="221"/>
        </w:trPr>
        <w:tc>
          <w:tcPr>
            <w:tcW w:w="4680" w:type="dxa"/>
            <w:vAlign w:val="bottom"/>
            <w:gridSpan w:val="2"/>
          </w:tcPr>
          <w:p>
            <w:pPr>
              <w:ind w:left="20"/>
              <w:spacing w:after="0" w:line="221" w:lineRule="exact"/>
              <w:rPr>
                <w:sz w:val="20"/>
                <w:szCs w:val="20"/>
                <w:color w:val="auto"/>
              </w:rPr>
            </w:pPr>
            <w:r>
              <w:rPr>
                <w:rFonts w:ascii="Times New Roman" w:cs="Times New Roman" w:eastAsia="Times New Roman" w:hAnsi="Times New Roman"/>
                <w:sz w:val="17"/>
                <w:szCs w:val="17"/>
                <w:color w:val="auto"/>
              </w:rPr>
              <w:t>Inventory purchase commitments</w:t>
            </w:r>
            <w:r>
              <w:rPr>
                <w:rFonts w:ascii="Times New Roman" w:cs="Times New Roman" w:eastAsia="Times New Roman" w:hAnsi="Times New Roman"/>
                <w:sz w:val="22"/>
                <w:szCs w:val="22"/>
                <w:color w:val="auto"/>
                <w:vertAlign w:val="superscript"/>
              </w:rPr>
              <w:t>(3)</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1"/>
        </w:trPr>
        <w:tc>
          <w:tcPr>
            <w:tcW w:w="4680" w:type="dxa"/>
            <w:vAlign w:val="bottom"/>
            <w:gridSpan w:val="2"/>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Other cash requirements</w:t>
            </w:r>
            <w:r>
              <w:rPr>
                <w:rFonts w:ascii="Times New Roman" w:cs="Times New Roman" w:eastAsia="Times New Roman" w:hAnsi="Times New Roman"/>
                <w:sz w:val="22"/>
                <w:szCs w:val="22"/>
                <w:color w:val="auto"/>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6,369</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w:t>
      </w:r>
    </w:p>
    <w:p>
      <w:pPr>
        <w:spacing w:after="0" w:line="117" w:lineRule="exact"/>
        <w:rPr>
          <w:sz w:val="20"/>
          <w:szCs w:val="20"/>
          <w:color w:val="auto"/>
        </w:rPr>
      </w:pPr>
    </w:p>
    <w:p>
      <w:pPr>
        <w:ind w:left="620" w:right="80" w:hanging="304"/>
        <w:spacing w:after="0"/>
        <w:tabs>
          <w:tab w:leader="none" w:pos="60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At February 1, 2026, the outstanding principal balance under our senior unsecured Term Loan A facility was $483 million, which requires mandatory payments through December 9, 2027 (according to the mandatory repayment schedules). We also had outstanding $711 million of 3 1/8% senior unsecured euro notes due December 15, 2027, $622 million of 4 1/8% senior unsecured euro notes due July 16, 2029 and $500 million of 5 1/2% senior unsecured notes due June 13, 2030.</w:t>
      </w:r>
    </w:p>
    <w:p>
      <w:pPr>
        <w:spacing w:after="0" w:line="85" w:lineRule="exact"/>
        <w:rPr>
          <w:rFonts w:ascii="Times New Roman" w:cs="Times New Roman" w:eastAsia="Times New Roman" w:hAnsi="Times New Roman"/>
          <w:sz w:val="23"/>
          <w:szCs w:val="23"/>
          <w:color w:val="auto"/>
          <w:vertAlign w:val="superscript"/>
        </w:rPr>
      </w:pPr>
    </w:p>
    <w:p>
      <w:pPr>
        <w:jc w:val="both"/>
        <w:ind w:left="620" w:right="180" w:hanging="304"/>
        <w:spacing w:after="0" w:line="226" w:lineRule="auto"/>
        <w:tabs>
          <w:tab w:leader="none" w:pos="60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We lease Company-operated free-standing retail store locations, warehouses, distribution centers, showrooms, office space, and certain equipment and other assets. Please see Note 16, “Leases,” in the Notes to Consolidated Financial Statements included in Item 8 of this report for further information.</w:t>
      </w:r>
    </w:p>
    <w:p>
      <w:pPr>
        <w:spacing w:after="0" w:line="87" w:lineRule="exact"/>
        <w:rPr>
          <w:rFonts w:ascii="Times New Roman" w:cs="Times New Roman" w:eastAsia="Times New Roman" w:hAnsi="Times New Roman"/>
          <w:sz w:val="23"/>
          <w:szCs w:val="23"/>
          <w:color w:val="auto"/>
          <w:vertAlign w:val="superscript"/>
        </w:rPr>
      </w:pPr>
    </w:p>
    <w:p>
      <w:pPr>
        <w:ind w:left="620" w:right="200" w:hanging="304"/>
        <w:spacing w:after="0" w:line="245" w:lineRule="auto"/>
        <w:tabs>
          <w:tab w:leader="none" w:pos="60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Represents contractual commitments that are enforceable and legally binding for goods on order and not received or paid for as of February 1, 2026. Inventory purchase commitments also include fabric commitments with our suppliers, which secure a portion of our material needs for future seasons. Substantially all of these goods are expected to be received and the related payments are expected to be made in 2026. This amount does not include foreign currency forward contracts that we have entered into to manage our exposure to exchange rate changes with respect to certain of these purchases. Please see Note 10, “Derivative Financial Instruments,” in the Notes to Consolidated Financial Statements included in Item 8 of this report for further information.</w:t>
      </w:r>
    </w:p>
    <w:p>
      <w:pPr>
        <w:spacing w:after="0" w:line="85" w:lineRule="exact"/>
        <w:rPr>
          <w:rFonts w:ascii="Times New Roman" w:cs="Times New Roman" w:eastAsia="Times New Roman" w:hAnsi="Times New Roman"/>
          <w:sz w:val="23"/>
          <w:szCs w:val="23"/>
          <w:color w:val="auto"/>
          <w:vertAlign w:val="superscript"/>
        </w:rPr>
      </w:pPr>
    </w:p>
    <w:p>
      <w:pPr>
        <w:ind w:left="620" w:right="400" w:hanging="304"/>
        <w:spacing w:after="0" w:line="226" w:lineRule="auto"/>
        <w:tabs>
          <w:tab w:leader="none" w:pos="608"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Represents cash requirements primarily related to (i) information-technology service agreements, (ii) minimum contractual royalty payments under several license agreements we have with third parties, and (iii) advertising and sponsorship agreements.</w:t>
      </w:r>
    </w:p>
    <w:p>
      <w:pPr>
        <w:spacing w:after="0" w:line="321" w:lineRule="exact"/>
        <w:rPr>
          <w:sz w:val="20"/>
          <w:szCs w:val="20"/>
          <w:color w:val="auto"/>
        </w:rPr>
      </w:pPr>
    </w:p>
    <w:p>
      <w:pPr>
        <w:jc w:val="both"/>
        <w:ind w:right="380" w:firstLine="625"/>
        <w:spacing w:after="0" w:line="274" w:lineRule="auto"/>
        <w:rPr>
          <w:sz w:val="20"/>
          <w:szCs w:val="20"/>
          <w:color w:val="auto"/>
        </w:rPr>
      </w:pPr>
      <w:r>
        <w:rPr>
          <w:rFonts w:ascii="Times New Roman" w:cs="Times New Roman" w:eastAsia="Times New Roman" w:hAnsi="Times New Roman"/>
          <w:sz w:val="17"/>
          <w:szCs w:val="17"/>
          <w:color w:val="auto"/>
        </w:rPr>
        <w:t>Not included in the above table are contributions to our qualified defined benefit pension plans, or payments in connection with our unfunded non-qualified supplemental defined benefit pension plans and our unfunded postretirement health care and life insurance benefits plans. These cash requirements cannot be determined due to the number of assumptions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55" w:name="page56"/>
    <w:bookmarkEnd w:id="55"/>
    <w:p>
      <w:pPr>
        <w:ind w:right="20"/>
        <w:spacing w:after="0" w:line="268" w:lineRule="auto"/>
        <w:rPr>
          <w:sz w:val="20"/>
          <w:szCs w:val="20"/>
          <w:color w:val="auto"/>
        </w:rPr>
      </w:pPr>
      <w:r>
        <w:rPr>
          <w:rFonts w:ascii="Times New Roman" w:cs="Times New Roman" w:eastAsia="Times New Roman" w:hAnsi="Times New Roman"/>
          <w:sz w:val="17"/>
          <w:szCs w:val="17"/>
          <w:color w:val="auto"/>
        </w:rPr>
        <w:t>required to estimate our future benefit obligations, including return on assets and discount rate. The liabilities associated with these plans are presented in Note 12, “Retirement and Benefit Plans,” in the Notes to Consolidated Financial Statements included in Item 8 of this report. Currently, we do not expect to make any material contributions to our pension plans in 2026. Our actual contributions may differ from our planned contributions due to many factors, including changes in tax and other benefit laws, or significant differences between expected and actual pension asset performance or interest rates.</w:t>
      </w:r>
    </w:p>
    <w:p>
      <w:pPr>
        <w:spacing w:after="0" w:line="194" w:lineRule="exact"/>
        <w:rPr>
          <w:sz w:val="20"/>
          <w:szCs w:val="20"/>
          <w:color w:val="auto"/>
        </w:rPr>
      </w:pPr>
    </w:p>
    <w:p>
      <w:pPr>
        <w:jc w:val="both"/>
        <w:ind w:right="40" w:firstLine="625"/>
        <w:spacing w:after="0" w:line="274" w:lineRule="auto"/>
        <w:rPr>
          <w:sz w:val="20"/>
          <w:szCs w:val="20"/>
          <w:color w:val="auto"/>
        </w:rPr>
      </w:pPr>
      <w:r>
        <w:rPr>
          <w:rFonts w:ascii="Times New Roman" w:cs="Times New Roman" w:eastAsia="Times New Roman" w:hAnsi="Times New Roman"/>
          <w:sz w:val="17"/>
          <w:szCs w:val="17"/>
          <w:color w:val="auto"/>
        </w:rPr>
        <w:t>Not included in the above table are $47 million of net potential cash obligations associated with uncertain tax positions due to the uncertainty regarding the future cash outflows associated with such obligations. Please see Note 9, “Income Taxes,” in the Notes to Consolidated Financial Statements included in Item 8 of this report for further information related to uncertain tax positions.</w:t>
      </w:r>
    </w:p>
    <w:p>
      <w:pPr>
        <w:spacing w:after="0" w:line="189" w:lineRule="exact"/>
        <w:rPr>
          <w:sz w:val="20"/>
          <w:szCs w:val="20"/>
          <w:color w:val="auto"/>
        </w:rPr>
      </w:pPr>
    </w:p>
    <w:p>
      <w:pPr>
        <w:jc w:val="both"/>
        <w:ind w:right="20" w:firstLine="625"/>
        <w:spacing w:after="0" w:line="268" w:lineRule="auto"/>
        <w:rPr>
          <w:sz w:val="20"/>
          <w:szCs w:val="20"/>
          <w:color w:val="auto"/>
        </w:rPr>
      </w:pPr>
      <w:r>
        <w:rPr>
          <w:rFonts w:ascii="Times New Roman" w:cs="Times New Roman" w:eastAsia="Times New Roman" w:hAnsi="Times New Roman"/>
          <w:sz w:val="17"/>
          <w:szCs w:val="17"/>
          <w:color w:val="auto"/>
        </w:rPr>
        <w:t>Not included in the above table are $41 million of asset retirement obligations related to our obligation to dismantle or remove leasehold improvements from leased office, retail store or warehouse locations at the end of a lease term in order to restore a facility to a condition specified in the lease agreement due to the uncertainty of timing of future cash outflows associated with such obligations. Please see Note 22, “Other Comments,” in the Notes to Consolidated Financial Statements included in Item 8 of this report for further information related to asset retirement obligations.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249" w:lineRule="exact"/>
        <w:rPr>
          <w:sz w:val="20"/>
          <w:szCs w:val="20"/>
          <w:color w:val="auto"/>
        </w:rPr>
      </w:pPr>
    </w:p>
    <w:p>
      <w:pPr>
        <w:ind w:right="40" w:firstLine="625"/>
        <w:spacing w:after="0" w:line="259" w:lineRule="auto"/>
        <w:rPr>
          <w:sz w:val="20"/>
          <w:szCs w:val="20"/>
          <w:color w:val="auto"/>
        </w:rPr>
      </w:pPr>
      <w:r>
        <w:rPr>
          <w:rFonts w:ascii="Times New Roman" w:cs="Times New Roman" w:eastAsia="Times New Roman" w:hAnsi="Times New Roman"/>
          <w:sz w:val="17"/>
          <w:szCs w:val="17"/>
          <w:color w:val="auto"/>
        </w:rPr>
        <w:t>Financial instruments held by us as of February 1, 2026 primarily include cash and cash equivalents, short-term borrowings, long-term debt, foreign currency forward contracts and cross-currency swap contracts. Note 11, “Fair Value Measurements,” in the Notes to Consolidated Financial Statements included in Item 8 of this report outlines the fair value of our financial instruments as of February 1, 2026. Cash and cash equivalents held by us are affected by short-term interest rates. Given our balance of cash and cash equivalents at February 1, 2026, the effect of a 10 basis point change in short-term interest rates on our interest income would be approximately $0.7 million annually. Borrowings under our senior unsecured term loan facility bear interest at a rate equal to an applicable margin plus a variable rate. As such, our senior unsecured term loan facility exposes us to market risk for changes in interest rates. As of February 1, 2026, approximately 80% of our long-term debt was at a fixed interest rate, with the remaining (euro-denominated) balance at a variable interest rate. Interest on the euro-denominated debt is subject to change based on fluctuations in the one-month EURIBOR. The effect of a 10 basis point change in the current one-month EURIBOR on our variable interest expense would be approximately $0.5 million annually. Please see “Liquidity and Capital Resources” in the Management’s Discussion and Analysis section included in Part II, Item 7 of this report for further discussion of our credit facilities.</w:t>
      </w:r>
    </w:p>
    <w:p>
      <w:pPr>
        <w:spacing w:after="0" w:line="206"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Our Tommy Hilfiger and Calvin Klein businesses each have substantial international components that expose us to significant foreign exchange risk. Over 70% of our $9.0 billion of revenue in 2025, $8.7 billion of revenue in 2024 and $9.2 billion of revenue in 2023 was generated outside of the United States. Changes in exchange rates between the United States dollar and other currencies can impact our financial results in two ways: a translational impact and a transactional impact.</w:t>
      </w:r>
    </w:p>
    <w:p>
      <w:pPr>
        <w:spacing w:after="0" w:line="194"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The translational impact refers to the impact that changes in exchange rates can have on our results of operations and financial position. The functional currencies of our foreign subsidiaries are generally the applicable local currencies. Our consolidated financial statements are presented in United States dollars. The results of operations of our foreign subsidiaries are translated into United States dollars using an average exchange rate over the representative period and the assets and liabilities of our foreign subsidiaries are translated into United States dollars using the closing exchange rate at the balance sheet date. Foreign exchange differences that arise from the translation of our foreign subsidiaries’ assets and liabilities into United States dollars are recorded as foreign currency translation adjustments in other comprehensive income (loss). Accordingly, our results of operations and other comprehensive income (loss) will be unfavorably impacted during times of a strengthening United States dollar, particularly against the euro, the Japanese yen, the Korean won, the British pound, the Australian dollar, the Canadian dollar, the Mexican peso, the Brazilian real and the Chinese yuan, and favorably impacted during times of a weakening United States dollar against those currencies.</w:t>
      </w:r>
    </w:p>
    <w:p>
      <w:pPr>
        <w:spacing w:after="0" w:line="202" w:lineRule="exact"/>
        <w:rPr>
          <w:sz w:val="20"/>
          <w:szCs w:val="20"/>
          <w:color w:val="auto"/>
        </w:rPr>
      </w:pPr>
    </w:p>
    <w:p>
      <w:pPr>
        <w:ind w:right="200" w:firstLine="625"/>
        <w:spacing w:after="0" w:line="274" w:lineRule="auto"/>
        <w:rPr>
          <w:sz w:val="20"/>
          <w:szCs w:val="20"/>
          <w:color w:val="auto"/>
        </w:rPr>
      </w:pPr>
      <w:r>
        <w:rPr>
          <w:rFonts w:ascii="Times New Roman" w:cs="Times New Roman" w:eastAsia="Times New Roman" w:hAnsi="Times New Roman"/>
          <w:sz w:val="17"/>
          <w:szCs w:val="17"/>
          <w:color w:val="auto"/>
        </w:rPr>
        <w:t>Our 2025 revenue and net income increased by approximately $250 million and $25 million, respectively, as compared to 2024 due to the impact of foreign currency translation. We currently expect our 2026 revenue and net income to increase by approximately $100 million and $15 million, respectively, as compared to 2025 due to the impact of foreign currency translation.</w:t>
      </w:r>
    </w:p>
    <w:p>
      <w:pPr>
        <w:spacing w:after="0" w:line="189" w:lineRule="exact"/>
        <w:rPr>
          <w:sz w:val="20"/>
          <w:szCs w:val="20"/>
          <w:color w:val="auto"/>
        </w:rPr>
      </w:pPr>
    </w:p>
    <w:p>
      <w:pPr>
        <w:ind w:right="80" w:firstLine="625"/>
        <w:spacing w:after="0" w:line="274" w:lineRule="auto"/>
        <w:rPr>
          <w:sz w:val="20"/>
          <w:szCs w:val="20"/>
          <w:color w:val="auto"/>
        </w:rPr>
      </w:pPr>
      <w:r>
        <w:rPr>
          <w:rFonts w:ascii="Times New Roman" w:cs="Times New Roman" w:eastAsia="Times New Roman" w:hAnsi="Times New Roman"/>
          <w:sz w:val="17"/>
          <w:szCs w:val="17"/>
          <w:color w:val="auto"/>
        </w:rPr>
        <w:t>In 2025, we recognized favorable foreign currency translation adjustments of $403 million within other comprehensive income (loss) principally driven by a weakening of the United States dollar since February 2, 2025 against the euro of 14%. Our foreign currency translation adjustments recorded in other comprehensive income (loss) are significantly impacted by the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6" w:name="page57"/>
    <w:bookmarkEnd w:id="56"/>
    <w:p>
      <w:pPr>
        <w:spacing w:after="0" w:line="293" w:lineRule="auto"/>
        <w:rPr>
          <w:sz w:val="20"/>
          <w:szCs w:val="20"/>
          <w:color w:val="auto"/>
        </w:rPr>
      </w:pPr>
      <w:r>
        <w:rPr>
          <w:rFonts w:ascii="Times New Roman" w:cs="Times New Roman" w:eastAsia="Times New Roman" w:hAnsi="Times New Roman"/>
          <w:sz w:val="17"/>
          <w:szCs w:val="17"/>
          <w:color w:val="auto"/>
        </w:rPr>
        <w:t>substantial amount of goodwill and other intangible assets denominated in the euro, which represented 46% of our $5.1 billion total goodwill and other intangible assets as of February 1, 2026. This translational impact was partially mitigated by the change in the fair value of our net investment hedges discussed below.</w:t>
      </w:r>
    </w:p>
    <w:p>
      <w:pPr>
        <w:spacing w:after="0" w:line="173" w:lineRule="exact"/>
        <w:rPr>
          <w:sz w:val="20"/>
          <w:szCs w:val="20"/>
          <w:color w:val="auto"/>
        </w:rPr>
      </w:pPr>
    </w:p>
    <w:p>
      <w:pPr>
        <w:ind w:right="60" w:firstLine="625"/>
        <w:spacing w:after="0" w:line="263" w:lineRule="auto"/>
        <w:rPr>
          <w:sz w:val="20"/>
          <w:szCs w:val="20"/>
          <w:color w:val="auto"/>
        </w:rPr>
      </w:pPr>
      <w:r>
        <w:rPr>
          <w:rFonts w:ascii="Times New Roman" w:cs="Times New Roman" w:eastAsia="Times New Roman" w:hAnsi="Times New Roman"/>
          <w:sz w:val="17"/>
          <w:szCs w:val="17"/>
          <w:color w:val="auto"/>
        </w:rPr>
        <w:t>There also is a transactional impact of foreign exchange because we have foreign subsidiaries that purchase inventory in a currency other than their functional currency. We also have exposure to changes in foreign currency rates related to certain intercompany transactions and SG&amp;A expenses. We currently use and plan to continue to use foreign currency forward contracts or other derivative instruments to mitigate the cash flow or market value risks associated with these inventory and intercompany transactions, but we are unable to entirely eliminate these risks. We enter into foreign currency forward contracts pertaining to these inventory transactions up to 15 months in advance of payment for a portion of the projected purchases and may enter into incremental contracts leading up to the time the payments occur.</w:t>
      </w:r>
    </w:p>
    <w:p>
      <w:pPr>
        <w:spacing w:after="0" w:line="172" w:lineRule="exact"/>
        <w:rPr>
          <w:sz w:val="20"/>
          <w:szCs w:val="20"/>
          <w:color w:val="auto"/>
        </w:rPr>
      </w:pPr>
    </w:p>
    <w:p>
      <w:pPr>
        <w:ind w:right="560" w:firstLine="625"/>
        <w:spacing w:after="0" w:line="293" w:lineRule="auto"/>
        <w:rPr>
          <w:sz w:val="20"/>
          <w:szCs w:val="20"/>
          <w:color w:val="auto"/>
        </w:rPr>
      </w:pPr>
      <w:r>
        <w:rPr>
          <w:rFonts w:ascii="Times New Roman" w:cs="Times New Roman" w:eastAsia="Times New Roman" w:hAnsi="Times New Roman"/>
          <w:sz w:val="17"/>
          <w:szCs w:val="17"/>
          <w:color w:val="auto"/>
        </w:rPr>
        <w:t>The transactional impact of foreign currency on our 2025 gross margin as compared to 2024 was immaterial. The transactional impact of foreign currency on our 2026 gross margin as compared to 2025 is expected to be favorable by approximately 50 basis points.</w:t>
      </w:r>
    </w:p>
    <w:p>
      <w:pPr>
        <w:spacing w:after="0" w:line="173" w:lineRule="exact"/>
        <w:rPr>
          <w:sz w:val="20"/>
          <w:szCs w:val="20"/>
          <w:color w:val="auto"/>
        </w:rPr>
      </w:pPr>
    </w:p>
    <w:p>
      <w:pPr>
        <w:ind w:right="20" w:firstLine="625"/>
        <w:spacing w:after="0" w:line="274" w:lineRule="auto"/>
        <w:rPr>
          <w:sz w:val="20"/>
          <w:szCs w:val="20"/>
          <w:color w:val="auto"/>
        </w:rPr>
      </w:pPr>
      <w:r>
        <w:rPr>
          <w:rFonts w:ascii="Times New Roman" w:cs="Times New Roman" w:eastAsia="Times New Roman" w:hAnsi="Times New Roman"/>
          <w:sz w:val="17"/>
          <w:szCs w:val="17"/>
          <w:color w:val="auto"/>
        </w:rPr>
        <w:t>Given our foreign currency forward contracts outstanding at February 1, 2026, the effect of a 10% change in foreign currency exchange rates against the United States dollar would result in a change in the fair value of these contracts of approximately $120 million. Any change in the fair value of these contracts would be substantially offset by a change in the fair value of the underlying hedged items.</w:t>
      </w:r>
    </w:p>
    <w:p>
      <w:pPr>
        <w:spacing w:after="0" w:line="189" w:lineRule="exact"/>
        <w:rPr>
          <w:sz w:val="20"/>
          <w:szCs w:val="20"/>
          <w:color w:val="auto"/>
        </w:rPr>
      </w:pPr>
    </w:p>
    <w:p>
      <w:pPr>
        <w:ind w:right="40" w:firstLine="625"/>
        <w:spacing w:after="0" w:line="259" w:lineRule="auto"/>
        <w:rPr>
          <w:sz w:val="20"/>
          <w:szCs w:val="20"/>
          <w:color w:val="auto"/>
        </w:rPr>
      </w:pPr>
      <w:r>
        <w:rPr>
          <w:rFonts w:ascii="Times New Roman" w:cs="Times New Roman" w:eastAsia="Times New Roman" w:hAnsi="Times New Roman"/>
          <w:sz w:val="17"/>
          <w:szCs w:val="17"/>
          <w:color w:val="auto"/>
        </w:rPr>
        <w:t>In order to mitigate a portion of our exposure to changes in foreign currency exchange rates related to the value of our investments in foreign subsidiaries denominated in the euro, we use both non-derivative instruments (the par value of certain of our foreign-denominated debt) and derivative instruments (cross-currency swap contracts), which we designate as net investment hedges. We designated the par value of our €1.125 billion aggregate principal amount of senior notes issued by PVH Corp., a U.S.-based entity, as net investment hedges of our investments in certain of our foreign subsidiaries that use the euro as their functional currency. In addition, we entered into multiple receive fixed-rate United States dollar-denominated interest and pay fixed-rate euro-denominated interest cross-currency swap contracts in 2023, with a maturity date of July 2025. In July 2025, we completed a transaction to effectively blend and extend those cross-currency swaps with new receive fixed-rate United States dollar-denominated interest and pay fixed-rate euro-denominated interest cross-currency swap contracts maturing in July 2027 and July 2028. We also designated these cross-currency swap contracts as net investment hedges of our investments in certain of our foreign subsidiaries that use the euro as their functional currency. Please see Note 10, “Derivative Financial Instruments,” in the Notes to Consolidated Financial Statements included in Item 8 of this report for further discussion.</w:t>
      </w:r>
    </w:p>
    <w:p>
      <w:pPr>
        <w:spacing w:after="0" w:line="206" w:lineRule="exact"/>
        <w:rPr>
          <w:sz w:val="20"/>
          <w:szCs w:val="20"/>
          <w:color w:val="auto"/>
        </w:rPr>
      </w:pPr>
    </w:p>
    <w:p>
      <w:pPr>
        <w:ind w:right="100" w:firstLine="625"/>
        <w:spacing w:after="0" w:line="263" w:lineRule="auto"/>
        <w:rPr>
          <w:sz w:val="20"/>
          <w:szCs w:val="20"/>
          <w:color w:val="auto"/>
        </w:rPr>
      </w:pPr>
      <w:r>
        <w:rPr>
          <w:rFonts w:ascii="Times New Roman" w:cs="Times New Roman" w:eastAsia="Times New Roman" w:hAnsi="Times New Roman"/>
          <w:sz w:val="17"/>
          <w:szCs w:val="17"/>
          <w:color w:val="auto"/>
        </w:rPr>
        <w:t>The effect of a 10% change in the euro against the United States dollar would result in a change in the fair value of the net investment hedges of approximately $185 million. Any change in the fair value of the net investment hedges would be more than offset by a change in the value of our investments in certain of our European subsidiaries. Additionally, during times of a strengthening United States dollar against the euro, we would be required to use a lower amount of our cash flows from operations to pay interest and make long-term debt repayments on our euro-denominated senior notes and to settle our cross-currency swap contracts, whereas during times of a weakening United States dollar against the euro, we would be required to use a greater amount of our cash flows from operations to pay interest and make long-term debt repayments on these notes and to settle our cross-currency swap contracts.</w:t>
      </w:r>
    </w:p>
    <w:p>
      <w:pPr>
        <w:spacing w:after="0" w:line="198"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Included in the calculations of expense and liabilities for our pension plans are various assumptions, including return on assets, discount rates and mortality rates. Actual results could differ from these assumptions, which would require adjustments to our balance sheet and could result in volatility in our future pension expense. Holding all other assumptions constant, a 1% change in the assumed rate of return on assets would result in a change to 2026 net benefit cost related to the pension plans of approximately $4 million. Likewise, a 0.25% change in the assumed discount rate would result in a change to 2026 net benefit cost of approximately $15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49"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Our business generally follows a seasonal pattern. Our wholesale businesses tend to generate higher levels of sales in the first and third quarters, while our direct-to-consumer businesses tend to generate higher levels of sales in the fourth quarter. Licensing revenue tends to be earned somewhat evenly throughout the year, although the third quarter tends to have the highest level of revenue due to higher sales by licensees in advance of the holiday selling season. Working capital requirements vary throughout the year to support these seasonal patterns and business trends.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49" w:lineRule="exact"/>
        <w:rPr>
          <w:sz w:val="20"/>
          <w:szCs w:val="20"/>
          <w:color w:val="auto"/>
        </w:rPr>
      </w:pPr>
    </w:p>
    <w:p>
      <w:pPr>
        <w:ind w:right="240" w:firstLine="625"/>
        <w:spacing w:after="0" w:line="293" w:lineRule="auto"/>
        <w:rPr>
          <w:sz w:val="20"/>
          <w:szCs w:val="20"/>
          <w:color w:val="auto"/>
        </w:rPr>
      </w:pPr>
      <w:r>
        <w:rPr>
          <w:rFonts w:ascii="Times New Roman" w:cs="Times New Roman" w:eastAsia="Times New Roman" w:hAnsi="Times New Roman"/>
          <w:sz w:val="17"/>
          <w:szCs w:val="17"/>
          <w:color w:val="auto"/>
        </w:rPr>
        <w:t>Please see Note 1, “Summary of Significant Accounting Policies,” in the Notes to Consolidated Financial Statements included in Item 8 of this report for a discussion of recently issued and adopted accounting standards.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9" w:lineRule="exact"/>
        <w:rPr>
          <w:sz w:val="20"/>
          <w:szCs w:val="20"/>
          <w:color w:val="auto"/>
        </w:rPr>
      </w:pPr>
    </w:p>
    <w:p>
      <w:pPr>
        <w:jc w:val="both"/>
        <w:ind w:right="80" w:firstLine="625"/>
        <w:spacing w:after="0" w:line="268" w:lineRule="auto"/>
        <w:rPr>
          <w:sz w:val="20"/>
          <w:szCs w:val="20"/>
          <w:color w:val="auto"/>
        </w:rPr>
      </w:pPr>
      <w:r>
        <w:rPr>
          <w:rFonts w:ascii="Times New Roman" w:cs="Times New Roman" w:eastAsia="Times New Roman" w:hAnsi="Times New Roman"/>
          <w:sz w:val="17"/>
          <w:szCs w:val="17"/>
          <w:color w:val="auto"/>
        </w:rPr>
        <w:t>Our consolidated financial statements are based on the selection and application of significant accounting policies, which require management to make significant estimates and assumptions. Our significant accounting policies are outlined in Note 1, “Summary of Significant Accounting Policies,” in the Notes to Consolidated Financial Statements included in Item 8 of this report. We believe that the following are the more critical judgmental areas in the application of our accounting policies that currently affect our financial position and results of operations:</w:t>
      </w:r>
    </w:p>
    <w:p>
      <w:pPr>
        <w:spacing w:after="0" w:line="192" w:lineRule="exact"/>
        <w:rPr>
          <w:sz w:val="20"/>
          <w:szCs w:val="20"/>
          <w:color w:val="auto"/>
        </w:rPr>
      </w:pPr>
    </w:p>
    <w:p>
      <w:pPr>
        <w:ind w:right="60" w:firstLine="625"/>
        <w:spacing w:after="0" w:line="263" w:lineRule="auto"/>
        <w:rPr>
          <w:sz w:val="20"/>
          <w:szCs w:val="20"/>
          <w:color w:val="auto"/>
        </w:rPr>
      </w:pPr>
      <w:r>
        <w:rPr>
          <w:rFonts w:ascii="Times New Roman" w:cs="Times New Roman" w:eastAsia="Times New Roman" w:hAnsi="Times New Roman"/>
          <w:sz w:val="17"/>
          <w:szCs w:val="17"/>
          <w:i w:val="1"/>
          <w:iCs w:val="1"/>
          <w:color w:val="auto"/>
        </w:rPr>
        <w:t>Sales allowances and returns</w:t>
      </w:r>
      <w:r>
        <w:rPr>
          <w:rFonts w:ascii="Times New Roman" w:cs="Times New Roman" w:eastAsia="Times New Roman" w:hAnsi="Times New Roman"/>
          <w:sz w:val="17"/>
          <w:szCs w:val="17"/>
          <w:color w:val="auto"/>
        </w:rPr>
        <w:t>—We have arrangements with many of our department and specialty store customers to support their sales of our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establish accruals we believe will be required to satisfy our sales allowance obligations based on a review of the individual customer arrangements, which may be a predetermined percentage of sales in certain cases or may be based on the expected performance of our products in their stores. We also establish accruals, which are based on historical experience, an evaluation of current sales trends and market conditions, and authorized amounts, that we believe are necessary to provide for sales allowances and inventory returns. It is possible that the accrual estimates could vary from actual results, which would require adjustment to the allowance and returns accruals.</w:t>
      </w:r>
    </w:p>
    <w:p>
      <w:pPr>
        <w:spacing w:after="0" w:line="198" w:lineRule="exact"/>
        <w:rPr>
          <w:sz w:val="20"/>
          <w:szCs w:val="20"/>
          <w:color w:val="auto"/>
        </w:rPr>
      </w:pPr>
    </w:p>
    <w:p>
      <w:pPr>
        <w:ind w:right="20" w:firstLine="625"/>
        <w:spacing w:after="0" w:line="260" w:lineRule="auto"/>
        <w:rPr>
          <w:sz w:val="20"/>
          <w:szCs w:val="20"/>
          <w:color w:val="auto"/>
        </w:rPr>
      </w:pPr>
      <w:r>
        <w:rPr>
          <w:rFonts w:ascii="Times New Roman" w:cs="Times New Roman" w:eastAsia="Times New Roman" w:hAnsi="Times New Roman"/>
          <w:sz w:val="17"/>
          <w:szCs w:val="17"/>
          <w:i w:val="1"/>
          <w:iCs w:val="1"/>
          <w:color w:val="auto"/>
        </w:rPr>
        <w:t>Inventories—</w:t>
      </w:r>
      <w:r>
        <w:rPr>
          <w:rFonts w:ascii="Times New Roman" w:cs="Times New Roman" w:eastAsia="Times New Roman" w:hAnsi="Times New Roman"/>
          <w:sz w:val="17"/>
          <w:szCs w:val="17"/>
          <w:color w:val="auto"/>
        </w:rPr>
        <w:t>Inventories are comprised principally of finished goods and are stated at the lower of cost or net realizable value, except for certain retail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inventories in North America that are stated at the lower of cost or market using the retail inventory method. Cost for all wholesale inventories in North America and certain wholesale and retail inventories in Asia is determined using the first-in, first-out method. Cost for all other inventories is determined using the weighted average cost method. We review current business trends and forecasts, inventory aging and discontinued merchandise categories to determine adjustments which we estimate will be needed to liquidate existing clearance inventories and record inventories at either the lower of cost or net realizable value or the lower of cost or market using the retail inventory method, as applicable. We believe that all inventory write-downs required at February 1, 2026 have been recorded. Our historical estimates of inventory reserves have not differed materially from actual results. If market conditions were to change, including as a result of the conflict in the Middle East and global trade policies (including tariffs) and their broader macroeconomic implications, as well as the impact of inflation and other macroeconomic factors, it is possible that the required level of inventory reserves would need to be adjusted.</w:t>
      </w:r>
    </w:p>
    <w:p>
      <w:pPr>
        <w:spacing w:after="0" w:line="202" w:lineRule="exact"/>
        <w:rPr>
          <w:sz w:val="20"/>
          <w:szCs w:val="20"/>
          <w:color w:val="auto"/>
        </w:rPr>
      </w:pPr>
    </w:p>
    <w:p>
      <w:pPr>
        <w:ind w:right="60" w:firstLine="625"/>
        <w:spacing w:after="0" w:line="263" w:lineRule="auto"/>
        <w:rPr>
          <w:sz w:val="20"/>
          <w:szCs w:val="20"/>
          <w:color w:val="auto"/>
        </w:rPr>
      </w:pP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—Deferred income tax balances reflect the effects of temporary differences between the carrying amounts of assets and liabilities and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 bases and are stated at enacted tax rates expected to be in effect when taxes are actually paid or recovered. Deferred tax assets are evaluated for future realization and reduced by a valuation allowance to the extent we believe a portion will not be realized. We consider many factors when assessing the likelihood of future realization of our deferred tax assets, including our recent earnings experience and expectations of future taxable income by taxing jurisdiction, the carryforward periods available to us for tax reporting purposes and other relevant factors. The actual realization of deferred tax assets may differ significantly from the amounts we have recorded.</w:t>
      </w:r>
    </w:p>
    <w:p>
      <w:pPr>
        <w:spacing w:after="0" w:line="200"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During the ordinary course of business, there are many transactions and calculations for which the ultimate tax determination is uncertain. Accounting for income taxes requires a two-step approach to recognizing and measuring uncertain tax positions. The first step is to evaluate the tax position for recognition by determining if available evidence indicates it is more likely than not that the tax position will be fully sustained upon review by taxing authorities, including resolution of related appeals or litigation processes, if any. The second step is to measure the tax benefit as the largest amount with a greater than 50 percent likelihood of being realized upon ultimate settlement. For tax positions that are 50 percent or less likely of being sustained upon audit, we do not recognize any portion of that benefit in the financial statements. We consider many factors when evaluating and estimating our tax positions and tax benefits, which may require periodic adjustments and which may not accurately anticipate actual outcomes. Our actual results have differed materially in the past and could differ materially in the future from our current estimates.</w:t>
      </w:r>
    </w:p>
    <w:p>
      <w:pPr>
        <w:spacing w:after="0" w:line="203" w:lineRule="exact"/>
        <w:rPr>
          <w:sz w:val="20"/>
          <w:szCs w:val="20"/>
          <w:color w:val="auto"/>
        </w:rPr>
      </w:pPr>
    </w:p>
    <w:p>
      <w:pPr>
        <w:ind w:right="120" w:firstLine="625"/>
        <w:spacing w:after="0" w:line="269" w:lineRule="auto"/>
        <w:rPr>
          <w:sz w:val="20"/>
          <w:szCs w:val="20"/>
          <w:color w:val="auto"/>
        </w:rPr>
      </w:pPr>
      <w:r>
        <w:rPr>
          <w:rFonts w:ascii="Times New Roman" w:cs="Times New Roman" w:eastAsia="Times New Roman" w:hAnsi="Times New Roman"/>
          <w:sz w:val="17"/>
          <w:szCs w:val="17"/>
          <w:i w:val="1"/>
          <w:iCs w:val="1"/>
          <w:color w:val="auto"/>
        </w:rPr>
        <w:t>Goodwill and other intangible assets</w:t>
      </w:r>
      <w:r>
        <w:rPr>
          <w:rFonts w:ascii="Times New Roman" w:cs="Times New Roman" w:eastAsia="Times New Roman" w:hAnsi="Times New Roman"/>
          <w:sz w:val="17"/>
          <w:szCs w:val="17"/>
          <w:color w:val="auto"/>
        </w:rPr>
        <w:t>—Goodwill and other indefinite-lived intangible assets are tested for impairment annually, at the beginning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third quarter of each fiscal year, and between annual tests if an event occurs or circumstances change that would indicate that it is more likely than not that the carrying amount may be impaired. Impairment testing for goodwill is done at the reporting unit level. A reporting unit is defined as an operating segment or one level below the operating</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8" w:name="page59"/>
    <w:bookmarkEnd w:id="58"/>
    <w:p>
      <w:pPr>
        <w:ind w:right="780"/>
        <w:spacing w:after="0" w:line="293" w:lineRule="auto"/>
        <w:rPr>
          <w:sz w:val="20"/>
          <w:szCs w:val="20"/>
          <w:color w:val="auto"/>
        </w:rPr>
      </w:pPr>
      <w:r>
        <w:rPr>
          <w:rFonts w:ascii="Times New Roman" w:cs="Times New Roman" w:eastAsia="Times New Roman" w:hAnsi="Times New Roman"/>
          <w:sz w:val="17"/>
          <w:szCs w:val="17"/>
          <w:color w:val="auto"/>
        </w:rPr>
        <w:t>segment, called a component. However, two or more components of an operating segment will be aggregated and deemed a single reporting unit if the components have similar economic characteristics. Impairment testing for other indefinite-lived intangible assets is done at the individual asset level.</w:t>
      </w:r>
    </w:p>
    <w:p>
      <w:pPr>
        <w:spacing w:after="0" w:line="173" w:lineRule="exact"/>
        <w:rPr>
          <w:sz w:val="20"/>
          <w:szCs w:val="20"/>
          <w:color w:val="auto"/>
        </w:rPr>
      </w:pPr>
    </w:p>
    <w:p>
      <w:pPr>
        <w:ind w:firstLine="625"/>
        <w:spacing w:after="0" w:line="258" w:lineRule="auto"/>
        <w:rPr>
          <w:sz w:val="20"/>
          <w:szCs w:val="20"/>
          <w:color w:val="auto"/>
        </w:rPr>
      </w:pPr>
      <w:r>
        <w:rPr>
          <w:rFonts w:ascii="Times New Roman" w:cs="Times New Roman" w:eastAsia="Times New Roman" w:hAnsi="Times New Roman"/>
          <w:sz w:val="17"/>
          <w:szCs w:val="17"/>
          <w:color w:val="auto"/>
        </w:rPr>
        <w:t>We assess qualitative factors to determine whether it is necessary to perform a more detailed quantitative impairment test for goodwill and other indefinite-lived intangible assets. We may elect to bypass the qualitative assessment and proceed directly to the quantitative test for any reporting units or indefinite-lived intangible assets. Qualitative factors that we consider as part of our assessment include a change in our market capitalization and its implied impact on reporting unit fair value, a change in our weighted average cost of capital, industry and market conditions, macroeconomic conditions, trends in product costs and financial performance of our businesses. If we perform the quantitative test for any reporting units or indefinite-lived intangible assets, we generally use a discounted cash flow method to estimate fair value. The discounted cash flow method is based on the present value of projected cash flows. Assumptions used in these cash flow projections are generally consistent with our internal forecasts and include revenue growth rate, gross margin, operating expenses and earnings before interest, taxes, depreciation and amortization margin. The estimated cash flows are discounted using a rate that represents our weighted average cost of capital. The weighted average cost of capital is based on a number of variables, including the equity-risk premium and risk-free interest rate. Management believes the assumptions used for the impairment tests are consistent with those that would be utilized by a market participant performing similar analysis and valuations. Adverse changes in future market conditions or weaker operating results compared to our expectations may impact our projected cash flows and estimates of weighted average cost of capital, which could result in a potential impairment charge if we are unable to recover the carrying value of our goodwill and other indefinite-lived intangible assets. For goodwill, if the carrying amount of a reporting unit exceeds its fair value, an impairment loss is recognized in an amount equal to that excess, limited to the total amount of goodwill allocated to that reporting unit. For other indefinite-lived intangible assets, an impairment loss is recognized to the extent the carrying amount of the asset exceeds its fair value.</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Goodwill Impairment Testing</w:t>
      </w: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2025 Interim Impairment Test</w:t>
      </w:r>
    </w:p>
    <w:p>
      <w:pPr>
        <w:spacing w:after="0" w:line="249"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Macroeconomic and geopolitical factors that occurred during the first quarter of 2025 resulted in significant market volatility and a decrease in our stock price. As a result, we determined there was a triggering event that required us to perform a quantitative interim goodwill impairment test as of the end of the first quarter of 2025.</w:t>
      </w:r>
    </w:p>
    <w:p>
      <w:pPr>
        <w:spacing w:after="0" w:line="189" w:lineRule="exact"/>
        <w:rPr>
          <w:sz w:val="20"/>
          <w:szCs w:val="20"/>
          <w:color w:val="auto"/>
        </w:rPr>
      </w:pPr>
    </w:p>
    <w:p>
      <w:pPr>
        <w:ind w:right="140" w:firstLine="625"/>
        <w:spacing w:after="0" w:line="265" w:lineRule="auto"/>
        <w:rPr>
          <w:sz w:val="20"/>
          <w:szCs w:val="20"/>
          <w:color w:val="auto"/>
        </w:rPr>
      </w:pPr>
      <w:r>
        <w:rPr>
          <w:rFonts w:ascii="Times New Roman" w:cs="Times New Roman" w:eastAsia="Times New Roman" w:hAnsi="Times New Roman"/>
          <w:sz w:val="17"/>
          <w:szCs w:val="17"/>
          <w:color w:val="auto"/>
        </w:rPr>
        <w:t>As a result of this interim impairment test, we recorded $426 million of noncash impairment charges during the first quarter of 2025, which were included in goodwill and other intangible asset impairments in our Consolidated Statement of Operations and included in restructuring and other items for segment data reporting purposes. The impairments were primarily due to a significant increase in discount rates, which incorporated elevated risk premiums, in particular for the Americas and APAC reporting units. Impairment charges of $8 million and $418 million fully impaired the goodwill balances in the Americas and APAC segments, respectively.</w:t>
      </w:r>
    </w:p>
    <w:p>
      <w:pPr>
        <w:spacing w:after="0" w:line="196"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The fair value of the reporting units for goodwill impairment testing was determined using an income approach. The income approach was based on discounted projected future (debt-free) cash flows for each reporting unit. The discount rates applied to these cash flows were based on the weighted average cost of capital for each reporting unit, which takes market participant assumptions into consideration, inclusive of a risk premium for each reporting unit to account for the additional risk and uncertainty perceived by market participants related to each reporting unit’s cash flows due to macroeconomic and geopolitical factors.</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2025 Annual Impairment Test</w:t>
      </w:r>
    </w:p>
    <w:p>
      <w:pPr>
        <w:spacing w:after="0" w:line="249" w:lineRule="exact"/>
        <w:rPr>
          <w:sz w:val="20"/>
          <w:szCs w:val="20"/>
          <w:color w:val="auto"/>
        </w:rPr>
      </w:pPr>
    </w:p>
    <w:p>
      <w:pPr>
        <w:ind w:right="100" w:firstLine="625"/>
        <w:spacing w:after="0" w:line="293" w:lineRule="auto"/>
        <w:rPr>
          <w:sz w:val="20"/>
          <w:szCs w:val="20"/>
          <w:color w:val="auto"/>
        </w:rPr>
      </w:pPr>
      <w:r>
        <w:rPr>
          <w:rFonts w:ascii="Times New Roman" w:cs="Times New Roman" w:eastAsia="Times New Roman" w:hAnsi="Times New Roman"/>
          <w:sz w:val="17"/>
          <w:szCs w:val="17"/>
          <w:color w:val="auto"/>
        </w:rPr>
        <w:t>For the 2025 annual goodwill impairment test performed as of the beginning of the third quarter of 2025, we elected to assess qualitative factors first to determine whether it was more likely than not that the fair value of each reporting unit with allocated goodwill was less than its carrying amount.</w:t>
      </w:r>
    </w:p>
    <w:p>
      <w:pPr>
        <w:spacing w:after="0" w:line="173" w:lineRule="exact"/>
        <w:rPr>
          <w:sz w:val="20"/>
          <w:szCs w:val="20"/>
          <w:color w:val="auto"/>
        </w:rPr>
      </w:pPr>
    </w:p>
    <w:p>
      <w:pPr>
        <w:ind w:right="260" w:firstLine="625"/>
        <w:spacing w:after="0" w:line="274" w:lineRule="auto"/>
        <w:rPr>
          <w:sz w:val="20"/>
          <w:szCs w:val="20"/>
          <w:color w:val="auto"/>
        </w:rPr>
      </w:pPr>
      <w:r>
        <w:rPr>
          <w:rFonts w:ascii="Times New Roman" w:cs="Times New Roman" w:eastAsia="Times New Roman" w:hAnsi="Times New Roman"/>
          <w:sz w:val="17"/>
          <w:szCs w:val="17"/>
          <w:color w:val="auto"/>
        </w:rPr>
        <w:t>We assessed relevant events and circumstances, including industry, market and macroeconomic conditions, as well as Company and reporting unit-specific factors. In performing this assessment, we considered the results of our quantitative interim goodwill impairment test performed in the first quarter of 2025 and the impact of changes in the weighted average cost of capital and updated financial forecasts since the date of the interim impairment test.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59" w:name="page60"/>
    <w:bookmarkEnd w:id="59"/>
    <w:p>
      <w:pPr>
        <w:ind w:right="140" w:firstLine="625"/>
        <w:spacing w:after="0" w:line="274" w:lineRule="auto"/>
        <w:rPr>
          <w:sz w:val="20"/>
          <w:szCs w:val="20"/>
          <w:color w:val="auto"/>
        </w:rPr>
      </w:pPr>
      <w:r>
        <w:rPr>
          <w:rFonts w:ascii="Times New Roman" w:cs="Times New Roman" w:eastAsia="Times New Roman" w:hAnsi="Times New Roman"/>
          <w:sz w:val="17"/>
          <w:szCs w:val="17"/>
          <w:color w:val="auto"/>
        </w:rPr>
        <w:t>After assessing these events and circumstances, we determined that it was not more likely than not that the fair value of each reporting unit with allocated goodwill was less than its carrying amount and concluded that the quantitative goodwill impairment test was not required. No impairment of goodwill resulted from our annual impairment test.</w:t>
      </w:r>
    </w:p>
    <w:p>
      <w:pPr>
        <w:spacing w:after="0" w:line="189" w:lineRule="exact"/>
        <w:rPr>
          <w:sz w:val="20"/>
          <w:szCs w:val="20"/>
          <w:color w:val="auto"/>
        </w:rPr>
      </w:pPr>
    </w:p>
    <w:p>
      <w:pPr>
        <w:ind w:right="200" w:firstLine="625"/>
        <w:spacing w:after="0" w:line="293" w:lineRule="auto"/>
        <w:rPr>
          <w:sz w:val="20"/>
          <w:szCs w:val="20"/>
          <w:color w:val="auto"/>
        </w:rPr>
      </w:pPr>
      <w:r>
        <w:rPr>
          <w:rFonts w:ascii="Times New Roman" w:cs="Times New Roman" w:eastAsia="Times New Roman" w:hAnsi="Times New Roman"/>
          <w:sz w:val="17"/>
          <w:szCs w:val="17"/>
          <w:color w:val="auto"/>
        </w:rPr>
        <w:t>No impairment of goodwill resulted from our annual impairment tests in 2024 or 2023. Please see Note 7, “Goodwill and Other Intangible Assets,” in the Notes to Consolidated Financial Statements included in Item 8 of this report for further discussion.</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auto"/>
        </w:rPr>
        <w:t>Indefinite-Lived Intangible Assets Impairment Testing</w:t>
      </w:r>
    </w:p>
    <w:p>
      <w:pPr>
        <w:spacing w:after="0" w:line="2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2025 Interim Impairment Test</w:t>
      </w:r>
    </w:p>
    <w:p>
      <w:pPr>
        <w:spacing w:after="0" w:line="249" w:lineRule="exact"/>
        <w:rPr>
          <w:sz w:val="20"/>
          <w:szCs w:val="20"/>
          <w:color w:val="auto"/>
        </w:rPr>
      </w:pPr>
    </w:p>
    <w:p>
      <w:pPr>
        <w:ind w:right="60" w:firstLine="625"/>
        <w:spacing w:after="0" w:line="260" w:lineRule="auto"/>
        <w:rPr>
          <w:sz w:val="20"/>
          <w:szCs w:val="20"/>
          <w:color w:val="auto"/>
        </w:rPr>
      </w:pPr>
      <w:r>
        <w:rPr>
          <w:rFonts w:ascii="Times New Roman" w:cs="Times New Roman" w:eastAsia="Times New Roman" w:hAnsi="Times New Roman"/>
          <w:sz w:val="17"/>
          <w:szCs w:val="17"/>
          <w:color w:val="auto"/>
        </w:rPr>
        <w:t xml:space="preserve">We also determined the macroeconomic and geopolitical conditions that occurred during the first quarter of 2025 and resulting impacts discussed above were also a triggering event that prompted the need to perform interim impairment testing of our other indefinite-lived intangible assets as of the end of the first quarter of 2025. For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tradenames and the reacquired perpetual license rights for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in India, we elected to first assess qualitative factors to determine whether it was more likely than not that the fair value of any asset was less than its carrying amount. For these assets, no impairment was identified as a result of our annual indefinite-lived intangible asset impairment test for 2024 and the fair values of these indefinite-lived intangible assets substantially exceeded their carrying amounts. The asset with the least excess fair value had an estimated fair value that exceeded its carrying amount by approximately 93% as of the date of our 2024 annual test. Considering this and other factors, we determined qualitatively that it was not more likely than not that the fair values of these indefinite-lived intangible assets were less than their carrying amounts and concluded that a quantitative impairment test was not required.</w:t>
      </w:r>
    </w:p>
    <w:p>
      <w:pPr>
        <w:spacing w:after="0" w:line="202" w:lineRule="exact"/>
        <w:rPr>
          <w:sz w:val="20"/>
          <w:szCs w:val="20"/>
          <w:color w:val="auto"/>
        </w:rPr>
      </w:pPr>
    </w:p>
    <w:p>
      <w:pPr>
        <w:ind w:right="120" w:firstLine="625"/>
        <w:spacing w:after="0" w:line="260" w:lineRule="auto"/>
        <w:rPr>
          <w:sz w:val="20"/>
          <w:szCs w:val="20"/>
          <w:color w:val="auto"/>
        </w:rPr>
      </w:pPr>
      <w:r>
        <w:rPr>
          <w:rFonts w:ascii="Times New Roman" w:cs="Times New Roman" w:eastAsia="Times New Roman" w:hAnsi="Times New Roman"/>
          <w:sz w:val="17"/>
          <w:szCs w:val="17"/>
          <w:color w:val="auto"/>
        </w:rPr>
        <w:t>For the reacquired perpetual license rights in Australia, we elected to bypass the qualitative assessment and proceeded directly to the quantitative impairment test. As a result of this quantitative interim impairment testing, we recorded $54 million of noncash impairment charges during the first quarter of 2025 to write down the license rights, which had a carrying amount of $191 million, to a fair value of $137 million. The $54 million of impairment charges was included in goodwill and other intangible asset impairments in our Consolidated Statement of Operations and included in restructuring and other items for segment data reporting purposes. The impairment was primarily due to a significant increase in discount rates. Holding all other assumptions constant, a 100 basis point change in the annual revenue growth rate of the Australia business would result in a change to the estimated fair value of the license rights of approximately $22 million. Likewise, a 100 basis point change in the weighted average cost of capital would result in a change to the estimated fair value of the license rights of approximately $25 million.</w:t>
      </w:r>
    </w:p>
    <w:p>
      <w:pPr>
        <w:spacing w:after="0" w:line="205" w:lineRule="exact"/>
        <w:rPr>
          <w:sz w:val="20"/>
          <w:szCs w:val="20"/>
          <w:color w:val="auto"/>
        </w:rPr>
      </w:pPr>
    </w:p>
    <w:p>
      <w:pPr>
        <w:ind w:right="100" w:firstLine="625"/>
        <w:spacing w:after="0" w:line="274" w:lineRule="auto"/>
        <w:rPr>
          <w:sz w:val="20"/>
          <w:szCs w:val="20"/>
          <w:color w:val="auto"/>
        </w:rPr>
      </w:pPr>
      <w:r>
        <w:rPr>
          <w:rFonts w:ascii="Times New Roman" w:cs="Times New Roman" w:eastAsia="Times New Roman" w:hAnsi="Times New Roman"/>
          <w:sz w:val="17"/>
          <w:szCs w:val="17"/>
          <w:color w:val="auto"/>
        </w:rPr>
        <w:t>The fair value of our reacquired perpetual license rights in Australia was determined using an income approach which estimates the net cash flows directly attributable to the subject intangible asset. These cash flows were discounted to present value using a discount rate of approximately 17% that factors in the relative risk of the intangible asset.</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2025 Annual Impairment Test</w:t>
      </w:r>
    </w:p>
    <w:p>
      <w:pPr>
        <w:spacing w:after="0" w:line="249" w:lineRule="exact"/>
        <w:rPr>
          <w:sz w:val="20"/>
          <w:szCs w:val="20"/>
          <w:color w:val="auto"/>
        </w:rPr>
      </w:pPr>
    </w:p>
    <w:p>
      <w:pPr>
        <w:ind w:right="240" w:firstLine="625"/>
        <w:spacing w:after="0" w:line="293" w:lineRule="auto"/>
        <w:rPr>
          <w:sz w:val="20"/>
          <w:szCs w:val="20"/>
          <w:color w:val="auto"/>
        </w:rPr>
      </w:pPr>
      <w:r>
        <w:rPr>
          <w:rFonts w:ascii="Times New Roman" w:cs="Times New Roman" w:eastAsia="Times New Roman" w:hAnsi="Times New Roman"/>
          <w:sz w:val="17"/>
          <w:szCs w:val="17"/>
          <w:color w:val="auto"/>
        </w:rPr>
        <w:t>For the 2025 annual indefinite-lived intangible assets impairment test performed as of the beginning of the third quarter of 2025, we elected to assess qualitative factors first to determine whether it was more likely than not that the fair value of any asset was less than its carrying amount.</w:t>
      </w:r>
    </w:p>
    <w:p>
      <w:pPr>
        <w:spacing w:after="0" w:line="173"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We assessed relevant events and circumstances, including industry, market and macroeconomic conditions, as well as Company and asset-specific factors. In performing this assessment, we considered the results of our interim impairment testing performed in the first quarter of 2025 and the impact of changes in the weighted average cost of capital and updated financial forecasts since the date of the interim impairment test. After assessing these events and circumstances, we determined that it was not more likely than not that the fair value of our indefinite-lived intangible assets were less than their carrying amounts and concluded that a quantitative impairment test was not required. No impairment of indefinite-lived intangible assets resulted from our annual impairment test. Except for the reacquired perpetual license rights in Australia, for which the most recent quantitative impairment test was performed in the first quarter of 2025, the results of which are described above, all indefinite-lived intangibles had significant excess fair value in the most recent quantitative impairment test performed in 2024.</w:t>
      </w:r>
    </w:p>
    <w:p>
      <w:pPr>
        <w:spacing w:after="0" w:line="200" w:lineRule="exact"/>
        <w:rPr>
          <w:sz w:val="20"/>
          <w:szCs w:val="20"/>
          <w:color w:val="auto"/>
        </w:rPr>
      </w:pPr>
    </w:p>
    <w:p>
      <w:pPr>
        <w:spacing w:after="0" w:line="211" w:lineRule="exact"/>
        <w:rPr>
          <w:sz w:val="20"/>
          <w:szCs w:val="20"/>
          <w:color w:val="auto"/>
        </w:rPr>
      </w:pPr>
    </w:p>
    <w:p>
      <w:pPr>
        <w:ind w:right="100" w:firstLine="625"/>
        <w:spacing w:after="0" w:line="293" w:lineRule="auto"/>
        <w:rPr>
          <w:sz w:val="20"/>
          <w:szCs w:val="20"/>
          <w:color w:val="auto"/>
        </w:rPr>
      </w:pPr>
      <w:r>
        <w:rPr>
          <w:rFonts w:ascii="Times New Roman" w:cs="Times New Roman" w:eastAsia="Times New Roman" w:hAnsi="Times New Roman"/>
          <w:sz w:val="17"/>
          <w:szCs w:val="17"/>
          <w:color w:val="auto"/>
        </w:rPr>
        <w:t>No impairment of indefinite-lived intangible assets resulted from our annual impairment tests in 2024 or 2023. Please see Note 7, “Goodwill and Other Intangible Assets,” in the Notes to Consolidated Financial Statements included in Item 8 of this report for further discussion.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60" w:name="page61"/>
    <w:bookmarkEnd w:id="60"/>
    <w:p>
      <w:pPr>
        <w:ind w:left="620"/>
        <w:spacing w:after="0"/>
        <w:rPr>
          <w:sz w:val="20"/>
          <w:szCs w:val="20"/>
          <w:color w:val="auto"/>
        </w:rPr>
      </w:pPr>
      <w:r>
        <w:rPr>
          <w:rFonts w:ascii="Times New Roman" w:cs="Times New Roman" w:eastAsia="Times New Roman" w:hAnsi="Times New Roman"/>
          <w:sz w:val="17"/>
          <w:szCs w:val="17"/>
          <w:u w:val="single" w:color="auto"/>
          <w:color w:val="auto"/>
        </w:rPr>
        <w:t>Considerations Since the 2025 Annual Impairment Tests</w:t>
      </w:r>
    </w:p>
    <w:p>
      <w:pPr>
        <w:spacing w:after="0" w:line="247" w:lineRule="exact"/>
        <w:rPr>
          <w:sz w:val="20"/>
          <w:szCs w:val="20"/>
          <w:color w:val="auto"/>
        </w:rPr>
      </w:pPr>
    </w:p>
    <w:p>
      <w:pPr>
        <w:ind w:right="100" w:firstLine="625"/>
        <w:spacing w:after="0" w:line="260" w:lineRule="auto"/>
        <w:rPr>
          <w:sz w:val="20"/>
          <w:szCs w:val="20"/>
          <w:color w:val="auto"/>
        </w:rPr>
      </w:pPr>
      <w:r>
        <w:rPr>
          <w:rFonts w:ascii="Times New Roman" w:cs="Times New Roman" w:eastAsia="Times New Roman" w:hAnsi="Times New Roman"/>
          <w:sz w:val="17"/>
          <w:szCs w:val="17"/>
          <w:color w:val="auto"/>
        </w:rPr>
        <w:t>There have been no significant events or change in circumstances since the date of the 2025 annual impairment tests that would indicate the remaining carrying amounts of our goodwill and other indefinite-lived intangible assets may be impaired as of February 1, 2026. If different assumptions for our goodwill and other indefinite-lived intangible assets impairment tests had been applied, significantly different outcomes could have resulted. There continues to be significant uncertainty with respect to the conflict in the Middle East and global trade policies (including tariffs) and their broader macroeconomic implications, as well as the impact of inflation and other macroeconomic factors, and foreign currency volatility. If economic conditions or market factors utilized in the impairment analysis deteriorate or otherwise vary from current assumptions (including those resulting in changes in the weighted average cost of capital), industry conditions deteriorate, or business conditions or strategies for a specific reporting unit change from current assumptions, our businesses do not perform as projected, or there is an extended period of a significant decline in our stock price, we could incur additional goodwill and other indefinite-lived intangible asset impairment charges in the future.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Information with respect to Quantitative and Qualitative Disclosures About Market Risk appears under the heading “Market Risk” in Item 7.</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page F-1 of this report for a listing of the consolidated financial statements and supplementary data included in this report.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49"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Our disclosure controls and procedures are designed to ensure that information required to be disclosed in our reports filed or submitted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Interim Chief Financial Officer, as appropriate to allow timely decisions regarding required disclosure. As of the end of the period covered by this report, we carried out an evaluation, under the supervision and with the participation of our management, including our Chief Executive Officer and Interim Chief Financial Officer, of the effectiveness of the design and operation of our disclosure controls and procedures. Based upon that evaluation, our Chief Executive Officer and Interim Chief Financial Officer concluded that our disclosure controls and procedures were effective as of February 1, 2026.</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136" w:right="379" w:bottom="1440" w:gutter="0" w:footer="0" w:header="0"/>
        </w:sectPr>
      </w:pPr>
    </w:p>
    <w:bookmarkStart w:id="61" w:name="page62"/>
    <w:bookmarkEnd w:id="61"/>
    <w:p>
      <w:pPr>
        <w:ind w:left="2400"/>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49"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The management of the Company is responsible for the preparation and integrity of the consolidated financial statements appearing in this Annual Report on Form 10-K. The consolidated financial statements were prepared in conformity with accounting principles generally accepted in the United States and, accordingly, include certain amounts based on management’s best judgments and estimates.</w:t>
      </w:r>
    </w:p>
    <w:p>
      <w:pPr>
        <w:spacing w:after="0" w:line="189"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The management of the Company is responsible for establishing and maintaining adequate internal control over financial reporting, as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The Company’s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the Company’s consolidated financial statements in accordance with accounting principles generally accepted in the United States and that receipts and expenditures of the Company are being made only in accordance with appropriate authorizations of management and the board of directors of the Company; and (iii) provide reasonable assurance regarding prevention or timely detection of unauthorized acquisition, use, or disposition of the Company’s assets that could have a material effect on the consolidated financial statements.</w:t>
      </w:r>
    </w:p>
    <w:p>
      <w:pPr>
        <w:spacing w:after="0" w:line="202" w:lineRule="exact"/>
        <w:rPr>
          <w:sz w:val="20"/>
          <w:szCs w:val="20"/>
          <w:color w:val="auto"/>
        </w:rPr>
      </w:pPr>
    </w:p>
    <w:p>
      <w:pPr>
        <w:ind w:right="280" w:firstLine="625"/>
        <w:spacing w:after="0" w:line="268"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projections of any evaluation of effectiveness for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The Audit &amp; Risk Management Committee of the Company’s Board of Directors, composed solely of directors who are independent in accordance with New York Stock Exchange listing standards, the Securities Exchange Act of 1934, the Company’s Corporate Governance Guidelines and the Committee’s charter, meets periodically with the Company’s independent auditors, the Company’s internal auditors and management to discuss internal control over financial reporting, auditing and financial reporting matters. Both the independent auditors and the Company’s internal auditors periodically meet alone with the Audit &amp; Risk Management Committee and have free access to the Committee.</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Remediation of Previously Reported Material Weakness</w:t>
      </w:r>
    </w:p>
    <w:p>
      <w:pPr>
        <w:spacing w:after="0" w:line="249" w:lineRule="exact"/>
        <w:rPr>
          <w:sz w:val="20"/>
          <w:szCs w:val="20"/>
          <w:color w:val="auto"/>
        </w:rPr>
      </w:pPr>
    </w:p>
    <w:p>
      <w:pPr>
        <w:ind w:right="160" w:firstLine="625"/>
        <w:spacing w:after="0" w:line="261" w:lineRule="auto"/>
        <w:rPr>
          <w:sz w:val="20"/>
          <w:szCs w:val="20"/>
          <w:color w:val="auto"/>
        </w:rPr>
      </w:pPr>
      <w:r>
        <w:rPr>
          <w:rFonts w:ascii="Times New Roman" w:cs="Times New Roman" w:eastAsia="Times New Roman" w:hAnsi="Times New Roman"/>
          <w:sz w:val="17"/>
          <w:szCs w:val="17"/>
          <w:color w:val="auto"/>
        </w:rPr>
        <w:t>As previously reported in Part II, Item 9A. Controls and Procedures in the Company’s Annual Report on Form 10-K for the fiscal year ended February 2, 2025, during the fourth quarter of 2024 management identified a material weakness in internal control related to ineffective information technology general controls (“ITGCs”) in the area of user access management over the Company’s enterprise resource planning system and the related systems in the Europe, the Middle East and Africa (“EMEA”) region. As a result, the related EMEA business process controls (IT application controls and IT-dependent manual controls) that are dependent on the ineffective ITGCs, or that use data produced from the systems impacted by the ineffective ITGCs, were also ineffective. While the material weakness did not result in any identified misstatements to the financial statements, management concluded that at February 2, 2025, the Company’s internal control over financial reporting was not effective.</w:t>
      </w:r>
    </w:p>
    <w:p>
      <w:pPr>
        <w:spacing w:after="0" w:line="203" w:lineRule="exact"/>
        <w:rPr>
          <w:sz w:val="20"/>
          <w:szCs w:val="20"/>
          <w:color w:val="auto"/>
        </w:rPr>
      </w:pPr>
    </w:p>
    <w:p>
      <w:pPr>
        <w:ind w:right="440" w:firstLine="625"/>
        <w:spacing w:after="0" w:line="265" w:lineRule="auto"/>
        <w:rPr>
          <w:sz w:val="20"/>
          <w:szCs w:val="20"/>
          <w:color w:val="auto"/>
        </w:rPr>
      </w:pPr>
      <w:r>
        <w:rPr>
          <w:rFonts w:ascii="Times New Roman" w:cs="Times New Roman" w:eastAsia="Times New Roman" w:hAnsi="Times New Roman"/>
          <w:sz w:val="17"/>
          <w:szCs w:val="17"/>
          <w:color w:val="auto"/>
        </w:rPr>
        <w:t>During 2025, management successfully implemented the previously disclosed remediation actions, which included (i) creating and filling an IT Compliance Oversight function (ii) developing and implementing additional training and awareness programs addressing ITGCs and policies, including educating control owners concerning the principles and requirements of each control, with a focus on user access management; (iii) increasing the extent of oversight and verification checks included in the operation of user access management controls and processes; and (iv) enhancing quarterly management reporting on the remediation measures to the Audit &amp; Risk Management Committee of the Board of Directors.</w:t>
      </w:r>
    </w:p>
    <w:p>
      <w:pPr>
        <w:spacing w:after="0" w:line="196" w:lineRule="exact"/>
        <w:rPr>
          <w:sz w:val="20"/>
          <w:szCs w:val="20"/>
          <w:color w:val="auto"/>
        </w:rPr>
      </w:pPr>
    </w:p>
    <w:p>
      <w:pPr>
        <w:ind w:right="560" w:firstLine="625"/>
        <w:spacing w:after="0" w:line="293" w:lineRule="auto"/>
        <w:rPr>
          <w:sz w:val="20"/>
          <w:szCs w:val="20"/>
          <w:color w:val="auto"/>
        </w:rPr>
      </w:pPr>
      <w:r>
        <w:rPr>
          <w:rFonts w:ascii="Times New Roman" w:cs="Times New Roman" w:eastAsia="Times New Roman" w:hAnsi="Times New Roman"/>
          <w:sz w:val="17"/>
          <w:szCs w:val="17"/>
          <w:color w:val="auto"/>
        </w:rPr>
        <w:t>Furthermore, during the fourth quarter of 2025, we completed testing of the operating effectiveness of the relevant controls and found them to be effective. As a result, we have concluded the material weakness has been remediated as of February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62" w:name="page63"/>
    <w:bookmarkEnd w:id="62"/>
    <w:p>
      <w:pPr>
        <w:ind w:left="620"/>
        <w:spacing w:after="0"/>
        <w:rPr>
          <w:sz w:val="20"/>
          <w:szCs w:val="20"/>
          <w:color w:val="auto"/>
        </w:rPr>
      </w:pPr>
      <w:r>
        <w:rPr>
          <w:rFonts w:ascii="Times New Roman" w:cs="Times New Roman" w:eastAsia="Times New Roman" w:hAnsi="Times New Roman"/>
          <w:sz w:val="17"/>
          <w:szCs w:val="17"/>
          <w:b w:val="1"/>
          <w:bCs w:val="1"/>
          <w:color w:val="auto"/>
        </w:rPr>
        <w:t>Management’s Assessment of Internal Control over Financial Reporting</w:t>
      </w:r>
    </w:p>
    <w:p>
      <w:pPr>
        <w:spacing w:after="0" w:line="249" w:lineRule="exact"/>
        <w:rPr>
          <w:sz w:val="20"/>
          <w:szCs w:val="20"/>
          <w:color w:val="auto"/>
        </w:rPr>
      </w:pPr>
    </w:p>
    <w:p>
      <w:pPr>
        <w:ind w:right="160" w:firstLine="625"/>
        <w:spacing w:after="0" w:line="268" w:lineRule="auto"/>
        <w:rPr>
          <w:sz w:val="20"/>
          <w:szCs w:val="20"/>
          <w:color w:val="auto"/>
        </w:rPr>
      </w:pPr>
      <w:r>
        <w:rPr>
          <w:rFonts w:ascii="Times New Roman" w:cs="Times New Roman" w:eastAsia="Times New Roman" w:hAnsi="Times New Roman"/>
          <w:sz w:val="17"/>
          <w:szCs w:val="17"/>
          <w:color w:val="auto"/>
        </w:rPr>
        <w:t>Management assessed the effectiveness of the Company’s internal control over financial reporting as of February 1, 2026. In making this assessment, management used the criteria set forth by the Committee of Sponsoring Organizations of the Treadway Commission (COSO) in Internal Control – Integrated Framework (2013 framework). Based on management’s assessment and those criteria, management believes that the Company maintained effective internal control over financial reporting as of February 1, 2026.</w:t>
      </w:r>
    </w:p>
    <w:p>
      <w:pPr>
        <w:spacing w:after="0" w:line="194" w:lineRule="exact"/>
        <w:rPr>
          <w:sz w:val="20"/>
          <w:szCs w:val="20"/>
          <w:color w:val="auto"/>
        </w:rPr>
      </w:pPr>
    </w:p>
    <w:p>
      <w:pPr>
        <w:ind w:firstLine="390"/>
        <w:spacing w:after="0" w:line="268" w:lineRule="auto"/>
        <w:rPr>
          <w:sz w:val="20"/>
          <w:szCs w:val="20"/>
          <w:color w:val="auto"/>
        </w:rPr>
      </w:pPr>
      <w:r>
        <w:rPr>
          <w:rFonts w:ascii="Times New Roman" w:cs="Times New Roman" w:eastAsia="Times New Roman" w:hAnsi="Times New Roman"/>
          <w:sz w:val="17"/>
          <w:szCs w:val="17"/>
          <w:color w:val="auto"/>
        </w:rPr>
        <w:t>The Company’s independent auditors, Ernst &amp; Young LLP, a registered public accounting firm, are appointed by the Audit &amp; Risk Management Committee, subject to ratification by the Company’s stockholders. Ernst &amp; Young LLP have audited and reported on the consolidated financial statements of the Company and the effectiveness of the Company’s internal control over financial reporting. The reports of the independent auditors are contained in this Annual Report on Form 10-K.</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9" w:lineRule="exact"/>
        <w:rPr>
          <w:sz w:val="20"/>
          <w:szCs w:val="20"/>
          <w:color w:val="auto"/>
        </w:rPr>
      </w:pPr>
    </w:p>
    <w:p>
      <w:pPr>
        <w:ind w:right="200" w:firstLine="625"/>
        <w:spacing w:after="0" w:line="274" w:lineRule="auto"/>
        <w:rPr>
          <w:sz w:val="20"/>
          <w:szCs w:val="20"/>
          <w:color w:val="auto"/>
        </w:rPr>
      </w:pPr>
      <w:r>
        <w:rPr>
          <w:rFonts w:ascii="Times New Roman" w:cs="Times New Roman" w:eastAsia="Times New Roman" w:hAnsi="Times New Roman"/>
          <w:sz w:val="17"/>
          <w:szCs w:val="17"/>
          <w:color w:val="auto"/>
        </w:rPr>
        <w:t>Except for the actions taken in connection with the remediation measures discussed above, there have been no changes in our internal control over financial reporting during the period to which this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/s/ STEFAN LARSSON</w:t>
            </w:r>
          </w:p>
        </w:tc>
        <w:tc>
          <w:tcPr>
            <w:tcW w:w="5340" w:type="dxa"/>
            <w:vAlign w:val="bottom"/>
          </w:tcPr>
          <w:p>
            <w:pPr>
              <w:ind w:left="2880"/>
              <w:spacing w:after="0"/>
              <w:rPr>
                <w:sz w:val="20"/>
                <w:szCs w:val="20"/>
                <w:color w:val="auto"/>
              </w:rPr>
            </w:pPr>
            <w:r>
              <w:rPr>
                <w:rFonts w:ascii="Times New Roman" w:cs="Times New Roman" w:eastAsia="Times New Roman" w:hAnsi="Times New Roman"/>
                <w:sz w:val="17"/>
                <w:szCs w:val="17"/>
                <w:color w:val="auto"/>
              </w:rPr>
              <w:t>/s/ MELISSA STONE</w:t>
            </w:r>
          </w:p>
        </w:tc>
      </w:tr>
      <w:tr>
        <w:trPr>
          <w:trHeight w:val="437"/>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Stefan Larsson</w:t>
            </w:r>
          </w:p>
        </w:tc>
        <w:tc>
          <w:tcPr>
            <w:tcW w:w="5340" w:type="dxa"/>
            <w:vAlign w:val="bottom"/>
          </w:tcPr>
          <w:p>
            <w:pPr>
              <w:ind w:left="2880"/>
              <w:spacing w:after="0"/>
              <w:rPr>
                <w:sz w:val="20"/>
                <w:szCs w:val="20"/>
                <w:color w:val="auto"/>
              </w:rPr>
            </w:pPr>
            <w:r>
              <w:rPr>
                <w:rFonts w:ascii="Times New Roman" w:cs="Times New Roman" w:eastAsia="Times New Roman" w:hAnsi="Times New Roman"/>
                <w:sz w:val="17"/>
                <w:szCs w:val="17"/>
                <w:color w:val="auto"/>
              </w:rPr>
              <w:t>Melissa Stone</w:t>
            </w:r>
          </w:p>
        </w:tc>
      </w:tr>
      <w:tr>
        <w:trPr>
          <w:trHeight w:val="221"/>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5340" w:type="dxa"/>
            <w:vAlign w:val="bottom"/>
          </w:tcPr>
          <w:p>
            <w:pPr>
              <w:ind w:left="2880"/>
              <w:spacing w:after="0"/>
              <w:rPr>
                <w:sz w:val="20"/>
                <w:szCs w:val="20"/>
                <w:color w:val="auto"/>
              </w:rPr>
            </w:pPr>
            <w:r>
              <w:rPr>
                <w:rFonts w:ascii="Times New Roman" w:cs="Times New Roman" w:eastAsia="Times New Roman" w:hAnsi="Times New Roman"/>
                <w:sz w:val="17"/>
                <w:szCs w:val="17"/>
                <w:color w:val="auto"/>
              </w:rPr>
              <w:t>Interim Chief Financial Officer and</w:t>
            </w:r>
          </w:p>
        </w:tc>
      </w:tr>
      <w:tr>
        <w:trPr>
          <w:trHeight w:val="221"/>
        </w:trPr>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March 31, 2026</w:t>
            </w:r>
          </w:p>
        </w:tc>
        <w:tc>
          <w:tcPr>
            <w:tcW w:w="5340" w:type="dxa"/>
            <w:vAlign w:val="bottom"/>
          </w:tcPr>
          <w:p>
            <w:pPr>
              <w:ind w:left="2880"/>
              <w:spacing w:after="0"/>
              <w:rPr>
                <w:sz w:val="20"/>
                <w:szCs w:val="20"/>
                <w:color w:val="auto"/>
              </w:rPr>
            </w:pPr>
            <w:r>
              <w:rPr>
                <w:rFonts w:ascii="Times New Roman" w:cs="Times New Roman" w:eastAsia="Times New Roman" w:hAnsi="Times New Roman"/>
                <w:sz w:val="17"/>
                <w:szCs w:val="17"/>
                <w:color w:val="auto"/>
              </w:rPr>
              <w:t>Executive Vice President, Global</w:t>
            </w:r>
          </w:p>
        </w:tc>
      </w:tr>
      <w:tr>
        <w:trPr>
          <w:trHeight w:val="221"/>
        </w:trPr>
        <w:tc>
          <w:tcPr>
            <w:tcW w:w="4560" w:type="dxa"/>
            <w:vAlign w:val="bottom"/>
          </w:tcPr>
          <w:p>
            <w:pPr>
              <w:spacing w:after="0"/>
              <w:rPr>
                <w:sz w:val="19"/>
                <w:szCs w:val="19"/>
                <w:color w:val="auto"/>
              </w:rPr>
            </w:pPr>
          </w:p>
        </w:tc>
        <w:tc>
          <w:tcPr>
            <w:tcW w:w="5340" w:type="dxa"/>
            <w:vAlign w:val="bottom"/>
          </w:tcPr>
          <w:p>
            <w:pPr>
              <w:ind w:left="2880"/>
              <w:spacing w:after="0"/>
              <w:rPr>
                <w:sz w:val="20"/>
                <w:szCs w:val="20"/>
                <w:color w:val="auto"/>
              </w:rPr>
            </w:pPr>
            <w:r>
              <w:rPr>
                <w:rFonts w:ascii="Times New Roman" w:cs="Times New Roman" w:eastAsia="Times New Roman" w:hAnsi="Times New Roman"/>
                <w:sz w:val="17"/>
                <w:szCs w:val="17"/>
                <w:color w:val="auto"/>
              </w:rPr>
              <w:t>Financial Planning &amp; Analysis</w:t>
            </w:r>
          </w:p>
        </w:tc>
      </w:tr>
      <w:tr>
        <w:trPr>
          <w:trHeight w:val="227"/>
        </w:trPr>
        <w:tc>
          <w:tcPr>
            <w:tcW w:w="4560" w:type="dxa"/>
            <w:vAlign w:val="bottom"/>
          </w:tcPr>
          <w:p>
            <w:pPr>
              <w:spacing w:after="0"/>
              <w:rPr>
                <w:sz w:val="19"/>
                <w:szCs w:val="19"/>
                <w:color w:val="auto"/>
              </w:rPr>
            </w:pPr>
          </w:p>
        </w:tc>
        <w:tc>
          <w:tcPr>
            <w:tcW w:w="5340" w:type="dxa"/>
            <w:vAlign w:val="bottom"/>
          </w:tcPr>
          <w:p>
            <w:pPr>
              <w:ind w:left="2880"/>
              <w:spacing w:after="0"/>
              <w:rPr>
                <w:sz w:val="20"/>
                <w:szCs w:val="20"/>
                <w:color w:val="auto"/>
              </w:rPr>
            </w:pPr>
            <w:r>
              <w:rPr>
                <w:rFonts w:ascii="Times New Roman" w:cs="Times New Roman" w:eastAsia="Times New Roman" w:hAnsi="Times New Roman"/>
                <w:sz w:val="17"/>
                <w:szCs w:val="17"/>
                <w:color w:val="auto"/>
              </w:rPr>
              <w:t>March 31,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20" w:top="861" w:right="439" w:bottom="1440" w:gutter="0" w:footer="0" w:header="0"/>
        </w:sectPr>
      </w:pPr>
    </w:p>
    <w:bookmarkStart w:id="63" w:name="page64"/>
    <w:bookmarkEnd w:id="63"/>
    <w:p>
      <w:pPr>
        <w:ind w:left="29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 the Stockholders and the Board of Directors of PVH Corp.</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49" w:lineRule="exact"/>
        <w:rPr>
          <w:sz w:val="20"/>
          <w:szCs w:val="20"/>
          <w:color w:val="auto"/>
        </w:rPr>
      </w:pPr>
    </w:p>
    <w:p>
      <w:pPr>
        <w:ind w:right="80" w:firstLine="390"/>
        <w:spacing w:after="0" w:line="274" w:lineRule="auto"/>
        <w:rPr>
          <w:sz w:val="20"/>
          <w:szCs w:val="20"/>
          <w:color w:val="auto"/>
        </w:rPr>
      </w:pPr>
      <w:r>
        <w:rPr>
          <w:rFonts w:ascii="Times New Roman" w:cs="Times New Roman" w:eastAsia="Times New Roman" w:hAnsi="Times New Roman"/>
          <w:sz w:val="17"/>
          <w:szCs w:val="17"/>
          <w:color w:val="auto"/>
        </w:rPr>
        <w:t>We have audited PVH Corp.’s internal control over financial reporting as of February 1, 2026, based on criteria established in Internal Control—Integrated Framework issued by the Committee of Sponsoring Organizations of the Treadway Commission (2013 framework) (the COSO criteria). In our opinion, PVH Corp. (the Company) maintained, in all material respects, effective internal control over financial reporting as of February 1, 2026, based on the COSO criteria.</w:t>
      </w:r>
    </w:p>
    <w:p>
      <w:pPr>
        <w:spacing w:after="0" w:line="189" w:lineRule="exact"/>
        <w:rPr>
          <w:sz w:val="20"/>
          <w:szCs w:val="20"/>
          <w:color w:val="auto"/>
        </w:rPr>
      </w:pPr>
    </w:p>
    <w:p>
      <w:pPr>
        <w:ind w:right="120" w:firstLine="390"/>
        <w:spacing w:after="0" w:line="268"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February 1, 2026 and February 2, 2025, the related consolidated statements of operations, comprehensive income, changes in stockholders’ equity and cash flows for each of the three years in the period ended February 1, 2026, and the related notes and financial statement schedule listed in the Index at Item 15(a)(2) and our report dated March 31, 2026 expressed an unqualified opinion thereon.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9" w:lineRule="exact"/>
        <w:rPr>
          <w:sz w:val="20"/>
          <w:szCs w:val="20"/>
          <w:color w:val="auto"/>
        </w:rPr>
      </w:pPr>
    </w:p>
    <w:p>
      <w:pPr>
        <w:jc w:val="both"/>
        <w:ind w:firstLine="390"/>
        <w:spacing w:after="0" w:line="265"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6" w:lineRule="exact"/>
        <w:rPr>
          <w:sz w:val="20"/>
          <w:szCs w:val="20"/>
          <w:color w:val="auto"/>
        </w:rPr>
      </w:pPr>
    </w:p>
    <w:p>
      <w:pPr>
        <w:ind w:right="200" w:firstLine="390"/>
        <w:spacing w:after="0" w:line="293"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3" w:lineRule="exact"/>
        <w:rPr>
          <w:sz w:val="20"/>
          <w:szCs w:val="20"/>
          <w:color w:val="auto"/>
        </w:rPr>
      </w:pPr>
    </w:p>
    <w:p>
      <w:pPr>
        <w:ind w:firstLine="390"/>
        <w:spacing w:after="0" w:line="274"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49" w:lineRule="exact"/>
        <w:rPr>
          <w:sz w:val="20"/>
          <w:szCs w:val="20"/>
          <w:color w:val="auto"/>
        </w:rPr>
      </w:pPr>
    </w:p>
    <w:p>
      <w:pPr>
        <w:ind w:right="60" w:firstLine="390"/>
        <w:spacing w:after="0" w:line="26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ind w:right="80" w:firstLine="390"/>
        <w:spacing w:after="0" w:line="274"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Securities Trading Plans of Directors and Officers</w:t>
      </w: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During the quarterly period ended February 1, 2026, no director or officer (as defined in Rule 16a-1(f) under the Exchange Act) of the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adopted or terminated a “Rule 10b5-1 trading arrangement” or “non-Rule 10b5-1 trading arrangement,” as each term is defined in Item 408(a) of Regulation S-K.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5" w:name="page66"/>
    <w:bookmarkEnd w:id="65"/>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49"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Information with respect to Directors of the Registrant is incorporated herein by reference to the section entitled “Election of Directors” in our proxy statement for the Annual Meeting of Stockholders to be held on June 18, 2026. Information with respect to our executive officers is contained in the section entitled “Executive Officers of the Registrant” in Part I, Item 1 of this report. Information with respect to the procedure by which security holders may recommend nominees to the PVH Board of Directors and with respect to our Audit &amp; Risk Management Committee, our Audit Committee Financial Expert, our Code of Ethics for the Chief Executive and Senior Financial Officers, and our insider trading arrangements and polices is incorporated herein by reference to the section entitled “Corporate Governance” in our proxy statement for the Annual Meeting of Stockholders to be held on June 18,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49"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Information with respect to Executive Compensation is incorporated herein by reference to the sections entitled “Executive Compensation Tables,” “Compensation Committee Report,” “Compensation Discussion &amp; Analysis,” “Corporate Governance - Committees - Compensation Committee” and “Director Compensation” in our proxy statement for the Annual Meeting of Stockholders to be held on June 18,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49" w:lineRule="exact"/>
        <w:rPr>
          <w:sz w:val="20"/>
          <w:szCs w:val="20"/>
          <w:color w:val="auto"/>
        </w:rPr>
      </w:pPr>
    </w:p>
    <w:p>
      <w:pPr>
        <w:ind w:right="120" w:firstLine="625"/>
        <w:spacing w:after="0" w:line="274" w:lineRule="auto"/>
        <w:rPr>
          <w:sz w:val="20"/>
          <w:szCs w:val="20"/>
          <w:color w:val="auto"/>
        </w:rPr>
      </w:pPr>
      <w:r>
        <w:rPr>
          <w:rFonts w:ascii="Times New Roman" w:cs="Times New Roman" w:eastAsia="Times New Roman" w:hAnsi="Times New Roman"/>
          <w:sz w:val="17"/>
          <w:szCs w:val="17"/>
          <w:color w:val="auto"/>
        </w:rPr>
        <w:t>Information with respect to the Security Ownership of Certain Beneficial Owners and Management and Equity Compensation Plan Information is incorporated herein by reference to the sections entitled “Security Ownership of Certain Beneficial Owners and Management” and “Equity Compensation Plan Information” in our proxy statement for the Annual Meeting of Stockholders to be held on June 18,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49" w:lineRule="exact"/>
        <w:rPr>
          <w:sz w:val="20"/>
          <w:szCs w:val="20"/>
          <w:color w:val="auto"/>
        </w:rPr>
      </w:pPr>
    </w:p>
    <w:p>
      <w:pPr>
        <w:ind w:right="320" w:firstLine="625"/>
        <w:spacing w:after="0" w:line="274" w:lineRule="auto"/>
        <w:rPr>
          <w:sz w:val="20"/>
          <w:szCs w:val="20"/>
          <w:color w:val="auto"/>
        </w:rPr>
      </w:pPr>
      <w:r>
        <w:rPr>
          <w:rFonts w:ascii="Times New Roman" w:cs="Times New Roman" w:eastAsia="Times New Roman" w:hAnsi="Times New Roman"/>
          <w:sz w:val="17"/>
          <w:szCs w:val="17"/>
          <w:color w:val="auto"/>
        </w:rPr>
        <w:t>Information with respect to Certain Relationships and Related Transactions and Director Independence is incorporated herein by reference to the sections entitled “Corporate Governance - Transactions with Related Persons” and “Election of Directors” in our proxy statement for the Annual Meeting of Stockholders to be held on June 18,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249" w:lineRule="exact"/>
        <w:rPr>
          <w:sz w:val="20"/>
          <w:szCs w:val="20"/>
          <w:color w:val="auto"/>
        </w:rPr>
      </w:pPr>
    </w:p>
    <w:p>
      <w:pPr>
        <w:ind w:right="460" w:firstLine="625"/>
        <w:spacing w:after="0" w:line="293" w:lineRule="auto"/>
        <w:rPr>
          <w:sz w:val="20"/>
          <w:szCs w:val="20"/>
          <w:color w:val="auto"/>
        </w:rPr>
      </w:pPr>
      <w:r>
        <w:rPr>
          <w:rFonts w:ascii="Times New Roman" w:cs="Times New Roman" w:eastAsia="Times New Roman" w:hAnsi="Times New Roman"/>
          <w:sz w:val="17"/>
          <w:szCs w:val="17"/>
          <w:color w:val="auto"/>
        </w:rPr>
        <w:t>Information with respect to Principal Accounting Fees and Services is incorporated herein by reference to the section entitled “Ratification of the Appointment of Auditors” in our proxy statement for the Annual Meeting of Stockholders to be held on June 18, 2026.</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66" w:name="page67"/>
    <w:bookmarkEnd w:id="66"/>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14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7"/>
          <w:szCs w:val="17"/>
          <w:color w:val="auto"/>
        </w:rPr>
        <w:t>(a)(1)</w:t>
      </w:r>
      <w:r>
        <w:rPr>
          <w:sz w:val="20"/>
          <w:szCs w:val="20"/>
          <w:color w:val="auto"/>
        </w:rPr>
        <w:tab/>
      </w:r>
      <w:r>
        <w:rPr>
          <w:rFonts w:ascii="Times New Roman" w:cs="Times New Roman" w:eastAsia="Times New Roman" w:hAnsi="Times New Roman"/>
          <w:sz w:val="17"/>
          <w:szCs w:val="17"/>
          <w:color w:val="auto"/>
        </w:rPr>
        <w:t>See page F-1 for a listing of the consolidated financial statements included in Item 8 of this report.</w:t>
      </w:r>
    </w:p>
    <w:p>
      <w:pPr>
        <w:spacing w:after="0" w:line="31"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7"/>
          <w:szCs w:val="17"/>
          <w:color w:val="auto"/>
        </w:rPr>
        <w:t>(a)(2)</w:t>
      </w:r>
      <w:r>
        <w:rPr>
          <w:sz w:val="20"/>
          <w:szCs w:val="20"/>
          <w:color w:val="auto"/>
        </w:rPr>
        <w:tab/>
      </w:r>
      <w:r>
        <w:rPr>
          <w:rFonts w:ascii="Times New Roman" w:cs="Times New Roman" w:eastAsia="Times New Roman" w:hAnsi="Times New Roman"/>
          <w:sz w:val="17"/>
          <w:szCs w:val="17"/>
          <w:color w:val="auto"/>
        </w:rPr>
        <w:t>See page F-1 for a listing of consolidated financial statement schedules submitted as part of this report.</w:t>
      </w:r>
    </w:p>
    <w:p>
      <w:pPr>
        <w:spacing w:after="0" w:line="26"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7"/>
          <w:szCs w:val="17"/>
          <w:color w:val="auto"/>
        </w:rPr>
        <w:t>(a)(3)</w:t>
      </w:r>
      <w:r>
        <w:rPr>
          <w:sz w:val="20"/>
          <w:szCs w:val="20"/>
          <w:color w:val="auto"/>
        </w:rPr>
        <w:tab/>
      </w:r>
      <w:r>
        <w:rPr>
          <w:rFonts w:ascii="Times New Roman" w:cs="Times New Roman" w:eastAsia="Times New Roman" w:hAnsi="Times New Roman"/>
          <w:sz w:val="17"/>
          <w:szCs w:val="17"/>
          <w:color w:val="auto"/>
        </w:rPr>
        <w:t>The following exhibits are included in this report:</w:t>
      </w:r>
    </w:p>
    <w:p>
      <w:pPr>
        <w:spacing w:after="0" w:line="1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87566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75665" cy="16510"/>
                    </a:xfrm>
                    <a:prstGeom prst="rect">
                      <a:avLst/>
                    </a:prstGeom>
                    <a:noFill/>
                  </pic:spPr>
                </pic:pic>
              </a:graphicData>
            </a:graphic>
          </wp:anchor>
        </w:drawing>
      </w: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3.1 </w:t>
      </w:r>
      <w:hyperlink r:id="rId82">
        <w:r>
          <w:rPr>
            <w:rFonts w:ascii="Times New Roman" w:cs="Times New Roman" w:eastAsia="Times New Roman" w:hAnsi="Times New Roman"/>
            <w:sz w:val="17"/>
            <w:szCs w:val="17"/>
            <w:u w:val="single" w:color="auto"/>
            <w:color w:val="0000FF"/>
          </w:rPr>
          <w:t>Amended and Restated Certificate of Incorporation of PVH Corp. (incorporated by reference to Exhibit 3.1 to our Current Report on Form</w:t>
        </w:r>
      </w:hyperlink>
    </w:p>
    <w:p>
      <w:pPr>
        <w:ind w:left="1400"/>
        <w:spacing w:after="0" w:line="215" w:lineRule="auto"/>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u w:val="single" w:color="auto"/>
            <w:color w:val="0000FF"/>
          </w:rPr>
          <w:t>8-K, filed June 21, 2019)</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Certificate of Amendment to the Amended and Restated Certificate of Incorporation of PVH Corp., filed on June</w:t>
        </w:r>
      </w:hyperlink>
    </w:p>
    <w:p>
      <w:pPr>
        <w:spacing w:after="0" w:line="1" w:lineRule="exact"/>
        <w:rPr>
          <w:sz w:val="20"/>
          <w:szCs w:val="20"/>
          <w:color w:val="auto"/>
        </w:rPr>
      </w:pPr>
    </w:p>
    <w:p>
      <w:pPr>
        <w:ind w:left="1400"/>
        <w:spacing w:after="0"/>
        <w:rPr>
          <w:rFonts w:ascii="Times New Roman" w:cs="Times New Roman" w:eastAsia="Times New Roman" w:hAnsi="Times New Roman"/>
          <w:sz w:val="17"/>
          <w:szCs w:val="17"/>
          <w:u w:val="single" w:color="auto"/>
          <w:color w:val="0000FF"/>
        </w:rPr>
      </w:pPr>
      <w:hyperlink r:id="rId83">
        <w:r>
          <w:rPr>
            <w:rFonts w:ascii="Times New Roman" w:cs="Times New Roman" w:eastAsia="Times New Roman" w:hAnsi="Times New Roman"/>
            <w:sz w:val="17"/>
            <w:szCs w:val="17"/>
            <w:u w:val="single" w:color="auto"/>
            <w:color w:val="0000FF"/>
          </w:rPr>
          <w:t>22, 2023 (incorporated by reference to Exhibit 3.2 to our Quarterly Report on Form 10-Q for the period ended July 30, 2023).</w:t>
        </w:r>
      </w:hyperlink>
    </w:p>
    <w:p>
      <w:pPr>
        <w:spacing w:after="0" w:line="227" w:lineRule="exact"/>
        <w:rPr>
          <w:sz w:val="20"/>
          <w:szCs w:val="20"/>
          <w:color w:val="auto"/>
        </w:rPr>
      </w:pPr>
    </w:p>
    <w:p>
      <w:pPr>
        <w:ind w:left="1400" w:right="20" w:hanging="250"/>
        <w:spacing w:after="0" w:line="261"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3.2 </w:t>
      </w:r>
      <w:hyperlink r:id="rId84">
        <w:r>
          <w:rPr>
            <w:rFonts w:ascii="Times New Roman" w:cs="Times New Roman" w:eastAsia="Times New Roman" w:hAnsi="Times New Roman"/>
            <w:sz w:val="17"/>
            <w:szCs w:val="17"/>
            <w:u w:val="single" w:color="auto"/>
            <w:color w:val="0000FF"/>
          </w:rPr>
          <w:t>By-Laws of PVH Corp., as amended through March 20, 2026 (incorporated by reference to Exhibit 3.1 to our Current Report on Form 8-K,</w:t>
        </w:r>
      </w:hyperlink>
      <w:r>
        <w:rPr>
          <w:rFonts w:ascii="Times New Roman" w:cs="Times New Roman" w:eastAsia="Times New Roman" w:hAnsi="Times New Roman"/>
          <w:sz w:val="17"/>
          <w:szCs w:val="17"/>
          <w:color w:val="auto"/>
        </w:rPr>
        <w:t xml:space="preserve"> </w:t>
      </w:r>
      <w:hyperlink r:id="rId84">
        <w:r>
          <w:rPr>
            <w:rFonts w:ascii="Times New Roman" w:cs="Times New Roman" w:eastAsia="Times New Roman" w:hAnsi="Times New Roman"/>
            <w:sz w:val="17"/>
            <w:szCs w:val="17"/>
            <w:u w:val="single" w:color="auto"/>
            <w:color w:val="0000FF"/>
          </w:rPr>
          <w:t>filed on March 20, 2026).</w:t>
        </w:r>
      </w:hyperlink>
    </w:p>
    <w:p>
      <w:pPr>
        <w:spacing w:after="0" w:line="95" w:lineRule="exact"/>
        <w:rPr>
          <w:sz w:val="20"/>
          <w:szCs w:val="20"/>
          <w:color w:val="auto"/>
        </w:rPr>
      </w:pPr>
    </w:p>
    <w:p>
      <w:pPr>
        <w:ind w:left="1400" w:right="400" w:hanging="250"/>
        <w:spacing w:after="0" w:line="245"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4.1 </w:t>
      </w:r>
      <w:hyperlink r:id="rId85">
        <w:r>
          <w:rPr>
            <w:rFonts w:ascii="Times New Roman" w:cs="Times New Roman" w:eastAsia="Times New Roman" w:hAnsi="Times New Roman"/>
            <w:sz w:val="17"/>
            <w:szCs w:val="17"/>
            <w:u w:val="single" w:color="auto"/>
            <w:color w:val="0000FF"/>
          </w:rPr>
          <w:t>Specimen of Common Stock certificate (incorporated by reference to Exhibit 4.1 to our Quarterly Report on Form 10-Q for the period</w:t>
        </w:r>
      </w:hyperlink>
      <w:r>
        <w:rPr>
          <w:rFonts w:ascii="Times New Roman" w:cs="Times New Roman" w:eastAsia="Times New Roman" w:hAnsi="Times New Roman"/>
          <w:sz w:val="17"/>
          <w:szCs w:val="17"/>
          <w:color w:val="auto"/>
        </w:rPr>
        <w:t xml:space="preserve"> </w:t>
      </w:r>
      <w:hyperlink r:id="rId85">
        <w:r>
          <w:rPr>
            <w:rFonts w:ascii="Times New Roman" w:cs="Times New Roman" w:eastAsia="Times New Roman" w:hAnsi="Times New Roman"/>
            <w:sz w:val="17"/>
            <w:szCs w:val="17"/>
            <w:u w:val="single" w:color="auto"/>
            <w:color w:val="0000FF"/>
          </w:rPr>
          <w:t>ended July 31, 2011)</w:t>
        </w:r>
        <w:r>
          <w:rPr>
            <w:rFonts w:ascii="Times New Roman" w:cs="Times New Roman" w:eastAsia="Times New Roman" w:hAnsi="Times New Roman"/>
            <w:sz w:val="17"/>
            <w:szCs w:val="17"/>
            <w:color w:val="000000"/>
          </w:rPr>
          <w:t>.</w:t>
        </w:r>
      </w:hyperlink>
    </w:p>
    <w:p>
      <w:pPr>
        <w:spacing w:after="0" w:line="225" w:lineRule="exact"/>
        <w:rPr>
          <w:sz w:val="20"/>
          <w:szCs w:val="20"/>
          <w:color w:val="auto"/>
        </w:rPr>
      </w:pPr>
    </w:p>
    <w:p>
      <w:pPr>
        <w:ind w:left="1400" w:right="120" w:hanging="250"/>
        <w:spacing w:after="0" w:line="22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4.2 Indenture, dated as of November 1, 1993, between Phillips-Van Heusen Corporation and The Bank of New York, as Trustee (incorporated </w:t>
      </w:r>
      <w:hyperlink r:id="rId86">
        <w:r>
          <w:rPr>
            <w:rFonts w:ascii="Times New Roman" w:cs="Times New Roman" w:eastAsia="Times New Roman" w:hAnsi="Times New Roman"/>
            <w:sz w:val="17"/>
            <w:szCs w:val="17"/>
            <w:color w:val="auto"/>
          </w:rPr>
          <w:t xml:space="preserve">by reference to Exhibit 4.01 to our Registration Statement on Form S-3 (Reg. No. 33-50751) filed on October 26, 1993); </w:t>
        </w:r>
        <w:r>
          <w:rPr>
            <w:rFonts w:ascii="Times New Roman" w:cs="Times New Roman" w:eastAsia="Times New Roman" w:hAnsi="Times New Roman"/>
            <w:sz w:val="17"/>
            <w:szCs w:val="17"/>
            <w:u w:val="single" w:color="auto"/>
            <w:color w:val="0000FF"/>
          </w:rPr>
          <w:t>First</w:t>
        </w:r>
      </w:hyperlink>
    </w:p>
    <w:p>
      <w:pPr>
        <w:spacing w:after="0" w:line="1" w:lineRule="exact"/>
        <w:rPr>
          <w:sz w:val="20"/>
          <w:szCs w:val="20"/>
          <w:color w:val="auto"/>
        </w:rPr>
      </w:pPr>
    </w:p>
    <w:p>
      <w:pPr>
        <w:ind w:left="1400" w:right="140"/>
        <w:spacing w:after="0" w:line="212" w:lineRule="auto"/>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u w:val="single" w:color="auto"/>
            <w:color w:val="0000FF"/>
          </w:rPr>
          <w:t>Supplemental Indenture, dated as of October 17, 2002, to Indenture, dated as of November 1, 1993, between Phillips-Van Heusen</w:t>
        </w:r>
      </w:hyperlink>
      <w:r>
        <w:rPr>
          <w:rFonts w:ascii="Times New Roman" w:cs="Times New Roman" w:eastAsia="Times New Roman" w:hAnsi="Times New Roman"/>
          <w:sz w:val="17"/>
          <w:szCs w:val="17"/>
          <w:u w:val="single" w:color="auto"/>
          <w:color w:val="0000FF"/>
        </w:rPr>
        <w:t xml:space="preserve"> </w:t>
      </w:r>
      <w:hyperlink r:id="rId86">
        <w:r>
          <w:rPr>
            <w:rFonts w:ascii="Times New Roman" w:cs="Times New Roman" w:eastAsia="Times New Roman" w:hAnsi="Times New Roman"/>
            <w:sz w:val="17"/>
            <w:szCs w:val="17"/>
            <w:u w:val="single" w:color="auto"/>
            <w:color w:val="0000FF"/>
          </w:rPr>
          <w:t>Corporation and The Bank of New York, as Trustee (incorporated by reference to Exhibit 4.15 to our Quarterly Report on Form 10-Q for</w:t>
        </w:r>
      </w:hyperlink>
      <w:r>
        <w:rPr>
          <w:rFonts w:ascii="Times New Roman" w:cs="Times New Roman" w:eastAsia="Times New Roman" w:hAnsi="Times New Roman"/>
          <w:sz w:val="17"/>
          <w:szCs w:val="17"/>
          <w:u w:val="single" w:color="auto"/>
          <w:color w:val="0000FF"/>
        </w:rPr>
        <w:t xml:space="preserve"> </w:t>
      </w:r>
      <w:hyperlink r:id="rId87">
        <w:r>
          <w:rPr>
            <w:rFonts w:ascii="Times New Roman" w:cs="Times New Roman" w:eastAsia="Times New Roman" w:hAnsi="Times New Roman"/>
            <w:sz w:val="17"/>
            <w:szCs w:val="17"/>
            <w:u w:val="single" w:color="auto"/>
            <w:color w:val="0000FF"/>
          </w:rPr>
          <w:t>the period ended November 3, 2002)</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Second Supplemental Indenture, dated as of February 12, 2002, to Indenture, dated as of November</w:t>
        </w:r>
      </w:hyperlink>
    </w:p>
    <w:p>
      <w:pPr>
        <w:spacing w:after="0" w:line="2" w:lineRule="exact"/>
        <w:rPr>
          <w:rFonts w:ascii="Times New Roman" w:cs="Times New Roman" w:eastAsia="Times New Roman" w:hAnsi="Times New Roman"/>
          <w:sz w:val="17"/>
          <w:szCs w:val="17"/>
          <w:u w:val="single" w:color="auto"/>
          <w:color w:val="0000FF"/>
        </w:rPr>
      </w:pPr>
    </w:p>
    <w:p>
      <w:pPr>
        <w:ind w:left="1400"/>
        <w:spacing w:after="0" w:line="212" w:lineRule="auto"/>
        <w:rPr>
          <w:rFonts w:ascii="Times New Roman" w:cs="Times New Roman" w:eastAsia="Times New Roman" w:hAnsi="Times New Roman"/>
          <w:sz w:val="17"/>
          <w:szCs w:val="17"/>
          <w:u w:val="single" w:color="auto"/>
          <w:color w:val="0000FF"/>
        </w:rPr>
      </w:pPr>
      <w:hyperlink r:id="rId87">
        <w:r>
          <w:rPr>
            <w:rFonts w:ascii="Times New Roman" w:cs="Times New Roman" w:eastAsia="Times New Roman" w:hAnsi="Times New Roman"/>
            <w:sz w:val="17"/>
            <w:szCs w:val="17"/>
            <w:u w:val="single" w:color="auto"/>
            <w:color w:val="0000FF"/>
          </w:rPr>
          <w:t>1, 1993, between Phillips-Van Heusen Corporation and The Bank of New York, as Trustee (incorporated by reference to Exhibit 4.2 to our</w:t>
        </w:r>
      </w:hyperlink>
      <w:r>
        <w:rPr>
          <w:rFonts w:ascii="Times New Roman" w:cs="Times New Roman" w:eastAsia="Times New Roman" w:hAnsi="Times New Roman"/>
          <w:sz w:val="17"/>
          <w:szCs w:val="17"/>
          <w:u w:val="single" w:color="auto"/>
          <w:color w:val="0000FF"/>
        </w:rPr>
        <w:t xml:space="preserve"> </w:t>
      </w:r>
      <w:hyperlink r:id="rId88">
        <w:r>
          <w:rPr>
            <w:rFonts w:ascii="Times New Roman" w:cs="Times New Roman" w:eastAsia="Times New Roman" w:hAnsi="Times New Roman"/>
            <w:sz w:val="17"/>
            <w:szCs w:val="17"/>
            <w:u w:val="single" w:color="auto"/>
            <w:color w:val="0000FF"/>
          </w:rPr>
          <w:t>Current Report on Form 8-K, filed on February 26, 2003)</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Third Supplemental Indenture, dated as of May 6, 2010, between Phillips -Van</w:t>
        </w:r>
      </w:hyperlink>
      <w:r>
        <w:rPr>
          <w:rFonts w:ascii="Times New Roman" w:cs="Times New Roman" w:eastAsia="Times New Roman" w:hAnsi="Times New Roman"/>
          <w:sz w:val="17"/>
          <w:szCs w:val="17"/>
          <w:color w:val="0000FF"/>
        </w:rPr>
        <w:t xml:space="preserve"> </w:t>
      </w:r>
      <w:hyperlink r:id="rId88">
        <w:r>
          <w:rPr>
            <w:rFonts w:ascii="Times New Roman" w:cs="Times New Roman" w:eastAsia="Times New Roman" w:hAnsi="Times New Roman"/>
            <w:sz w:val="17"/>
            <w:szCs w:val="17"/>
            <w:u w:val="single" w:color="auto"/>
            <w:color w:val="0000FF"/>
          </w:rPr>
          <w:t>Heusen Corporation and The Bank of New York Mellon (formerly known as The Bank of New York), as Trustee (incorporated by reference</w:t>
        </w:r>
      </w:hyperlink>
    </w:p>
    <w:p>
      <w:pPr>
        <w:spacing w:after="0" w:line="2" w:lineRule="exact"/>
        <w:rPr>
          <w:rFonts w:ascii="Times New Roman" w:cs="Times New Roman" w:eastAsia="Times New Roman" w:hAnsi="Times New Roman"/>
          <w:sz w:val="17"/>
          <w:szCs w:val="17"/>
          <w:u w:val="single" w:color="auto"/>
          <w:color w:val="0000FF"/>
        </w:rPr>
      </w:pPr>
    </w:p>
    <w:p>
      <w:pPr>
        <w:ind w:left="1400" w:right="240"/>
        <w:spacing w:after="0" w:line="222" w:lineRule="auto"/>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u w:val="single" w:color="auto"/>
            <w:color w:val="0000FF"/>
          </w:rPr>
          <w:t>to Exhibit 4.16 to our Quarterly Report on Form 10-Q for the period ended August 1, 2010)</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Fourth Supplemental Indenture, dated as of</w:t>
        </w:r>
      </w:hyperlink>
      <w:r>
        <w:rPr>
          <w:rFonts w:ascii="Times New Roman" w:cs="Times New Roman" w:eastAsia="Times New Roman" w:hAnsi="Times New Roman"/>
          <w:sz w:val="17"/>
          <w:szCs w:val="17"/>
          <w:color w:val="0000FF"/>
        </w:rPr>
        <w:t xml:space="preserve"> </w:t>
      </w:r>
      <w:hyperlink r:id="rId89">
        <w:r>
          <w:rPr>
            <w:rFonts w:ascii="Times New Roman" w:cs="Times New Roman" w:eastAsia="Times New Roman" w:hAnsi="Times New Roman"/>
            <w:sz w:val="17"/>
            <w:szCs w:val="17"/>
            <w:u w:val="single" w:color="auto"/>
            <w:color w:val="0000FF"/>
          </w:rPr>
          <w:t>February 13, 2013, to Indenture, dated as of November 1, 1993, between PVH Corp. and The Bank of New York Mellon, as Trustee</w:t>
        </w:r>
      </w:hyperlink>
      <w:r>
        <w:rPr>
          <w:rFonts w:ascii="Times New Roman" w:cs="Times New Roman" w:eastAsia="Times New Roman" w:hAnsi="Times New Roman"/>
          <w:sz w:val="17"/>
          <w:szCs w:val="17"/>
          <w:u w:val="single" w:color="auto"/>
          <w:color w:val="0000FF"/>
        </w:rPr>
        <w:t xml:space="preserve"> </w:t>
      </w:r>
      <w:hyperlink r:id="rId89">
        <w:r>
          <w:rPr>
            <w:rFonts w:ascii="Times New Roman" w:cs="Times New Roman" w:eastAsia="Times New Roman" w:hAnsi="Times New Roman"/>
            <w:sz w:val="17"/>
            <w:szCs w:val="17"/>
            <w:u w:val="single" w:color="auto"/>
            <w:color w:val="0000FF"/>
          </w:rPr>
          <w:t>(incorporated by reference to Exhibit 4.11 to our Quarterly Report on Form 10-Q for the period ended May 5, 2013)</w:t>
        </w:r>
        <w:r>
          <w:rPr>
            <w:rFonts w:ascii="Times New Roman" w:cs="Times New Roman" w:eastAsia="Times New Roman" w:hAnsi="Times New Roman"/>
            <w:sz w:val="17"/>
            <w:szCs w:val="17"/>
            <w:color w:val="000000"/>
          </w:rPr>
          <w:t>.</w:t>
        </w:r>
      </w:hyperlink>
    </w:p>
    <w:p>
      <w:pPr>
        <w:spacing w:after="0" w:line="231" w:lineRule="exact"/>
        <w:rPr>
          <w:rFonts w:ascii="Times New Roman" w:cs="Times New Roman" w:eastAsia="Times New Roman" w:hAnsi="Times New Roman"/>
          <w:sz w:val="17"/>
          <w:szCs w:val="17"/>
          <w:color w:val="0000FF"/>
        </w:rPr>
      </w:pPr>
    </w:p>
    <w:p>
      <w:pPr>
        <w:ind w:left="1400" w:right="80" w:hanging="250"/>
        <w:spacing w:after="0" w:line="227"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4.3 </w:t>
      </w:r>
      <w:hyperlink r:id="rId90">
        <w:r>
          <w:rPr>
            <w:rFonts w:ascii="Times New Roman" w:cs="Times New Roman" w:eastAsia="Times New Roman" w:hAnsi="Times New Roman"/>
            <w:sz w:val="17"/>
            <w:szCs w:val="17"/>
            <w:u w:val="single" w:color="auto"/>
            <w:color w:val="0000FF"/>
          </w:rPr>
          <w:t>Indenture, dated as of June 20, 2016, between PVH Corp., U.S. Bank National Association, as Trustee, Elavon Financial Services Limited,</w:t>
        </w:r>
      </w:hyperlink>
      <w:r>
        <w:rPr>
          <w:rFonts w:ascii="Times New Roman" w:cs="Times New Roman" w:eastAsia="Times New Roman" w:hAnsi="Times New Roman"/>
          <w:sz w:val="17"/>
          <w:szCs w:val="17"/>
          <w:color w:val="auto"/>
        </w:rPr>
        <w:t xml:space="preserve"> </w:t>
      </w:r>
      <w:hyperlink r:id="rId90">
        <w:r>
          <w:rPr>
            <w:rFonts w:ascii="Times New Roman" w:cs="Times New Roman" w:eastAsia="Times New Roman" w:hAnsi="Times New Roman"/>
            <w:sz w:val="17"/>
            <w:szCs w:val="17"/>
            <w:u w:val="single" w:color="auto"/>
            <w:color w:val="0000FF"/>
          </w:rPr>
          <w:t>UK Branch, as Paying Agent and Authenticating Agent, and Elavon Financial Services Limited, as Transfer Agent and Registrar</w:t>
        </w:r>
      </w:hyperlink>
    </w:p>
    <w:p>
      <w:pPr>
        <w:spacing w:after="0" w:line="1" w:lineRule="exact"/>
        <w:rPr>
          <w:sz w:val="20"/>
          <w:szCs w:val="20"/>
          <w:color w:val="auto"/>
        </w:rPr>
      </w:pPr>
    </w:p>
    <w:p>
      <w:pPr>
        <w:ind w:left="1400"/>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u w:val="single" w:color="auto"/>
            <w:color w:val="0000FF"/>
          </w:rPr>
          <w:t>(incorporated by reference to Exhibit 4.1 to our Current Report on Form 8-K, filed on June 20, 2016)</w:t>
        </w:r>
        <w:r>
          <w:rPr>
            <w:rFonts w:ascii="Times New Roman" w:cs="Times New Roman" w:eastAsia="Times New Roman" w:hAnsi="Times New Roman"/>
            <w:sz w:val="17"/>
            <w:szCs w:val="17"/>
            <w:color w:val="000000"/>
          </w:rPr>
          <w:t>.</w:t>
        </w:r>
      </w:hyperlink>
    </w:p>
    <w:p>
      <w:pPr>
        <w:spacing w:after="0" w:line="58" w:lineRule="exact"/>
        <w:rPr>
          <w:sz w:val="20"/>
          <w:szCs w:val="20"/>
          <w:color w:val="auto"/>
        </w:rPr>
      </w:pPr>
    </w:p>
    <w:p>
      <w:pPr>
        <w:ind w:left="1400" w:right="320" w:hanging="250"/>
        <w:spacing w:after="0" w:line="227"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4.4 </w:t>
      </w:r>
      <w:hyperlink r:id="rId91">
        <w:r>
          <w:rPr>
            <w:rFonts w:ascii="Times New Roman" w:cs="Times New Roman" w:eastAsia="Times New Roman" w:hAnsi="Times New Roman"/>
            <w:sz w:val="17"/>
            <w:szCs w:val="17"/>
            <w:u w:val="single" w:color="auto"/>
            <w:color w:val="0000FF"/>
          </w:rPr>
          <w:t>Indenture, dated as of December 21, 2017, between PVH Corp., U.S. Bank National Association, as Trustee, Elavon Financial Services</w:t>
        </w:r>
      </w:hyperlink>
      <w:r>
        <w:rPr>
          <w:rFonts w:ascii="Times New Roman" w:cs="Times New Roman" w:eastAsia="Times New Roman" w:hAnsi="Times New Roman"/>
          <w:sz w:val="17"/>
          <w:szCs w:val="17"/>
          <w:color w:val="auto"/>
        </w:rPr>
        <w:t xml:space="preserve"> </w:t>
      </w:r>
      <w:hyperlink r:id="rId91">
        <w:r>
          <w:rPr>
            <w:rFonts w:ascii="Times New Roman" w:cs="Times New Roman" w:eastAsia="Times New Roman" w:hAnsi="Times New Roman"/>
            <w:sz w:val="17"/>
            <w:szCs w:val="17"/>
            <w:u w:val="single" w:color="auto"/>
            <w:color w:val="0000FF"/>
          </w:rPr>
          <w:t>DAC, UK Branch, as Paying Agent and Authenticating Agent, and Elavon Financial Services DAC, as Transfer Agent and Registrar</w:t>
        </w:r>
      </w:hyperlink>
    </w:p>
    <w:p>
      <w:pPr>
        <w:spacing w:after="0" w:line="1" w:lineRule="exact"/>
        <w:rPr>
          <w:sz w:val="20"/>
          <w:szCs w:val="20"/>
          <w:color w:val="auto"/>
        </w:rPr>
      </w:pPr>
    </w:p>
    <w:p>
      <w:pPr>
        <w:ind w:left="1400"/>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u w:val="single" w:color="auto"/>
            <w:color w:val="0000FF"/>
          </w:rPr>
          <w:t>(incorporated by reference to Exhibit 4.1 to our Current Report on Form 8-K, filed on December 21, 2017)</w:t>
        </w:r>
        <w:r>
          <w:rPr>
            <w:rFonts w:ascii="Times New Roman" w:cs="Times New Roman" w:eastAsia="Times New Roman" w:hAnsi="Times New Roman"/>
            <w:sz w:val="17"/>
            <w:szCs w:val="17"/>
            <w:color w:val="000000"/>
          </w:rPr>
          <w:t>.</w:t>
        </w:r>
      </w:hyperlink>
    </w:p>
    <w:p>
      <w:pPr>
        <w:spacing w:after="0" w:line="51" w:lineRule="exact"/>
        <w:rPr>
          <w:sz w:val="20"/>
          <w:szCs w:val="20"/>
          <w:color w:val="auto"/>
        </w:rPr>
      </w:pP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4.5 </w:t>
      </w:r>
      <w:hyperlink r:id="rId92">
        <w:r>
          <w:rPr>
            <w:rFonts w:ascii="Times New Roman" w:cs="Times New Roman" w:eastAsia="Times New Roman" w:hAnsi="Times New Roman"/>
            <w:sz w:val="17"/>
            <w:szCs w:val="17"/>
            <w:u w:val="single" w:color="auto"/>
            <w:color w:val="0000FF"/>
          </w:rPr>
          <w:t>Indenture, dated as of July 10, 2020, between PVH Corp. and U.S. Bank National Association, as Trustee (incorporated by reference to</w:t>
        </w:r>
      </w:hyperlink>
    </w:p>
    <w:p>
      <w:pPr>
        <w:ind w:left="1400" w:right="580"/>
        <w:spacing w:after="0" w:line="238" w:lineRule="auto"/>
        <w:rPr>
          <w:rFonts w:ascii="Times New Roman" w:cs="Times New Roman" w:eastAsia="Times New Roman" w:hAnsi="Times New Roman"/>
          <w:sz w:val="17"/>
          <w:szCs w:val="17"/>
          <w:u w:val="single" w:color="auto"/>
          <w:color w:val="0000FF"/>
        </w:rPr>
      </w:pPr>
      <w:hyperlink r:id="rId92">
        <w:r>
          <w:rPr>
            <w:rFonts w:ascii="Times New Roman" w:cs="Times New Roman" w:eastAsia="Times New Roman" w:hAnsi="Times New Roman"/>
            <w:sz w:val="17"/>
            <w:szCs w:val="17"/>
            <w:u w:val="single" w:color="auto"/>
            <w:color w:val="0000FF"/>
          </w:rPr>
          <w:t>Exhibit 4.1 to our Current Report on Form 8-K, filed on July 10, 2020) and Form of 4 5/8% Senior Note due 2025 (incorporated by</w:t>
        </w:r>
      </w:hyperlink>
      <w:r>
        <w:rPr>
          <w:rFonts w:ascii="Times New Roman" w:cs="Times New Roman" w:eastAsia="Times New Roman" w:hAnsi="Times New Roman"/>
          <w:sz w:val="17"/>
          <w:szCs w:val="17"/>
          <w:u w:val="single" w:color="auto"/>
          <w:color w:val="0000FF"/>
        </w:rPr>
        <w:t xml:space="preserve"> </w:t>
      </w:r>
      <w:hyperlink r:id="rId92">
        <w:r>
          <w:rPr>
            <w:rFonts w:ascii="Times New Roman" w:cs="Times New Roman" w:eastAsia="Times New Roman" w:hAnsi="Times New Roman"/>
            <w:sz w:val="17"/>
            <w:szCs w:val="17"/>
            <w:u w:val="single" w:color="auto"/>
            <w:color w:val="0000FF"/>
          </w:rPr>
          <w:t>reference to Exhibit 4.2 and Appendix A to Exhibit 4.1 to our Current Report on Form 8-K, filed on July 10, 2020).</w:t>
        </w:r>
      </w:hyperlink>
    </w:p>
    <w:p>
      <w:pPr>
        <w:spacing w:after="0" w:line="48" w:lineRule="exact"/>
        <w:rPr>
          <w:sz w:val="20"/>
          <w:szCs w:val="20"/>
          <w:color w:val="auto"/>
        </w:rPr>
      </w:pPr>
    </w:p>
    <w:p>
      <w:pPr>
        <w:ind w:left="1400" w:right="180" w:hanging="250"/>
        <w:spacing w:after="0" w:line="245"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4.6 </w:t>
      </w:r>
      <w:hyperlink r:id="rId93">
        <w:r>
          <w:rPr>
            <w:rFonts w:ascii="Times New Roman" w:cs="Times New Roman" w:eastAsia="Times New Roman" w:hAnsi="Times New Roman"/>
            <w:sz w:val="17"/>
            <w:szCs w:val="17"/>
            <w:u w:val="single" w:color="auto"/>
            <w:color w:val="0000FF"/>
          </w:rPr>
          <w:t>Indenture, dated as of April 15, 2024, between PVH Corp. and U.S. Bank Trust Company, National Association, as Trustee (incorporated</w:t>
        </w:r>
      </w:hyperlink>
      <w:r>
        <w:rPr>
          <w:rFonts w:ascii="Times New Roman" w:cs="Times New Roman" w:eastAsia="Times New Roman" w:hAnsi="Times New Roman"/>
          <w:sz w:val="17"/>
          <w:szCs w:val="17"/>
          <w:color w:val="auto"/>
        </w:rPr>
        <w:t xml:space="preserve"> </w:t>
      </w:r>
      <w:hyperlink r:id="rId93">
        <w:r>
          <w:rPr>
            <w:rFonts w:ascii="Times New Roman" w:cs="Times New Roman" w:eastAsia="Times New Roman" w:hAnsi="Times New Roman"/>
            <w:sz w:val="17"/>
            <w:szCs w:val="17"/>
            <w:u w:val="single" w:color="auto"/>
            <w:color w:val="0000FF"/>
          </w:rPr>
          <w:t>by reference to Exhibit 4.1 to our Current Report on Form 8-K, filed on April 15, 2024)</w:t>
        </w:r>
        <w:r>
          <w:rPr>
            <w:rFonts w:ascii="Times New Roman" w:cs="Times New Roman" w:eastAsia="Times New Roman" w:hAnsi="Times New Roman"/>
            <w:sz w:val="17"/>
            <w:szCs w:val="17"/>
            <w:color w:val="000000"/>
          </w:rPr>
          <w:t>.</w:t>
        </w:r>
      </w:hyperlink>
    </w:p>
    <w:p>
      <w:pPr>
        <w:spacing w:after="0" w:line="56" w:lineRule="exact"/>
        <w:rPr>
          <w:sz w:val="20"/>
          <w:szCs w:val="20"/>
          <w:color w:val="auto"/>
        </w:rPr>
      </w:pPr>
    </w:p>
    <w:p>
      <w:pPr>
        <w:ind w:left="1400" w:right="100" w:hanging="250"/>
        <w:spacing w:after="0" w:line="227"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4.7 </w:t>
      </w:r>
      <w:hyperlink r:id="rId94">
        <w:r>
          <w:rPr>
            <w:rFonts w:ascii="Times New Roman" w:cs="Times New Roman" w:eastAsia="Times New Roman" w:hAnsi="Times New Roman"/>
            <w:sz w:val="17"/>
            <w:szCs w:val="17"/>
            <w:u w:val="single" w:color="auto"/>
            <w:color w:val="0000FF"/>
          </w:rPr>
          <w:t>Supplemental Indenture No. 1, dated as of April 15, 2024, between PVH Corp. and U.S. Bank Trust Company, National Association, as</w:t>
        </w:r>
      </w:hyperlink>
      <w:r>
        <w:rPr>
          <w:rFonts w:ascii="Times New Roman" w:cs="Times New Roman" w:eastAsia="Times New Roman" w:hAnsi="Times New Roman"/>
          <w:sz w:val="17"/>
          <w:szCs w:val="17"/>
          <w:color w:val="auto"/>
        </w:rPr>
        <w:t xml:space="preserve"> </w:t>
      </w:r>
      <w:hyperlink r:id="rId94">
        <w:r>
          <w:rPr>
            <w:rFonts w:ascii="Times New Roman" w:cs="Times New Roman" w:eastAsia="Times New Roman" w:hAnsi="Times New Roman"/>
            <w:sz w:val="17"/>
            <w:szCs w:val="17"/>
            <w:u w:val="single" w:color="auto"/>
            <w:color w:val="0000FF"/>
          </w:rPr>
          <w:t>Trustee (incorporated by reference to Exhibit 4.2 to our Current Report on Form 8-K, filed on April 15, 2024) and Form of 4.125% Senior</w:t>
        </w:r>
      </w:hyperlink>
    </w:p>
    <w:p>
      <w:pPr>
        <w:spacing w:after="0" w:line="1" w:lineRule="exact"/>
        <w:rPr>
          <w:sz w:val="20"/>
          <w:szCs w:val="20"/>
          <w:color w:val="auto"/>
        </w:rPr>
      </w:pPr>
    </w:p>
    <w:p>
      <w:pPr>
        <w:ind w:left="1400" w:right="40"/>
        <w:spacing w:after="0" w:line="230" w:lineRule="auto"/>
        <w:rPr>
          <w:rFonts w:ascii="Times New Roman" w:cs="Times New Roman" w:eastAsia="Times New Roman" w:hAnsi="Times New Roman"/>
          <w:sz w:val="17"/>
          <w:szCs w:val="17"/>
          <w:u w:val="single" w:color="auto"/>
          <w:color w:val="0000FF"/>
        </w:rPr>
      </w:pPr>
      <w:hyperlink r:id="rId94">
        <w:r>
          <w:rPr>
            <w:rFonts w:ascii="Times New Roman" w:cs="Times New Roman" w:eastAsia="Times New Roman" w:hAnsi="Times New Roman"/>
            <w:sz w:val="17"/>
            <w:szCs w:val="17"/>
            <w:u w:val="single" w:color="auto"/>
            <w:color w:val="0000FF"/>
          </w:rPr>
          <w:t>Notes due 2029 (incorporated by reference to Exhibit 4.3 and Annex 1 to Exhibit 4.2 to our Current Report on Form 8-K, filed on April 15,</w:t>
        </w:r>
      </w:hyperlink>
      <w:r>
        <w:rPr>
          <w:rFonts w:ascii="Times New Roman" w:cs="Times New Roman" w:eastAsia="Times New Roman" w:hAnsi="Times New Roman"/>
          <w:sz w:val="17"/>
          <w:szCs w:val="17"/>
          <w:u w:val="single" w:color="auto"/>
          <w:color w:val="0000FF"/>
        </w:rPr>
        <w:t xml:space="preserve"> </w:t>
      </w:r>
      <w:hyperlink r:id="rId94">
        <w:r>
          <w:rPr>
            <w:rFonts w:ascii="Times New Roman" w:cs="Times New Roman" w:eastAsia="Times New Roman" w:hAnsi="Times New Roman"/>
            <w:sz w:val="17"/>
            <w:szCs w:val="17"/>
            <w:u w:val="single" w:color="auto"/>
            <w:color w:val="0000FF"/>
          </w:rPr>
          <w:t>2024).</w:t>
        </w:r>
      </w:hyperlink>
    </w:p>
    <w:p>
      <w:pPr>
        <w:spacing w:after="0" w:line="48" w:lineRule="exact"/>
        <w:rPr>
          <w:sz w:val="20"/>
          <w:szCs w:val="20"/>
          <w:color w:val="auto"/>
        </w:rPr>
      </w:pPr>
    </w:p>
    <w:p>
      <w:pPr>
        <w:ind w:left="1400" w:right="160" w:hanging="250"/>
        <w:spacing w:after="0" w:line="227"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4.8 </w:t>
      </w:r>
      <w:hyperlink r:id="rId95">
        <w:r>
          <w:rPr>
            <w:rFonts w:ascii="Times New Roman" w:cs="Times New Roman" w:eastAsia="Times New Roman" w:hAnsi="Times New Roman"/>
            <w:sz w:val="17"/>
            <w:szCs w:val="17"/>
            <w:u w:val="single" w:color="auto"/>
            <w:color w:val="0000FF"/>
          </w:rPr>
          <w:t>Supplemental Indenture No. 2, dated as of June 13, 2025, between PVH Corp. and U.S. Bank Trust Company, National Association, as</w:t>
        </w:r>
      </w:hyperlink>
      <w:r>
        <w:rPr>
          <w:rFonts w:ascii="Times New Roman" w:cs="Times New Roman" w:eastAsia="Times New Roman" w:hAnsi="Times New Roman"/>
          <w:sz w:val="17"/>
          <w:szCs w:val="17"/>
          <w:color w:val="auto"/>
        </w:rPr>
        <w:t xml:space="preserve"> </w:t>
      </w:r>
      <w:hyperlink r:id="rId95">
        <w:r>
          <w:rPr>
            <w:rFonts w:ascii="Times New Roman" w:cs="Times New Roman" w:eastAsia="Times New Roman" w:hAnsi="Times New Roman"/>
            <w:sz w:val="17"/>
            <w:szCs w:val="17"/>
            <w:u w:val="single" w:color="auto"/>
            <w:color w:val="0000FF"/>
          </w:rPr>
          <w:t>Trustee (incorporated by reference to Exhibit 4.2 to our Current Report on Form 8-K, filed on June 13, 2025) and Form of 5.500% Senior</w:t>
        </w:r>
      </w:hyperlink>
    </w:p>
    <w:p>
      <w:pPr>
        <w:spacing w:after="0" w:line="1" w:lineRule="exact"/>
        <w:rPr>
          <w:sz w:val="20"/>
          <w:szCs w:val="20"/>
          <w:color w:val="auto"/>
        </w:rPr>
      </w:pPr>
    </w:p>
    <w:p>
      <w:pPr>
        <w:ind w:left="1400" w:right="80"/>
        <w:spacing w:after="0" w:line="230" w:lineRule="auto"/>
        <w:rPr>
          <w:rFonts w:ascii="Times New Roman" w:cs="Times New Roman" w:eastAsia="Times New Roman" w:hAnsi="Times New Roman"/>
          <w:sz w:val="17"/>
          <w:szCs w:val="17"/>
          <w:u w:val="single" w:color="auto"/>
          <w:color w:val="0000FF"/>
        </w:rPr>
      </w:pPr>
      <w:hyperlink r:id="rId95">
        <w:r>
          <w:rPr>
            <w:rFonts w:ascii="Times New Roman" w:cs="Times New Roman" w:eastAsia="Times New Roman" w:hAnsi="Times New Roman"/>
            <w:sz w:val="17"/>
            <w:szCs w:val="17"/>
            <w:u w:val="single" w:color="auto"/>
            <w:color w:val="0000FF"/>
          </w:rPr>
          <w:t>Notes due 2030 (incorporated by reference to Exhibit 4.3 and Annex 1 to Exhibit 4.2 to our Current Report on Form 8-K, filed on June 13,</w:t>
        </w:r>
      </w:hyperlink>
      <w:r>
        <w:rPr>
          <w:rFonts w:ascii="Times New Roman" w:cs="Times New Roman" w:eastAsia="Times New Roman" w:hAnsi="Times New Roman"/>
          <w:sz w:val="17"/>
          <w:szCs w:val="17"/>
          <w:u w:val="single" w:color="auto"/>
          <w:color w:val="0000FF"/>
        </w:rPr>
        <w:t xml:space="preserve"> </w:t>
      </w:r>
      <w:hyperlink r:id="rId95">
        <w:r>
          <w:rPr>
            <w:rFonts w:ascii="Times New Roman" w:cs="Times New Roman" w:eastAsia="Times New Roman" w:hAnsi="Times New Roman"/>
            <w:sz w:val="17"/>
            <w:szCs w:val="17"/>
            <w:u w:val="single" w:color="auto"/>
            <w:color w:val="0000FF"/>
          </w:rPr>
          <w:t>2025).</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67" w:name="page68"/>
    <w:bookmarkEnd w:id="67"/>
    <w:p>
      <w:pPr>
        <w:ind w:left="560" w:right="600" w:hanging="250"/>
        <w:spacing w:after="0" w:line="24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4.9 </w:t>
      </w:r>
      <w:hyperlink r:id="rId97">
        <w:r>
          <w:rPr>
            <w:rFonts w:ascii="Times New Roman" w:cs="Times New Roman" w:eastAsia="Times New Roman" w:hAnsi="Times New Roman"/>
            <w:sz w:val="17"/>
            <w:szCs w:val="17"/>
            <w:u w:val="single" w:color="auto"/>
            <w:color w:val="0000FF"/>
          </w:rPr>
          <w:t>Description of Securities (incorporated by reference to Exhibit 4.8 to our Annual Report on Form 10-K for the fiscal year ended on</w:t>
        </w:r>
      </w:hyperlink>
      <w:r>
        <w:rPr>
          <w:rFonts w:ascii="Times New Roman" w:cs="Times New Roman" w:eastAsia="Times New Roman" w:hAnsi="Times New Roman"/>
          <w:sz w:val="17"/>
          <w:szCs w:val="17"/>
          <w:color w:val="auto"/>
        </w:rPr>
        <w:t xml:space="preserve"> </w:t>
      </w:r>
      <w:hyperlink r:id="rId97">
        <w:r>
          <w:rPr>
            <w:rFonts w:ascii="Times New Roman" w:cs="Times New Roman" w:eastAsia="Times New Roman" w:hAnsi="Times New Roman"/>
            <w:sz w:val="17"/>
            <w:szCs w:val="17"/>
            <w:u w:val="single" w:color="auto"/>
            <w:color w:val="0000FF"/>
          </w:rPr>
          <w:t>February 2, 2025).</w:t>
        </w:r>
      </w:hyperlink>
    </w:p>
    <w:p>
      <w:pPr>
        <w:spacing w:after="0" w:line="56" w:lineRule="exact"/>
        <w:rPr>
          <w:sz w:val="20"/>
          <w:szCs w:val="20"/>
          <w:color w:val="auto"/>
        </w:rPr>
      </w:pPr>
    </w:p>
    <w:p>
      <w:pPr>
        <w:ind w:left="560" w:right="20" w:hanging="424"/>
        <w:spacing w:after="0" w:line="227" w:lineRule="auto"/>
        <w:rPr>
          <w:sz w:val="20"/>
          <w:szCs w:val="20"/>
          <w:color w:val="auto"/>
        </w:rPr>
      </w:pPr>
      <w:r>
        <w:rPr>
          <w:rFonts w:ascii="Times New Roman" w:cs="Times New Roman" w:eastAsia="Times New Roman" w:hAnsi="Times New Roman"/>
          <w:sz w:val="17"/>
          <w:szCs w:val="17"/>
          <w:color w:val="auto"/>
        </w:rPr>
        <w:t>*10.1 Phillips-Van Heusen Corporation Capital Accumulation Plan (incorporated by reference to our Current Report on Form 8-K, filed on January 16, 1987); Phillips-Van Heusen Corporation Amendment to Capital Accumulation Plan (incorporated by reference to Exhibit 10(n)</w:t>
      </w:r>
    </w:p>
    <w:p>
      <w:pPr>
        <w:spacing w:after="0" w:line="1" w:lineRule="exact"/>
        <w:rPr>
          <w:sz w:val="20"/>
          <w:szCs w:val="20"/>
          <w:color w:val="auto"/>
        </w:rPr>
      </w:pPr>
    </w:p>
    <w:p>
      <w:pPr>
        <w:ind w:left="560" w:right="100"/>
        <w:spacing w:after="0" w:line="2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our Annual Report on Form 10-K for the fiscal year ended February 2, 1987); Form of Agreement amending Phillips-Van Heusen Corporation Capital Accumulation Plan with respect to individual participants (incorporated by reference to Exhibit 10(1) to our Annual </w:t>
      </w:r>
      <w:hyperlink r:id="rId98">
        <w:r>
          <w:rPr>
            <w:rFonts w:ascii="Times New Roman" w:cs="Times New Roman" w:eastAsia="Times New Roman" w:hAnsi="Times New Roman"/>
            <w:sz w:val="17"/>
            <w:szCs w:val="17"/>
            <w:color w:val="auto"/>
          </w:rPr>
          <w:t xml:space="preserve">Report on Form 10-K for the fiscal year ended January 31, 1988); </w:t>
        </w:r>
        <w:r>
          <w:rPr>
            <w:rFonts w:ascii="Times New Roman" w:cs="Times New Roman" w:eastAsia="Times New Roman" w:hAnsi="Times New Roman"/>
            <w:sz w:val="17"/>
            <w:szCs w:val="17"/>
            <w:u w:val="single" w:color="auto"/>
            <w:color w:val="0000FF"/>
          </w:rPr>
          <w:t>Form of Agreement amending Phillips-Van Heusen Corporation Capital</w:t>
        </w:r>
      </w:hyperlink>
    </w:p>
    <w:p>
      <w:pPr>
        <w:spacing w:after="0" w:line="2" w:lineRule="exact"/>
        <w:rPr>
          <w:sz w:val="20"/>
          <w:szCs w:val="20"/>
          <w:color w:val="auto"/>
        </w:rPr>
      </w:pPr>
    </w:p>
    <w:p>
      <w:pPr>
        <w:ind w:left="560" w:right="40"/>
        <w:spacing w:after="0" w:line="230" w:lineRule="auto"/>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u w:val="single" w:color="auto"/>
            <w:color w:val="0000FF"/>
          </w:rPr>
          <w:t>Accumulation Plan with respect to individual participants (incorporated by reference to Exhibit 10.8 to our Quarterly Report on Form 10-Q</w:t>
        </w:r>
      </w:hyperlink>
      <w:r>
        <w:rPr>
          <w:rFonts w:ascii="Times New Roman" w:cs="Times New Roman" w:eastAsia="Times New Roman" w:hAnsi="Times New Roman"/>
          <w:sz w:val="17"/>
          <w:szCs w:val="17"/>
          <w:u w:val="single" w:color="auto"/>
          <w:color w:val="0000FF"/>
        </w:rPr>
        <w:t xml:space="preserve"> </w:t>
      </w:r>
      <w:hyperlink r:id="rId98">
        <w:r>
          <w:rPr>
            <w:rFonts w:ascii="Times New Roman" w:cs="Times New Roman" w:eastAsia="Times New Roman" w:hAnsi="Times New Roman"/>
            <w:sz w:val="17"/>
            <w:szCs w:val="17"/>
            <w:u w:val="single" w:color="auto"/>
            <w:color w:val="0000FF"/>
          </w:rPr>
          <w:t>for the period ended October 29, 1995)</w:t>
        </w:r>
        <w:r>
          <w:rPr>
            <w:rFonts w:ascii="Times New Roman" w:cs="Times New Roman" w:eastAsia="Times New Roman" w:hAnsi="Times New Roman"/>
            <w:sz w:val="17"/>
            <w:szCs w:val="17"/>
            <w:color w:val="000000"/>
          </w:rPr>
          <w:t>.</w:t>
        </w:r>
      </w:hyperlink>
    </w:p>
    <w:p>
      <w:pPr>
        <w:spacing w:after="0" w:line="48" w:lineRule="exact"/>
        <w:rPr>
          <w:sz w:val="20"/>
          <w:szCs w:val="20"/>
          <w:color w:val="auto"/>
        </w:rPr>
      </w:pPr>
    </w:p>
    <w:p>
      <w:pPr>
        <w:ind w:left="560" w:right="40" w:hanging="424"/>
        <w:spacing w:after="0" w:line="245"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*10.2 </w:t>
      </w:r>
      <w:hyperlink r:id="rId99">
        <w:r>
          <w:rPr>
            <w:rFonts w:ascii="Times New Roman" w:cs="Times New Roman" w:eastAsia="Times New Roman" w:hAnsi="Times New Roman"/>
            <w:sz w:val="17"/>
            <w:szCs w:val="17"/>
            <w:u w:val="single" w:color="auto"/>
            <w:color w:val="0000FF"/>
          </w:rPr>
          <w:t>Phillips-Van Heusen Corporation Supplemental Defined Benefit Plan, dated January 1, 1991, as amended and restated effective as of</w:t>
        </w:r>
      </w:hyperlink>
      <w:r>
        <w:rPr>
          <w:rFonts w:ascii="Times New Roman" w:cs="Times New Roman" w:eastAsia="Times New Roman" w:hAnsi="Times New Roman"/>
          <w:sz w:val="17"/>
          <w:szCs w:val="17"/>
          <w:color w:val="auto"/>
        </w:rPr>
        <w:t xml:space="preserve"> </w:t>
      </w:r>
      <w:hyperlink r:id="rId99">
        <w:r>
          <w:rPr>
            <w:rFonts w:ascii="Times New Roman" w:cs="Times New Roman" w:eastAsia="Times New Roman" w:hAnsi="Times New Roman"/>
            <w:sz w:val="17"/>
            <w:szCs w:val="17"/>
            <w:u w:val="single" w:color="auto"/>
            <w:color w:val="0000FF"/>
          </w:rPr>
          <w:t>January 1, 2005 (incorporated by reference to Exhibit 10.3 to our Quarterly Report on Form 10-Q for the period ended November 4, 2007)</w:t>
        </w:r>
      </w:hyperlink>
      <w:r>
        <w:rPr>
          <w:rFonts w:ascii="Times New Roman" w:cs="Times New Roman" w:eastAsia="Times New Roman" w:hAnsi="Times New Roman"/>
          <w:sz w:val="17"/>
          <w:szCs w:val="17"/>
          <w:color w:val="000000"/>
        </w:rPr>
        <w:t>.</w:t>
      </w:r>
    </w:p>
    <w:p>
      <w:pPr>
        <w:spacing w:after="0" w:line="56" w:lineRule="exact"/>
        <w:rPr>
          <w:sz w:val="20"/>
          <w:szCs w:val="20"/>
          <w:color w:val="auto"/>
        </w:rPr>
      </w:pPr>
    </w:p>
    <w:p>
      <w:pPr>
        <w:ind w:left="560" w:right="40" w:hanging="424"/>
        <w:spacing w:after="0" w:line="245"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*10.3 </w:t>
      </w:r>
      <w:hyperlink r:id="rId100">
        <w:r>
          <w:rPr>
            <w:rFonts w:ascii="Times New Roman" w:cs="Times New Roman" w:eastAsia="Times New Roman" w:hAnsi="Times New Roman"/>
            <w:sz w:val="17"/>
            <w:szCs w:val="17"/>
            <w:u w:val="single" w:color="auto"/>
            <w:color w:val="0000FF"/>
          </w:rPr>
          <w:t>Phillips-Van Heusen Corporation Supplemental Savings Plan, effective as of January 1, 1991 and amended and restated effective as of</w:t>
        </w:r>
      </w:hyperlink>
      <w:r>
        <w:rPr>
          <w:rFonts w:ascii="Times New Roman" w:cs="Times New Roman" w:eastAsia="Times New Roman" w:hAnsi="Times New Roman"/>
          <w:sz w:val="17"/>
          <w:szCs w:val="17"/>
          <w:color w:val="auto"/>
        </w:rPr>
        <w:t xml:space="preserve"> </w:t>
      </w:r>
      <w:hyperlink r:id="rId100">
        <w:r>
          <w:rPr>
            <w:rFonts w:ascii="Times New Roman" w:cs="Times New Roman" w:eastAsia="Times New Roman" w:hAnsi="Times New Roman"/>
            <w:sz w:val="17"/>
            <w:szCs w:val="17"/>
            <w:u w:val="single" w:color="auto"/>
            <w:color w:val="0000FF"/>
          </w:rPr>
          <w:t>January 1, 2005 (incorporated by reference to Exhibit 10.4 to our Quarterly Report on Form 10-Q for the period ended November 4, 2007)</w:t>
        </w:r>
      </w:hyperlink>
      <w:r>
        <w:rPr>
          <w:rFonts w:ascii="Times New Roman" w:cs="Times New Roman" w:eastAsia="Times New Roman" w:hAnsi="Times New Roman"/>
          <w:sz w:val="17"/>
          <w:szCs w:val="17"/>
          <w:color w:val="000000"/>
        </w:rPr>
        <w:t>.</w:t>
      </w:r>
    </w:p>
    <w:p>
      <w:pPr>
        <w:spacing w:after="0" w:line="56" w:lineRule="exact"/>
        <w:rPr>
          <w:sz w:val="20"/>
          <w:szCs w:val="20"/>
          <w:color w:val="auto"/>
        </w:rPr>
      </w:pPr>
    </w:p>
    <w:p>
      <w:pPr>
        <w:ind w:left="560" w:right="280" w:hanging="424"/>
        <w:spacing w:after="0" w:line="245"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*10.4 </w:t>
      </w:r>
      <w:hyperlink r:id="rId101">
        <w:r>
          <w:rPr>
            <w:rFonts w:ascii="Times New Roman" w:cs="Times New Roman" w:eastAsia="Times New Roman" w:hAnsi="Times New Roman"/>
            <w:sz w:val="17"/>
            <w:szCs w:val="17"/>
            <w:u w:val="single" w:color="auto"/>
            <w:color w:val="0000FF"/>
          </w:rPr>
          <w:t>PVH Corp. Long-Term Incentive Plan, as amended and restated effective May 2, 2013 (incorporated by reference to Exhibit 10.2 to our</w:t>
        </w:r>
      </w:hyperlink>
      <w:r>
        <w:rPr>
          <w:rFonts w:ascii="Times New Roman" w:cs="Times New Roman" w:eastAsia="Times New Roman" w:hAnsi="Times New Roman"/>
          <w:sz w:val="17"/>
          <w:szCs w:val="17"/>
          <w:color w:val="auto"/>
        </w:rPr>
        <w:t xml:space="preserve"> </w:t>
      </w:r>
      <w:hyperlink r:id="rId101">
        <w:r>
          <w:rPr>
            <w:rFonts w:ascii="Times New Roman" w:cs="Times New Roman" w:eastAsia="Times New Roman" w:hAnsi="Times New Roman"/>
            <w:sz w:val="17"/>
            <w:szCs w:val="17"/>
            <w:u w:val="single" w:color="auto"/>
            <w:color w:val="0000FF"/>
          </w:rPr>
          <w:t>Current Report on Form 8-K, filed June 26, 2013)</w:t>
        </w:r>
        <w:r>
          <w:rPr>
            <w:rFonts w:ascii="Times New Roman" w:cs="Times New Roman" w:eastAsia="Times New Roman" w:hAnsi="Times New Roman"/>
            <w:sz w:val="17"/>
            <w:szCs w:val="17"/>
            <w:color w:val="000000"/>
          </w:rPr>
          <w:t>.</w:t>
        </w:r>
      </w:hyperlink>
    </w:p>
    <w:p>
      <w:pPr>
        <w:spacing w:after="0" w:line="56" w:lineRule="exact"/>
        <w:rPr>
          <w:sz w:val="20"/>
          <w:szCs w:val="20"/>
          <w:color w:val="auto"/>
        </w:rPr>
      </w:pPr>
    </w:p>
    <w:p>
      <w:pPr>
        <w:ind w:left="560" w:right="20" w:hanging="424"/>
        <w:spacing w:after="0" w:line="24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*10.5 </w:t>
      </w:r>
      <w:hyperlink r:id="rId102">
        <w:r>
          <w:rPr>
            <w:rFonts w:ascii="Times New Roman" w:cs="Times New Roman" w:eastAsia="Times New Roman" w:hAnsi="Times New Roman"/>
            <w:sz w:val="17"/>
            <w:szCs w:val="17"/>
            <w:u w:val="single" w:color="auto"/>
            <w:color w:val="0000FF"/>
          </w:rPr>
          <w:t>PVH Corp. Stock Incentive Plan, as amended and restated effective June 22, 2023 (incorporated by reference to Exhibit 10.1 to our Current</w:t>
        </w:r>
      </w:hyperlink>
      <w:r>
        <w:rPr>
          <w:rFonts w:ascii="Times New Roman" w:cs="Times New Roman" w:eastAsia="Times New Roman" w:hAnsi="Times New Roman"/>
          <w:sz w:val="17"/>
          <w:szCs w:val="17"/>
          <w:color w:val="auto"/>
        </w:rPr>
        <w:t xml:space="preserve"> </w:t>
      </w:r>
      <w:hyperlink r:id="rId102">
        <w:r>
          <w:rPr>
            <w:rFonts w:ascii="Times New Roman" w:cs="Times New Roman" w:eastAsia="Times New Roman" w:hAnsi="Times New Roman"/>
            <w:sz w:val="17"/>
            <w:szCs w:val="17"/>
            <w:u w:val="single" w:color="auto"/>
            <w:color w:val="0000FF"/>
          </w:rPr>
          <w:t>Report on Form 8-K, filed on June 27, 2023).</w:t>
        </w:r>
      </w:hyperlink>
    </w:p>
    <w:p>
      <w:pPr>
        <w:spacing w:after="0" w:line="56" w:lineRule="exact"/>
        <w:rPr>
          <w:sz w:val="20"/>
          <w:szCs w:val="20"/>
          <w:color w:val="auto"/>
        </w:rPr>
      </w:pPr>
    </w:p>
    <w:p>
      <w:pPr>
        <w:ind w:left="560" w:right="20" w:hanging="424"/>
        <w:spacing w:after="0" w:line="24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*10.6 </w:t>
      </w:r>
      <w:hyperlink r:id="rId103">
        <w:r>
          <w:rPr>
            <w:rFonts w:ascii="Times New Roman" w:cs="Times New Roman" w:eastAsia="Times New Roman" w:hAnsi="Times New Roman"/>
            <w:sz w:val="17"/>
            <w:szCs w:val="17"/>
            <w:u w:val="single" w:color="auto"/>
            <w:color w:val="0000FF"/>
          </w:rPr>
          <w:t>PVH Corp. Performance Incentive Bonus Plan, as amended and restated effective April 30, 2020 (incorporated by reference to Exhibit 10.8</w:t>
        </w:r>
      </w:hyperlink>
      <w:r>
        <w:rPr>
          <w:rFonts w:ascii="Times New Roman" w:cs="Times New Roman" w:eastAsia="Times New Roman" w:hAnsi="Times New Roman"/>
          <w:sz w:val="17"/>
          <w:szCs w:val="17"/>
          <w:color w:val="auto"/>
        </w:rPr>
        <w:t xml:space="preserve"> </w:t>
      </w:r>
      <w:hyperlink r:id="rId103">
        <w:r>
          <w:rPr>
            <w:rFonts w:ascii="Times New Roman" w:cs="Times New Roman" w:eastAsia="Times New Roman" w:hAnsi="Times New Roman"/>
            <w:sz w:val="17"/>
            <w:szCs w:val="17"/>
            <w:u w:val="single" w:color="auto"/>
            <w:color w:val="0000FF"/>
          </w:rPr>
          <w:t>to our Annual Report on Form 10-K for the fiscal year ended January 31, 2021).</w:t>
        </w:r>
      </w:hyperlink>
    </w:p>
    <w:p>
      <w:pPr>
        <w:spacing w:after="0" w:line="56" w:lineRule="exact"/>
        <w:rPr>
          <w:sz w:val="20"/>
          <w:szCs w:val="20"/>
          <w:color w:val="auto"/>
        </w:rPr>
      </w:pPr>
    </w:p>
    <w:p>
      <w:pPr>
        <w:ind w:left="560" w:right="220" w:hanging="424"/>
        <w:spacing w:after="0" w:line="245"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*10.7 </w:t>
      </w:r>
      <w:hyperlink r:id="rId104">
        <w:r>
          <w:rPr>
            <w:rFonts w:ascii="Times New Roman" w:cs="Times New Roman" w:eastAsia="Times New Roman" w:hAnsi="Times New Roman"/>
            <w:sz w:val="17"/>
            <w:szCs w:val="17"/>
            <w:u w:val="single" w:color="auto"/>
            <w:color w:val="0000FF"/>
          </w:rPr>
          <w:t>Form of Stock Option Agreement for Associates under the Phillips-Van Heusen Corporation 2006 Stock Incentive Plan (incorporated by</w:t>
        </w:r>
      </w:hyperlink>
      <w:r>
        <w:rPr>
          <w:rFonts w:ascii="Times New Roman" w:cs="Times New Roman" w:eastAsia="Times New Roman" w:hAnsi="Times New Roman"/>
          <w:sz w:val="17"/>
          <w:szCs w:val="17"/>
          <w:color w:val="auto"/>
        </w:rPr>
        <w:t xml:space="preserve"> </w:t>
      </w:r>
      <w:hyperlink r:id="rId104">
        <w:r>
          <w:rPr>
            <w:rFonts w:ascii="Times New Roman" w:cs="Times New Roman" w:eastAsia="Times New Roman" w:hAnsi="Times New Roman"/>
            <w:sz w:val="17"/>
            <w:szCs w:val="17"/>
            <w:u w:val="single" w:color="auto"/>
            <w:color w:val="0000FF"/>
          </w:rPr>
          <w:t>reference to Exhibit 10.2 to our Quarterly Report on Form 10-Q for the period ended May 6, 2007)</w:t>
        </w:r>
        <w:r>
          <w:rPr>
            <w:rFonts w:ascii="Times New Roman" w:cs="Times New Roman" w:eastAsia="Times New Roman" w:hAnsi="Times New Roman"/>
            <w:sz w:val="17"/>
            <w:szCs w:val="17"/>
            <w:color w:val="000000"/>
          </w:rPr>
          <w:t>.</w:t>
        </w:r>
      </w:hyperlink>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*,+10.8 </w:t>
      </w:r>
      <w:r>
        <w:rPr>
          <w:rFonts w:ascii="Times New Roman" w:cs="Times New Roman" w:eastAsia="Times New Roman" w:hAnsi="Times New Roman"/>
          <w:sz w:val="17"/>
          <w:szCs w:val="17"/>
          <w:u w:val="single" w:color="auto"/>
          <w:color w:val="0000FF"/>
        </w:rPr>
        <w:t>Form of Restricted Stock Unit Agreement for Associates under the PVH Corp. Stock Incentive Plan</w:t>
      </w:r>
    </w:p>
    <w:p>
      <w:pPr>
        <w:spacing w:after="0" w:line="78" w:lineRule="exact"/>
        <w:rPr>
          <w:sz w:val="20"/>
          <w:szCs w:val="20"/>
          <w:color w:val="auto"/>
        </w:rPr>
      </w:pPr>
    </w:p>
    <w:p>
      <w:pPr>
        <w:ind w:left="560" w:right="40" w:hanging="424"/>
        <w:spacing w:after="0" w:line="227" w:lineRule="auto"/>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 xml:space="preserve">*10.9 </w:t>
      </w:r>
      <w:hyperlink r:id="rId105">
        <w:r>
          <w:rPr>
            <w:rFonts w:ascii="Times New Roman" w:cs="Times New Roman" w:eastAsia="Times New Roman" w:hAnsi="Times New Roman"/>
            <w:sz w:val="17"/>
            <w:szCs w:val="17"/>
            <w:u w:val="single" w:color="auto"/>
            <w:color w:val="0000FF"/>
          </w:rPr>
          <w:t>Form of Performance Share Award Agreement under the PVH Corp. 2006 Stock Incentive Plan, effective as of April 25, 2012</w:t>
        </w:r>
      </w:hyperlink>
      <w:r>
        <w:rPr>
          <w:rFonts w:ascii="Times New Roman" w:cs="Times New Roman" w:eastAsia="Times New Roman" w:hAnsi="Times New Roman"/>
          <w:sz w:val="17"/>
          <w:szCs w:val="17"/>
          <w:color w:val="auto"/>
        </w:rPr>
        <w:t xml:space="preserve"> </w:t>
      </w:r>
      <w:hyperlink r:id="rId106">
        <w:r>
          <w:rPr>
            <w:rFonts w:ascii="Times New Roman" w:cs="Times New Roman" w:eastAsia="Times New Roman" w:hAnsi="Times New Roman"/>
            <w:sz w:val="17"/>
            <w:szCs w:val="17"/>
            <w:u w:val="single" w:color="auto"/>
            <w:color w:val="0000FF"/>
          </w:rPr>
          <w:t>(incorporated by reference to Exhibit 10.3 to our Quarterly Report on Form 10-Q for the period ended April 29, 2012)</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Alternative Form of</w:t>
        </w:r>
      </w:hyperlink>
    </w:p>
    <w:p>
      <w:pPr>
        <w:spacing w:after="0" w:line="1" w:lineRule="exact"/>
        <w:rPr>
          <w:sz w:val="20"/>
          <w:szCs w:val="20"/>
          <w:color w:val="auto"/>
        </w:rPr>
      </w:pPr>
    </w:p>
    <w:p>
      <w:pPr>
        <w:ind w:left="560" w:right="140"/>
        <w:spacing w:after="0" w:line="230" w:lineRule="auto"/>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u w:val="single" w:color="auto"/>
            <w:color w:val="0000FF"/>
          </w:rPr>
          <w:t>Performance Share Unit Award Agreement under the PVH Corp. 2006 Stock Incentive Plan, effective as of May 1, 2013 (incorporated by</w:t>
        </w:r>
      </w:hyperlink>
      <w:r>
        <w:rPr>
          <w:rFonts w:ascii="Times New Roman" w:cs="Times New Roman" w:eastAsia="Times New Roman" w:hAnsi="Times New Roman"/>
          <w:sz w:val="17"/>
          <w:szCs w:val="17"/>
          <w:u w:val="single" w:color="auto"/>
          <w:color w:val="0000FF"/>
        </w:rPr>
        <w:t xml:space="preserve"> </w:t>
      </w:r>
      <w:hyperlink r:id="rId106">
        <w:r>
          <w:rPr>
            <w:rFonts w:ascii="Times New Roman" w:cs="Times New Roman" w:eastAsia="Times New Roman" w:hAnsi="Times New Roman"/>
            <w:sz w:val="17"/>
            <w:szCs w:val="17"/>
            <w:u w:val="single" w:color="auto"/>
            <w:color w:val="0000FF"/>
          </w:rPr>
          <w:t>reference to Exhibit 10.2 to our Quarterly Report on Form 10-Q for the period ended May 5, 2013)</w:t>
        </w:r>
        <w:r>
          <w:rPr>
            <w:rFonts w:ascii="Times New Roman" w:cs="Times New Roman" w:eastAsia="Times New Roman" w:hAnsi="Times New Roman"/>
            <w:sz w:val="17"/>
            <w:szCs w:val="17"/>
            <w:color w:val="000000"/>
          </w:rPr>
          <w:t>.</w:t>
        </w:r>
      </w:hyperlink>
    </w:p>
    <w:p>
      <w:pPr>
        <w:spacing w:after="0" w:line="48" w:lineRule="exact"/>
        <w:rPr>
          <w:sz w:val="20"/>
          <w:szCs w:val="20"/>
          <w:color w:val="auto"/>
        </w:rPr>
      </w:pPr>
    </w:p>
    <w:p>
      <w:pPr>
        <w:ind w:left="560" w:right="40" w:hanging="510"/>
        <w:spacing w:after="0" w:line="227"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*10.10 </w:t>
      </w:r>
      <w:hyperlink r:id="rId107">
        <w:r>
          <w:rPr>
            <w:rFonts w:ascii="Times New Roman" w:cs="Times New Roman" w:eastAsia="Times New Roman" w:hAnsi="Times New Roman"/>
            <w:sz w:val="17"/>
            <w:szCs w:val="17"/>
            <w:u w:val="single" w:color="auto"/>
            <w:color w:val="0000FF"/>
          </w:rPr>
          <w:t>Form of Restricted Stock Unit Award Agreement for Directors under the Phillips-Van Heusen Corporation 2006 Stock Incentive Plan,</w:t>
        </w:r>
      </w:hyperlink>
      <w:r>
        <w:rPr>
          <w:rFonts w:ascii="Times New Roman" w:cs="Times New Roman" w:eastAsia="Times New Roman" w:hAnsi="Times New Roman"/>
          <w:sz w:val="17"/>
          <w:szCs w:val="17"/>
          <w:color w:val="auto"/>
        </w:rPr>
        <w:t xml:space="preserve"> </w:t>
      </w:r>
      <w:hyperlink r:id="rId107">
        <w:r>
          <w:rPr>
            <w:rFonts w:ascii="Times New Roman" w:cs="Times New Roman" w:eastAsia="Times New Roman" w:hAnsi="Times New Roman"/>
            <w:sz w:val="17"/>
            <w:szCs w:val="17"/>
            <w:u w:val="single" w:color="auto"/>
            <w:color w:val="0000FF"/>
          </w:rPr>
          <w:t>effective as of June 24, 2010 (incorporated by reference to Exhibit 10.3 to our Quarterly Report on Form 10-Q for the period ended August</w:t>
        </w:r>
      </w:hyperlink>
    </w:p>
    <w:p>
      <w:pPr>
        <w:spacing w:after="0" w:line="1" w:lineRule="exact"/>
        <w:rPr>
          <w:sz w:val="20"/>
          <w:szCs w:val="20"/>
          <w:color w:val="auto"/>
        </w:rPr>
      </w:pPr>
    </w:p>
    <w:p>
      <w:pPr>
        <w:ind w:left="560"/>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u w:val="single" w:color="auto"/>
            <w:color w:val="0000FF"/>
          </w:rPr>
          <w:t>1, 2010)</w:t>
        </w:r>
        <w:r>
          <w:rPr>
            <w:rFonts w:ascii="Times New Roman" w:cs="Times New Roman" w:eastAsia="Times New Roman" w:hAnsi="Times New Roman"/>
            <w:sz w:val="17"/>
            <w:szCs w:val="17"/>
            <w:color w:val="000000"/>
          </w:rPr>
          <w:t>.</w:t>
        </w:r>
      </w:hyperlink>
    </w:p>
    <w:p>
      <w:pPr>
        <w:spacing w:after="0" w:line="58" w:lineRule="exact"/>
        <w:rPr>
          <w:sz w:val="20"/>
          <w:szCs w:val="20"/>
          <w:color w:val="auto"/>
        </w:rPr>
      </w:pPr>
    </w:p>
    <w:p>
      <w:pPr>
        <w:ind w:left="560" w:right="40" w:hanging="504"/>
        <w:spacing w:after="0" w:line="24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*10.11 </w:t>
      </w:r>
      <w:hyperlink r:id="rId108">
        <w:r>
          <w:rPr>
            <w:rFonts w:ascii="Times New Roman" w:cs="Times New Roman" w:eastAsia="Times New Roman" w:hAnsi="Times New Roman"/>
            <w:sz w:val="17"/>
            <w:szCs w:val="17"/>
            <w:u w:val="single" w:color="auto"/>
            <w:color w:val="0000FF"/>
          </w:rPr>
          <w:t>Schedule of Non-Management Director Fees, effective June 16, 2022 (incorporated by reference to Exhibit 10.1 to our Quarterly Report on</w:t>
        </w:r>
      </w:hyperlink>
      <w:r>
        <w:rPr>
          <w:rFonts w:ascii="Times New Roman" w:cs="Times New Roman" w:eastAsia="Times New Roman" w:hAnsi="Times New Roman"/>
          <w:sz w:val="17"/>
          <w:szCs w:val="17"/>
          <w:color w:val="auto"/>
        </w:rPr>
        <w:t xml:space="preserve"> </w:t>
      </w:r>
      <w:hyperlink r:id="rId108">
        <w:r>
          <w:rPr>
            <w:rFonts w:ascii="Times New Roman" w:cs="Times New Roman" w:eastAsia="Times New Roman" w:hAnsi="Times New Roman"/>
            <w:sz w:val="17"/>
            <w:szCs w:val="17"/>
            <w:u w:val="single" w:color="auto"/>
            <w:color w:val="0000FF"/>
          </w:rPr>
          <w:t>Form 10-Q for the period ended July 31, 2022).</w:t>
        </w:r>
      </w:hyperlink>
    </w:p>
    <w:p>
      <w:pPr>
        <w:spacing w:after="0" w:line="56" w:lineRule="exact"/>
        <w:rPr>
          <w:sz w:val="20"/>
          <w:szCs w:val="20"/>
          <w:color w:val="auto"/>
        </w:rPr>
      </w:pPr>
    </w:p>
    <w:p>
      <w:pPr>
        <w:ind w:left="560" w:hanging="510"/>
        <w:spacing w:after="0" w:line="227"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*10.12 </w:t>
      </w:r>
      <w:hyperlink r:id="rId109">
        <w:r>
          <w:rPr>
            <w:rFonts w:ascii="Times New Roman" w:cs="Times New Roman" w:eastAsia="Times New Roman" w:hAnsi="Times New Roman"/>
            <w:sz w:val="17"/>
            <w:szCs w:val="17"/>
            <w:u w:val="single" w:color="auto"/>
            <w:color w:val="0000FF"/>
          </w:rPr>
          <w:t>Employment Agreement, effective as of June 3, 2019, between PVH Corp. and Stefan Larsson (incorporated by reference to Exhibit 10.1 to</w:t>
        </w:r>
      </w:hyperlink>
      <w:r>
        <w:rPr>
          <w:rFonts w:ascii="Times New Roman" w:cs="Times New Roman" w:eastAsia="Times New Roman" w:hAnsi="Times New Roman"/>
          <w:sz w:val="17"/>
          <w:szCs w:val="17"/>
          <w:color w:val="auto"/>
        </w:rPr>
        <w:t xml:space="preserve"> </w:t>
      </w:r>
      <w:hyperlink r:id="rId110">
        <w:r>
          <w:rPr>
            <w:rFonts w:ascii="Times New Roman" w:cs="Times New Roman" w:eastAsia="Times New Roman" w:hAnsi="Times New Roman"/>
            <w:sz w:val="17"/>
            <w:szCs w:val="17"/>
            <w:u w:val="single" w:color="auto"/>
            <w:color w:val="0000FF"/>
          </w:rPr>
          <w:t>our Current Report on Form 8-K, filed on May 22, 2019). First Amendment to Employment Agreement, dated as of January 27, 2021,</w:t>
        </w:r>
      </w:hyperlink>
    </w:p>
    <w:p>
      <w:pPr>
        <w:spacing w:after="0" w:line="1" w:lineRule="exact"/>
        <w:rPr>
          <w:sz w:val="20"/>
          <w:szCs w:val="20"/>
          <w:color w:val="auto"/>
        </w:rPr>
      </w:pPr>
    </w:p>
    <w:p>
      <w:pPr>
        <w:ind w:left="560" w:right="20"/>
        <w:spacing w:after="0" w:line="230" w:lineRule="auto"/>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u w:val="single" w:color="auto"/>
            <w:color w:val="0000FF"/>
          </w:rPr>
          <w:t>between PVH Corp. and Stefan Larsson (incorporated by reference to Exhibit 10.1 to our Current Report on Form 8-K, filed on February 1,</w:t>
        </w:r>
      </w:hyperlink>
      <w:r>
        <w:rPr>
          <w:rFonts w:ascii="Times New Roman" w:cs="Times New Roman" w:eastAsia="Times New Roman" w:hAnsi="Times New Roman"/>
          <w:sz w:val="17"/>
          <w:szCs w:val="17"/>
          <w:u w:val="single" w:color="auto"/>
          <w:color w:val="0000FF"/>
        </w:rPr>
        <w:t xml:space="preserve"> </w:t>
      </w:r>
      <w:hyperlink r:id="rId110">
        <w:r>
          <w:rPr>
            <w:rFonts w:ascii="Times New Roman" w:cs="Times New Roman" w:eastAsia="Times New Roman" w:hAnsi="Times New Roman"/>
            <w:sz w:val="17"/>
            <w:szCs w:val="17"/>
            <w:u w:val="single" w:color="auto"/>
            <w:color w:val="0000FF"/>
          </w:rPr>
          <w:t>2021)</w:t>
        </w:r>
        <w:r>
          <w:rPr>
            <w:rFonts w:ascii="Times New Roman" w:cs="Times New Roman" w:eastAsia="Times New Roman" w:hAnsi="Times New Roman"/>
            <w:sz w:val="17"/>
            <w:szCs w:val="17"/>
            <w:color w:val="000000"/>
          </w:rPr>
          <w:t>.</w:t>
        </w:r>
      </w:hyperlink>
    </w:p>
    <w:p>
      <w:pPr>
        <w:spacing w:after="0" w:line="48" w:lineRule="exact"/>
        <w:rPr>
          <w:sz w:val="20"/>
          <w:szCs w:val="20"/>
          <w:color w:val="auto"/>
        </w:rPr>
      </w:pPr>
    </w:p>
    <w:p>
      <w:pPr>
        <w:ind w:left="560" w:right="80" w:hanging="510"/>
        <w:spacing w:after="0" w:line="24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*10.13 </w:t>
      </w:r>
      <w:hyperlink r:id="rId111">
        <w:r>
          <w:rPr>
            <w:rFonts w:ascii="Times New Roman" w:cs="Times New Roman" w:eastAsia="Times New Roman" w:hAnsi="Times New Roman"/>
            <w:sz w:val="17"/>
            <w:szCs w:val="17"/>
            <w:u w:val="single" w:color="auto"/>
            <w:color w:val="0000FF"/>
          </w:rPr>
          <w:t>Form of salary reduction consent and waiver signed by Stefan Larsson (on April 7, 2020) (incorporated by reference to Exhibit 10.3 to our</w:t>
        </w:r>
      </w:hyperlink>
      <w:r>
        <w:rPr>
          <w:rFonts w:ascii="Times New Roman" w:cs="Times New Roman" w:eastAsia="Times New Roman" w:hAnsi="Times New Roman"/>
          <w:sz w:val="17"/>
          <w:szCs w:val="17"/>
          <w:color w:val="auto"/>
        </w:rPr>
        <w:t xml:space="preserve"> </w:t>
      </w:r>
      <w:hyperlink r:id="rId111">
        <w:r>
          <w:rPr>
            <w:rFonts w:ascii="Times New Roman" w:cs="Times New Roman" w:eastAsia="Times New Roman" w:hAnsi="Times New Roman"/>
            <w:sz w:val="17"/>
            <w:szCs w:val="17"/>
            <w:u w:val="single" w:color="auto"/>
            <w:color w:val="0000FF"/>
          </w:rPr>
          <w:t>Quarterly Report on Form 10-Q for the period ended May 3, 2020).</w:t>
        </w:r>
      </w:hyperlink>
    </w:p>
    <w:p>
      <w:pPr>
        <w:spacing w:after="0" w:line="56" w:lineRule="exact"/>
        <w:rPr>
          <w:sz w:val="20"/>
          <w:szCs w:val="20"/>
          <w:color w:val="auto"/>
        </w:rPr>
      </w:pPr>
    </w:p>
    <w:p>
      <w:pPr>
        <w:ind w:left="560" w:hanging="510"/>
        <w:spacing w:after="0" w:line="24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*10.14 </w:t>
      </w:r>
      <w:hyperlink r:id="rId112">
        <w:r>
          <w:rPr>
            <w:rFonts w:ascii="Times New Roman" w:cs="Times New Roman" w:eastAsia="Times New Roman" w:hAnsi="Times New Roman"/>
            <w:sz w:val="17"/>
            <w:szCs w:val="17"/>
            <w:u w:val="single" w:color="auto"/>
            <w:color w:val="0000FF"/>
          </w:rPr>
          <w:t>Employment Agreement, dated as of February 7, 2022, between PVH Corp. and Zac Coughlin (incorporated by reference to Exhibit 10.1 to</w:t>
        </w:r>
      </w:hyperlink>
      <w:r>
        <w:rPr>
          <w:rFonts w:ascii="Times New Roman" w:cs="Times New Roman" w:eastAsia="Times New Roman" w:hAnsi="Times New Roman"/>
          <w:sz w:val="17"/>
          <w:szCs w:val="17"/>
          <w:color w:val="auto"/>
        </w:rPr>
        <w:t xml:space="preserve"> </w:t>
      </w:r>
      <w:hyperlink r:id="rId112">
        <w:r>
          <w:rPr>
            <w:rFonts w:ascii="Times New Roman" w:cs="Times New Roman" w:eastAsia="Times New Roman" w:hAnsi="Times New Roman"/>
            <w:sz w:val="17"/>
            <w:szCs w:val="17"/>
            <w:u w:val="single" w:color="auto"/>
            <w:color w:val="0000FF"/>
          </w:rPr>
          <w:t>our Current Report on Form 8-K, filed on February 9, 2022).</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73025</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260"/>
          </w:cols>
          <w:pgMar w:left="1160" w:top="941" w:right="479" w:bottom="1440" w:gutter="0" w:footer="0" w:header="0"/>
        </w:sectPr>
      </w:pPr>
    </w:p>
    <w:bookmarkStart w:id="68" w:name="page69"/>
    <w:bookmarkEnd w:id="68"/>
    <w:p>
      <w:pPr>
        <w:ind w:left="780" w:right="360" w:hanging="424"/>
        <w:spacing w:after="0" w:line="227"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10.15 </w:t>
      </w:r>
      <w:hyperlink r:id="rId114">
        <w:r>
          <w:rPr>
            <w:rFonts w:ascii="Times New Roman" w:cs="Times New Roman" w:eastAsia="Times New Roman" w:hAnsi="Times New Roman"/>
            <w:sz w:val="17"/>
            <w:szCs w:val="17"/>
            <w:u w:val="single" w:color="auto"/>
            <w:color w:val="0000FF"/>
          </w:rPr>
          <w:t>Credit Agreement, dated as of December 9, 2022, among PVH Corp., certain subsidiaries of PVH Corp., Barclays Bank PLC as</w:t>
        </w:r>
      </w:hyperlink>
      <w:r>
        <w:rPr>
          <w:rFonts w:ascii="Times New Roman" w:cs="Times New Roman" w:eastAsia="Times New Roman" w:hAnsi="Times New Roman"/>
          <w:sz w:val="17"/>
          <w:szCs w:val="17"/>
          <w:color w:val="auto"/>
        </w:rPr>
        <w:t xml:space="preserve"> </w:t>
      </w:r>
      <w:hyperlink r:id="rId114">
        <w:r>
          <w:rPr>
            <w:rFonts w:ascii="Times New Roman" w:cs="Times New Roman" w:eastAsia="Times New Roman" w:hAnsi="Times New Roman"/>
            <w:sz w:val="17"/>
            <w:szCs w:val="17"/>
            <w:u w:val="single" w:color="auto"/>
            <w:color w:val="0000FF"/>
          </w:rPr>
          <w:t>Administrative Agent, Joint Lead Arranger and Joint Lead Bookrunner, Citibank, N.A. as Syndication Agent, Joint Lead Arranger and</w:t>
        </w:r>
      </w:hyperlink>
    </w:p>
    <w:p>
      <w:pPr>
        <w:spacing w:after="0" w:line="1" w:lineRule="exact"/>
        <w:rPr>
          <w:sz w:val="20"/>
          <w:szCs w:val="20"/>
          <w:color w:val="auto"/>
        </w:rPr>
      </w:pPr>
    </w:p>
    <w:p>
      <w:pPr>
        <w:ind w:left="780" w:right="120"/>
        <w:spacing w:after="0" w:line="212" w:lineRule="auto"/>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7"/>
            <w:szCs w:val="17"/>
            <w:u w:val="single" w:color="auto"/>
            <w:color w:val="0000FF"/>
          </w:rPr>
          <w:t>Joint Lead Bookrunner, BOFA Securities, Inc. as Documentation Agent, Joint Lead Arranger and Joint Lead Bookrunner, Truist Bank as</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Documentation Agent, Bank of China, New York Branch, as Documentation Agent, BNP Paribas as Documentation Agent, DBS Bank</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LTD. as Documentation Agent, Citizens Bank, N.A. as Documentation Agent, HSBC Bank USA, National Association as Documentation</w:t>
        </w:r>
      </w:hyperlink>
    </w:p>
    <w:p>
      <w:pPr>
        <w:spacing w:after="0" w:line="2" w:lineRule="exact"/>
        <w:rPr>
          <w:rFonts w:ascii="Times New Roman" w:cs="Times New Roman" w:eastAsia="Times New Roman" w:hAnsi="Times New Roman"/>
          <w:sz w:val="17"/>
          <w:szCs w:val="17"/>
          <w:u w:val="single" w:color="auto"/>
          <w:color w:val="0000FF"/>
        </w:rPr>
      </w:pPr>
    </w:p>
    <w:p>
      <w:pPr>
        <w:ind w:left="780" w:right="320"/>
        <w:spacing w:after="0" w:line="212" w:lineRule="auto"/>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7"/>
            <w:szCs w:val="17"/>
            <w:u w:val="single" w:color="auto"/>
            <w:color w:val="0000FF"/>
          </w:rPr>
          <w:t>Agent, Standard Chartered Bank as Documentation Agent, The Bank of Nova Scotia as Documentation Agent, U.S. Bank National</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Association as Documentation Agent, JPMorgan Chase Bank, N.A. as Joint Lead Arranger and Joint Lead Bookrunner, and Truist</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Securities, Inc. as Joint Lead Arranger and Joint Lead Bookrunner (incorporated by reference to Exhibit 10.25 to our Annual Report on</w:t>
        </w:r>
      </w:hyperlink>
    </w:p>
    <w:p>
      <w:pPr>
        <w:spacing w:after="0" w:line="2" w:lineRule="exact"/>
        <w:rPr>
          <w:rFonts w:ascii="Times New Roman" w:cs="Times New Roman" w:eastAsia="Times New Roman" w:hAnsi="Times New Roman"/>
          <w:sz w:val="17"/>
          <w:szCs w:val="17"/>
          <w:u w:val="single" w:color="auto"/>
          <w:color w:val="0000FF"/>
        </w:rPr>
      </w:pPr>
    </w:p>
    <w:p>
      <w:pPr>
        <w:ind w:left="780" w:right="20"/>
        <w:spacing w:after="0" w:line="222" w:lineRule="auto"/>
        <w:rPr>
          <w:rFonts w:ascii="Times New Roman" w:cs="Times New Roman" w:eastAsia="Times New Roman" w:hAnsi="Times New Roman"/>
          <w:sz w:val="17"/>
          <w:szCs w:val="17"/>
          <w:u w:val="single" w:color="auto"/>
          <w:color w:val="0000FF"/>
        </w:rPr>
      </w:pPr>
      <w:hyperlink r:id="rId115">
        <w:r>
          <w:rPr>
            <w:rFonts w:ascii="Times New Roman" w:cs="Times New Roman" w:eastAsia="Times New Roman" w:hAnsi="Times New Roman"/>
            <w:sz w:val="17"/>
            <w:szCs w:val="17"/>
            <w:u w:val="single" w:color="auto"/>
            <w:color w:val="0000FF"/>
          </w:rPr>
          <w:t>Form 10-K for the fiscal year ended January 29, 2023). First Amendment to Credit Agreement, dated as of June 27, 2024, entered into by</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and between PVH Corp. and Barclays Bank PLC as administrative agent (incorporated by reference to Exhibit 10.1 to our Quarterly Report</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on Form 10-Q for the period ended August 4, 2024).</w:t>
        </w:r>
      </w:hyperlink>
    </w:p>
    <w:p>
      <w:pPr>
        <w:spacing w:after="0" w:line="62" w:lineRule="exact"/>
        <w:rPr>
          <w:rFonts w:ascii="Times New Roman" w:cs="Times New Roman" w:eastAsia="Times New Roman" w:hAnsi="Times New Roman"/>
          <w:sz w:val="17"/>
          <w:szCs w:val="17"/>
          <w:u w:val="single" w:color="auto"/>
          <w:color w:val="0000FF"/>
        </w:rPr>
      </w:pPr>
    </w:p>
    <w:p>
      <w:pPr>
        <w:ind w:left="780" w:hanging="510"/>
        <w:spacing w:after="0" w:line="24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*10.16 </w:t>
      </w:r>
      <w:hyperlink r:id="rId116">
        <w:r>
          <w:rPr>
            <w:rFonts w:ascii="Times New Roman" w:cs="Times New Roman" w:eastAsia="Times New Roman" w:hAnsi="Times New Roman"/>
            <w:sz w:val="17"/>
            <w:szCs w:val="17"/>
            <w:u w:val="single" w:color="auto"/>
            <w:color w:val="0000FF"/>
          </w:rPr>
          <w:t>Employment Agreement, dated as of November 29, 2022, between PVH Corp. and Eva Serrano (incorporated by reference to Exhibit 10.22</w:t>
        </w:r>
      </w:hyperlink>
      <w:r>
        <w:rPr>
          <w:rFonts w:ascii="Times New Roman" w:cs="Times New Roman" w:eastAsia="Times New Roman" w:hAnsi="Times New Roman"/>
          <w:sz w:val="17"/>
          <w:szCs w:val="17"/>
          <w:color w:val="auto"/>
        </w:rPr>
        <w:t xml:space="preserve"> </w:t>
      </w:r>
      <w:hyperlink r:id="rId116">
        <w:r>
          <w:rPr>
            <w:rFonts w:ascii="Times New Roman" w:cs="Times New Roman" w:eastAsia="Times New Roman" w:hAnsi="Times New Roman"/>
            <w:sz w:val="17"/>
            <w:szCs w:val="17"/>
            <w:u w:val="single" w:color="auto"/>
            <w:color w:val="0000FF"/>
          </w:rPr>
          <w:t>to our Annual Report on Form 10-K for the fiscal year ended February 4, 2024).</w:t>
        </w:r>
      </w:hyperlink>
    </w:p>
    <w:p>
      <w:pPr>
        <w:spacing w:after="0" w:line="56" w:lineRule="exact"/>
        <w:rPr>
          <w:sz w:val="20"/>
          <w:szCs w:val="20"/>
          <w:color w:val="auto"/>
        </w:rPr>
      </w:pPr>
    </w:p>
    <w:p>
      <w:pPr>
        <w:jc w:val="right"/>
        <w:ind w:left="260" w:right="120"/>
        <w:spacing w:after="0" w:line="227"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*10.17 </w:t>
      </w:r>
      <w:hyperlink r:id="rId117">
        <w:r>
          <w:rPr>
            <w:rFonts w:ascii="Times New Roman" w:cs="Times New Roman" w:eastAsia="Times New Roman" w:hAnsi="Times New Roman"/>
            <w:sz w:val="17"/>
            <w:szCs w:val="17"/>
            <w:u w:val="single" w:color="auto"/>
            <w:color w:val="0000FF"/>
          </w:rPr>
          <w:t>Employment Agreement, dated as of July 6, 2022, between PVH Corp. and David Savman. First Amendment to Employment Agreement,</w:t>
        </w:r>
      </w:hyperlink>
      <w:r>
        <w:rPr>
          <w:rFonts w:ascii="Times New Roman" w:cs="Times New Roman" w:eastAsia="Times New Roman" w:hAnsi="Times New Roman"/>
          <w:sz w:val="17"/>
          <w:szCs w:val="17"/>
          <w:color w:val="auto"/>
        </w:rPr>
        <w:t xml:space="preserve"> </w:t>
      </w:r>
      <w:hyperlink r:id="rId117">
        <w:r>
          <w:rPr>
            <w:rFonts w:ascii="Times New Roman" w:cs="Times New Roman" w:eastAsia="Times New Roman" w:hAnsi="Times New Roman"/>
            <w:sz w:val="17"/>
            <w:szCs w:val="17"/>
            <w:u w:val="single" w:color="auto"/>
            <w:color w:val="0000FF"/>
          </w:rPr>
          <w:t>dated as of March 11, 2025, between PVH Corp. and David Savman (incorporated by reference to Exhibit 10.22 to our Annual Report on</w:t>
        </w:r>
      </w:hyperlink>
    </w:p>
    <w:p>
      <w:pPr>
        <w:spacing w:after="0" w:line="1" w:lineRule="exact"/>
        <w:rPr>
          <w:sz w:val="20"/>
          <w:szCs w:val="20"/>
          <w:color w:val="auto"/>
        </w:rPr>
      </w:pPr>
    </w:p>
    <w:p>
      <w:pPr>
        <w:ind w:left="780"/>
        <w:spacing w:after="0"/>
        <w:rPr>
          <w:rFonts w:ascii="Times New Roman" w:cs="Times New Roman" w:eastAsia="Times New Roman" w:hAnsi="Times New Roman"/>
          <w:sz w:val="17"/>
          <w:szCs w:val="17"/>
          <w:u w:val="single" w:color="auto"/>
          <w:color w:val="0000FF"/>
        </w:rPr>
      </w:pPr>
      <w:hyperlink r:id="rId117">
        <w:r>
          <w:rPr>
            <w:rFonts w:ascii="Times New Roman" w:cs="Times New Roman" w:eastAsia="Times New Roman" w:hAnsi="Times New Roman"/>
            <w:sz w:val="17"/>
            <w:szCs w:val="17"/>
            <w:u w:val="single" w:color="auto"/>
            <w:color w:val="0000FF"/>
          </w:rPr>
          <w:t>Form 10-K for the fiscal year ended February 2, 2025).</w:t>
        </w:r>
      </w:hyperlink>
    </w:p>
    <w:p>
      <w:pPr>
        <w:spacing w:after="0" w:line="51" w:lineRule="exact"/>
        <w:rPr>
          <w:sz w:val="20"/>
          <w:szCs w:val="20"/>
          <w:color w:val="auto"/>
        </w:rPr>
      </w:pPr>
    </w:p>
    <w:p>
      <w:pPr>
        <w:ind w:left="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*10.18 </w:t>
      </w:r>
      <w:hyperlink r:id="rId118">
        <w:r>
          <w:rPr>
            <w:rFonts w:ascii="Times New Roman" w:cs="Times New Roman" w:eastAsia="Times New Roman" w:hAnsi="Times New Roman"/>
            <w:sz w:val="17"/>
            <w:szCs w:val="17"/>
            <w:u w:val="single" w:color="auto"/>
            <w:color w:val="0000FF"/>
          </w:rPr>
          <w:t>Employment Agreement, dated as of October 6, 2023, between PVH Corp. and Lea Rytz Goldman (incorporated by reference to Exhibit</w:t>
        </w:r>
      </w:hyperlink>
    </w:p>
    <w:p>
      <w:pPr>
        <w:ind w:left="780"/>
        <w:spacing w:after="0"/>
        <w:rPr>
          <w:rFonts w:ascii="Times New Roman" w:cs="Times New Roman" w:eastAsia="Times New Roman" w:hAnsi="Times New Roman"/>
          <w:sz w:val="17"/>
          <w:szCs w:val="17"/>
          <w:u w:val="single" w:color="auto"/>
          <w:color w:val="0000FF"/>
        </w:rPr>
      </w:pPr>
      <w:hyperlink r:id="rId118">
        <w:r>
          <w:rPr>
            <w:rFonts w:ascii="Times New Roman" w:cs="Times New Roman" w:eastAsia="Times New Roman" w:hAnsi="Times New Roman"/>
            <w:sz w:val="17"/>
            <w:szCs w:val="17"/>
            <w:u w:val="single" w:color="auto"/>
            <w:color w:val="0000FF"/>
          </w:rPr>
          <w:t>10.23 to our Annual Report on Form 10-K for the fiscal year ended February 2, 2025).</w:t>
        </w:r>
      </w:hyperlink>
    </w:p>
    <w:p>
      <w:pPr>
        <w:spacing w:after="0" w:line="71" w:lineRule="exact"/>
        <w:rPr>
          <w:sz w:val="20"/>
          <w:szCs w:val="20"/>
          <w:color w:val="auto"/>
        </w:rPr>
      </w:pPr>
    </w:p>
    <w:p>
      <w:pPr>
        <w:ind w:left="3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10.19 </w:t>
      </w:r>
      <w:hyperlink r:id="rId119">
        <w:r>
          <w:rPr>
            <w:rFonts w:ascii="Times New Roman" w:cs="Times New Roman" w:eastAsia="Times New Roman" w:hAnsi="Times New Roman"/>
            <w:sz w:val="17"/>
            <w:szCs w:val="17"/>
            <w:u w:val="single" w:color="auto"/>
            <w:color w:val="0000FF"/>
          </w:rPr>
          <w:t>Form of ASR Agreements (incorporated by reference to Exhibit 10.1 to our Current Report on Form 8-K, filed on April 2, 2025).</w:t>
        </w:r>
      </w:hyperlink>
    </w:p>
    <w:p>
      <w:pPr>
        <w:spacing w:after="0" w:line="78" w:lineRule="exact"/>
        <w:rPr>
          <w:sz w:val="20"/>
          <w:szCs w:val="20"/>
          <w:color w:val="auto"/>
        </w:rPr>
      </w:pPr>
    </w:p>
    <w:p>
      <w:pPr>
        <w:ind w:left="780" w:right="100" w:hanging="424"/>
        <w:spacing w:after="0" w:line="227"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10.20 </w:t>
      </w:r>
      <w:hyperlink r:id="rId120">
        <w:r>
          <w:rPr>
            <w:rFonts w:ascii="Times New Roman" w:cs="Times New Roman" w:eastAsia="Times New Roman" w:hAnsi="Times New Roman"/>
            <w:sz w:val="17"/>
            <w:szCs w:val="17"/>
            <w:u w:val="single" w:color="auto"/>
            <w:color w:val="0000FF"/>
          </w:rPr>
          <w:t>Credit Agreement, dated as of April 4, 2025, among PVH Corp., certain subsidiaries of PVH Corp. from time to time party thereto, the</w:t>
        </w:r>
      </w:hyperlink>
      <w:r>
        <w:rPr>
          <w:rFonts w:ascii="Times New Roman" w:cs="Times New Roman" w:eastAsia="Times New Roman" w:hAnsi="Times New Roman"/>
          <w:sz w:val="17"/>
          <w:szCs w:val="17"/>
          <w:color w:val="auto"/>
        </w:rPr>
        <w:t xml:space="preserve"> </w:t>
      </w:r>
      <w:hyperlink r:id="rId120">
        <w:r>
          <w:rPr>
            <w:rFonts w:ascii="Times New Roman" w:cs="Times New Roman" w:eastAsia="Times New Roman" w:hAnsi="Times New Roman"/>
            <w:sz w:val="17"/>
            <w:szCs w:val="17"/>
            <w:u w:val="single" w:color="auto"/>
            <w:color w:val="0000FF"/>
          </w:rPr>
          <w:t>lenders from time to time party thereto and Barclays Bank PLC, as Administrative Agent (incorporated by reference to Exhibit 10.1 to our</w:t>
        </w:r>
      </w:hyperlink>
    </w:p>
    <w:p>
      <w:pPr>
        <w:spacing w:after="0" w:line="1" w:lineRule="exact"/>
        <w:rPr>
          <w:sz w:val="20"/>
          <w:szCs w:val="20"/>
          <w:color w:val="auto"/>
        </w:rPr>
      </w:pPr>
    </w:p>
    <w:p>
      <w:pPr>
        <w:ind w:left="780"/>
        <w:spacing w:after="0"/>
        <w:rPr>
          <w:rFonts w:ascii="Times New Roman" w:cs="Times New Roman" w:eastAsia="Times New Roman" w:hAnsi="Times New Roman"/>
          <w:sz w:val="17"/>
          <w:szCs w:val="17"/>
          <w:u w:val="single" w:color="auto"/>
          <w:color w:val="0000FF"/>
        </w:rPr>
      </w:pPr>
      <w:hyperlink r:id="rId120">
        <w:r>
          <w:rPr>
            <w:rFonts w:ascii="Times New Roman" w:cs="Times New Roman" w:eastAsia="Times New Roman" w:hAnsi="Times New Roman"/>
            <w:sz w:val="17"/>
            <w:szCs w:val="17"/>
            <w:u w:val="single" w:color="auto"/>
            <w:color w:val="0000FF"/>
          </w:rPr>
          <w:t>Current Report on Form 8-K, filed on April 4, 2025).</w:t>
        </w:r>
      </w:hyperlink>
    </w:p>
    <w:p>
      <w:pPr>
        <w:spacing w:after="0" w:line="58" w:lineRule="exact"/>
        <w:rPr>
          <w:sz w:val="20"/>
          <w:szCs w:val="20"/>
          <w:color w:val="auto"/>
        </w:rPr>
      </w:pPr>
    </w:p>
    <w:p>
      <w:pPr>
        <w:ind w:left="780" w:right="100" w:hanging="424"/>
        <w:spacing w:after="0" w:line="227"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10.21 </w:t>
      </w:r>
      <w:hyperlink r:id="rId121">
        <w:r>
          <w:rPr>
            <w:rFonts w:ascii="Times New Roman" w:cs="Times New Roman" w:eastAsia="Times New Roman" w:hAnsi="Times New Roman"/>
            <w:sz w:val="17"/>
            <w:szCs w:val="17"/>
            <w:u w:val="single" w:color="auto"/>
            <w:color w:val="0000FF"/>
          </w:rPr>
          <w:t>Credit Agreement, dated as of April 25, 2025, among PVH Corp., certain subsidiaries of PVH Corp. from time to time party thereto, the</w:t>
        </w:r>
      </w:hyperlink>
      <w:r>
        <w:rPr>
          <w:rFonts w:ascii="Times New Roman" w:cs="Times New Roman" w:eastAsia="Times New Roman" w:hAnsi="Times New Roman"/>
          <w:sz w:val="17"/>
          <w:szCs w:val="17"/>
          <w:color w:val="auto"/>
        </w:rPr>
        <w:t xml:space="preserve"> </w:t>
      </w:r>
      <w:hyperlink r:id="rId121">
        <w:r>
          <w:rPr>
            <w:rFonts w:ascii="Times New Roman" w:cs="Times New Roman" w:eastAsia="Times New Roman" w:hAnsi="Times New Roman"/>
            <w:sz w:val="17"/>
            <w:szCs w:val="17"/>
            <w:u w:val="single" w:color="auto"/>
            <w:color w:val="0000FF"/>
          </w:rPr>
          <w:t>lenders from time to time party thereto and Barclays Bank PLC, as Administrative Agent (incorporated by reference to Exhibit 10.1 to our</w:t>
        </w:r>
      </w:hyperlink>
    </w:p>
    <w:p>
      <w:pPr>
        <w:spacing w:after="0" w:line="1" w:lineRule="exact"/>
        <w:rPr>
          <w:sz w:val="20"/>
          <w:szCs w:val="20"/>
          <w:color w:val="auto"/>
        </w:rPr>
      </w:pPr>
    </w:p>
    <w:p>
      <w:pPr>
        <w:ind w:left="780"/>
        <w:spacing w:after="0"/>
        <w:rPr>
          <w:rFonts w:ascii="Times New Roman" w:cs="Times New Roman" w:eastAsia="Times New Roman" w:hAnsi="Times New Roman"/>
          <w:sz w:val="17"/>
          <w:szCs w:val="17"/>
          <w:u w:val="single" w:color="auto"/>
          <w:color w:val="0000FF"/>
        </w:rPr>
      </w:pPr>
      <w:hyperlink r:id="rId121">
        <w:r>
          <w:rPr>
            <w:rFonts w:ascii="Times New Roman" w:cs="Times New Roman" w:eastAsia="Times New Roman" w:hAnsi="Times New Roman"/>
            <w:sz w:val="17"/>
            <w:szCs w:val="17"/>
            <w:u w:val="single" w:color="auto"/>
            <w:color w:val="0000FF"/>
          </w:rPr>
          <w:t>Current Report on Form 8-K, filed on April 25, 2025).</w:t>
        </w:r>
      </w:hyperlink>
    </w:p>
    <w:p>
      <w:pPr>
        <w:spacing w:after="0" w:line="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*,+10.22 </w:t>
      </w:r>
      <w:r>
        <w:rPr>
          <w:rFonts w:ascii="Times New Roman" w:cs="Times New Roman" w:eastAsia="Times New Roman" w:hAnsi="Times New Roman"/>
          <w:sz w:val="17"/>
          <w:szCs w:val="17"/>
          <w:u w:val="single" w:color="auto"/>
          <w:color w:val="0000FF"/>
        </w:rPr>
        <w:t>Employment Agreement, effective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as of November 1, 2019, between PVH Corp. and Melissa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2018665</wp:posOffset>
            </wp:positionH>
            <wp:positionV relativeFrom="paragraph">
              <wp:posOffset>-4445</wp:posOffset>
            </wp:positionV>
            <wp:extent cx="28956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2">
                      <a:extLst>
                        <a:ext uri="{28A0092B-C50C-407E-A947-70E740481C1C}"/>
                      </a:extLst>
                    </a:blip>
                    <a:srcRect/>
                    <a:stretch>
                      <a:fillRect/>
                    </a:stretch>
                  </pic:blipFill>
                  <pic:spPr bwMode="auto">
                    <a:xfrm>
                      <a:off x="0" y="0"/>
                      <a:ext cx="2895600" cy="8255"/>
                    </a:xfrm>
                    <a:prstGeom prst="rect">
                      <a:avLst/>
                    </a:prstGeom>
                    <a:noFill/>
                  </pic:spPr>
                </pic:pic>
              </a:graphicData>
            </a:graphic>
          </wp:anchor>
        </w:drawing>
      </w:r>
    </w:p>
    <w:p>
      <w:pPr>
        <w:spacing w:after="0" w:line="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*,+10.23 </w:t>
      </w:r>
      <w:r>
        <w:rPr>
          <w:rFonts w:ascii="Times New Roman" w:cs="Times New Roman" w:eastAsia="Times New Roman" w:hAnsi="Times New Roman"/>
          <w:sz w:val="17"/>
          <w:szCs w:val="17"/>
          <w:u w:val="single" w:color="auto"/>
          <w:color w:val="0000FF"/>
        </w:rPr>
        <w:t>Employment Agreement, dated as of August 25, 2024, between PVH B.V. and Fredrik Olsson</w:t>
      </w:r>
      <w:r>
        <w:rPr>
          <w:rFonts w:ascii="Times New Roman" w:cs="Times New Roman" w:eastAsia="Times New Roman" w:hAnsi="Times New Roman"/>
          <w:sz w:val="17"/>
          <w:szCs w:val="17"/>
          <w:color w:val="auto"/>
        </w:rPr>
        <w:t>.</w:t>
      </w:r>
    </w:p>
    <w:p>
      <w:pPr>
        <w:spacing w:after="0" w:line="78" w:lineRule="exact"/>
        <w:rPr>
          <w:sz w:val="20"/>
          <w:szCs w:val="20"/>
          <w:color w:val="auto"/>
        </w:rPr>
      </w:pPr>
    </w:p>
    <w:p>
      <w:pPr>
        <w:ind w:left="780" w:right="100" w:hanging="207"/>
        <w:spacing w:after="0" w:line="24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19 </w:t>
      </w:r>
      <w:hyperlink r:id="rId123">
        <w:r>
          <w:rPr>
            <w:rFonts w:ascii="Times New Roman" w:cs="Times New Roman" w:eastAsia="Times New Roman" w:hAnsi="Times New Roman"/>
            <w:sz w:val="17"/>
            <w:szCs w:val="17"/>
            <w:u w:val="single" w:color="auto"/>
            <w:color w:val="0000FF"/>
          </w:rPr>
          <w:t>PVH Corp. Insider Trading Policy, effective March 14, 2025 (incorporated by reference to Exhibit 19 to our Annual Report on Form 10-K</w:t>
        </w:r>
      </w:hyperlink>
      <w:r>
        <w:rPr>
          <w:rFonts w:ascii="Times New Roman" w:cs="Times New Roman" w:eastAsia="Times New Roman" w:hAnsi="Times New Roman"/>
          <w:sz w:val="17"/>
          <w:szCs w:val="17"/>
          <w:color w:val="auto"/>
        </w:rPr>
        <w:t xml:space="preserve"> </w:t>
      </w:r>
      <w:hyperlink r:id="rId123">
        <w:r>
          <w:rPr>
            <w:rFonts w:ascii="Times New Roman" w:cs="Times New Roman" w:eastAsia="Times New Roman" w:hAnsi="Times New Roman"/>
            <w:sz w:val="17"/>
            <w:szCs w:val="17"/>
            <w:u w:val="single" w:color="auto"/>
            <w:color w:val="0000FF"/>
          </w:rPr>
          <w:t>for the fiscal year ended February 2, 2025).</w:t>
        </w:r>
      </w:hyperlink>
    </w:p>
    <w:p>
      <w:pPr>
        <w:spacing w:after="0" w:line="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0000FF"/>
        </w:rPr>
        <w:t>PVH Corp. Subsidiaries.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0000FF"/>
        </w:rPr>
        <w:t>Consent of Independent Registered Public Accounting Firm.</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7"/>
          <w:szCs w:val="17"/>
          <w:u w:val="single" w:color="auto"/>
          <w:color w:val="0000FF"/>
        </w:rPr>
        <w:t>Certification of Stefan Larsson, Chief Executive Officer, pursuant to Section 302 of the Sarbanes – Oxley Act of 2002.</w:t>
      </w:r>
    </w:p>
    <w:p>
      <w:pPr>
        <w:spacing w:after="0" w:line="78" w:lineRule="exact"/>
        <w:rPr>
          <w:sz w:val="20"/>
          <w:szCs w:val="20"/>
          <w:color w:val="auto"/>
        </w:rPr>
      </w:pPr>
    </w:p>
    <w:p>
      <w:pPr>
        <w:ind w:left="780" w:right="500" w:hanging="435"/>
        <w:spacing w:after="0" w:line="245"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0000FF"/>
        </w:rPr>
        <w:t>Certification of Melissa Stone, Interim Chief Financial Officer and Executive Vice President, Global Financial Planning &amp; Analysis,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pursuant to Section 302 of the Sarbanes – Oxley Act of 2002.</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+32.1 </w:t>
      </w:r>
      <w:r>
        <w:rPr>
          <w:rFonts w:ascii="Times New Roman" w:cs="Times New Roman" w:eastAsia="Times New Roman" w:hAnsi="Times New Roman"/>
          <w:sz w:val="17"/>
          <w:szCs w:val="17"/>
          <w:u w:val="single" w:color="auto"/>
          <w:color w:val="0000FF"/>
        </w:rPr>
        <w:t>Certification of Stefan Larsson, Chief Executive Officer, pursuant to Section 906 of the Sarbanes – Oxley Act of 2002, 18 U.S.C. Section</w:t>
      </w:r>
    </w:p>
    <w:p>
      <w:pPr>
        <w:ind w:left="780"/>
        <w:spacing w:after="0"/>
        <w:rPr>
          <w:sz w:val="20"/>
          <w:szCs w:val="20"/>
          <w:color w:val="auto"/>
        </w:rPr>
      </w:pPr>
      <w:r>
        <w:rPr>
          <w:rFonts w:ascii="Times New Roman" w:cs="Times New Roman" w:eastAsia="Times New Roman" w:hAnsi="Times New Roman"/>
          <w:sz w:val="17"/>
          <w:szCs w:val="17"/>
          <w:u w:val="single" w:color="auto"/>
          <w:color w:val="0000FF"/>
        </w:rPr>
        <w:t>1350.</w:t>
      </w:r>
    </w:p>
    <w:p>
      <w:pPr>
        <w:spacing w:after="0" w:line="71" w:lineRule="exact"/>
        <w:rPr>
          <w:sz w:val="20"/>
          <w:szCs w:val="20"/>
          <w:color w:val="auto"/>
        </w:rPr>
      </w:pPr>
    </w:p>
    <w:p>
      <w:pPr>
        <w:ind w:left="780" w:right="500" w:hanging="435"/>
        <w:spacing w:after="0" w:line="245" w:lineRule="auto"/>
        <w:rPr>
          <w:sz w:val="20"/>
          <w:szCs w:val="20"/>
          <w:color w:val="auto"/>
        </w:rPr>
      </w:pPr>
      <w:r>
        <w:rPr>
          <w:rFonts w:ascii="Times New Roman" w:cs="Times New Roman" w:eastAsia="Times New Roman" w:hAnsi="Times New Roman"/>
          <w:sz w:val="17"/>
          <w:szCs w:val="17"/>
          <w:color w:val="auto"/>
        </w:rPr>
        <w:t xml:space="preserve">+32.2 </w:t>
      </w:r>
      <w:r>
        <w:rPr>
          <w:rFonts w:ascii="Times New Roman" w:cs="Times New Roman" w:eastAsia="Times New Roman" w:hAnsi="Times New Roman"/>
          <w:sz w:val="17"/>
          <w:szCs w:val="17"/>
          <w:u w:val="single" w:color="auto"/>
          <w:color w:val="0000FF"/>
        </w:rPr>
        <w:t>Certification of Melissa Stone, Interim Chief Financial Officer and Executive Vice President, Global Financial Planning &amp; Analysis,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pursuant to Section 906 of the Sarbanes – Oxley Act of 2002, 18 U.S.C. Section 1350.</w:t>
      </w:r>
    </w:p>
    <w:p>
      <w:pPr>
        <w:spacing w:after="0" w:line="56" w:lineRule="exact"/>
        <w:rPr>
          <w:sz w:val="20"/>
          <w:szCs w:val="20"/>
          <w:color w:val="auto"/>
        </w:rPr>
      </w:pPr>
    </w:p>
    <w:p>
      <w:pPr>
        <w:ind w:left="780" w:right="120" w:hanging="207"/>
        <w:spacing w:after="0" w:line="245"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97 </w:t>
      </w:r>
      <w:hyperlink r:id="rId124">
        <w:r>
          <w:rPr>
            <w:rFonts w:ascii="Times New Roman" w:cs="Times New Roman" w:eastAsia="Times New Roman" w:hAnsi="Times New Roman"/>
            <w:sz w:val="17"/>
            <w:szCs w:val="17"/>
            <w:u w:val="single" w:color="auto"/>
            <w:color w:val="0000FF"/>
          </w:rPr>
          <w:t>PVH Corp. Clawback Policy, effective June 22, 2023 (incorporated by reference to Exhibit 97 to our Annual Report on Form 10-K for the</w:t>
        </w:r>
      </w:hyperlink>
      <w:r>
        <w:rPr>
          <w:rFonts w:ascii="Times New Roman" w:cs="Times New Roman" w:eastAsia="Times New Roman" w:hAnsi="Times New Roman"/>
          <w:sz w:val="17"/>
          <w:szCs w:val="17"/>
          <w:color w:val="auto"/>
        </w:rPr>
        <w:t xml:space="preserve"> </w:t>
      </w:r>
      <w:hyperlink r:id="rId124">
        <w:r>
          <w:rPr>
            <w:rFonts w:ascii="Times New Roman" w:cs="Times New Roman" w:eastAsia="Times New Roman" w:hAnsi="Times New Roman"/>
            <w:sz w:val="17"/>
            <w:szCs w:val="17"/>
            <w:u w:val="single" w:color="auto"/>
            <w:color w:val="0000FF"/>
          </w:rPr>
          <w:t>fiscal year ended February 4, 2024).</w:t>
        </w:r>
      </w:hyperlink>
    </w:p>
    <w:p>
      <w:pPr>
        <w:spacing w:after="0" w:line="56" w:lineRule="exact"/>
        <w:rPr>
          <w:sz w:val="20"/>
          <w:szCs w:val="20"/>
          <w:color w:val="auto"/>
        </w:rPr>
      </w:pPr>
    </w:p>
    <w:p>
      <w:pPr>
        <w:ind w:left="780" w:right="40" w:hanging="714"/>
        <w:spacing w:after="0" w:line="245" w:lineRule="auto"/>
        <w:rPr>
          <w:sz w:val="20"/>
          <w:szCs w:val="20"/>
          <w:color w:val="auto"/>
        </w:rPr>
      </w:pPr>
      <w:r>
        <w:rPr>
          <w:rFonts w:ascii="Times New Roman" w:cs="Times New Roman" w:eastAsia="Times New Roman" w:hAnsi="Times New Roman"/>
          <w:sz w:val="17"/>
          <w:szCs w:val="17"/>
          <w:color w:val="auto"/>
        </w:rPr>
        <w:t>+101.INS Inline XBRL Instance Document - the instance document does not appear in the Interactive Data File because its XBRL tags are embedded within the Inline XBRL document.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+101.SCH Inline XBRL Taxonomy Extension Schema Document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+101.CAL Inline XBRL Taxonomy Extension Calculation Linkbase Document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73025</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480"/>
          </w:cols>
          <w:pgMar w:left="940" w:top="941" w:right="479" w:bottom="1440" w:gutter="0" w:footer="0" w:header="0"/>
        </w:sectPr>
      </w:pPr>
    </w:p>
    <w:bookmarkStart w:id="69" w:name="page70"/>
    <w:bookmarkEnd w:id="69"/>
    <w:p>
      <w:pPr>
        <w:ind w:left="640"/>
        <w:spacing w:after="0"/>
        <w:rPr>
          <w:sz w:val="20"/>
          <w:szCs w:val="20"/>
          <w:color w:val="auto"/>
        </w:rPr>
      </w:pPr>
      <w:r>
        <w:rPr>
          <w:rFonts w:ascii="Times New Roman" w:cs="Times New Roman" w:eastAsia="Times New Roman" w:hAnsi="Times New Roman"/>
          <w:sz w:val="17"/>
          <w:szCs w:val="17"/>
          <w:color w:val="auto"/>
        </w:rPr>
        <w:t>+101.DEF Inline XBRL Taxonomy Extension Definition Linkbase Document</w:t>
      </w:r>
    </w:p>
    <w:p>
      <w:pPr>
        <w:spacing w:after="0" w:line="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+101.LAB Inline XBRL Taxonomy Extension Label Linkbase Document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+101.PRE Inline XBRL Taxonomy Extension Presentation Linkbase Document</w:t>
      </w:r>
    </w:p>
    <w:p>
      <w:pPr>
        <w:spacing w:after="0" w:line="7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104 Cover Page Interactive Data File (formatted as Inline XBRL and contained in Exhibit 101)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w:t>
      </w:r>
    </w:p>
    <w:p>
      <w:pPr>
        <w:spacing w:after="0" w:line="247" w:lineRule="exact"/>
        <w:rPr>
          <w:sz w:val="20"/>
          <w:szCs w:val="20"/>
          <w:color w:val="auto"/>
        </w:rPr>
      </w:pPr>
    </w:p>
    <w:p>
      <w:pPr>
        <w:ind w:left="160"/>
        <w:spacing w:after="0"/>
        <w:tabs>
          <w:tab w:leader="none" w:pos="420" w:val="left"/>
        </w:tabs>
        <w:rPr>
          <w:sz w:val="20"/>
          <w:szCs w:val="20"/>
          <w:color w:val="auto"/>
        </w:rPr>
      </w:pPr>
      <w:r>
        <w:rPr>
          <w:rFonts w:ascii="Times New Roman" w:cs="Times New Roman" w:eastAsia="Times New Roman" w:hAnsi="Times New Roman"/>
          <w:sz w:val="17"/>
          <w:szCs w:val="17"/>
          <w:color w:val="auto"/>
        </w:rPr>
        <w:t>+</w:t>
        <w:tab/>
        <w:t>Filed or furnished herewith.</w:t>
      </w:r>
    </w:p>
    <w:p>
      <w:pPr>
        <w:spacing w:after="0" w:line="247" w:lineRule="exact"/>
        <w:rPr>
          <w:sz w:val="20"/>
          <w:szCs w:val="20"/>
          <w:color w:val="auto"/>
        </w:rPr>
      </w:pPr>
    </w:p>
    <w:p>
      <w:pPr>
        <w:ind w:left="160"/>
        <w:spacing w:after="0"/>
        <w:tabs>
          <w:tab w:leader="none" w:pos="400" w:val="left"/>
        </w:tabs>
        <w:rPr>
          <w:sz w:val="20"/>
          <w:szCs w:val="20"/>
          <w:color w:val="auto"/>
        </w:rPr>
      </w:pPr>
      <w:r>
        <w:rPr>
          <w:rFonts w:ascii="Times New Roman" w:cs="Times New Roman" w:eastAsia="Times New Roman" w:hAnsi="Times New Roman"/>
          <w:sz w:val="17"/>
          <w:szCs w:val="17"/>
          <w:color w:val="auto"/>
        </w:rPr>
        <w:t>*</w:t>
        <w:tab/>
        <w:t>Management contract or compensatory plan or arrangement required to be identified pursuant to Item 15(a)(3) of this report.</w:t>
      </w:r>
    </w:p>
    <w:p>
      <w:pPr>
        <w:spacing w:after="0" w:line="245" w:lineRule="exact"/>
        <w:rPr>
          <w:sz w:val="20"/>
          <w:szCs w:val="20"/>
          <w:color w:val="auto"/>
        </w:rPr>
      </w:pPr>
    </w:p>
    <w:p>
      <w:pPr>
        <w:ind w:firstLine="625"/>
        <w:spacing w:after="0" w:line="275" w:lineRule="auto"/>
        <w:rPr>
          <w:sz w:val="20"/>
          <w:szCs w:val="20"/>
          <w:color w:val="auto"/>
        </w:rPr>
      </w:pPr>
      <w:r>
        <w:rPr>
          <w:rFonts w:ascii="Times New Roman" w:cs="Times New Roman" w:eastAsia="Times New Roman" w:hAnsi="Times New Roman"/>
          <w:sz w:val="17"/>
          <w:szCs w:val="17"/>
          <w:b w:val="1"/>
          <w:bCs w:val="1"/>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the Securities Exchange Act of 1934.</w:t>
      </w:r>
    </w:p>
    <w:p>
      <w:pPr>
        <w:spacing w:after="0" w:line="189" w:lineRule="exact"/>
        <w:rPr>
          <w:sz w:val="20"/>
          <w:szCs w:val="20"/>
          <w:color w:val="auto"/>
        </w:rPr>
      </w:pPr>
    </w:p>
    <w:p>
      <w:pPr>
        <w:ind w:left="620" w:hanging="304"/>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See (a)(3) above for a listing of the exhibits included as part of this report.</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See page F-1 for a listing of the consolidated financial statement schedules submitted as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941"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4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39"/>
          </w:cols>
          <w:pgMar w:left="320" w:top="861" w:right="1440" w:bottom="1440" w:gutter="0" w:footer="0" w:header="0"/>
        </w:sectPr>
      </w:pPr>
    </w:p>
    <w:bookmarkStart w:id="71" w:name="page72"/>
    <w:bookmarkEnd w:id="71"/>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9" w:lineRule="exact"/>
        <w:rPr>
          <w:sz w:val="20"/>
          <w:szCs w:val="20"/>
          <w:color w:val="auto"/>
        </w:rPr>
      </w:pPr>
    </w:p>
    <w:p>
      <w:pPr>
        <w:ind w:firstLine="625"/>
        <w:spacing w:after="0" w:line="293"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March 31, 2026</w:t>
      </w:r>
    </w:p>
    <w:p>
      <w:pPr>
        <w:spacing w:after="0" w:line="143" w:lineRule="exact"/>
        <w:rPr>
          <w:sz w:val="20"/>
          <w:szCs w:val="20"/>
          <w:color w:val="auto"/>
        </w:rPr>
      </w:pPr>
    </w:p>
    <w:tbl>
      <w:tblPr>
        <w:tblLayout w:type="fixed"/>
        <w:tblInd w:w="4180" w:type="dxa"/>
        <w:tblCellMar>
          <w:top w:w="0" w:type="dxa"/>
          <w:left w:w="0" w:type="dxa"/>
          <w:bottom w:w="0" w:type="dxa"/>
          <w:right w:w="0" w:type="dxa"/>
        </w:tblCellMar>
      </w:tblPr>
      <w:tr>
        <w:trPr>
          <w:trHeight w:val="227"/>
        </w:trPr>
        <w:tc>
          <w:tcPr>
            <w:tcW w:w="1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PVH CORP.</w:t>
            </w:r>
          </w:p>
        </w:tc>
        <w:tc>
          <w:tcPr>
            <w:tcW w:w="3980" w:type="dxa"/>
            <w:vAlign w:val="bottom"/>
          </w:tcPr>
          <w:p>
            <w:pPr>
              <w:spacing w:after="0"/>
              <w:rPr>
                <w:sz w:val="19"/>
                <w:szCs w:val="19"/>
                <w:color w:val="auto"/>
              </w:rPr>
            </w:pPr>
          </w:p>
        </w:tc>
      </w:tr>
      <w:tr>
        <w:trPr>
          <w:trHeight w:val="442"/>
        </w:trPr>
        <w:tc>
          <w:tcPr>
            <w:tcW w:w="1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w:t>
            </w:r>
          </w:p>
        </w:tc>
        <w:tc>
          <w:tcPr>
            <w:tcW w:w="3980" w:type="dxa"/>
            <w:vAlign w:val="bottom"/>
          </w:tcPr>
          <w:p>
            <w:pPr>
              <w:jc w:val="center"/>
              <w:ind w:right="773"/>
              <w:spacing w:after="0"/>
              <w:rPr>
                <w:sz w:val="20"/>
                <w:szCs w:val="20"/>
                <w:color w:val="auto"/>
              </w:rPr>
            </w:pPr>
            <w:r>
              <w:rPr>
                <w:rFonts w:ascii="Times New Roman" w:cs="Times New Roman" w:eastAsia="Times New Roman" w:hAnsi="Times New Roman"/>
                <w:sz w:val="17"/>
                <w:szCs w:val="17"/>
                <w:color w:val="auto"/>
              </w:rPr>
              <w:t>/s/ STEFAN LARSSON</w:t>
            </w:r>
          </w:p>
        </w:tc>
      </w:tr>
      <w:tr>
        <w:trPr>
          <w:trHeight w:val="209"/>
        </w:trPr>
        <w:tc>
          <w:tcPr>
            <w:tcW w:w="7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980" w:type="dxa"/>
            <w:vAlign w:val="bottom"/>
            <w:tcBorders>
              <w:top w:val="single" w:sz="8" w:color="auto"/>
            </w:tcBorders>
          </w:tcPr>
          <w:p>
            <w:pPr>
              <w:jc w:val="center"/>
              <w:ind w:right="753"/>
              <w:spacing w:after="0"/>
              <w:rPr>
                <w:sz w:val="20"/>
                <w:szCs w:val="20"/>
                <w:color w:val="auto"/>
              </w:rPr>
            </w:pPr>
            <w:r>
              <w:rPr>
                <w:rFonts w:ascii="Times New Roman" w:cs="Times New Roman" w:eastAsia="Times New Roman" w:hAnsi="Times New Roman"/>
                <w:sz w:val="17"/>
                <w:szCs w:val="17"/>
                <w:color w:val="auto"/>
              </w:rPr>
              <w:t>Stefan Larsson</w:t>
            </w:r>
          </w:p>
        </w:tc>
      </w:tr>
      <w:tr>
        <w:trPr>
          <w:trHeight w:val="227"/>
        </w:trPr>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980" w:type="dxa"/>
            <w:vAlign w:val="bottom"/>
          </w:tcPr>
          <w:p>
            <w:pPr>
              <w:jc w:val="center"/>
              <w:ind w:right="753"/>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294" w:lineRule="exact"/>
        <w:rPr>
          <w:sz w:val="20"/>
          <w:szCs w:val="20"/>
          <w:color w:val="auto"/>
        </w:rPr>
      </w:pPr>
    </w:p>
    <w:p>
      <w:pPr>
        <w:ind w:right="480" w:firstLine="625"/>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67" w:lineRule="exact"/>
        <w:rPr>
          <w:sz w:val="20"/>
          <w:szCs w:val="20"/>
          <w:color w:val="auto"/>
        </w:rPr>
      </w:pPr>
    </w:p>
    <w:p>
      <w:pPr>
        <w:ind w:left="1580"/>
        <w:spacing w:after="0"/>
        <w:tabs>
          <w:tab w:leader="none" w:pos="6100" w:val="left"/>
          <w:tab w:leader="none" w:pos="9760" w:val="left"/>
        </w:tabs>
        <w:rPr>
          <w:sz w:val="20"/>
          <w:szCs w:val="20"/>
          <w:color w:val="auto"/>
        </w:rPr>
      </w:pPr>
      <w:r>
        <w:rPr>
          <w:rFonts w:ascii="Times New Roman" w:cs="Times New Roman" w:eastAsia="Times New Roman" w:hAnsi="Times New Roman"/>
          <w:sz w:val="17"/>
          <w:szCs w:val="17"/>
          <w:b w:val="1"/>
          <w:bCs w:val="1"/>
          <w:color w:val="auto"/>
        </w:rPr>
        <w:t>Signature</w:t>
      </w:r>
      <w:r>
        <w:rPr>
          <w:sz w:val="20"/>
          <w:szCs w:val="20"/>
          <w:color w:val="auto"/>
        </w:rPr>
        <w:tab/>
      </w:r>
      <w:r>
        <w:rPr>
          <w:rFonts w:ascii="Times New Roman" w:cs="Times New Roman" w:eastAsia="Times New Roman" w:hAnsi="Times New Roman"/>
          <w:sz w:val="17"/>
          <w:szCs w:val="17"/>
          <w:b w:val="1"/>
          <w:bCs w:val="1"/>
          <w:color w:val="auto"/>
        </w:rPr>
        <w:t>Title</w:t>
      </w:r>
      <w:r>
        <w:rPr>
          <w:sz w:val="20"/>
          <w:szCs w:val="20"/>
          <w:color w:val="auto"/>
        </w:rPr>
        <w:tab/>
      </w:r>
      <w:r>
        <w:rPr>
          <w:rFonts w:ascii="Times New Roman" w:cs="Times New Roman" w:eastAsia="Times New Roman" w:hAnsi="Times New Roman"/>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wp:posOffset>
            </wp:positionV>
            <wp:extent cx="713740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p>
      <w:pPr>
        <w:spacing w:after="0" w:line="28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STEFAN LARSSON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247015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2470150" cy="16510"/>
                    </a:xfrm>
                    <a:prstGeom prst="rect">
                      <a:avLst/>
                    </a:prstGeom>
                    <a:noFill/>
                  </pic:spPr>
                </pic:pic>
              </a:graphicData>
            </a:graphic>
          </wp:anchor>
        </w:drawing>
      </w:r>
    </w:p>
    <w:p>
      <w:pPr>
        <w:spacing w:after="0" w:line="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Stefan Larsson</w:t>
      </w:r>
    </w:p>
    <w:p>
      <w:pPr>
        <w:spacing w:after="0" w:line="27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MELISSA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247015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2470150" cy="16510"/>
                    </a:xfrm>
                    <a:prstGeom prst="rect">
                      <a:avLst/>
                    </a:prstGeom>
                    <a:noFill/>
                  </pic:spPr>
                </pic:pic>
              </a:graphicData>
            </a:graphic>
          </wp:anchor>
        </w:drawing>
      </w:r>
    </w:p>
    <w:p>
      <w:pPr>
        <w:spacing w:after="0" w:line="4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Melissa Stone</w:t>
      </w:r>
    </w:p>
    <w:p>
      <w:pPr>
        <w:spacing w:after="0" w:line="31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ERIK W. GRAF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247015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2470150" cy="16510"/>
                    </a:xfrm>
                    <a:prstGeom prst="rect">
                      <a:avLst/>
                    </a:prstGeom>
                    <a:noFill/>
                  </pic:spPr>
                </pic:pic>
              </a:graphicData>
            </a:graphic>
          </wp:anchor>
        </w:drawing>
      </w:r>
    </w:p>
    <w:p>
      <w:pPr>
        <w:spacing w:after="0" w:line="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Erik W. Graf</w:t>
      </w:r>
    </w:p>
    <w:p>
      <w:pPr>
        <w:spacing w:after="0" w:line="27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MICHAEL CALBERT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247015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2470150" cy="16510"/>
                    </a:xfrm>
                    <a:prstGeom prst="rect">
                      <a:avLst/>
                    </a:prstGeom>
                    <a:noFill/>
                  </pic:spPr>
                </pic:pic>
              </a:graphicData>
            </a:graphic>
          </wp:anchor>
        </w:drawing>
      </w:r>
    </w:p>
    <w:p>
      <w:pPr>
        <w:spacing w:after="0" w:line="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Michael Calbert</w:t>
      </w:r>
    </w:p>
    <w:p>
      <w:pPr>
        <w:spacing w:after="0" w:line="10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JESPER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247015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2470150" cy="16510"/>
                    </a:xfrm>
                    <a:prstGeom prst="rect">
                      <a:avLst/>
                    </a:prstGeom>
                    <a:noFill/>
                  </pic:spPr>
                </pic:pic>
              </a:graphicData>
            </a:graphic>
          </wp:anchor>
        </w:drawing>
      </w:r>
    </w:p>
    <w:p>
      <w:pPr>
        <w:spacing w:after="0" w:line="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Jesper Andersen</w:t>
      </w:r>
    </w:p>
    <w:p>
      <w:pPr>
        <w:spacing w:after="0" w:line="10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AJAY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247015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2470150" cy="16510"/>
                    </a:xfrm>
                    <a:prstGeom prst="rect">
                      <a:avLst/>
                    </a:prstGeom>
                    <a:noFill/>
                  </pic:spPr>
                </pic:pic>
              </a:graphicData>
            </a:graphic>
          </wp:anchor>
        </w:drawing>
      </w:r>
    </w:p>
    <w:p>
      <w:pPr>
        <w:spacing w:after="0" w:line="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Ajay Bhalla</w:t>
      </w:r>
    </w:p>
    <w:p>
      <w:pPr>
        <w:spacing w:after="0" w:line="27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BRENT CALLINICOS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247015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2470150" cy="16510"/>
                    </a:xfrm>
                    <a:prstGeom prst="rect">
                      <a:avLst/>
                    </a:prstGeom>
                    <a:noFill/>
                  </pic:spPr>
                </pic:pic>
              </a:graphicData>
            </a:graphic>
          </wp:anchor>
        </w:drawing>
      </w:r>
    </w:p>
    <w:p>
      <w:pPr>
        <w:spacing w:after="0" w:line="4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Brent Callinicos</w:t>
      </w:r>
    </w:p>
    <w:p>
      <w:pPr>
        <w:spacing w:after="0" w:line="9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GEORGE CHEEKS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247015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2470150" cy="16510"/>
                    </a:xfrm>
                    <a:prstGeom prst="rect">
                      <a:avLst/>
                    </a:prstGeom>
                    <a:noFill/>
                  </pic:spPr>
                </pic:pic>
              </a:graphicData>
            </a:graphic>
          </wp:anchor>
        </w:drawing>
      </w:r>
    </w:p>
    <w:p>
      <w:pPr>
        <w:spacing w:after="0" w:line="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George Cheeks</w:t>
      </w:r>
    </w:p>
    <w:p>
      <w:pPr>
        <w:spacing w:after="0" w:line="10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KATE GULLIVER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247015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2470150" cy="16510"/>
                    </a:xfrm>
                    <a:prstGeom prst="rect">
                      <a:avLst/>
                    </a:prstGeom>
                    <a:noFill/>
                  </pic:spPr>
                </pic:pic>
              </a:graphicData>
            </a:graphic>
          </wp:anchor>
        </w:drawing>
      </w:r>
    </w:p>
    <w:p>
      <w:pPr>
        <w:spacing w:after="0" w:line="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Kate Gulliver</w:t>
      </w:r>
    </w:p>
    <w:p>
      <w:pPr>
        <w:spacing w:after="0" w:line="10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JUDITH AMANDA SOURRY KNOX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247015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2470150" cy="16510"/>
                    </a:xfrm>
                    <a:prstGeom prst="rect">
                      <a:avLst/>
                    </a:prstGeom>
                    <a:noFill/>
                  </pic:spPr>
                </pic:pic>
              </a:graphicData>
            </a:graphic>
          </wp:anchor>
        </w:drawing>
      </w:r>
    </w:p>
    <w:p>
      <w:pPr>
        <w:spacing w:after="0" w:line="3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Judith Amanda Sourry Knox</w:t>
      </w:r>
    </w:p>
    <w:p>
      <w:pPr>
        <w:spacing w:after="0" w:line="27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GERALDINE (PENNY)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247015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2470150" cy="16510"/>
                    </a:xfrm>
                    <a:prstGeom prst="rect">
                      <a:avLst/>
                    </a:prstGeom>
                    <a:noFill/>
                  </pic:spPr>
                </pic:pic>
              </a:graphicData>
            </a:graphic>
          </wp:anchor>
        </w:drawing>
      </w:r>
    </w:p>
    <w:p>
      <w:pPr>
        <w:spacing w:after="0" w:line="4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Geraldine (Penny) McIntyre</w:t>
      </w:r>
    </w:p>
    <w:p>
      <w:pPr>
        <w:spacing w:after="0" w:line="9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 AMY MCPHERSON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247015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2470150" cy="16510"/>
                    </a:xfrm>
                    <a:prstGeom prst="rect">
                      <a:avLst/>
                    </a:prstGeom>
                    <a:noFill/>
                  </pic:spPr>
                </pic:pic>
              </a:graphicData>
            </a:graphic>
          </wp:anchor>
        </w:drawing>
      </w:r>
    </w:p>
    <w:p>
      <w:pPr>
        <w:spacing w:after="0" w:line="4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Amy McPherson</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and Chief Executive Officer</w:t>
      </w:r>
    </w:p>
    <w:p>
      <w:pPr>
        <w:spacing w:after="0" w:line="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73" w:lineRule="exact"/>
        <w:rPr>
          <w:sz w:val="20"/>
          <w:szCs w:val="20"/>
          <w:color w:val="auto"/>
        </w:rPr>
      </w:pPr>
    </w:p>
    <w:p>
      <w:pPr>
        <w:ind w:left="80" w:right="1120" w:hanging="77"/>
        <w:spacing w:after="0" w:line="314" w:lineRule="auto"/>
        <w:rPr>
          <w:sz w:val="20"/>
          <w:szCs w:val="20"/>
          <w:color w:val="auto"/>
        </w:rPr>
      </w:pPr>
      <w:r>
        <w:rPr>
          <w:rFonts w:ascii="Times New Roman" w:cs="Times New Roman" w:eastAsia="Times New Roman" w:hAnsi="Times New Roman"/>
          <w:sz w:val="17"/>
          <w:szCs w:val="17"/>
          <w:color w:val="auto"/>
        </w:rPr>
        <w:t>Interim Chief Financial Officer and Executive Vice President, Global Financial Planning &amp; Analysis (Principal Financial Officer)</w:t>
      </w:r>
    </w:p>
    <w:p>
      <w:pPr>
        <w:spacing w:after="0"/>
        <w:rPr>
          <w:sz w:val="20"/>
          <w:szCs w:val="20"/>
          <w:color w:val="auto"/>
        </w:rPr>
      </w:pPr>
      <w:r>
        <w:rPr>
          <w:rFonts w:ascii="Times New Roman" w:cs="Times New Roman" w:eastAsia="Times New Roman" w:hAnsi="Times New Roman"/>
          <w:sz w:val="17"/>
          <w:szCs w:val="17"/>
          <w:color w:val="auto"/>
        </w:rPr>
        <w:t>Executive Vice President and Corporate Controller</w:t>
      </w:r>
    </w:p>
    <w:p>
      <w:pPr>
        <w:spacing w:after="0" w:line="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(Director)</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343" w:lineRule="exact"/>
        <w:rPr>
          <w:sz w:val="20"/>
          <w:szCs w:val="20"/>
          <w:color w:val="auto"/>
        </w:rPr>
      </w:pPr>
    </w:p>
    <w:p>
      <w:pPr>
        <w:sectPr>
          <w:pgSz w:w="11900" w:h="16838" w:orient="portrait"/>
          <w:cols w:equalWidth="0" w:num="3">
            <w:col w:w="3400" w:space="620"/>
            <w:col w:w="4680" w:space="720"/>
            <w:col w:w="1740"/>
          </w:cols>
          <w:pgMar w:left="320" w:top="900" w:right="419"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color w:val="auto"/>
        </w:rPr>
        <w:t>FORM 10-K-ITEM 15(a)(1) and 15(a)(2)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PVH CORP.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INDEX TO FINANCIAL STATEMENTS AND FINANCIAL STATEMENT SCHEDULE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15(a)(1) The following consolidated financial statements and supplementary data are included in Item 8 of this report:</w:t>
      </w:r>
    </w:p>
    <w:p>
      <w:pPr>
        <w:spacing w:after="0" w:line="15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u w:val="single" w:color="auto"/>
          <w:color w:val="0000FF"/>
        </w:rPr>
        <w:t>Consolidated Statements of Operations—Years Ended February 1, 2026, February 2, 2025 and February 4, 2024</w:t>
      </w:r>
    </w:p>
    <w:p>
      <w:pPr>
        <w:spacing w:after="0" w:line="31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u w:val="single" w:color="auto"/>
          <w:color w:val="0000FF"/>
        </w:rPr>
        <w:t>Consolidated Statements of Comprehensive Income—Years Ended February 1, 2026, February 2, 2025 and February 4, 2024</w:t>
      </w:r>
    </w:p>
    <w:p>
      <w:pPr>
        <w:spacing w:after="0" w:line="29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u w:val="single" w:color="auto"/>
          <w:color w:val="0000FF"/>
        </w:rPr>
        <w:t>Consolidated Balance Sheets—February 1, 2026 and February 2, 2025</w:t>
      </w:r>
    </w:p>
    <w:p>
      <w:pPr>
        <w:spacing w:after="0" w:line="28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u w:val="single" w:color="auto"/>
          <w:color w:val="0000FF"/>
        </w:rPr>
        <w:t>Consolidated Statements of Cash Flows—Years Ended February 1, 2026, February 2, 2025 and February 4, 2024</w:t>
      </w:r>
    </w:p>
    <w:p>
      <w:pPr>
        <w:spacing w:after="0" w:line="286" w:lineRule="exact"/>
        <w:rPr>
          <w:sz w:val="20"/>
          <w:szCs w:val="20"/>
          <w:color w:val="auto"/>
        </w:rPr>
      </w:pPr>
    </w:p>
    <w:p>
      <w:pPr>
        <w:ind w:left="1020" w:hanging="233"/>
        <w:spacing w:after="0" w:line="293" w:lineRule="auto"/>
        <w:rPr>
          <w:sz w:val="20"/>
          <w:szCs w:val="20"/>
          <w:color w:val="auto"/>
        </w:rPr>
      </w:pPr>
      <w:r>
        <w:rPr>
          <w:rFonts w:ascii="Times New Roman" w:cs="Times New Roman" w:eastAsia="Times New Roman" w:hAnsi="Times New Roman"/>
          <w:sz w:val="17"/>
          <w:szCs w:val="17"/>
          <w:u w:val="single" w:color="auto"/>
          <w:color w:val="0000FF"/>
        </w:rPr>
        <w:t>Consolidated Statements of Changes in Stockholders’ Equity—Years Ended February 1, 2026, February 2, 2025 and February 4, 2024</w:t>
      </w:r>
    </w:p>
    <w:p>
      <w:pPr>
        <w:spacing w:after="0" w:line="22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u w:val="single" w:color="auto"/>
          <w:color w:val="0000FF"/>
        </w:rPr>
        <w:t>Notes to Consolidated Financial Statements</w:t>
      </w:r>
    </w:p>
    <w:p>
      <w:pPr>
        <w:spacing w:after="0" w:line="2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u w:val="single" w:color="auto"/>
          <w:color w:val="0000FF"/>
        </w:rPr>
        <w:t>Report of Independent Registered Public Accounting Firm (PCAOB ID: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E32E1"/>
        </w:rPr>
        <w:t>42</w:t>
      </w:r>
      <w:r>
        <w:rPr>
          <w:rFonts w:ascii="Times New Roman" w:cs="Times New Roman" w:eastAsia="Times New Roman" w:hAnsi="Times New Roman"/>
          <w:sz w:val="17"/>
          <w:szCs w:val="17"/>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3687445</wp:posOffset>
            </wp:positionH>
            <wp:positionV relativeFrom="paragraph">
              <wp:posOffset>-4445</wp:posOffset>
            </wp:positionV>
            <wp:extent cx="1377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137795" cy="8255"/>
                    </a:xfrm>
                    <a:prstGeom prst="rect">
                      <a:avLst/>
                    </a:prstGeom>
                    <a:noFill/>
                  </pic:spPr>
                </pic:pic>
              </a:graphicData>
            </a:graphic>
          </wp:anchor>
        </w:drawing>
      </w: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15(a)(2) The following consolidated financial statement schedule is included herein:</w:t>
      </w:r>
    </w:p>
    <w:p>
      <w:pPr>
        <w:spacing w:after="0" w:line="14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u w:val="single" w:color="auto"/>
          <w:color w:val="0000FF"/>
        </w:rPr>
        <w:t>Schedule II - Valuation and Qualifying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E32E1"/>
        </w:rPr>
        <w:t>F-</w:t>
      </w:r>
      <w:r>
        <w:rPr>
          <w:rFonts w:ascii="Times New Roman" w:cs="Times New Roman" w:eastAsia="Times New Roman" w:hAnsi="Times New Roman"/>
          <w:sz w:val="17"/>
          <w:szCs w:val="17"/>
          <w:u w:val="single" w:color="auto"/>
          <w:color w:val="0000FF"/>
        </w:rPr>
        <w:t>2</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E32E1"/>
        </w:rPr>
        <w:t>F-</w:t>
      </w:r>
      <w:r>
        <w:rPr>
          <w:rFonts w:ascii="Times New Roman" w:cs="Times New Roman" w:eastAsia="Times New Roman" w:hAnsi="Times New Roman"/>
          <w:sz w:val="17"/>
          <w:szCs w:val="17"/>
          <w:u w:val="single" w:color="auto"/>
          <w:color w:val="0000FF"/>
        </w:rPr>
        <w:t>3</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E32E1"/>
        </w:rPr>
        <w:t>F-</w:t>
      </w:r>
      <w:r>
        <w:rPr>
          <w:rFonts w:ascii="Times New Roman" w:cs="Times New Roman" w:eastAsia="Times New Roman" w:hAnsi="Times New Roman"/>
          <w:sz w:val="17"/>
          <w:szCs w:val="17"/>
          <w:u w:val="single" w:color="auto"/>
          <w:color w:val="0000FF"/>
        </w:rPr>
        <w:t>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E32E1"/>
        </w:rPr>
        <w:t>F-</w:t>
      </w:r>
      <w:r>
        <w:rPr>
          <w:rFonts w:ascii="Times New Roman" w:cs="Times New Roman" w:eastAsia="Times New Roman" w:hAnsi="Times New Roman"/>
          <w:sz w:val="17"/>
          <w:szCs w:val="17"/>
          <w:u w:val="single" w:color="auto"/>
          <w:color w:val="0000FF"/>
        </w:rPr>
        <w:t>5</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E32E1"/>
        </w:rPr>
        <w:t>F-</w:t>
      </w:r>
      <w:r>
        <w:rPr>
          <w:rFonts w:ascii="Times New Roman" w:cs="Times New Roman" w:eastAsia="Times New Roman" w:hAnsi="Times New Roman"/>
          <w:sz w:val="17"/>
          <w:szCs w:val="17"/>
          <w:u w:val="single" w:color="auto"/>
          <w:color w:val="0000FF"/>
        </w:rPr>
        <w:t>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E32E1"/>
        </w:rPr>
        <w:t>F-</w:t>
      </w:r>
      <w:r>
        <w:rPr>
          <w:rFonts w:ascii="Times New Roman" w:cs="Times New Roman" w:eastAsia="Times New Roman" w:hAnsi="Times New Roman"/>
          <w:sz w:val="17"/>
          <w:szCs w:val="17"/>
          <w:u w:val="single" w:color="auto"/>
          <w:color w:val="0000FF"/>
        </w:rPr>
        <w:t>7</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E32E1"/>
        </w:rPr>
        <w:t>F-</w:t>
      </w:r>
      <w:r>
        <w:rPr>
          <w:rFonts w:ascii="Times New Roman" w:cs="Times New Roman" w:eastAsia="Times New Roman" w:hAnsi="Times New Roman"/>
          <w:sz w:val="17"/>
          <w:szCs w:val="17"/>
          <w:u w:val="single" w:color="auto"/>
          <w:color w:val="0000FF"/>
        </w:rPr>
        <w:t>53</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7"/>
          <w:szCs w:val="17"/>
          <w:u w:val="single" w:color="auto"/>
          <w:color w:val="0E32E1"/>
        </w:rPr>
        <w:t>F-</w:t>
      </w:r>
      <w:r>
        <w:rPr>
          <w:rFonts w:ascii="Times New Roman" w:cs="Times New Roman" w:eastAsia="Times New Roman" w:hAnsi="Times New Roman"/>
          <w:sz w:val="17"/>
          <w:szCs w:val="17"/>
          <w:u w:val="single" w:color="auto"/>
          <w:color w:val="0000FF"/>
        </w:rPr>
        <w:t>55</w:t>
      </w:r>
    </w:p>
    <w:p>
      <w:pPr>
        <w:spacing w:after="0" w:line="200" w:lineRule="exact"/>
        <w:rPr>
          <w:sz w:val="20"/>
          <w:szCs w:val="20"/>
          <w:color w:val="auto"/>
        </w:rPr>
      </w:pPr>
    </w:p>
    <w:p>
      <w:pPr>
        <w:sectPr>
          <w:pgSz w:w="11900" w:h="16838" w:orient="portrait"/>
          <w:cols w:equalWidth="0" w:num="2">
            <w:col w:w="9540" w:space="160"/>
            <w:col w:w="1240"/>
          </w:cols>
          <w:pgMar w:left="320" w:top="900" w:right="639" w:bottom="1440" w:gutter="0" w:footer="0" w:header="0"/>
        </w:sectPr>
      </w:pPr>
    </w:p>
    <w:p>
      <w:pPr>
        <w:spacing w:after="0" w:line="138" w:lineRule="exact"/>
        <w:rPr>
          <w:sz w:val="20"/>
          <w:szCs w:val="20"/>
          <w:color w:val="auto"/>
        </w:rPr>
      </w:pPr>
    </w:p>
    <w:p>
      <w:pPr>
        <w:ind w:firstLine="625"/>
        <w:spacing w:after="0" w:line="293" w:lineRule="auto"/>
        <w:rPr>
          <w:sz w:val="20"/>
          <w:szCs w:val="20"/>
          <w:color w:val="auto"/>
        </w:rPr>
      </w:pPr>
      <w:r>
        <w:rPr>
          <w:rFonts w:ascii="Times New Roman" w:cs="Times New Roman" w:eastAsia="Times New Roman" w:hAnsi="Times New Roman"/>
          <w:sz w:val="17"/>
          <w:szCs w:val="17"/>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940"/>
          </w:cols>
          <w:pgMar w:left="320" w:top="900" w:right="6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29"/>
        </w:trPr>
        <w:tc>
          <w:tcPr>
            <w:tcW w:w="7300" w:type="dxa"/>
            <w:vAlign w:val="bottom"/>
          </w:tcPr>
          <w:p>
            <w:pPr>
              <w:jc w:val="center"/>
              <w:ind w:left="3853"/>
              <w:spacing w:after="0"/>
              <w:rPr>
                <w:sz w:val="20"/>
                <w:szCs w:val="20"/>
                <w:color w:val="auto"/>
              </w:rPr>
            </w:pPr>
            <w:r>
              <w:rPr>
                <w:rFonts w:ascii="Times New Roman" w:cs="Times New Roman" w:eastAsia="Times New Roman" w:hAnsi="Times New Roman"/>
                <w:sz w:val="17"/>
                <w:szCs w:val="17"/>
                <w:b w:val="1"/>
                <w:bCs w:val="1"/>
                <w:color w:val="auto"/>
                <w:w w:val="99"/>
              </w:rPr>
              <w:t>PVH CORP.</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22"/>
        </w:trPr>
        <w:tc>
          <w:tcPr>
            <w:tcW w:w="7700" w:type="dxa"/>
            <w:vAlign w:val="bottom"/>
            <w:gridSpan w:val="2"/>
          </w:tcPr>
          <w:p>
            <w:pPr>
              <w:jc w:val="center"/>
              <w:ind w:left="3473"/>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9"/>
        </w:trPr>
        <w:tc>
          <w:tcPr>
            <w:tcW w:w="7300" w:type="dxa"/>
            <w:vAlign w:val="bottom"/>
          </w:tcPr>
          <w:p>
            <w:pPr>
              <w:jc w:val="center"/>
              <w:ind w:left="3873"/>
              <w:spacing w:after="0"/>
              <w:rPr>
                <w:sz w:val="20"/>
                <w:szCs w:val="20"/>
                <w:color w:val="auto"/>
              </w:rPr>
            </w:pPr>
            <w:r>
              <w:rPr>
                <w:rFonts w:ascii="Times New Roman" w:cs="Times New Roman" w:eastAsia="Times New Roman" w:hAnsi="Times New Roman"/>
                <w:sz w:val="17"/>
                <w:szCs w:val="17"/>
                <w:b w:val="1"/>
                <w:bCs w:val="1"/>
                <w:color w:val="auto"/>
              </w:rPr>
              <w:t>(In millions, except per share data)</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7"/>
        </w:trPr>
        <w:tc>
          <w:tcPr>
            <w:tcW w:w="73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2023</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9,217.7</w:t>
            </w:r>
          </w:p>
        </w:tc>
      </w:tr>
      <w:tr>
        <w:trPr>
          <w:trHeight w:val="221"/>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goods sold (exclusive of depreciation and amortization)</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3,854.5</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5,363.2</w:t>
            </w:r>
          </w:p>
        </w:tc>
      </w:tr>
      <w:tr>
        <w:trPr>
          <w:trHeight w:val="221"/>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4,542.6</w:t>
            </w:r>
          </w:p>
        </w:tc>
      </w:tr>
      <w:tr>
        <w:trPr>
          <w:trHeight w:val="22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and other intangible asset impairments</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Non-service related pension and postretirement income (cost)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22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gain</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21"/>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Equity in net income of unconsolidated affiliates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w:t>
            </w:r>
          </w:p>
        </w:tc>
      </w:tr>
      <w:tr>
        <w:trPr>
          <w:trHeight w:val="214"/>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interest and taxes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928.8</w:t>
            </w:r>
          </w:p>
        </w:tc>
      </w:tr>
      <w:tr>
        <w:trPr>
          <w:trHeight w:val="221"/>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w:t>
            </w:r>
          </w:p>
        </w:tc>
      </w:tr>
      <w:tr>
        <w:trPr>
          <w:trHeight w:val="22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14"/>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taxes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841.0</w:t>
            </w:r>
          </w:p>
        </w:tc>
      </w:tr>
      <w:tr>
        <w:trPr>
          <w:trHeight w:val="22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w:t>
            </w:r>
          </w:p>
        </w:tc>
      </w:tr>
      <w:tr>
        <w:trPr>
          <w:trHeight w:val="214"/>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663.6</w:t>
            </w:r>
          </w:p>
        </w:tc>
      </w:tr>
      <w:tr>
        <w:trPr>
          <w:trHeight w:val="239"/>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share</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3"/>
        </w:trPr>
        <w:tc>
          <w:tcPr>
            <w:tcW w:w="73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Diluted net income per common share</w:t>
            </w:r>
          </w:p>
        </w:tc>
        <w:tc>
          <w:tcPr>
            <w:tcW w:w="400" w:type="dxa"/>
            <w:vAlign w:val="bottom"/>
            <w:tcBorders>
              <w:bottom w:val="single" w:sz="8" w:color="auto"/>
            </w:tcBorders>
          </w:tcPr>
          <w:p>
            <w:pPr>
              <w:jc w:val="right"/>
              <w:ind w:right="21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0.52</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10.56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10.76</w:t>
            </w:r>
          </w:p>
        </w:tc>
      </w:tr>
      <w:tr>
        <w:trPr>
          <w:trHeight w:val="20"/>
        </w:trPr>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78" w:right="35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29"/>
        </w:trPr>
        <w:tc>
          <w:tcPr>
            <w:tcW w:w="7260" w:type="dxa"/>
            <w:vAlign w:val="bottom"/>
          </w:tcPr>
          <w:p>
            <w:pPr>
              <w:jc w:val="center"/>
              <w:ind w:left="3893"/>
              <w:spacing w:after="0"/>
              <w:rPr>
                <w:sz w:val="20"/>
                <w:szCs w:val="20"/>
                <w:color w:val="auto"/>
              </w:rPr>
            </w:pPr>
            <w:r>
              <w:rPr>
                <w:rFonts w:ascii="Times New Roman" w:cs="Times New Roman" w:eastAsia="Times New Roman" w:hAnsi="Times New Roman"/>
                <w:sz w:val="17"/>
                <w:szCs w:val="17"/>
                <w:b w:val="1"/>
                <w:bCs w:val="1"/>
                <w:color w:val="auto"/>
                <w:w w:val="99"/>
              </w:rPr>
              <w:t>PVH CORP.</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09"/>
        </w:trPr>
        <w:tc>
          <w:tcPr>
            <w:tcW w:w="8660" w:type="dxa"/>
            <w:vAlign w:val="bottom"/>
            <w:gridSpan w:val="4"/>
          </w:tcPr>
          <w:p>
            <w:pPr>
              <w:jc w:val="center"/>
              <w:ind w:left="2493"/>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7260" w:type="dxa"/>
            <w:vAlign w:val="bottom"/>
          </w:tcPr>
          <w:p>
            <w:pPr>
              <w:jc w:val="center"/>
              <w:ind w:left="3893"/>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7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2023</w:t>
            </w:r>
          </w:p>
        </w:tc>
      </w:tr>
      <w:tr>
        <w:trPr>
          <w:trHeight w:val="21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663.6</w:t>
            </w:r>
          </w:p>
        </w:tc>
      </w:tr>
      <w:tr>
        <w:trPr>
          <w:trHeight w:val="221"/>
        </w:trPr>
        <w:tc>
          <w:tcPr>
            <w:tcW w:w="7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1"/>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403.2</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w:t>
            </w:r>
          </w:p>
        </w:tc>
      </w:tr>
      <w:tr>
        <w:trPr>
          <w:trHeight w:val="169"/>
        </w:trPr>
        <w:tc>
          <w:tcPr>
            <w:tcW w:w="7260" w:type="dxa"/>
            <w:vAlign w:val="bottom"/>
          </w:tcPr>
          <w:p>
            <w:pPr>
              <w:ind w:left="140"/>
              <w:spacing w:after="0" w:line="169" w:lineRule="exact"/>
              <w:rPr>
                <w:sz w:val="20"/>
                <w:szCs w:val="20"/>
                <w:color w:val="auto"/>
              </w:rPr>
            </w:pPr>
            <w:r>
              <w:rPr>
                <w:rFonts w:ascii="Times New Roman" w:cs="Times New Roman" w:eastAsia="Times New Roman" w:hAnsi="Times New Roman"/>
                <w:sz w:val="17"/>
                <w:szCs w:val="17"/>
                <w:color w:val="auto"/>
              </w:rPr>
              <w:t>Net unrealized and realized (loss) gain related to effective cash flow hedges, net of tax (benefit)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4"/>
        </w:trPr>
        <w:tc>
          <w:tcPr>
            <w:tcW w:w="7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expense of $(21.2), $6.2 and $6.4</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221"/>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(loss) gain on net investment hedges, net of tax (benefit) expense of $(56.5), $17.0 and $3.4</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14"/>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comprehensive income (loss)</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w:t>
            </w:r>
          </w:p>
        </w:tc>
      </w:tr>
      <w:tr>
        <w:trPr>
          <w:trHeight w:val="239"/>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193.3</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495.3</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623.1</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ectPr>
          <w:pgSz w:w="11900" w:h="16838" w:orient="portrait"/>
          <w:cols w:equalWidth="0" w:num="1">
            <w:col w:w="11240"/>
          </w:cols>
          <w:pgMar w:left="320" w:top="861"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29"/>
        </w:trPr>
        <w:tc>
          <w:tcPr>
            <w:tcW w:w="8640" w:type="dxa"/>
            <w:vAlign w:val="bottom"/>
          </w:tcPr>
          <w:p>
            <w:pPr>
              <w:jc w:val="center"/>
              <w:ind w:left="2473"/>
              <w:spacing w:after="0"/>
              <w:rPr>
                <w:sz w:val="20"/>
                <w:szCs w:val="20"/>
                <w:color w:val="auto"/>
              </w:rPr>
            </w:pPr>
            <w:r>
              <w:rPr>
                <w:rFonts w:ascii="Times New Roman" w:cs="Times New Roman" w:eastAsia="Times New Roman" w:hAnsi="Times New Roman"/>
                <w:sz w:val="17"/>
                <w:szCs w:val="17"/>
                <w:b w:val="1"/>
                <w:bCs w:val="1"/>
                <w:color w:val="auto"/>
                <w:w w:val="99"/>
              </w:rPr>
              <w:t>PVH CORP.</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8640" w:type="dxa"/>
            <w:vAlign w:val="bottom"/>
          </w:tcPr>
          <w:p>
            <w:pPr>
              <w:jc w:val="center"/>
              <w:ind w:left="2473"/>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40" w:type="dxa"/>
            <w:vAlign w:val="bottom"/>
          </w:tcPr>
          <w:p>
            <w:pPr>
              <w:jc w:val="center"/>
              <w:ind w:left="2493"/>
              <w:spacing w:after="0"/>
              <w:rPr>
                <w:sz w:val="20"/>
                <w:szCs w:val="20"/>
                <w:color w:val="auto"/>
              </w:rPr>
            </w:pPr>
            <w:r>
              <w:rPr>
                <w:rFonts w:ascii="Times New Roman" w:cs="Times New Roman" w:eastAsia="Times New Roman" w:hAnsi="Times New Roman"/>
                <w:sz w:val="17"/>
                <w:szCs w:val="17"/>
                <w:b w:val="1"/>
                <w:bCs w:val="1"/>
                <w:color w:val="auto"/>
              </w:rPr>
              <w:t>(In millions, except share and per share data)</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8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February 1,</w:t>
            </w:r>
          </w:p>
        </w:tc>
        <w:tc>
          <w:tcPr>
            <w:tcW w:w="160" w:type="dxa"/>
            <w:vAlign w:val="bottom"/>
          </w:tcPr>
          <w:p>
            <w:pPr>
              <w:spacing w:after="0"/>
              <w:rPr>
                <w:sz w:val="24"/>
                <w:szCs w:val="24"/>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February 2,</w:t>
            </w:r>
          </w:p>
        </w:tc>
        <w:tc>
          <w:tcPr>
            <w:tcW w:w="0" w:type="dxa"/>
            <w:vAlign w:val="bottom"/>
          </w:tcPr>
          <w:p>
            <w:pPr>
              <w:spacing w:after="0"/>
              <w:rPr>
                <w:sz w:val="1"/>
                <w:szCs w:val="1"/>
                <w:color w:val="auto"/>
              </w:rPr>
            </w:pPr>
          </w:p>
        </w:tc>
      </w:tr>
      <w:tr>
        <w:trPr>
          <w:trHeight w:val="227"/>
        </w:trPr>
        <w:tc>
          <w:tcPr>
            <w:tcW w:w="8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16"/>
        </w:trPr>
        <w:tc>
          <w:tcPr>
            <w:tcW w:w="8640" w:type="dxa"/>
            <w:vAlign w:val="bottom"/>
          </w:tcPr>
          <w:p>
            <w:pPr>
              <w:ind w:left="40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748.0</w:t>
            </w:r>
          </w:p>
        </w:tc>
        <w:tc>
          <w:tcPr>
            <w:tcW w:w="0" w:type="dxa"/>
            <w:vAlign w:val="bottom"/>
          </w:tcPr>
          <w:p>
            <w:pPr>
              <w:spacing w:after="0"/>
              <w:rPr>
                <w:sz w:val="1"/>
                <w:szCs w:val="1"/>
                <w:color w:val="auto"/>
              </w:rPr>
            </w:pPr>
          </w:p>
        </w:tc>
      </w:tr>
      <w:tr>
        <w:trPr>
          <w:trHeight w:val="221"/>
        </w:trPr>
        <w:tc>
          <w:tcPr>
            <w:tcW w:w="8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Trade receivables, net of allowances for credit losses of $23.7 and $22.4</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851.2</w:t>
            </w:r>
          </w:p>
        </w:tc>
        <w:tc>
          <w:tcPr>
            <w:tcW w:w="0" w:type="dxa"/>
            <w:vAlign w:val="bottom"/>
          </w:tcPr>
          <w:p>
            <w:pPr>
              <w:spacing w:after="0"/>
              <w:rPr>
                <w:sz w:val="1"/>
                <w:szCs w:val="1"/>
                <w:color w:val="auto"/>
              </w:rPr>
            </w:pPr>
          </w:p>
        </w:tc>
      </w:tr>
      <w:tr>
        <w:trPr>
          <w:trHeight w:val="221"/>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receivables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221"/>
        </w:trPr>
        <w:tc>
          <w:tcPr>
            <w:tcW w:w="8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 net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1,508.7</w:t>
            </w:r>
          </w:p>
        </w:tc>
        <w:tc>
          <w:tcPr>
            <w:tcW w:w="0" w:type="dxa"/>
            <w:vAlign w:val="bottom"/>
          </w:tcPr>
          <w:p>
            <w:pPr>
              <w:spacing w:after="0"/>
              <w:rPr>
                <w:sz w:val="1"/>
                <w:szCs w:val="1"/>
                <w:color w:val="auto"/>
              </w:rPr>
            </w:pPr>
          </w:p>
        </w:tc>
      </w:tr>
      <w:tr>
        <w:trPr>
          <w:trHeight w:val="221"/>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w:t>
            </w:r>
          </w:p>
        </w:tc>
        <w:tc>
          <w:tcPr>
            <w:tcW w:w="0" w:type="dxa"/>
            <w:vAlign w:val="bottom"/>
          </w:tcPr>
          <w:p>
            <w:pPr>
              <w:spacing w:after="0"/>
              <w:rPr>
                <w:sz w:val="1"/>
                <w:szCs w:val="1"/>
                <w:color w:val="auto"/>
              </w:rPr>
            </w:pPr>
          </w:p>
        </w:tc>
      </w:tr>
      <w:tr>
        <w:trPr>
          <w:trHeight w:val="221"/>
        </w:trPr>
        <w:tc>
          <w:tcPr>
            <w:tcW w:w="8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w:t>
            </w:r>
          </w:p>
        </w:tc>
        <w:tc>
          <w:tcPr>
            <w:tcW w:w="0" w:type="dxa"/>
            <w:vAlign w:val="bottom"/>
          </w:tcPr>
          <w:p>
            <w:pPr>
              <w:spacing w:after="0"/>
              <w:rPr>
                <w:sz w:val="1"/>
                <w:szCs w:val="1"/>
                <w:color w:val="auto"/>
              </w:rPr>
            </w:pPr>
          </w:p>
        </w:tc>
      </w:tr>
      <w:tr>
        <w:trPr>
          <w:trHeight w:val="221"/>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Assets held for sale</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3,487.6</w:t>
            </w:r>
          </w:p>
        </w:tc>
        <w:tc>
          <w:tcPr>
            <w:tcW w:w="0" w:type="dxa"/>
            <w:vAlign w:val="bottom"/>
          </w:tcPr>
          <w:p>
            <w:pPr>
              <w:spacing w:after="0"/>
              <w:rPr>
                <w:sz w:val="1"/>
                <w:szCs w:val="1"/>
                <w:color w:val="auto"/>
              </w:rPr>
            </w:pPr>
          </w:p>
        </w:tc>
      </w:tr>
      <w:tr>
        <w:trPr>
          <w:trHeight w:val="22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741.0</w:t>
            </w:r>
          </w:p>
        </w:tc>
        <w:tc>
          <w:tcPr>
            <w:tcW w:w="0" w:type="dxa"/>
            <w:vAlign w:val="bottom"/>
          </w:tcPr>
          <w:p>
            <w:pPr>
              <w:spacing w:after="0"/>
              <w:rPr>
                <w:sz w:val="1"/>
                <w:szCs w:val="1"/>
                <w:color w:val="auto"/>
              </w:rPr>
            </w:pPr>
          </w:p>
        </w:tc>
      </w:tr>
      <w:tr>
        <w:trPr>
          <w:trHeight w:val="221"/>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1,157.5</w:t>
            </w:r>
          </w:p>
        </w:tc>
        <w:tc>
          <w:tcPr>
            <w:tcW w:w="0" w:type="dxa"/>
            <w:vAlign w:val="bottom"/>
          </w:tcPr>
          <w:p>
            <w:pPr>
              <w:spacing w:after="0"/>
              <w:rPr>
                <w:sz w:val="1"/>
                <w:szCs w:val="1"/>
                <w:color w:val="auto"/>
              </w:rPr>
            </w:pPr>
          </w:p>
        </w:tc>
      </w:tr>
      <w:tr>
        <w:trPr>
          <w:trHeight w:val="22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2,260.1</w:t>
            </w:r>
          </w:p>
        </w:tc>
        <w:tc>
          <w:tcPr>
            <w:tcW w:w="0" w:type="dxa"/>
            <w:vAlign w:val="bottom"/>
          </w:tcPr>
          <w:p>
            <w:pPr>
              <w:spacing w:after="0"/>
              <w:rPr>
                <w:sz w:val="1"/>
                <w:szCs w:val="1"/>
                <w:color w:val="auto"/>
              </w:rPr>
            </w:pPr>
          </w:p>
        </w:tc>
      </w:tr>
      <w:tr>
        <w:trPr>
          <w:trHeight w:val="221"/>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Tradenames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2,565.0</w:t>
            </w:r>
          </w:p>
        </w:tc>
        <w:tc>
          <w:tcPr>
            <w:tcW w:w="0" w:type="dxa"/>
            <w:vAlign w:val="bottom"/>
          </w:tcPr>
          <w:p>
            <w:pPr>
              <w:spacing w:after="0"/>
              <w:rPr>
                <w:sz w:val="1"/>
                <w:szCs w:val="1"/>
                <w:color w:val="auto"/>
              </w:rPr>
            </w:pPr>
          </w:p>
        </w:tc>
      </w:tr>
      <w:tr>
        <w:trPr>
          <w:trHeight w:val="22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Intangibles, net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455.9</w:t>
            </w:r>
          </w:p>
        </w:tc>
        <w:tc>
          <w:tcPr>
            <w:tcW w:w="0" w:type="dxa"/>
            <w:vAlign w:val="bottom"/>
          </w:tcPr>
          <w:p>
            <w:pPr>
              <w:spacing w:after="0"/>
              <w:rPr>
                <w:sz w:val="1"/>
                <w:szCs w:val="1"/>
                <w:color w:val="auto"/>
              </w:rPr>
            </w:pPr>
          </w:p>
        </w:tc>
      </w:tr>
      <w:tr>
        <w:trPr>
          <w:trHeight w:val="221"/>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 including deferred taxes of $99.0 and $37.0</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366.1</w:t>
            </w:r>
          </w:p>
        </w:tc>
        <w:tc>
          <w:tcPr>
            <w:tcW w:w="0" w:type="dxa"/>
            <w:vAlign w:val="bottom"/>
          </w:tcPr>
          <w:p>
            <w:pPr>
              <w:spacing w:after="0"/>
              <w:rPr>
                <w:sz w:val="1"/>
                <w:szCs w:val="1"/>
                <w:color w:val="auto"/>
              </w:rPr>
            </w:pPr>
          </w:p>
        </w:tc>
      </w:tr>
      <w:tr>
        <w:trPr>
          <w:trHeight w:val="239"/>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11,033.2</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4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1,151.0</w:t>
            </w:r>
          </w:p>
        </w:tc>
        <w:tc>
          <w:tcPr>
            <w:tcW w:w="0" w:type="dxa"/>
            <w:vAlign w:val="bottom"/>
          </w:tcPr>
          <w:p>
            <w:pPr>
              <w:spacing w:after="0"/>
              <w:rPr>
                <w:sz w:val="1"/>
                <w:szCs w:val="1"/>
                <w:color w:val="auto"/>
              </w:rPr>
            </w:pPr>
          </w:p>
        </w:tc>
      </w:tr>
      <w:tr>
        <w:trPr>
          <w:trHeight w:val="221"/>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735.6</w:t>
            </w:r>
          </w:p>
        </w:tc>
        <w:tc>
          <w:tcPr>
            <w:tcW w:w="0" w:type="dxa"/>
            <w:vAlign w:val="bottom"/>
          </w:tcPr>
          <w:p>
            <w:pPr>
              <w:spacing w:after="0"/>
              <w:rPr>
                <w:sz w:val="1"/>
                <w:szCs w:val="1"/>
                <w:color w:val="auto"/>
              </w:rPr>
            </w:pPr>
          </w:p>
        </w:tc>
      </w:tr>
      <w:tr>
        <w:trPr>
          <w:trHeight w:val="221"/>
        </w:trPr>
        <w:tc>
          <w:tcPr>
            <w:tcW w:w="8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0" w:type="dxa"/>
            <w:vAlign w:val="bottom"/>
          </w:tcPr>
          <w:p>
            <w:pPr>
              <w:spacing w:after="0"/>
              <w:rPr>
                <w:sz w:val="1"/>
                <w:szCs w:val="1"/>
                <w:color w:val="auto"/>
              </w:rPr>
            </w:pPr>
          </w:p>
        </w:tc>
      </w:tr>
      <w:tr>
        <w:trPr>
          <w:trHeight w:val="221"/>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289.1</w:t>
            </w:r>
          </w:p>
        </w:tc>
        <w:tc>
          <w:tcPr>
            <w:tcW w:w="0" w:type="dxa"/>
            <w:vAlign w:val="bottom"/>
          </w:tcPr>
          <w:p>
            <w:pPr>
              <w:spacing w:after="0"/>
              <w:rPr>
                <w:sz w:val="1"/>
                <w:szCs w:val="1"/>
                <w:color w:val="auto"/>
              </w:rPr>
            </w:pPr>
          </w:p>
        </w:tc>
      </w:tr>
      <w:tr>
        <w:trPr>
          <w:trHeight w:val="221"/>
        </w:trPr>
        <w:tc>
          <w:tcPr>
            <w:tcW w:w="8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Short-term borrowings</w:t>
            </w:r>
          </w:p>
        </w:tc>
        <w:tc>
          <w:tcPr>
            <w:tcW w:w="1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510.8</w:t>
            </w:r>
          </w:p>
        </w:tc>
        <w:tc>
          <w:tcPr>
            <w:tcW w:w="0" w:type="dxa"/>
            <w:vAlign w:val="bottom"/>
          </w:tcPr>
          <w:p>
            <w:pPr>
              <w:spacing w:after="0"/>
              <w:rPr>
                <w:sz w:val="1"/>
                <w:szCs w:val="1"/>
                <w:color w:val="auto"/>
              </w:rPr>
            </w:pPr>
          </w:p>
        </w:tc>
      </w:tr>
      <w:tr>
        <w:trPr>
          <w:trHeight w:val="214"/>
        </w:trPr>
        <w:tc>
          <w:tcPr>
            <w:tcW w:w="86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2,741.8</w:t>
            </w:r>
          </w:p>
        </w:tc>
        <w:tc>
          <w:tcPr>
            <w:tcW w:w="0" w:type="dxa"/>
            <w:vAlign w:val="bottom"/>
          </w:tcPr>
          <w:p>
            <w:pPr>
              <w:spacing w:after="0"/>
              <w:rPr>
                <w:sz w:val="1"/>
                <w:szCs w:val="1"/>
                <w:color w:val="auto"/>
              </w:rPr>
            </w:pPr>
          </w:p>
        </w:tc>
      </w:tr>
      <w:tr>
        <w:trPr>
          <w:trHeight w:val="22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Portion of Operating Lease Liabilities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1,011.3</w:t>
            </w:r>
          </w:p>
        </w:tc>
        <w:tc>
          <w:tcPr>
            <w:tcW w:w="0" w:type="dxa"/>
            <w:vAlign w:val="bottom"/>
          </w:tcPr>
          <w:p>
            <w:pPr>
              <w:spacing w:after="0"/>
              <w:rPr>
                <w:sz w:val="1"/>
                <w:szCs w:val="1"/>
                <w:color w:val="auto"/>
              </w:rPr>
            </w:pPr>
          </w:p>
        </w:tc>
      </w:tr>
      <w:tr>
        <w:trPr>
          <w:trHeight w:val="221"/>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1,579.9</w:t>
            </w:r>
          </w:p>
        </w:tc>
        <w:tc>
          <w:tcPr>
            <w:tcW w:w="0" w:type="dxa"/>
            <w:vAlign w:val="bottom"/>
          </w:tcPr>
          <w:p>
            <w:pPr>
              <w:spacing w:after="0"/>
              <w:rPr>
                <w:sz w:val="1"/>
                <w:szCs w:val="1"/>
                <w:color w:val="auto"/>
              </w:rPr>
            </w:pPr>
          </w:p>
        </w:tc>
      </w:tr>
      <w:tr>
        <w:trPr>
          <w:trHeight w:val="22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 including deferred taxes of $307.3 and $333.5</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559.7</w:t>
            </w:r>
          </w:p>
        </w:tc>
        <w:tc>
          <w:tcPr>
            <w:tcW w:w="0" w:type="dxa"/>
            <w:vAlign w:val="bottom"/>
          </w:tcPr>
          <w:p>
            <w:pPr>
              <w:spacing w:after="0"/>
              <w:rPr>
                <w:sz w:val="1"/>
                <w:szCs w:val="1"/>
                <w:color w:val="auto"/>
              </w:rPr>
            </w:pPr>
          </w:p>
        </w:tc>
      </w:tr>
      <w:tr>
        <w:trPr>
          <w:trHeight w:val="221"/>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 par value $100 per share; 150,000 total shares authorized</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par value $1 per share; 240,000,000 shares authorized; 89,593,986 and 89,112,404 shares issued</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0" w:type="dxa"/>
            <w:vAlign w:val="bottom"/>
          </w:tcPr>
          <w:p>
            <w:pPr>
              <w:spacing w:after="0"/>
              <w:rPr>
                <w:sz w:val="1"/>
                <w:szCs w:val="1"/>
                <w:color w:val="auto"/>
              </w:rPr>
            </w:pPr>
          </w:p>
        </w:tc>
      </w:tr>
      <w:tr>
        <w:trPr>
          <w:trHeight w:val="221"/>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 – common stock</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3,374.1</w:t>
            </w:r>
          </w:p>
        </w:tc>
        <w:tc>
          <w:tcPr>
            <w:tcW w:w="0" w:type="dxa"/>
            <w:vAlign w:val="bottom"/>
          </w:tcPr>
          <w:p>
            <w:pPr>
              <w:spacing w:after="0"/>
              <w:rPr>
                <w:sz w:val="1"/>
                <w:szCs w:val="1"/>
                <w:color w:val="auto"/>
              </w:rPr>
            </w:pPr>
          </w:p>
        </w:tc>
      </w:tr>
      <w:tr>
        <w:trPr>
          <w:trHeight w:val="221"/>
        </w:trPr>
        <w:tc>
          <w:tcPr>
            <w:tcW w:w="8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5,997.2</w:t>
            </w:r>
          </w:p>
        </w:tc>
        <w:tc>
          <w:tcPr>
            <w:tcW w:w="0" w:type="dxa"/>
            <w:vAlign w:val="bottom"/>
          </w:tcPr>
          <w:p>
            <w:pPr>
              <w:spacing w:after="0"/>
              <w:rPr>
                <w:sz w:val="1"/>
                <w:szCs w:val="1"/>
                <w:color w:val="auto"/>
              </w:rPr>
            </w:pPr>
          </w:p>
        </w:tc>
      </w:tr>
      <w:tr>
        <w:trPr>
          <w:trHeight w:val="221"/>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(856.8)</w:t>
            </w:r>
          </w:p>
        </w:tc>
        <w:tc>
          <w:tcPr>
            <w:tcW w:w="0" w:type="dxa"/>
            <w:vAlign w:val="bottom"/>
          </w:tcPr>
          <w:p>
            <w:pPr>
              <w:spacing w:after="0"/>
              <w:rPr>
                <w:sz w:val="1"/>
                <w:szCs w:val="1"/>
                <w:color w:val="auto"/>
              </w:rPr>
            </w:pPr>
          </w:p>
        </w:tc>
      </w:tr>
      <w:tr>
        <w:trPr>
          <w:trHeight w:val="221"/>
        </w:trPr>
        <w:tc>
          <w:tcPr>
            <w:tcW w:w="8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Less: 43,786,773 and 35,863,271 shares of common stock held in treasury, at cost</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(3,463.1)</w:t>
            </w:r>
          </w:p>
        </w:tc>
        <w:tc>
          <w:tcPr>
            <w:tcW w:w="0" w:type="dxa"/>
            <w:vAlign w:val="bottom"/>
          </w:tcPr>
          <w:p>
            <w:pPr>
              <w:spacing w:after="0"/>
              <w:rPr>
                <w:sz w:val="1"/>
                <w:szCs w:val="1"/>
                <w:color w:val="auto"/>
              </w:rPr>
            </w:pPr>
          </w:p>
        </w:tc>
      </w:tr>
      <w:tr>
        <w:trPr>
          <w:trHeight w:val="214"/>
        </w:trPr>
        <w:tc>
          <w:tcPr>
            <w:tcW w:w="8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5,140.5</w:t>
            </w:r>
          </w:p>
        </w:tc>
        <w:tc>
          <w:tcPr>
            <w:tcW w:w="0" w:type="dxa"/>
            <w:vAlign w:val="bottom"/>
          </w:tcPr>
          <w:p>
            <w:pPr>
              <w:spacing w:after="0"/>
              <w:rPr>
                <w:sz w:val="1"/>
                <w:szCs w:val="1"/>
                <w:color w:val="auto"/>
              </w:rPr>
            </w:pPr>
          </w:p>
        </w:tc>
      </w:tr>
      <w:tr>
        <w:trPr>
          <w:trHeight w:val="214"/>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11,681.0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11,033.2</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73025</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40" w:top="978"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29"/>
        </w:trPr>
        <w:tc>
          <w:tcPr>
            <w:tcW w:w="7000" w:type="dxa"/>
            <w:vAlign w:val="bottom"/>
          </w:tcPr>
          <w:p>
            <w:pPr>
              <w:jc w:val="center"/>
              <w:ind w:left="4153"/>
              <w:spacing w:after="0"/>
              <w:rPr>
                <w:sz w:val="20"/>
                <w:szCs w:val="20"/>
                <w:color w:val="auto"/>
              </w:rPr>
            </w:pPr>
            <w:r>
              <w:rPr>
                <w:rFonts w:ascii="Times New Roman" w:cs="Times New Roman" w:eastAsia="Times New Roman" w:hAnsi="Times New Roman"/>
                <w:sz w:val="17"/>
                <w:szCs w:val="17"/>
                <w:b w:val="1"/>
                <w:bCs w:val="1"/>
                <w:color w:val="auto"/>
                <w:w w:val="99"/>
              </w:rPr>
              <w:t>PVH CORP.</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22"/>
        </w:trPr>
        <w:tc>
          <w:tcPr>
            <w:tcW w:w="8400" w:type="dxa"/>
            <w:vAlign w:val="bottom"/>
            <w:gridSpan w:val="4"/>
          </w:tcPr>
          <w:p>
            <w:pPr>
              <w:jc w:val="center"/>
              <w:ind w:left="2753"/>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9"/>
        </w:trPr>
        <w:tc>
          <w:tcPr>
            <w:tcW w:w="7000" w:type="dxa"/>
            <w:vAlign w:val="bottom"/>
          </w:tcPr>
          <w:p>
            <w:pPr>
              <w:jc w:val="center"/>
              <w:ind w:left="4153"/>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38"/>
        </w:trPr>
        <w:tc>
          <w:tcPr>
            <w:tcW w:w="7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2025</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2024</w:t>
            </w: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Pr>
          <w:p>
            <w:pPr>
              <w:spacing w:after="0"/>
              <w:rPr>
                <w:sz w:val="24"/>
                <w:szCs w:val="24"/>
                <w:color w:val="auto"/>
              </w:rPr>
            </w:pPr>
          </w:p>
        </w:tc>
      </w:tr>
      <w:tr>
        <w:trPr>
          <w:trHeight w:val="214"/>
        </w:trPr>
        <w:tc>
          <w:tcPr>
            <w:tcW w:w="7000" w:type="dxa"/>
            <w:vAlign w:val="bottom"/>
          </w:tcPr>
          <w:p>
            <w:pPr>
              <w:ind w:left="20"/>
              <w:spacing w:after="0" w:line="214" w:lineRule="exact"/>
              <w:rPr>
                <w:sz w:val="20"/>
                <w:szCs w:val="20"/>
                <w:color w:val="auto"/>
              </w:rPr>
            </w:pPr>
            <w:r>
              <w:rPr>
                <w:rFonts w:ascii="Times New Roman" w:cs="Times New Roman" w:eastAsia="Times New Roman" w:hAnsi="Times New Roman"/>
                <w:sz w:val="17"/>
                <w:szCs w:val="17"/>
                <w:color w:val="auto"/>
              </w:rPr>
              <w:t>OPERATING ACTIVITIES</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1"/>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598.5</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663.6</w:t>
            </w:r>
          </w:p>
        </w:tc>
        <w:tc>
          <w:tcPr>
            <w:tcW w:w="360" w:type="dxa"/>
            <w:vAlign w:val="bottom"/>
            <w:shd w:val="clear" w:color="auto" w:fill="CCEEFF"/>
          </w:tcPr>
          <w:p>
            <w:pPr>
              <w:spacing w:after="0"/>
              <w:rPr>
                <w:sz w:val="19"/>
                <w:szCs w:val="19"/>
                <w:color w:val="auto"/>
              </w:rPr>
            </w:pPr>
          </w:p>
        </w:tc>
      </w:tr>
      <w:tr>
        <w:trPr>
          <w:trHeight w:val="221"/>
        </w:trPr>
        <w:tc>
          <w:tcPr>
            <w:tcW w:w="7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Adjustments to reconcile to net cash provided by operating activities: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1"/>
        </w:trPr>
        <w:tc>
          <w:tcPr>
            <w:tcW w:w="7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272.3</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282.2</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w:t>
            </w:r>
          </w:p>
        </w:tc>
        <w:tc>
          <w:tcPr>
            <w:tcW w:w="360" w:type="dxa"/>
            <w:vAlign w:val="bottom"/>
            <w:shd w:val="clear" w:color="auto" w:fill="CCEEFF"/>
          </w:tcPr>
          <w:p>
            <w:pPr>
              <w:spacing w:after="0"/>
              <w:rPr>
                <w:sz w:val="19"/>
                <w:szCs w:val="19"/>
                <w:color w:val="auto"/>
              </w:rPr>
            </w:pPr>
          </w:p>
        </w:tc>
      </w:tr>
      <w:tr>
        <w:trPr>
          <w:trHeight w:val="221"/>
        </w:trPr>
        <w:tc>
          <w:tcPr>
            <w:tcW w:w="7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Equity in net income of unconsolidated affiliates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360" w:type="dxa"/>
            <w:vAlign w:val="bottom"/>
          </w:tcPr>
          <w:p>
            <w:pPr>
              <w:spacing w:after="0"/>
              <w:rPr>
                <w:sz w:val="19"/>
                <w:szCs w:val="19"/>
                <w:color w:val="auto"/>
              </w:rPr>
            </w:pPr>
          </w:p>
        </w:tc>
      </w:tr>
      <w:tr>
        <w:trPr>
          <w:trHeight w:val="273"/>
        </w:trPr>
        <w:tc>
          <w:tcPr>
            <w:tcW w:w="7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Deferred taxes</w:t>
            </w:r>
            <w:r>
              <w:rPr>
                <w:rFonts w:ascii="Times New Roman" w:cs="Times New Roman" w:eastAsia="Times New Roman" w:hAnsi="Times New Roman"/>
                <w:sz w:val="22"/>
                <w:szCs w:val="22"/>
                <w:color w:val="auto"/>
                <w:vertAlign w:val="superscript"/>
              </w:rPr>
              <w:t>(2)</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360" w:type="dxa"/>
            <w:vAlign w:val="bottom"/>
            <w:shd w:val="clear" w:color="auto" w:fill="CCEEFF"/>
          </w:tcPr>
          <w:p>
            <w:pPr>
              <w:spacing w:after="0"/>
              <w:rPr>
                <w:sz w:val="23"/>
                <w:szCs w:val="23"/>
                <w:color w:val="auto"/>
              </w:rPr>
            </w:pPr>
          </w:p>
        </w:tc>
      </w:tr>
      <w:tr>
        <w:trPr>
          <w:trHeight w:val="221"/>
        </w:trPr>
        <w:tc>
          <w:tcPr>
            <w:tcW w:w="7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360" w:type="dxa"/>
            <w:vAlign w:val="bottom"/>
          </w:tcPr>
          <w:p>
            <w:pPr>
              <w:spacing w:after="0"/>
              <w:rPr>
                <w:sz w:val="19"/>
                <w:szCs w:val="19"/>
                <w:color w:val="auto"/>
              </w:rPr>
            </w:pPr>
          </w:p>
        </w:tc>
      </w:tr>
      <w:tr>
        <w:trPr>
          <w:trHeight w:val="221"/>
        </w:trPr>
        <w:tc>
          <w:tcPr>
            <w:tcW w:w="7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Impairment of goodwill and other intangible assets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479.5</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Impairment of other long-lived assets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360" w:type="dxa"/>
            <w:vAlign w:val="bottom"/>
          </w:tcPr>
          <w:p>
            <w:pPr>
              <w:spacing w:after="0"/>
              <w:rPr>
                <w:sz w:val="19"/>
                <w:szCs w:val="19"/>
                <w:color w:val="auto"/>
              </w:rPr>
            </w:pPr>
          </w:p>
        </w:tc>
      </w:tr>
      <w:tr>
        <w:trPr>
          <w:trHeight w:val="221"/>
        </w:trPr>
        <w:tc>
          <w:tcPr>
            <w:tcW w:w="7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Actuarial (gain) loss on retirement and benefit plans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360" w:type="dxa"/>
            <w:vAlign w:val="bottom"/>
            <w:shd w:val="clear" w:color="auto" w:fill="CCEEFF"/>
          </w:tcPr>
          <w:p>
            <w:pPr>
              <w:spacing w:after="0"/>
              <w:rPr>
                <w:sz w:val="19"/>
                <w:szCs w:val="19"/>
                <w:color w:val="auto"/>
              </w:rPr>
            </w:pPr>
          </w:p>
        </w:tc>
      </w:tr>
      <w:tr>
        <w:trPr>
          <w:trHeight w:val="221"/>
        </w:trPr>
        <w:tc>
          <w:tcPr>
            <w:tcW w:w="7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Other gain</w:t>
            </w:r>
          </w:p>
        </w:tc>
        <w:tc>
          <w:tcPr>
            <w:tcW w:w="2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360" w:type="dxa"/>
            <w:vAlign w:val="bottom"/>
          </w:tcPr>
          <w:p>
            <w:pPr>
              <w:spacing w:after="0"/>
              <w:rPr>
                <w:sz w:val="19"/>
                <w:szCs w:val="19"/>
                <w:color w:val="auto"/>
              </w:rPr>
            </w:pPr>
          </w:p>
        </w:tc>
      </w:tr>
      <w:tr>
        <w:trPr>
          <w:trHeight w:val="221"/>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21"/>
        </w:trPr>
        <w:tc>
          <w:tcPr>
            <w:tcW w:w="7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Trade receivables, net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360" w:type="dxa"/>
            <w:vAlign w:val="bottom"/>
          </w:tcPr>
          <w:p>
            <w:pPr>
              <w:spacing w:after="0"/>
              <w:rPr>
                <w:sz w:val="19"/>
                <w:szCs w:val="19"/>
                <w:color w:val="auto"/>
              </w:rPr>
            </w:pPr>
          </w:p>
        </w:tc>
      </w:tr>
      <w:tr>
        <w:trPr>
          <w:trHeight w:val="221"/>
        </w:trPr>
        <w:tc>
          <w:tcPr>
            <w:tcW w:w="7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Other receivables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360" w:type="dxa"/>
            <w:vAlign w:val="bottom"/>
            <w:shd w:val="clear" w:color="auto" w:fill="CCEEFF"/>
          </w:tcPr>
          <w:p>
            <w:pPr>
              <w:spacing w:after="0"/>
              <w:rPr>
                <w:sz w:val="19"/>
                <w:szCs w:val="19"/>
                <w:color w:val="auto"/>
              </w:rPr>
            </w:pPr>
          </w:p>
        </w:tc>
      </w:tr>
      <w:tr>
        <w:trPr>
          <w:trHeight w:val="221"/>
        </w:trPr>
        <w:tc>
          <w:tcPr>
            <w:tcW w:w="7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Inventories, net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307.6</w:t>
            </w:r>
          </w:p>
        </w:tc>
        <w:tc>
          <w:tcPr>
            <w:tcW w:w="360" w:type="dxa"/>
            <w:vAlign w:val="bottom"/>
          </w:tcPr>
          <w:p>
            <w:pPr>
              <w:spacing w:after="0"/>
              <w:rPr>
                <w:sz w:val="19"/>
                <w:szCs w:val="19"/>
                <w:color w:val="auto"/>
              </w:rPr>
            </w:pPr>
          </w:p>
        </w:tc>
      </w:tr>
      <w:tr>
        <w:trPr>
          <w:trHeight w:val="221"/>
        </w:trPr>
        <w:tc>
          <w:tcPr>
            <w:tcW w:w="7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Accounts payable, accrued expenses and deferred revenue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(318.8)</w:t>
            </w:r>
          </w:p>
        </w:tc>
        <w:tc>
          <w:tcPr>
            <w:tcW w:w="360" w:type="dxa"/>
            <w:vAlign w:val="bottom"/>
            <w:shd w:val="clear" w:color="auto" w:fill="CCEEFF"/>
          </w:tcPr>
          <w:p>
            <w:pPr>
              <w:spacing w:after="0"/>
              <w:rPr>
                <w:sz w:val="19"/>
                <w:szCs w:val="19"/>
                <w:color w:val="auto"/>
              </w:rPr>
            </w:pPr>
          </w:p>
        </w:tc>
      </w:tr>
      <w:tr>
        <w:trPr>
          <w:trHeight w:val="221"/>
        </w:trPr>
        <w:tc>
          <w:tcPr>
            <w:tcW w:w="700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Prepaid expenses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360" w:type="dxa"/>
            <w:vAlign w:val="bottom"/>
          </w:tcPr>
          <w:p>
            <w:pPr>
              <w:spacing w:after="0"/>
              <w:rPr>
                <w:sz w:val="19"/>
                <w:szCs w:val="19"/>
                <w:color w:val="auto"/>
              </w:rPr>
            </w:pPr>
          </w:p>
        </w:tc>
      </w:tr>
      <w:tr>
        <w:trPr>
          <w:trHeight w:val="221"/>
        </w:trPr>
        <w:tc>
          <w:tcPr>
            <w:tcW w:w="7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w:t>
            </w:r>
          </w:p>
        </w:tc>
        <w:tc>
          <w:tcPr>
            <w:tcW w:w="3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3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360" w:type="dxa"/>
            <w:vAlign w:val="bottom"/>
            <w:shd w:val="clear" w:color="auto" w:fill="CCEEFF"/>
          </w:tcPr>
          <w:p>
            <w:pPr>
              <w:spacing w:after="0"/>
              <w:rPr>
                <w:sz w:val="19"/>
                <w:szCs w:val="19"/>
                <w:color w:val="auto"/>
              </w:rPr>
            </w:pPr>
          </w:p>
        </w:tc>
      </w:tr>
      <w:tr>
        <w:trPr>
          <w:trHeight w:val="214"/>
        </w:trPr>
        <w:tc>
          <w:tcPr>
            <w:tcW w:w="700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680.4</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740.9</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969.4</w:t>
            </w:r>
          </w:p>
        </w:tc>
        <w:tc>
          <w:tcPr>
            <w:tcW w:w="360" w:type="dxa"/>
            <w:vAlign w:val="bottom"/>
            <w:tcBorders>
              <w:bottom w:val="single" w:sz="8" w:color="CCEEFF"/>
            </w:tcBorders>
          </w:tcPr>
          <w:p>
            <w:pPr>
              <w:spacing w:after="0"/>
              <w:rPr>
                <w:sz w:val="18"/>
                <w:szCs w:val="18"/>
                <w:color w:val="auto"/>
              </w:rPr>
            </w:pPr>
          </w:p>
        </w:tc>
      </w:tr>
      <w:tr>
        <w:trPr>
          <w:trHeight w:val="214"/>
        </w:trPr>
        <w:tc>
          <w:tcPr>
            <w:tcW w:w="700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7"/>
                <w:szCs w:val="17"/>
                <w:color w:val="auto"/>
              </w:rPr>
              <w:t>INVESTING ACTIVITIES</w:t>
            </w:r>
            <w:r>
              <w:rPr>
                <w:rFonts w:ascii="Times New Roman" w:cs="Times New Roman" w:eastAsia="Times New Roman" w:hAnsi="Times New Roman"/>
                <w:sz w:val="22"/>
                <w:szCs w:val="22"/>
                <w:color w:val="auto"/>
                <w:vertAlign w:val="superscript"/>
              </w:rPr>
              <w:t>(3)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21"/>
        </w:trPr>
        <w:tc>
          <w:tcPr>
            <w:tcW w:w="7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(244.7)</w:t>
            </w:r>
          </w:p>
        </w:tc>
        <w:tc>
          <w:tcPr>
            <w:tcW w:w="360" w:type="dxa"/>
            <w:vAlign w:val="bottom"/>
          </w:tcPr>
          <w:p>
            <w:pPr>
              <w:spacing w:after="0"/>
              <w:rPr>
                <w:sz w:val="19"/>
                <w:szCs w:val="19"/>
                <w:color w:val="auto"/>
              </w:rPr>
            </w:pPr>
          </w:p>
        </w:tc>
      </w:tr>
      <w:tr>
        <w:trPr>
          <w:trHeight w:val="221"/>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Warner’s, Olga and True&amp;Co. women’s intimates businesses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360" w:type="dxa"/>
            <w:vAlign w:val="bottom"/>
            <w:shd w:val="clear" w:color="auto" w:fill="CCEEFF"/>
          </w:tcPr>
          <w:p>
            <w:pPr>
              <w:spacing w:after="0"/>
              <w:rPr>
                <w:sz w:val="19"/>
                <w:szCs w:val="19"/>
                <w:color w:val="auto"/>
              </w:rPr>
            </w:pPr>
          </w:p>
        </w:tc>
      </w:tr>
      <w:tr>
        <w:trPr>
          <w:trHeight w:val="221"/>
        </w:trPr>
        <w:tc>
          <w:tcPr>
            <w:tcW w:w="7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Karl Lagerfeld investment</w:t>
            </w:r>
          </w:p>
        </w:tc>
        <w:tc>
          <w:tcPr>
            <w:tcW w:w="2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60" w:type="dxa"/>
            <w:vAlign w:val="bottom"/>
          </w:tcPr>
          <w:p>
            <w:pPr>
              <w:spacing w:after="0"/>
              <w:rPr>
                <w:sz w:val="19"/>
                <w:szCs w:val="19"/>
                <w:color w:val="auto"/>
              </w:rPr>
            </w:pPr>
          </w:p>
        </w:tc>
      </w:tr>
      <w:tr>
        <w:trPr>
          <w:trHeight w:val="221"/>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investments held in rabbi trust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360" w:type="dxa"/>
            <w:vAlign w:val="bottom"/>
            <w:shd w:val="clear" w:color="auto" w:fill="CCEEFF"/>
          </w:tcPr>
          <w:p>
            <w:pPr>
              <w:spacing w:after="0"/>
              <w:rPr>
                <w:sz w:val="19"/>
                <w:szCs w:val="19"/>
                <w:color w:val="auto"/>
              </w:rPr>
            </w:pPr>
          </w:p>
        </w:tc>
      </w:tr>
      <w:tr>
        <w:trPr>
          <w:trHeight w:val="221"/>
        </w:trPr>
        <w:tc>
          <w:tcPr>
            <w:tcW w:w="7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investments held in rabbi trust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360" w:type="dxa"/>
            <w:vAlign w:val="bottom"/>
          </w:tcPr>
          <w:p>
            <w:pPr>
              <w:spacing w:after="0"/>
              <w:rPr>
                <w:sz w:val="19"/>
                <w:szCs w:val="19"/>
                <w:color w:val="auto"/>
              </w:rPr>
            </w:pPr>
          </w:p>
        </w:tc>
      </w:tr>
      <w:tr>
        <w:trPr>
          <w:trHeight w:val="221"/>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cross-currency swap contracts (net investment hedges)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warehouse and distribution center</w:t>
            </w:r>
          </w:p>
        </w:tc>
        <w:tc>
          <w:tcPr>
            <w:tcW w:w="24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000" w:type="dxa"/>
            <w:vAlign w:val="bottom"/>
            <w:tcBorders>
              <w:top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Net cash used by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360" w:type="dxa"/>
            <w:vAlign w:val="bottom"/>
            <w:tcBorders>
              <w:top w:val="single" w:sz="8" w:color="CCEEFF"/>
            </w:tcBorders>
            <w:shd w:val="clear" w:color="auto" w:fill="CCEEFF"/>
          </w:tcPr>
          <w:p>
            <w:pPr>
              <w:spacing w:after="0"/>
              <w:rPr>
                <w:sz w:val="18"/>
                <w:szCs w:val="18"/>
                <w:color w:val="auto"/>
              </w:rPr>
            </w:pPr>
          </w:p>
        </w:tc>
      </w:tr>
      <w:tr>
        <w:trPr>
          <w:trHeight w:val="214"/>
        </w:trPr>
        <w:tc>
          <w:tcPr>
            <w:tcW w:w="7000" w:type="dxa"/>
            <w:vAlign w:val="bottom"/>
          </w:tcPr>
          <w:p>
            <w:pPr>
              <w:ind w:left="20"/>
              <w:spacing w:after="0" w:line="214" w:lineRule="exact"/>
              <w:rPr>
                <w:sz w:val="20"/>
                <w:szCs w:val="20"/>
                <w:color w:val="auto"/>
              </w:rPr>
            </w:pPr>
            <w:r>
              <w:rPr>
                <w:rFonts w:ascii="Times New Roman" w:cs="Times New Roman" w:eastAsia="Times New Roman" w:hAnsi="Times New Roman"/>
                <w:sz w:val="17"/>
                <w:szCs w:val="17"/>
                <w:color w:val="auto"/>
              </w:rPr>
              <w:t>FINANCING ACTIVITIES</w:t>
            </w:r>
            <w:r>
              <w:rPr>
                <w:rFonts w:ascii="Times New Roman" w:cs="Times New Roman" w:eastAsia="Times New Roman" w:hAnsi="Times New Roman"/>
                <w:sz w:val="22"/>
                <w:szCs w:val="22"/>
                <w:color w:val="auto"/>
                <w:vertAlign w:val="superscript"/>
              </w:rPr>
              <w:t>(1)(3)</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1"/>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payments on short-term borrowings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360" w:type="dxa"/>
            <w:vAlign w:val="bottom"/>
            <w:shd w:val="clear" w:color="auto" w:fill="CCEEFF"/>
          </w:tcPr>
          <w:p>
            <w:pPr>
              <w:spacing w:after="0"/>
              <w:rPr>
                <w:sz w:val="19"/>
                <w:szCs w:val="19"/>
                <w:color w:val="auto"/>
              </w:rPr>
            </w:pPr>
          </w:p>
        </w:tc>
      </w:tr>
      <w:tr>
        <w:trPr>
          <w:trHeight w:val="221"/>
        </w:trPr>
        <w:tc>
          <w:tcPr>
            <w:tcW w:w="7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2022 facilities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360" w:type="dxa"/>
            <w:vAlign w:val="bottom"/>
          </w:tcPr>
          <w:p>
            <w:pPr>
              <w:spacing w:after="0"/>
              <w:rPr>
                <w:sz w:val="19"/>
                <w:szCs w:val="19"/>
                <w:color w:val="auto"/>
              </w:rPr>
            </w:pPr>
          </w:p>
        </w:tc>
      </w:tr>
      <w:tr>
        <w:trPr>
          <w:trHeight w:val="221"/>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senior notes, net of related fees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494.0</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553.1</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Repayment/redemption of senior notes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360" w:type="dxa"/>
            <w:vAlign w:val="bottom"/>
          </w:tcPr>
          <w:p>
            <w:pPr>
              <w:spacing w:after="0"/>
              <w:rPr>
                <w:sz w:val="19"/>
                <w:szCs w:val="19"/>
                <w:color w:val="auto"/>
              </w:rPr>
            </w:pPr>
          </w:p>
        </w:tc>
      </w:tr>
      <w:tr>
        <w:trPr>
          <w:trHeight w:val="221"/>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proceeds from settlement of awards under stock plans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360" w:type="dxa"/>
            <w:vAlign w:val="bottom"/>
            <w:shd w:val="clear" w:color="auto" w:fill="CCEEFF"/>
          </w:tcPr>
          <w:p>
            <w:pPr>
              <w:spacing w:after="0"/>
              <w:rPr>
                <w:sz w:val="19"/>
                <w:szCs w:val="19"/>
                <w:color w:val="auto"/>
              </w:rPr>
            </w:pPr>
          </w:p>
        </w:tc>
      </w:tr>
      <w:tr>
        <w:trPr>
          <w:trHeight w:val="221"/>
        </w:trPr>
        <w:tc>
          <w:tcPr>
            <w:tcW w:w="70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dividends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360" w:type="dxa"/>
            <w:vAlign w:val="bottom"/>
          </w:tcPr>
          <w:p>
            <w:pPr>
              <w:spacing w:after="0"/>
              <w:rPr>
                <w:sz w:val="19"/>
                <w:szCs w:val="19"/>
                <w:color w:val="auto"/>
              </w:rPr>
            </w:pPr>
          </w:p>
        </w:tc>
      </w:tr>
      <w:tr>
        <w:trPr>
          <w:trHeight w:val="221"/>
        </w:trPr>
        <w:tc>
          <w:tcPr>
            <w:tcW w:w="7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 of treasury shares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(577.7)</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(524.8)</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(570.3)</w:t>
            </w:r>
          </w:p>
        </w:tc>
        <w:tc>
          <w:tcPr>
            <w:tcW w:w="360" w:type="dxa"/>
            <w:vAlign w:val="bottom"/>
            <w:shd w:val="clear" w:color="auto" w:fill="CCEEFF"/>
          </w:tcPr>
          <w:p>
            <w:pPr>
              <w:spacing w:after="0"/>
              <w:rPr>
                <w:sz w:val="19"/>
                <w:szCs w:val="19"/>
                <w:color w:val="auto"/>
              </w:rPr>
            </w:pPr>
          </w:p>
        </w:tc>
      </w:tr>
      <w:tr>
        <w:trPr>
          <w:trHeight w:val="221"/>
        </w:trPr>
        <w:tc>
          <w:tcPr>
            <w:tcW w:w="7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Payments of finance lease liabilities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360" w:type="dxa"/>
            <w:vAlign w:val="bottom"/>
            <w:tcBorders>
              <w:bottom w:val="single" w:sz="8" w:color="CCEEFF"/>
            </w:tcBorders>
          </w:tcPr>
          <w:p>
            <w:pPr>
              <w:spacing w:after="0"/>
              <w:rPr>
                <w:sz w:val="19"/>
                <w:szCs w:val="19"/>
                <w:color w:val="auto"/>
              </w:rPr>
            </w:pPr>
          </w:p>
        </w:tc>
      </w:tr>
      <w:tr>
        <w:trPr>
          <w:trHeight w:val="214"/>
        </w:trPr>
        <w:tc>
          <w:tcPr>
            <w:tcW w:w="70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Net cash used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(605.7)</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(550.4)</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(721.8)</w:t>
            </w:r>
          </w:p>
        </w:tc>
        <w:tc>
          <w:tcPr>
            <w:tcW w:w="360" w:type="dxa"/>
            <w:vAlign w:val="bottom"/>
            <w:shd w:val="clear" w:color="auto" w:fill="CCEEFF"/>
          </w:tcPr>
          <w:p>
            <w:pPr>
              <w:spacing w:after="0"/>
              <w:rPr>
                <w:sz w:val="18"/>
                <w:szCs w:val="18"/>
                <w:color w:val="auto"/>
              </w:rPr>
            </w:pPr>
          </w:p>
        </w:tc>
      </w:tr>
      <w:tr>
        <w:trPr>
          <w:trHeight w:val="214"/>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360" w:type="dxa"/>
            <w:vAlign w:val="bottom"/>
            <w:tcBorders>
              <w:bottom w:val="single" w:sz="8" w:color="CCEEFF"/>
            </w:tcBorders>
          </w:tcPr>
          <w:p>
            <w:pPr>
              <w:spacing w:after="0"/>
              <w:rPr>
                <w:sz w:val="18"/>
                <w:szCs w:val="18"/>
                <w:color w:val="auto"/>
              </w:rPr>
            </w:pPr>
          </w:p>
        </w:tc>
      </w:tr>
      <w:tr>
        <w:trPr>
          <w:trHeight w:val="214"/>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(Decrease) increase in cash and cash equivalents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360" w:type="dxa"/>
            <w:vAlign w:val="bottom"/>
            <w:shd w:val="clear" w:color="auto" w:fill="CCEEFF"/>
          </w:tcPr>
          <w:p>
            <w:pPr>
              <w:spacing w:after="0"/>
              <w:rPr>
                <w:sz w:val="18"/>
                <w:szCs w:val="18"/>
                <w:color w:val="auto"/>
              </w:rPr>
            </w:pPr>
          </w:p>
        </w:tc>
      </w:tr>
      <w:tr>
        <w:trPr>
          <w:trHeight w:val="221"/>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748.0</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707.6</w:t>
            </w:r>
          </w:p>
        </w:tc>
        <w:tc>
          <w:tcPr>
            <w:tcW w:w="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550.7</w:t>
            </w:r>
          </w:p>
        </w:tc>
        <w:tc>
          <w:tcPr>
            <w:tcW w:w="360" w:type="dxa"/>
            <w:vAlign w:val="bottom"/>
            <w:tcBorders>
              <w:bottom w:val="single" w:sz="8" w:color="CCEEFF"/>
            </w:tcBorders>
          </w:tcPr>
          <w:p>
            <w:pPr>
              <w:spacing w:after="0"/>
              <w:rPr>
                <w:sz w:val="19"/>
                <w:szCs w:val="19"/>
                <w:color w:val="auto"/>
              </w:rPr>
            </w:pPr>
          </w:p>
        </w:tc>
      </w:tr>
      <w:tr>
        <w:trPr>
          <w:trHeight w:val="239"/>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year</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701.5</w:t>
            </w:r>
          </w:p>
        </w:tc>
        <w:tc>
          <w:tcPr>
            <w:tcW w:w="3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748.0</w:t>
            </w:r>
          </w:p>
        </w:tc>
        <w:tc>
          <w:tcPr>
            <w:tcW w:w="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707.6</w:t>
            </w:r>
          </w:p>
        </w:tc>
        <w:tc>
          <w:tcPr>
            <w:tcW w:w="360" w:type="dxa"/>
            <w:vAlign w:val="bottom"/>
            <w:tcBorders>
              <w:bottom w:val="single" w:sz="8" w:color="CCEEFF"/>
            </w:tcBorders>
            <w:shd w:val="clear" w:color="auto" w:fill="CCEEFF"/>
          </w:tcPr>
          <w:p>
            <w:pPr>
              <w:spacing w:after="0"/>
              <w:rPr>
                <w:sz w:val="20"/>
                <w:szCs w:val="20"/>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left="180" w:hanging="176"/>
        <w:spacing w:after="0"/>
        <w:tabs>
          <w:tab w:leader="none" w:pos="18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Please see Note 16 for lease related cash flow information.</w:t>
      </w:r>
    </w:p>
    <w:p>
      <w:pPr>
        <w:spacing w:after="0" w:line="1" w:lineRule="exact"/>
        <w:rPr>
          <w:rFonts w:ascii="Times New Roman" w:cs="Times New Roman" w:eastAsia="Times New Roman" w:hAnsi="Times New Roman"/>
          <w:sz w:val="22"/>
          <w:szCs w:val="22"/>
          <w:color w:val="auto"/>
          <w:vertAlign w:val="superscript"/>
        </w:rPr>
      </w:pPr>
    </w:p>
    <w:p>
      <w:pPr>
        <w:ind w:left="160" w:hanging="156"/>
        <w:spacing w:after="0" w:line="215" w:lineRule="auto"/>
        <w:tabs>
          <w:tab w:leader="none" w:pos="160" w:val="left"/>
        </w:tabs>
        <w:numPr>
          <w:ilvl w:val="0"/>
          <w:numId w:val="3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Please see Note 9 for information on deferred taxes.</w:t>
      </w:r>
    </w:p>
    <w:p>
      <w:pPr>
        <w:spacing w:after="0" w:line="2" w:lineRule="exact"/>
        <w:rPr>
          <w:rFonts w:ascii="Times New Roman" w:cs="Times New Roman" w:eastAsia="Times New Roman" w:hAnsi="Times New Roman"/>
          <w:sz w:val="20"/>
          <w:szCs w:val="20"/>
          <w:color w:val="auto"/>
          <w:vertAlign w:val="superscript"/>
        </w:rPr>
      </w:pPr>
    </w:p>
    <w:p>
      <w:pPr>
        <w:ind w:left="180" w:hanging="176"/>
        <w:spacing w:after="0" w:line="195" w:lineRule="auto"/>
        <w:tabs>
          <w:tab w:leader="none" w:pos="18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Please see Note 19 for information on noncash investing and financing transactions.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PVH CORP.</w:t>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ind w:lef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2"/>
                <w:szCs w:val="12"/>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3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tcPr>
          <w:p>
            <w:pPr>
              <w:jc w:val="center"/>
              <w:ind w:right="200"/>
              <w:spacing w:after="0" w:line="58" w:lineRule="exact"/>
              <w:rPr>
                <w:sz w:val="20"/>
                <w:szCs w:val="20"/>
                <w:color w:val="auto"/>
              </w:rPr>
            </w:pPr>
            <w:r>
              <w:rPr>
                <w:rFonts w:ascii="Times New Roman" w:cs="Times New Roman" w:eastAsia="Times New Roman" w:hAnsi="Times New Roman"/>
                <w:sz w:val="6"/>
                <w:szCs w:val="6"/>
                <w:b w:val="1"/>
                <w:bCs w:val="1"/>
                <w:color w:val="auto"/>
              </w:rPr>
              <w:t>Paid-In</w:t>
            </w: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tcPr>
          <w:p>
            <w:pPr>
              <w:jc w:val="center"/>
              <w:ind w:right="220"/>
              <w:spacing w:after="0" w:line="58" w:lineRule="exact"/>
              <w:rPr>
                <w:sz w:val="20"/>
                <w:szCs w:val="20"/>
                <w:color w:val="auto"/>
              </w:rPr>
            </w:pPr>
            <w:r>
              <w:rPr>
                <w:rFonts w:ascii="Times New Roman" w:cs="Times New Roman" w:eastAsia="Times New Roman" w:hAnsi="Times New Roman"/>
                <w:sz w:val="6"/>
                <w:szCs w:val="6"/>
                <w:b w:val="1"/>
                <w:bCs w:val="1"/>
                <w:color w:val="auto"/>
              </w:rPr>
              <w:t>Accumulated</w:t>
            </w: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$1 par</w:t>
            </w:r>
          </w:p>
        </w:tc>
        <w:tc>
          <w:tcPr>
            <w:tcW w:w="100" w:type="dxa"/>
            <w:vAlign w:val="bottom"/>
          </w:tcPr>
          <w:p>
            <w:pPr>
              <w:spacing w:after="0"/>
              <w:rPr>
                <w:sz w:val="10"/>
                <w:szCs w:val="10"/>
                <w:color w:val="auto"/>
              </w:rPr>
            </w:pPr>
          </w:p>
        </w:tc>
        <w:tc>
          <w:tcPr>
            <w:tcW w:w="7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2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80" w:type="dxa"/>
            <w:vAlign w:val="bottom"/>
            <w:vMerge w:val="restart"/>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1"/>
                <w:szCs w:val="11"/>
                <w:b w:val="1"/>
                <w:bCs w:val="1"/>
                <w:color w:val="auto"/>
              </w:rPr>
              <w:t>Common</w:t>
            </w: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44"/>
              <w:spacing w:after="0" w:line="118"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1"/>
                <w:szCs w:val="11"/>
                <w:b w:val="1"/>
                <w:bCs w:val="1"/>
                <w:color w:val="auto"/>
              </w:rPr>
              <w:t>Loss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0"/>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January 29,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87,641,611</w:t>
            </w:r>
          </w:p>
        </w:tc>
        <w:tc>
          <w:tcPr>
            <w:tcW w:w="100" w:type="dxa"/>
            <w:vAlign w:val="bottom"/>
          </w:tcPr>
          <w:p>
            <w:pPr>
              <w:spacing w:after="0"/>
              <w:rPr>
                <w:sz w:val="13"/>
                <w:szCs w:val="1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87.6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3,244.5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4,753.1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(713.1)</w:t>
            </w:r>
          </w:p>
        </w:tc>
        <w:tc>
          <w:tcPr>
            <w:tcW w:w="100" w:type="dxa"/>
            <w:vAlign w:val="bottom"/>
          </w:tcPr>
          <w:p>
            <w:pPr>
              <w:spacing w:after="0"/>
              <w:rPr>
                <w:sz w:val="13"/>
                <w:szCs w:val="13"/>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(2,359.4)</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5,012.7</w:t>
            </w:r>
          </w:p>
        </w:tc>
        <w:tc>
          <w:tcPr>
            <w:tcW w:w="0" w:type="dxa"/>
            <w:vAlign w:val="bottom"/>
          </w:tcPr>
          <w:p>
            <w:pPr>
              <w:spacing w:after="0"/>
              <w:rPr>
                <w:sz w:val="1"/>
                <w:szCs w:val="1"/>
                <w:color w:val="auto"/>
              </w:rPr>
            </w:pPr>
          </w:p>
        </w:tc>
      </w:tr>
      <w:tr>
        <w:trPr>
          <w:trHeight w:val="178"/>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663.6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663.6</w:t>
            </w:r>
          </w:p>
        </w:tc>
        <w:tc>
          <w:tcPr>
            <w:tcW w:w="0" w:type="dxa"/>
            <w:vAlign w:val="bottom"/>
          </w:tcPr>
          <w:p>
            <w:pPr>
              <w:spacing w:after="0"/>
              <w:rPr>
                <w:sz w:val="1"/>
                <w:szCs w:val="1"/>
                <w:color w:val="auto"/>
              </w:rPr>
            </w:pPr>
          </w:p>
        </w:tc>
      </w:tr>
      <w:tr>
        <w:trPr>
          <w:trHeight w:val="160"/>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Foreign currency translation adjustments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w:t>
            </w:r>
          </w:p>
        </w:tc>
        <w:tc>
          <w:tcPr>
            <w:tcW w:w="0" w:type="dxa"/>
            <w:vAlign w:val="bottom"/>
          </w:tcPr>
          <w:p>
            <w:pPr>
              <w:spacing w:after="0"/>
              <w:rPr>
                <w:sz w:val="1"/>
                <w:szCs w:val="1"/>
                <w:color w:val="auto"/>
              </w:rPr>
            </w:pPr>
          </w:p>
        </w:tc>
      </w:tr>
      <w:tr>
        <w:trPr>
          <w:trHeight w:val="12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unrealized and realized gain related to effective cash flow</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18.1</w:t>
            </w:r>
          </w:p>
        </w:tc>
        <w:tc>
          <w:tcPr>
            <w:tcW w:w="0" w:type="dxa"/>
            <w:vAlign w:val="bottom"/>
          </w:tcPr>
          <w:p>
            <w:pPr>
              <w:spacing w:after="0"/>
              <w:rPr>
                <w:sz w:val="1"/>
                <w:szCs w:val="1"/>
                <w:color w:val="auto"/>
              </w:rPr>
            </w:pPr>
          </w:p>
        </w:tc>
      </w:tr>
      <w:tr>
        <w:trPr>
          <w:trHeight w:val="15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hedges, net of tax expense of $6.4</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gain on net investment hedges, net of tax expense of $3.4</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jc w:val="right"/>
              <w:ind w:right="5"/>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10.3</w:t>
            </w:r>
          </w:p>
        </w:tc>
        <w:tc>
          <w:tcPr>
            <w:tcW w:w="0" w:type="dxa"/>
            <w:vAlign w:val="bottom"/>
          </w:tcPr>
          <w:p>
            <w:pPr>
              <w:spacing w:after="0"/>
              <w:rPr>
                <w:sz w:val="1"/>
                <w:szCs w:val="1"/>
                <w:color w:val="auto"/>
              </w:rPr>
            </w:pPr>
          </w:p>
        </w:tc>
      </w:tr>
      <w:tr>
        <w:trPr>
          <w:trHeight w:val="16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Comprehensive income</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623.1</w:t>
            </w:r>
          </w:p>
        </w:tc>
        <w:tc>
          <w:tcPr>
            <w:tcW w:w="0" w:type="dxa"/>
            <w:vAlign w:val="bottom"/>
          </w:tcPr>
          <w:p>
            <w:pPr>
              <w:spacing w:after="0"/>
              <w:rPr>
                <w:sz w:val="1"/>
                <w:szCs w:val="1"/>
                <w:color w:val="auto"/>
              </w:rPr>
            </w:pPr>
          </w:p>
        </w:tc>
      </w:tr>
      <w:tr>
        <w:trPr>
          <w:trHeight w:val="160"/>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Settlement of awards under stock plans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925,664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17.9</w:t>
            </w:r>
          </w:p>
        </w:tc>
        <w:tc>
          <w:tcPr>
            <w:tcW w:w="0" w:type="dxa"/>
            <w:vAlign w:val="bottom"/>
          </w:tcPr>
          <w:p>
            <w:pPr>
              <w:spacing w:after="0"/>
              <w:rPr>
                <w:sz w:val="1"/>
                <w:szCs w:val="1"/>
                <w:color w:val="auto"/>
              </w:rPr>
            </w:pPr>
          </w:p>
        </w:tc>
      </w:tr>
      <w:tr>
        <w:trPr>
          <w:trHeight w:val="178"/>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51.9</w:t>
            </w:r>
          </w:p>
        </w:tc>
        <w:tc>
          <w:tcPr>
            <w:tcW w:w="0" w:type="dxa"/>
            <w:vAlign w:val="bottom"/>
          </w:tcPr>
          <w:p>
            <w:pPr>
              <w:spacing w:after="0"/>
              <w:rPr>
                <w:sz w:val="1"/>
                <w:szCs w:val="1"/>
                <w:color w:val="auto"/>
              </w:rPr>
            </w:pPr>
          </w:p>
        </w:tc>
      </w:tr>
      <w:tr>
        <w:trPr>
          <w:trHeight w:val="160"/>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Dividends declared ($0.15 per common share)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0" w:type="dxa"/>
            <w:vAlign w:val="bottom"/>
          </w:tcPr>
          <w:p>
            <w:pPr>
              <w:spacing w:after="0"/>
              <w:rPr>
                <w:sz w:val="1"/>
                <w:szCs w:val="1"/>
                <w:color w:val="auto"/>
              </w:rPr>
            </w:pPr>
          </w:p>
        </w:tc>
      </w:tr>
      <w:tr>
        <w:trPr>
          <w:trHeight w:val="12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Acquisition of 6,002,213 treasury shares, including excise taxes of</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(577.3)</w:t>
            </w:r>
          </w:p>
        </w:tc>
        <w:tc>
          <w:tcPr>
            <w:tcW w:w="0" w:type="dxa"/>
            <w:vAlign w:val="bottom"/>
          </w:tcPr>
          <w:p>
            <w:pPr>
              <w:spacing w:after="0"/>
              <w:rPr>
                <w:sz w:val="1"/>
                <w:szCs w:val="1"/>
                <w:color w:val="auto"/>
              </w:rPr>
            </w:pPr>
          </w:p>
        </w:tc>
      </w:tr>
      <w:tr>
        <w:trPr>
          <w:trHeight w:val="15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February 4, 2024</w:t>
            </w:r>
          </w:p>
        </w:tc>
        <w:tc>
          <w:tcPr>
            <w:tcW w:w="10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88,567,275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88.6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3,313.3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5,407.3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(753.6)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(2,936.7)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5,118.9</w:t>
            </w:r>
          </w:p>
        </w:tc>
        <w:tc>
          <w:tcPr>
            <w:tcW w:w="0" w:type="dxa"/>
            <w:vAlign w:val="bottom"/>
          </w:tcPr>
          <w:p>
            <w:pPr>
              <w:spacing w:after="0"/>
              <w:rPr>
                <w:sz w:val="1"/>
                <w:szCs w:val="1"/>
                <w:color w:val="auto"/>
              </w:rPr>
            </w:pPr>
          </w:p>
        </w:tc>
      </w:tr>
      <w:tr>
        <w:trPr>
          <w:trHeight w:val="178"/>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598.5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598.5</w:t>
            </w:r>
          </w:p>
        </w:tc>
        <w:tc>
          <w:tcPr>
            <w:tcW w:w="0" w:type="dxa"/>
            <w:vAlign w:val="bottom"/>
          </w:tcPr>
          <w:p>
            <w:pPr>
              <w:spacing w:after="0"/>
              <w:rPr>
                <w:sz w:val="1"/>
                <w:szCs w:val="1"/>
                <w:color w:val="auto"/>
              </w:rPr>
            </w:pPr>
          </w:p>
        </w:tc>
      </w:tr>
      <w:tr>
        <w:trPr>
          <w:trHeight w:val="160"/>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Foreign currency translation adjustments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(172.6)</w:t>
            </w:r>
          </w:p>
        </w:tc>
        <w:tc>
          <w:tcPr>
            <w:tcW w:w="0" w:type="dxa"/>
            <w:vAlign w:val="bottom"/>
          </w:tcPr>
          <w:p>
            <w:pPr>
              <w:spacing w:after="0"/>
              <w:rPr>
                <w:sz w:val="1"/>
                <w:szCs w:val="1"/>
                <w:color w:val="auto"/>
              </w:rPr>
            </w:pPr>
          </w:p>
        </w:tc>
      </w:tr>
      <w:tr>
        <w:trPr>
          <w:trHeight w:val="12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unrealized and realized gain related to effective cash flow</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18.9</w:t>
            </w:r>
          </w:p>
        </w:tc>
        <w:tc>
          <w:tcPr>
            <w:tcW w:w="0" w:type="dxa"/>
            <w:vAlign w:val="bottom"/>
          </w:tcPr>
          <w:p>
            <w:pPr>
              <w:spacing w:after="0"/>
              <w:rPr>
                <w:sz w:val="1"/>
                <w:szCs w:val="1"/>
                <w:color w:val="auto"/>
              </w:rPr>
            </w:pPr>
          </w:p>
        </w:tc>
      </w:tr>
      <w:tr>
        <w:trPr>
          <w:trHeight w:val="15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hedges, net of tax expense of $6.2</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gain on net investment hedges, net of tax expense of $17.0</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jc w:val="right"/>
              <w:ind w:right="5"/>
              <w:spacing w:after="0"/>
              <w:rPr>
                <w:sz w:val="20"/>
                <w:szCs w:val="20"/>
                <w:color w:val="auto"/>
              </w:rPr>
            </w:pPr>
            <w:r>
              <w:rPr>
                <w:rFonts w:ascii="Times New Roman" w:cs="Times New Roman" w:eastAsia="Times New Roman" w:hAnsi="Times New Roman"/>
                <w:sz w:val="11"/>
                <w:szCs w:val="11"/>
                <w:color w:val="auto"/>
              </w:rPr>
              <w:t>50.5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50.5</w:t>
            </w:r>
          </w:p>
        </w:tc>
        <w:tc>
          <w:tcPr>
            <w:tcW w:w="0" w:type="dxa"/>
            <w:vAlign w:val="bottom"/>
          </w:tcPr>
          <w:p>
            <w:pPr>
              <w:spacing w:after="0"/>
              <w:rPr>
                <w:sz w:val="1"/>
                <w:szCs w:val="1"/>
                <w:color w:val="auto"/>
              </w:rPr>
            </w:pPr>
          </w:p>
        </w:tc>
      </w:tr>
      <w:tr>
        <w:trPr>
          <w:trHeight w:val="16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Comprehensive income</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495.3</w:t>
            </w:r>
          </w:p>
        </w:tc>
        <w:tc>
          <w:tcPr>
            <w:tcW w:w="0" w:type="dxa"/>
            <w:vAlign w:val="bottom"/>
          </w:tcPr>
          <w:p>
            <w:pPr>
              <w:spacing w:after="0"/>
              <w:rPr>
                <w:sz w:val="1"/>
                <w:szCs w:val="1"/>
                <w:color w:val="auto"/>
              </w:rPr>
            </w:pPr>
          </w:p>
        </w:tc>
      </w:tr>
      <w:tr>
        <w:trPr>
          <w:trHeight w:val="160"/>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Settlement of awards under stock plans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545,129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7.3</w:t>
            </w:r>
          </w:p>
        </w:tc>
        <w:tc>
          <w:tcPr>
            <w:tcW w:w="0" w:type="dxa"/>
            <w:vAlign w:val="bottom"/>
          </w:tcPr>
          <w:p>
            <w:pPr>
              <w:spacing w:after="0"/>
              <w:rPr>
                <w:sz w:val="1"/>
                <w:szCs w:val="1"/>
                <w:color w:val="auto"/>
              </w:rPr>
            </w:pPr>
          </w:p>
        </w:tc>
      </w:tr>
      <w:tr>
        <w:trPr>
          <w:trHeight w:val="178"/>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54.0</w:t>
            </w:r>
          </w:p>
        </w:tc>
        <w:tc>
          <w:tcPr>
            <w:tcW w:w="0" w:type="dxa"/>
            <w:vAlign w:val="bottom"/>
          </w:tcPr>
          <w:p>
            <w:pPr>
              <w:spacing w:after="0"/>
              <w:rPr>
                <w:sz w:val="1"/>
                <w:szCs w:val="1"/>
                <w:color w:val="auto"/>
              </w:rPr>
            </w:pPr>
          </w:p>
        </w:tc>
      </w:tr>
      <w:tr>
        <w:trPr>
          <w:trHeight w:val="160"/>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Dividends declared ($0.15 per common share)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0" w:type="dxa"/>
            <w:vAlign w:val="bottom"/>
          </w:tcPr>
          <w:p>
            <w:pPr>
              <w:spacing w:after="0"/>
              <w:rPr>
                <w:sz w:val="1"/>
                <w:szCs w:val="1"/>
                <w:color w:val="auto"/>
              </w:rPr>
            </w:pPr>
          </w:p>
        </w:tc>
      </w:tr>
      <w:tr>
        <w:trPr>
          <w:trHeight w:val="12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Acquisition of 4,928,684 treasury shares, including excise taxes of</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(526.4)</w:t>
            </w:r>
          </w:p>
        </w:tc>
        <w:tc>
          <w:tcPr>
            <w:tcW w:w="0" w:type="dxa"/>
            <w:vAlign w:val="bottom"/>
          </w:tcPr>
          <w:p>
            <w:pPr>
              <w:spacing w:after="0"/>
              <w:rPr>
                <w:sz w:val="1"/>
                <w:szCs w:val="1"/>
                <w:color w:val="auto"/>
              </w:rPr>
            </w:pPr>
          </w:p>
        </w:tc>
      </w:tr>
      <w:tr>
        <w:trPr>
          <w:trHeight w:val="15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February 2, 2025</w:t>
            </w:r>
          </w:p>
        </w:tc>
        <w:tc>
          <w:tcPr>
            <w:tcW w:w="10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89,112,404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89.1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3,374.1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5,997.2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5,140.5</w:t>
            </w:r>
          </w:p>
        </w:tc>
        <w:tc>
          <w:tcPr>
            <w:tcW w:w="0" w:type="dxa"/>
            <w:vAlign w:val="bottom"/>
          </w:tcPr>
          <w:p>
            <w:pPr>
              <w:spacing w:after="0"/>
              <w:rPr>
                <w:sz w:val="1"/>
                <w:szCs w:val="1"/>
                <w:color w:val="auto"/>
              </w:rPr>
            </w:pPr>
          </w:p>
        </w:tc>
      </w:tr>
      <w:tr>
        <w:trPr>
          <w:trHeight w:val="178"/>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25.3</w:t>
            </w:r>
          </w:p>
        </w:tc>
        <w:tc>
          <w:tcPr>
            <w:tcW w:w="0" w:type="dxa"/>
            <w:vAlign w:val="bottom"/>
          </w:tcPr>
          <w:p>
            <w:pPr>
              <w:spacing w:after="0"/>
              <w:rPr>
                <w:sz w:val="1"/>
                <w:szCs w:val="1"/>
                <w:color w:val="auto"/>
              </w:rPr>
            </w:pPr>
          </w:p>
        </w:tc>
      </w:tr>
      <w:tr>
        <w:trPr>
          <w:trHeight w:val="160"/>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Foreign currency translation adjustments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403.2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403.2</w:t>
            </w:r>
          </w:p>
        </w:tc>
        <w:tc>
          <w:tcPr>
            <w:tcW w:w="0" w:type="dxa"/>
            <w:vAlign w:val="bottom"/>
          </w:tcPr>
          <w:p>
            <w:pPr>
              <w:spacing w:after="0"/>
              <w:rPr>
                <w:sz w:val="1"/>
                <w:szCs w:val="1"/>
                <w:color w:val="auto"/>
              </w:rPr>
            </w:pPr>
          </w:p>
        </w:tc>
      </w:tr>
      <w:tr>
        <w:trPr>
          <w:trHeight w:val="12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unrealized and realized loss related to effective cash flow</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(60.3)</w:t>
            </w:r>
          </w:p>
        </w:tc>
        <w:tc>
          <w:tcPr>
            <w:tcW w:w="0" w:type="dxa"/>
            <w:vAlign w:val="bottom"/>
          </w:tcPr>
          <w:p>
            <w:pPr>
              <w:spacing w:after="0"/>
              <w:rPr>
                <w:sz w:val="1"/>
                <w:szCs w:val="1"/>
                <w:color w:val="auto"/>
              </w:rPr>
            </w:pPr>
          </w:p>
        </w:tc>
      </w:tr>
      <w:tr>
        <w:trPr>
          <w:trHeight w:val="15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hedges, net of tax benefit of $21.2</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Net loss on net investment hedges, net of tax benefit of $56.5</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(174.9)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(174.9)</w:t>
            </w:r>
          </w:p>
        </w:tc>
        <w:tc>
          <w:tcPr>
            <w:tcW w:w="0" w:type="dxa"/>
            <w:vAlign w:val="bottom"/>
          </w:tcPr>
          <w:p>
            <w:pPr>
              <w:spacing w:after="0"/>
              <w:rPr>
                <w:sz w:val="1"/>
                <w:szCs w:val="1"/>
                <w:color w:val="auto"/>
              </w:rPr>
            </w:pPr>
          </w:p>
        </w:tc>
      </w:tr>
      <w:tr>
        <w:trPr>
          <w:trHeight w:val="16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Comprehensive income</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193.3</w:t>
            </w:r>
          </w:p>
        </w:tc>
        <w:tc>
          <w:tcPr>
            <w:tcW w:w="0" w:type="dxa"/>
            <w:vAlign w:val="bottom"/>
          </w:tcPr>
          <w:p>
            <w:pPr>
              <w:spacing w:after="0"/>
              <w:rPr>
                <w:sz w:val="1"/>
                <w:szCs w:val="1"/>
                <w:color w:val="auto"/>
              </w:rPr>
            </w:pPr>
          </w:p>
        </w:tc>
      </w:tr>
      <w:tr>
        <w:trPr>
          <w:trHeight w:val="160"/>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Settlement of awards under stock plans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481,582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78"/>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44.1</w:t>
            </w:r>
          </w:p>
        </w:tc>
        <w:tc>
          <w:tcPr>
            <w:tcW w:w="0" w:type="dxa"/>
            <w:vAlign w:val="bottom"/>
          </w:tcPr>
          <w:p>
            <w:pPr>
              <w:spacing w:after="0"/>
              <w:rPr>
                <w:sz w:val="1"/>
                <w:szCs w:val="1"/>
                <w:color w:val="auto"/>
              </w:rPr>
            </w:pPr>
          </w:p>
        </w:tc>
      </w:tr>
      <w:tr>
        <w:trPr>
          <w:trHeight w:val="160"/>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Dividends declared ($0.15 per common share)</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0" w:type="dxa"/>
            <w:vAlign w:val="bottom"/>
          </w:tcPr>
          <w:p>
            <w:pPr>
              <w:spacing w:after="0"/>
              <w:rPr>
                <w:sz w:val="1"/>
                <w:szCs w:val="1"/>
                <w:color w:val="auto"/>
              </w:rPr>
            </w:pPr>
          </w:p>
        </w:tc>
      </w:tr>
      <w:tr>
        <w:trPr>
          <w:trHeight w:val="12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Acquisition of 7,923,502 treasury shares, including excise taxes of</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44.9</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(624.4)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(579.5)</w:t>
            </w:r>
          </w:p>
        </w:tc>
        <w:tc>
          <w:tcPr>
            <w:tcW w:w="0" w:type="dxa"/>
            <w:vAlign w:val="bottom"/>
          </w:tcPr>
          <w:p>
            <w:pPr>
              <w:spacing w:after="0"/>
              <w:rPr>
                <w:sz w:val="1"/>
                <w:szCs w:val="1"/>
                <w:color w:val="auto"/>
              </w:rPr>
            </w:pPr>
          </w:p>
        </w:tc>
      </w:tr>
      <w:tr>
        <w:trPr>
          <w:trHeight w:val="151"/>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080" w:type="dxa"/>
            <w:vAlign w:val="bottom"/>
          </w:tcPr>
          <w:p>
            <w:pPr>
              <w:spacing w:after="0"/>
              <w:rPr>
                <w:sz w:val="20"/>
                <w:szCs w:val="20"/>
                <w:color w:val="auto"/>
              </w:rPr>
            </w:pPr>
            <w:r>
              <w:rPr>
                <w:rFonts w:ascii="Times New Roman" w:cs="Times New Roman" w:eastAsia="Times New Roman" w:hAnsi="Times New Roman"/>
                <w:sz w:val="11"/>
                <w:szCs w:val="11"/>
                <w:color w:val="auto"/>
              </w:rPr>
              <w:t>February 1,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89,593,986</w:t>
            </w:r>
          </w:p>
        </w:tc>
        <w:tc>
          <w:tcPr>
            <w:tcW w:w="10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89.6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3,464.0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6,015.0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(688.8)</w:t>
            </w:r>
          </w:p>
        </w:tc>
        <w:tc>
          <w:tcPr>
            <w:tcW w:w="100" w:type="dxa"/>
            <w:vAlign w:val="bottom"/>
          </w:tcPr>
          <w:p>
            <w:pPr>
              <w:spacing w:after="0"/>
              <w:rPr>
                <w:sz w:val="14"/>
                <w:szCs w:val="14"/>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(4,087.5)</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4,792.3</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73025</wp:posOffset>
            </wp:positionV>
            <wp:extent cx="716280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300"/>
          </w:cols>
          <w:pgMar w:left="800" w:top="982" w:right="79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b w:val="1"/>
          <w:bCs w:val="1"/>
          <w:color w:val="auto"/>
        </w:rPr>
        <w:t>PVH CORP.</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47" w:lineRule="exact"/>
        <w:rPr>
          <w:sz w:val="20"/>
          <w:szCs w:val="20"/>
          <w:color w:val="auto"/>
        </w:rPr>
      </w:pPr>
    </w:p>
    <w:p>
      <w:pPr>
        <w:ind w:left="400" w:hanging="396"/>
        <w:spacing w:after="0"/>
        <w:tabs>
          <w:tab w:leader="none" w:pos="40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47" w:lineRule="exact"/>
        <w:rPr>
          <w:sz w:val="20"/>
          <w:szCs w:val="20"/>
          <w:color w:val="auto"/>
        </w:rPr>
      </w:pPr>
    </w:p>
    <w:p>
      <w:pPr>
        <w:ind w:firstLine="39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Description of Business </w:t>
      </w:r>
      <w:r>
        <w:rPr>
          <w:rFonts w:ascii="Times New Roman" w:cs="Times New Roman" w:eastAsia="Times New Roman" w:hAnsi="Times New Roman"/>
          <w:sz w:val="17"/>
          <w:szCs w:val="17"/>
          <w:color w:val="auto"/>
        </w:rPr>
        <w:t>— PVH Corp. and its consolidated subsidiaries (collectively, the “Company”) constitute a global apparel company with a brand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portfolio that includes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which are owned, </w:t>
      </w:r>
      <w:r>
        <w:rPr>
          <w:rFonts w:ascii="Times New Roman" w:cs="Times New Roman" w:eastAsia="Times New Roman" w:hAnsi="Times New Roman"/>
          <w:sz w:val="17"/>
          <w:szCs w:val="17"/>
          <w:i w:val="1"/>
          <w:iCs w:val="1"/>
          <w:color w:val="auto"/>
        </w:rPr>
        <w:t>Warner’s, Olga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True&amp;Co.</w:t>
      </w:r>
      <w:r>
        <w:rPr>
          <w:rFonts w:ascii="Times New Roman" w:cs="Times New Roman" w:eastAsia="Times New Roman" w:hAnsi="Times New Roman"/>
          <w:sz w:val="17"/>
          <w:szCs w:val="17"/>
          <w:color w:val="auto"/>
        </w:rPr>
        <w:t xml:space="preserve">, which the Company owned until November 27, 2023 and </w:t>
      </w:r>
      <w:r>
        <w:rPr>
          <w:rFonts w:ascii="Times New Roman" w:cs="Times New Roman" w:eastAsia="Times New Roman" w:hAnsi="Times New Roman"/>
          <w:sz w:val="17"/>
          <w:szCs w:val="17"/>
          <w:i w:val="1"/>
          <w:iCs w:val="1"/>
          <w:color w:val="auto"/>
        </w:rPr>
        <w:t>Van Heusen</w:t>
      </w:r>
      <w:r>
        <w:rPr>
          <w:rFonts w:ascii="Times New Roman" w:cs="Times New Roman" w:eastAsia="Times New Roman" w:hAnsi="Times New Roman"/>
          <w:sz w:val="17"/>
          <w:szCs w:val="17"/>
          <w:color w:val="auto"/>
        </w:rPr>
        <w:t xml:space="preserve">, which the Company owned through the second quarter of 2021. The Company currently licenses </w:t>
      </w:r>
      <w:r>
        <w:rPr>
          <w:rFonts w:ascii="Times New Roman" w:cs="Times New Roman" w:eastAsia="Times New Roman" w:hAnsi="Times New Roman"/>
          <w:sz w:val="17"/>
          <w:szCs w:val="17"/>
          <w:i w:val="1"/>
          <w:iCs w:val="1"/>
          <w:color w:val="auto"/>
        </w:rPr>
        <w:t>Van Heusen</w:t>
      </w:r>
      <w:r>
        <w:rPr>
          <w:rFonts w:ascii="Times New Roman" w:cs="Times New Roman" w:eastAsia="Times New Roman" w:hAnsi="Times New Roman"/>
          <w:sz w:val="17"/>
          <w:szCs w:val="17"/>
          <w:color w:val="auto"/>
        </w:rPr>
        <w:t xml:space="preserve">, along with </w:t>
      </w:r>
      <w:r>
        <w:rPr>
          <w:rFonts w:ascii="Times New Roman" w:cs="Times New Roman" w:eastAsia="Times New Roman" w:hAnsi="Times New Roman"/>
          <w:sz w:val="17"/>
          <w:szCs w:val="17"/>
          <w:i w:val="1"/>
          <w:iCs w:val="1"/>
          <w:color w:val="auto"/>
        </w:rPr>
        <w:t>Nike</w:t>
      </w:r>
      <w:r>
        <w:rPr>
          <w:rFonts w:ascii="Times New Roman" w:cs="Times New Roman" w:eastAsia="Times New Roman" w:hAnsi="Times New Roman"/>
          <w:sz w:val="17"/>
          <w:szCs w:val="17"/>
          <w:color w:val="auto"/>
        </w:rPr>
        <w:t xml:space="preserve"> and other brands, from third parties for certain product categories. The Company designs and markets branded sportswear (casual apparel), jeanswear, performance apparel, intimate apparel, underwear, swimwear, dress shirts, handbags, accessories, footwear and other related products and licenses its owned brands globally over a broad array of product categories and for use in certain territories. The Company completed the sale of its women’s intimates businesses conducted under the </w:t>
      </w:r>
      <w:r>
        <w:rPr>
          <w:rFonts w:ascii="Times New Roman" w:cs="Times New Roman" w:eastAsia="Times New Roman" w:hAnsi="Times New Roman"/>
          <w:sz w:val="17"/>
          <w:szCs w:val="17"/>
          <w:i w:val="1"/>
          <w:iCs w:val="1"/>
          <w:color w:val="auto"/>
        </w:rPr>
        <w:t>Warner’s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Olga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True&amp;Co. </w:t>
      </w:r>
      <w:r>
        <w:rPr>
          <w:rFonts w:ascii="Times New Roman" w:cs="Times New Roman" w:eastAsia="Times New Roman" w:hAnsi="Times New Roman"/>
          <w:sz w:val="17"/>
          <w:szCs w:val="17"/>
          <w:color w:val="auto"/>
        </w:rPr>
        <w:t>trademarks to Basic Resources on November 27, 2023 (the “Heritage Brands intimates transaction”). Please see Note 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“Divestitures,” for further discussion. The Company refers to its currently or previously owned and licensed trademarks, other than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as its “heritage brands” and the businesses it currently operates or previously operated under the heritage brands as its “Heritage Brands business.”</w:t>
      </w:r>
    </w:p>
    <w:p>
      <w:pPr>
        <w:spacing w:after="0" w:line="204" w:lineRule="exact"/>
        <w:rPr>
          <w:sz w:val="20"/>
          <w:szCs w:val="20"/>
          <w:color w:val="auto"/>
        </w:rPr>
      </w:pPr>
    </w:p>
    <w:p>
      <w:pPr>
        <w:ind w:right="20" w:firstLine="390"/>
        <w:spacing w:after="0" w:line="268" w:lineRule="auto"/>
        <w:rPr>
          <w:sz w:val="20"/>
          <w:szCs w:val="20"/>
          <w:color w:val="auto"/>
        </w:rPr>
      </w:pPr>
      <w:r>
        <w:rPr>
          <w:rFonts w:ascii="Times New Roman" w:cs="Times New Roman" w:eastAsia="Times New Roman" w:hAnsi="Times New Roman"/>
          <w:sz w:val="17"/>
          <w:szCs w:val="17"/>
          <w:color w:val="auto"/>
        </w:rPr>
        <w:t>Effective February 3, 2025, the first day of 2025, the Company changed its reportable segments to be region-focused to align with changes in its business and organizational structure. These changes included the reorganization of the executive leadership structure directly reporting to the Company’s Chief Executive Officer, who is the chief operating decision maker (“CODM”). The Company’s new reportable segments are: (i) EMEA, (ii) Americas, (iii) APAC, and (iv) Licensing. Please see Note 20, “Segment Data,” for further discussion of the change in reportable segments and segment definitions.</w:t>
      </w:r>
    </w:p>
    <w:p>
      <w:pPr>
        <w:spacing w:after="0" w:line="192" w:lineRule="exact"/>
        <w:rPr>
          <w:sz w:val="20"/>
          <w:szCs w:val="20"/>
          <w:color w:val="auto"/>
        </w:rPr>
      </w:pPr>
    </w:p>
    <w:p>
      <w:pPr>
        <w:ind w:firstLine="390"/>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Principles of Consolidation </w:t>
      </w:r>
      <w:r>
        <w:rPr>
          <w:rFonts w:ascii="Times New Roman" w:cs="Times New Roman" w:eastAsia="Times New Roman" w:hAnsi="Times New Roman"/>
          <w:sz w:val="17"/>
          <w:szCs w:val="17"/>
          <w:color w:val="auto"/>
        </w:rPr>
        <w:t>— The consolidated financial statements have been prepared in accordance with accounting principles generally accepted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United States (“U.S. GAAP”) and include the accounts of the Company. Intercompany accounts and transactions have been eliminated in consolidation. Investments in entities that the Company does not control but has the ability to exercise significant influence over are accounted for using the equity method of accounting. The Company’s Consolidated Statements of Operations include its proportionate share of the net income or loss of these entities. Please see Note 6, “Investments in Unconsolidated Affiliates,” for further discussion.</w:t>
      </w:r>
    </w:p>
    <w:p>
      <w:pPr>
        <w:spacing w:after="0" w:line="196" w:lineRule="exact"/>
        <w:rPr>
          <w:sz w:val="20"/>
          <w:szCs w:val="20"/>
          <w:color w:val="auto"/>
        </w:rPr>
      </w:pPr>
    </w:p>
    <w:p>
      <w:pPr>
        <w:jc w:val="both"/>
        <w:ind w:right="200" w:firstLine="39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Fiscal Year </w:t>
      </w:r>
      <w:r>
        <w:rPr>
          <w:rFonts w:ascii="Times New Roman" w:cs="Times New Roman" w:eastAsia="Times New Roman" w:hAnsi="Times New Roman"/>
          <w:sz w:val="17"/>
          <w:szCs w:val="17"/>
          <w:color w:val="auto"/>
        </w:rPr>
        <w:t>— The Company uses a 52-53 week fiscal year ending on the Sunday closest to February 1. References to a year are to the Company’s fiscal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unless the context requires otherwise. Results for 2025, 2024 and 2023 represent the 52 weeks ended February 1, 2026, 52 weeks ended February 2, 2025 and 53 weeks ended February 4, 2024, respectively.</w:t>
      </w:r>
    </w:p>
    <w:p>
      <w:pPr>
        <w:spacing w:after="0" w:line="187" w:lineRule="exact"/>
        <w:rPr>
          <w:sz w:val="20"/>
          <w:szCs w:val="20"/>
          <w:color w:val="auto"/>
        </w:rPr>
      </w:pPr>
    </w:p>
    <w:p>
      <w:pPr>
        <w:ind w:right="80" w:firstLine="39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Use of Estimates </w:t>
      </w:r>
      <w:r>
        <w:rPr>
          <w:rFonts w:ascii="Times New Roman" w:cs="Times New Roman" w:eastAsia="Times New Roman" w:hAnsi="Times New Roman"/>
          <w:sz w:val="17"/>
          <w:szCs w:val="17"/>
          <w:color w:val="auto"/>
        </w:rPr>
        <w:t>— The preparation of the consolidated financial statements in conformity with U.S. GAAP requires management to make estimates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assumptions that affect the amounts reported in the consolidated financial statements and accompanying notes. Actual results could differ materially from the estimates due to risks and uncertainties, including the impacts on the Company’s business resulting from the conflict in the Middle East and global trade policies (including tariffs) and their broader macroeconomic implications, as well as the impact of inflation and other macroeconomic factors, and foreign currency volatility. In addition, there is significant uncertainty surrounding how the Company’s business may be impacted in the future as a result of China’s Ministry of Commerce’s (“MOFCOM”) decision to place the Company on the List of Unreliable Entities (“UEL”). Please see Note 22, “Other Comments,” for further discussion.</w:t>
      </w:r>
    </w:p>
    <w:p>
      <w:pPr>
        <w:spacing w:after="0" w:line="197" w:lineRule="exact"/>
        <w:rPr>
          <w:sz w:val="20"/>
          <w:szCs w:val="20"/>
          <w:color w:val="auto"/>
        </w:rPr>
      </w:pPr>
    </w:p>
    <w:p>
      <w:pPr>
        <w:ind w:right="120" w:firstLine="39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Cash and Cash Equivalents </w:t>
      </w:r>
      <w:r>
        <w:rPr>
          <w:rFonts w:ascii="Times New Roman" w:cs="Times New Roman" w:eastAsia="Times New Roman" w:hAnsi="Times New Roman"/>
          <w:sz w:val="17"/>
          <w:szCs w:val="17"/>
          <w:color w:val="auto"/>
        </w:rPr>
        <w:t>— The Company considers all highly liquid investments with original maturities of three months or less when purchased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equivalents. Cash equivalents also includes amounts due from third party credit card processors for the settlement of customer debit and credit card transactions that are collectible in one week or less. The Company’s cash and cash equivalents at February 1, 2026 consisted principally of bank deposits and investments in money market funds.</w:t>
      </w:r>
    </w:p>
    <w:p>
      <w:pPr>
        <w:spacing w:after="0" w:line="190" w:lineRule="exact"/>
        <w:rPr>
          <w:sz w:val="20"/>
          <w:szCs w:val="20"/>
          <w:color w:val="auto"/>
        </w:rPr>
      </w:pPr>
    </w:p>
    <w:p>
      <w:pPr>
        <w:jc w:val="both"/>
        <w:ind w:right="520" w:firstLine="39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Accounts Receivable </w:t>
      </w:r>
      <w:r>
        <w:rPr>
          <w:rFonts w:ascii="Times New Roman" w:cs="Times New Roman" w:eastAsia="Times New Roman" w:hAnsi="Times New Roman"/>
          <w:sz w:val="17"/>
          <w:szCs w:val="17"/>
          <w:color w:val="auto"/>
        </w:rPr>
        <w:t>— Trade receivables, as presented in the Company’s Consolidated Balance Sheets, are net of allowances. Costs associated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allowable customer markdowns and operational chargebacks, net of the expected recoveries, are part of the provision for allowances included in accounts receivable. These provisions result from seasonal negotiations, historical experience, and an evaluation of current market conditions.</w:t>
      </w:r>
    </w:p>
    <w:p>
      <w:pPr>
        <w:spacing w:after="0" w:line="189" w:lineRule="exact"/>
        <w:rPr>
          <w:sz w:val="20"/>
          <w:szCs w:val="20"/>
          <w:color w:val="auto"/>
        </w:rPr>
      </w:pPr>
    </w:p>
    <w:p>
      <w:pPr>
        <w:ind w:right="300" w:firstLine="390"/>
        <w:spacing w:after="0" w:line="293" w:lineRule="auto"/>
        <w:rPr>
          <w:sz w:val="20"/>
          <w:szCs w:val="20"/>
          <w:color w:val="auto"/>
        </w:rPr>
      </w:pPr>
      <w:r>
        <w:rPr>
          <w:rFonts w:ascii="Times New Roman" w:cs="Times New Roman" w:eastAsia="Times New Roman" w:hAnsi="Times New Roman"/>
          <w:sz w:val="17"/>
          <w:szCs w:val="17"/>
          <w:color w:val="auto"/>
        </w:rPr>
        <w:t>The Company records an allowance for credit losses as a reduction to its trade receivables for amounts that the Company does not expect to recover. An allowance for credit losses is determined through an analysis of the aging of accounts receivable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9" w:name="page80"/>
    <w:bookmarkEnd w:id="79"/>
    <w:p>
      <w:pPr>
        <w:ind w:right="20"/>
        <w:spacing w:after="0" w:line="268" w:lineRule="auto"/>
        <w:rPr>
          <w:sz w:val="20"/>
          <w:szCs w:val="20"/>
          <w:color w:val="auto"/>
        </w:rPr>
      </w:pPr>
      <w:r>
        <w:rPr>
          <w:rFonts w:ascii="Times New Roman" w:cs="Times New Roman" w:eastAsia="Times New Roman" w:hAnsi="Times New Roman"/>
          <w:sz w:val="17"/>
          <w:szCs w:val="17"/>
          <w:color w:val="auto"/>
        </w:rPr>
        <w:t>and assessments of collectibility based on historical trends, the financial condition of the Company’s customers and licensees, including any known or anticipated bankruptcies, and an evaluation of current economic conditions as well as the Company’s expectations of conditions in the future. The Company writes off uncollectible trade receivables once collection efforts have been exhausted and third parties confirm the balance is not recoverable. As of February 1, 2026 and February 2, 2025, the allowance for credit losses on trade receivables was $23.7 million and $22.4 million, respectively.</w:t>
      </w:r>
    </w:p>
    <w:p>
      <w:pPr>
        <w:spacing w:after="0" w:line="192" w:lineRule="exact"/>
        <w:rPr>
          <w:sz w:val="20"/>
          <w:szCs w:val="20"/>
          <w:color w:val="auto"/>
        </w:rPr>
      </w:pPr>
    </w:p>
    <w:p>
      <w:pPr>
        <w:ind w:right="20" w:firstLine="39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Goodwill and Other Intangible Assets </w:t>
      </w:r>
      <w:r>
        <w:rPr>
          <w:rFonts w:ascii="Times New Roman" w:cs="Times New Roman" w:eastAsia="Times New Roman" w:hAnsi="Times New Roman"/>
          <w:sz w:val="17"/>
          <w:szCs w:val="17"/>
          <w:color w:val="auto"/>
        </w:rPr>
        <w:t>— The Company assesses the recoverability of goodwill and other indefinite-lived intangible assets annually,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beginning of the third quarter of each fiscal year, and between annual tests if an event occurs or circumstances change that would indicate that it is more likely than not that the carrying amount may be impaired. Intangible assets with finite lives are amortized over their estimated useful lives and are tested for impairment along with other long-lived assets when events and circumstances indicate that the assets might be impaired. Impairment testing for goodwill is done at the reporting unit level. A reporting unit is defined as an operating segment or one level below the operating segment, called a component. However, two or more components of an operating segment will be aggregated and deemed a single reporting unit if the components have similar economic characteristics. Impairment testing for other indefinite-lived intangible assets is done at the individual asset level. Indefinite-lived intangible assets and intangible assets with finite lives are tested for impairment prior to assessing the recoverability of goodwill.</w:t>
      </w:r>
    </w:p>
    <w:p>
      <w:pPr>
        <w:spacing w:after="0" w:line="201" w:lineRule="exact"/>
        <w:rPr>
          <w:sz w:val="20"/>
          <w:szCs w:val="20"/>
          <w:color w:val="auto"/>
        </w:rPr>
      </w:pPr>
    </w:p>
    <w:p>
      <w:pPr>
        <w:ind w:firstLine="390"/>
        <w:spacing w:after="0" w:line="259" w:lineRule="auto"/>
        <w:rPr>
          <w:sz w:val="20"/>
          <w:szCs w:val="20"/>
          <w:color w:val="auto"/>
        </w:rPr>
      </w:pPr>
      <w:r>
        <w:rPr>
          <w:rFonts w:ascii="Times New Roman" w:cs="Times New Roman" w:eastAsia="Times New Roman" w:hAnsi="Times New Roman"/>
          <w:sz w:val="17"/>
          <w:szCs w:val="17"/>
          <w:color w:val="auto"/>
        </w:rPr>
        <w:t>The Company assesses qualitative factors to determine whether it is necessary to perform a more detailed quantitative impairment test for goodwill and other indefinite-lived intangible assets. The Company may elect to bypass the qualitative assessment and proceed directly to the quantitative test for any reporting units or indefinite-lived intangible assets. When performing the quantitative test for goodwill, an impairment loss is recognized if the carrying amount of the reporting unit, including goodwill, exceeds its fair value. The fair value of a reporting unit is estimated using a discounted cash flow model, which includes assumptions such as the weighted average cost of capital, revenue growth rate, gross margin, operating expenses and earnings before interest, taxes, depreciation and amortization margin. The impairment loss recognized is equal to the amount by which the carrying amount exceeds the fair value, but is limited to the total amount of goodwill allocated to that reporting unit. When performing the quantitative test for other indefinite-lived intangible assets, an impairment loss is recognized if the carrying amount of the asset exceeds the fair value of the asset, which is generally determined using the estimated discounted cash flows associated with the asset’s use and includes assumptions such as the weighted average cost of capital, revenue growth rate, gross margin, operating expenses and earnings before interest, taxes, depreciation and amortization margin.</w:t>
      </w:r>
    </w:p>
    <w:p>
      <w:pPr>
        <w:spacing w:after="0" w:line="206" w:lineRule="exact"/>
        <w:rPr>
          <w:sz w:val="20"/>
          <w:szCs w:val="20"/>
          <w:color w:val="auto"/>
        </w:rPr>
      </w:pPr>
    </w:p>
    <w:p>
      <w:pPr>
        <w:ind w:firstLine="390"/>
        <w:spacing w:after="0" w:line="261" w:lineRule="auto"/>
        <w:rPr>
          <w:sz w:val="20"/>
          <w:szCs w:val="20"/>
          <w:color w:val="auto"/>
        </w:rPr>
      </w:pPr>
      <w:r>
        <w:rPr>
          <w:rFonts w:ascii="Times New Roman" w:cs="Times New Roman" w:eastAsia="Times New Roman" w:hAnsi="Times New Roman"/>
          <w:sz w:val="17"/>
          <w:szCs w:val="17"/>
          <w:color w:val="auto"/>
        </w:rPr>
        <w:t>Macroeconomic and geopolitical factors that occurred during the first quarter of 2025 resulted in significant market volatility and a decrease in the Company’s stock price. As a result, the Company determined there was a triggering event that required the Company to perform a quantitative interim goodwill impairment test as of the end of the first quarter of 2025. As a result of this interim impairment test, the Company recorded $426.0 million of noncash impairment charges during the first quarter of 2025, which were included in goodwill and other intangible asset impairments in the Company’s Consolidated Statement of Operations. The impairments were primarily due to a significant increase in discount rates, which incorporated elevated risk premiums, in particular for the Americas and APAC reporting units. The Company did not record any goodwill impairments in 2024 or 2023. Please see Note 7, “Goodwill and Other Intangible Assets,” for further discussion.</w:t>
      </w:r>
    </w:p>
    <w:p>
      <w:pPr>
        <w:spacing w:after="0" w:line="203" w:lineRule="exact"/>
        <w:rPr>
          <w:sz w:val="20"/>
          <w:szCs w:val="20"/>
          <w:color w:val="auto"/>
        </w:rPr>
      </w:pPr>
    </w:p>
    <w:p>
      <w:pPr>
        <w:ind w:firstLine="390"/>
        <w:spacing w:after="0" w:line="263" w:lineRule="auto"/>
        <w:rPr>
          <w:sz w:val="20"/>
          <w:szCs w:val="20"/>
          <w:color w:val="auto"/>
        </w:rPr>
      </w:pPr>
      <w:r>
        <w:rPr>
          <w:rFonts w:ascii="Times New Roman" w:cs="Times New Roman" w:eastAsia="Times New Roman" w:hAnsi="Times New Roman"/>
          <w:sz w:val="17"/>
          <w:szCs w:val="17"/>
          <w:color w:val="auto"/>
        </w:rPr>
        <w:t>The Company also determined the macroeconomic and geopolitical conditions that occurred during the first quarter of 2025 and resulting impacts to the Company discussed above were also a triggering event that prompted the need to perform interim impairment testing of its other indefinite-lived intangible assets as of the end of the first quarter of 2025. As a result of this interim impairment testing, the Company recorded $53.5 million of noncash impairment charges during the first quarter of 2025, which were included in goodwill and other intangible asset impairments in the Company’s Consolidated Statement of Operations, to write down the reacquired perpetual license rights in Australia. The impairment was primarily due to a significant increase in discount rates. The Company did not record any intangible asset impairments in 2024 or 2023. Please see Note 7, “Goodwill and Other Intangible Assets,” for further discussion.</w:t>
      </w:r>
    </w:p>
    <w:p>
      <w:pPr>
        <w:spacing w:after="0" w:line="196" w:lineRule="exact"/>
        <w:rPr>
          <w:sz w:val="20"/>
          <w:szCs w:val="20"/>
          <w:color w:val="auto"/>
        </w:rPr>
      </w:pPr>
    </w:p>
    <w:p>
      <w:pPr>
        <w:ind w:right="240" w:firstLine="39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Asset Impairments </w:t>
      </w:r>
      <w:r>
        <w:rPr>
          <w:rFonts w:ascii="Times New Roman" w:cs="Times New Roman" w:eastAsia="Times New Roman" w:hAnsi="Times New Roman"/>
          <w:sz w:val="17"/>
          <w:szCs w:val="17"/>
          <w:color w:val="auto"/>
        </w:rPr>
        <w:t>— The Company reviews for impairment of long-lived assets (excluding goodwill and other indefinite-lived intangible assets) when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events and circumstances indicate that the assets might be impaired. To test long-lived assets for impairment, the Company estimates the undiscounted future cash flows and the related fair value of each asset. Undiscounted future cash flows are estimated using current sales trends and other factors and, in the case of operating lease right-of-use assets, using estimated sublease income or market rents. If the sum of such undiscounted future cash flows is less than the asset’s carrying amount, the Company recognizes an impairment charge equal to the difference between the carrying amount of the asset and its estimated fair value. Please see Note 11, “Fair Value Measurements,”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80" w:name="page81"/>
    <w:bookmarkEnd w:id="80"/>
    <w:p>
      <w:pPr>
        <w:ind w:right="60" w:firstLine="39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Inventories </w:t>
      </w:r>
      <w:r>
        <w:rPr>
          <w:rFonts w:ascii="Times New Roman" w:cs="Times New Roman" w:eastAsia="Times New Roman" w:hAnsi="Times New Roman"/>
          <w:sz w:val="17"/>
          <w:szCs w:val="17"/>
          <w:color w:val="auto"/>
        </w:rPr>
        <w:t>— Inventories are comprised principally of finished goods and are stated at the lower of cost or net realizable value, except for certain retail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inventories in North America that are stated at the lower of cost or market using the retail inventory method. Cost for all wholesale inventories in North America and certain wholesale and retail inventories in Asia is determined using the first-in, first-out method. Cost for all other inventories is determined using the weighted average cost method. The Company reviews current business trends and forecasts, inventory aging and discontinued merchandise categories to determine adjustments that it estimates will be needed to liquidate existing clearance inventories and record inventories at either the lower of cost or net realizable value or the lower of cost or market using the retail inventory method, as applicable.</w:t>
      </w:r>
    </w:p>
    <w:p>
      <w:pPr>
        <w:spacing w:after="0" w:line="198" w:lineRule="exact"/>
        <w:rPr>
          <w:sz w:val="20"/>
          <w:szCs w:val="20"/>
          <w:color w:val="auto"/>
        </w:rPr>
      </w:pPr>
    </w:p>
    <w:p>
      <w:pPr>
        <w:ind w:firstLine="39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Property, Plant and Equipment </w:t>
      </w:r>
      <w:r>
        <w:rPr>
          <w:rFonts w:ascii="Times New Roman" w:cs="Times New Roman" w:eastAsia="Times New Roman" w:hAnsi="Times New Roman"/>
          <w:sz w:val="17"/>
          <w:szCs w:val="17"/>
          <w:color w:val="auto"/>
        </w:rPr>
        <w:t>— Property, plant and equipment is stated at cost less accumulated depreciation. Depreciation is generally provided over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estimated useful lives of the related assets on a straight-line basis. The range of useful lives is principally as follows: Buildings and building improvements – 15 to 40 years; machinery, software and equipment – two to 10 years; furniture and fixtures – two to 10 years; and fixtures located in shop-in-shop/concession locations and their related costs – three to four years. Leasehold improvements are depreciated using the straight-line method over the lesser of the term of the related lease or the estimated useful life of the asset. Major additions and improvements that extend the useful life of the asset are capitalized, and repairs and maintenance are charged to operations in the period incurred. Depreciation expense totaled $240.7 million, $243.9 million and $259.9 million in 2025, 2024 and 2023, respectively.</w:t>
      </w:r>
    </w:p>
    <w:p>
      <w:pPr>
        <w:spacing w:after="0" w:line="200" w:lineRule="exact"/>
        <w:rPr>
          <w:sz w:val="20"/>
          <w:szCs w:val="20"/>
          <w:color w:val="auto"/>
        </w:rPr>
      </w:pPr>
    </w:p>
    <w:p>
      <w:pPr>
        <w:spacing w:after="0" w:line="211" w:lineRule="exact"/>
        <w:rPr>
          <w:sz w:val="20"/>
          <w:szCs w:val="20"/>
          <w:color w:val="auto"/>
        </w:rPr>
      </w:pPr>
    </w:p>
    <w:p>
      <w:pPr>
        <w:ind w:right="80" w:firstLine="39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Cloud Computing Arrangements </w:t>
      </w:r>
      <w:r>
        <w:rPr>
          <w:rFonts w:ascii="Times New Roman" w:cs="Times New Roman" w:eastAsia="Times New Roman" w:hAnsi="Times New Roman"/>
          <w:sz w:val="17"/>
          <w:szCs w:val="17"/>
          <w:color w:val="auto"/>
        </w:rPr>
        <w:t>— The Company incurs costs to implement cloud computing arrangements that are hosted by a third party vendor.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Implementation costs incurred during the application development stage of a project are capitalized and amortized over the term of the hosting arrangement on a straight-line basis. The Company capitalized $20.8 million and $14.6 million of costs incurred in 2025 and 2024, respectively, to implement cloud computing arrangements. The Company’s cloud computing arrangements primarily relate to digital and consumer data platforms, and platforms that support its corporate and global supply chain functions. Amortization expense relating to cloud computing arrangements totaled $18.9 million, $20.1 million and $16.9 million in 2025, 2024 and 2023, respectively. Cloud computing costs of $42.2 million and $43.4 million were included in prepaid expenses and other assets in the Company’s Consolidated Balance Sheets as of February 1, 2026 and February 2, 2025, respectively.</w:t>
      </w:r>
    </w:p>
    <w:p>
      <w:pPr>
        <w:spacing w:after="0" w:line="197" w:lineRule="exact"/>
        <w:rPr>
          <w:sz w:val="20"/>
          <w:szCs w:val="20"/>
          <w:color w:val="auto"/>
        </w:rPr>
      </w:pPr>
    </w:p>
    <w:p>
      <w:pPr>
        <w:ind w:right="80" w:firstLine="39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Leases </w:t>
      </w:r>
      <w:r>
        <w:rPr>
          <w:rFonts w:ascii="Times New Roman" w:cs="Times New Roman" w:eastAsia="Times New Roman" w:hAnsi="Times New Roman"/>
          <w:sz w:val="17"/>
          <w:szCs w:val="17"/>
          <w:color w:val="auto"/>
        </w:rPr>
        <w:t>— The Company leases approximately 1,350 Company-operated free-standing retail store locations across more than 35 countries, generally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initial lease terms of three to 10 years. The Company also leases warehouses, distribution centers, showrooms and office space, generally with initial lease terms of 10 to 20 years, as well as certain equipment and other assets, generally with initial lease terms of one to five years.</w:t>
      </w:r>
    </w:p>
    <w:p>
      <w:pPr>
        <w:spacing w:after="0" w:line="189" w:lineRule="exact"/>
        <w:rPr>
          <w:sz w:val="20"/>
          <w:szCs w:val="20"/>
          <w:color w:val="auto"/>
        </w:rPr>
      </w:pPr>
    </w:p>
    <w:p>
      <w:pPr>
        <w:ind w:right="60" w:firstLine="390"/>
        <w:spacing w:after="0" w:line="260" w:lineRule="auto"/>
        <w:rPr>
          <w:sz w:val="20"/>
          <w:szCs w:val="20"/>
          <w:color w:val="auto"/>
        </w:rPr>
      </w:pPr>
      <w:r>
        <w:rPr>
          <w:rFonts w:ascii="Times New Roman" w:cs="Times New Roman" w:eastAsia="Times New Roman" w:hAnsi="Times New Roman"/>
          <w:sz w:val="17"/>
          <w:szCs w:val="17"/>
          <w:color w:val="auto"/>
        </w:rPr>
        <w:t>The Company recognizes right-of-use assets and lease liabilities at the lease commencement date based on the present value of fixed lease payments over the expected lease term. The Company uses its incremental borrowing rates to determine the present value of fixed lease payments based on the information available at the lease commencement date, as the rate implicit in the lease is not readily determinable for the Company’s leases. The Company’s incremental borrowing rates are based on the term of the lease, the economic environment of the lease, and the effect of collateralization. Certain leases include one or more renewal options, generally for the same period as the initial term of the lease. The exercise of lease renewal options is generally at the Company’s sole discretion and the Company typically determines that exercise of these renewal options is not reasonably certain until executed. As a result, the Company does not include the renewal option period in the expected lease term and the associated lease payments are not included in the initial measurement of the right-of-use asset and lease liability. Certain leases also contain termination options with an associated penalty. Generally, the Company is reasonably certain not to exercise these options and as such, they are not included in the determination of the initial expected lease term.</w:t>
      </w:r>
    </w:p>
    <w:p>
      <w:pPr>
        <w:spacing w:after="0" w:line="202" w:lineRule="exact"/>
        <w:rPr>
          <w:sz w:val="20"/>
          <w:szCs w:val="20"/>
          <w:color w:val="auto"/>
        </w:rPr>
      </w:pPr>
    </w:p>
    <w:p>
      <w:pPr>
        <w:ind w:firstLine="390"/>
        <w:spacing w:after="0" w:line="265" w:lineRule="auto"/>
        <w:rPr>
          <w:sz w:val="20"/>
          <w:szCs w:val="20"/>
          <w:color w:val="auto"/>
        </w:rPr>
      </w:pPr>
      <w:r>
        <w:rPr>
          <w:rFonts w:ascii="Times New Roman" w:cs="Times New Roman" w:eastAsia="Times New Roman" w:hAnsi="Times New Roman"/>
          <w:sz w:val="17"/>
          <w:szCs w:val="17"/>
          <w:color w:val="auto"/>
        </w:rPr>
        <w:t>Operating leases are included in operating lease right-of-use assets, current portion of operating lease liabilities and long-term portion of operating lease liabilities in the Company’s Consolidated Balance Sheets. The Company recognizes operating lease expense on a straight-line basis over the lease term unless the operating lease right-of-use assets have been previously impaired. Finance leases are included in property, plant and equipment, net, accrued expenses and other liabilities in the Company’s Consolidated Balance Sheets. Leases with an initial lease term of 12 months or less are not recorded on the balance sheet. The Company recognizes lease expense for these leases on a straight-line basis over the lease term.</w:t>
      </w:r>
    </w:p>
    <w:p>
      <w:pPr>
        <w:spacing w:after="0" w:line="196" w:lineRule="exact"/>
        <w:rPr>
          <w:sz w:val="20"/>
          <w:szCs w:val="20"/>
          <w:color w:val="auto"/>
        </w:rPr>
      </w:pPr>
    </w:p>
    <w:p>
      <w:pPr>
        <w:ind w:right="80" w:firstLine="390"/>
        <w:spacing w:after="0" w:line="263" w:lineRule="auto"/>
        <w:rPr>
          <w:sz w:val="20"/>
          <w:szCs w:val="20"/>
          <w:color w:val="auto"/>
        </w:rPr>
      </w:pPr>
      <w:r>
        <w:rPr>
          <w:rFonts w:ascii="Times New Roman" w:cs="Times New Roman" w:eastAsia="Times New Roman" w:hAnsi="Times New Roman"/>
          <w:sz w:val="17"/>
          <w:szCs w:val="17"/>
          <w:color w:val="auto"/>
        </w:rPr>
        <w:t>Leases generally provide for payments of nonlease components, such as common area maintenance, real estate taxes and other costs associated with the leased property. For lease agreements entered into or modified after February 3, 2019, the Company accounts for lease components and nonlease components together as a single lease component and, as such, includes fixed payments of nonlease components in the measurement of the right-of-use assets and lease liabilities. Variable lease payments, such as percentage rentals based on location sales, periodic adjustments for inflation, reimbursement of real estate taxes, any variable common area maintenance and any other variable costs associated with the leased property are expensed as incurred as variable lease costs and are not recorded on the Company’s Consolidated Balance Sheets. The Company’s lease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color w:val="auto"/>
        </w:rPr>
        <w:t>agreements do not contain any material residual value guarantees or material restrictions or covenants. Please see Note 16, “Leases,” for further discussion.</w:t>
      </w:r>
    </w:p>
    <w:p>
      <w:pPr>
        <w:spacing w:after="0" w:line="245" w:lineRule="exact"/>
        <w:rPr>
          <w:sz w:val="20"/>
          <w:szCs w:val="20"/>
          <w:color w:val="auto"/>
        </w:rPr>
      </w:pPr>
    </w:p>
    <w:p>
      <w:pPr>
        <w:ind w:right="180" w:firstLine="390"/>
        <w:spacing w:after="0" w:line="296" w:lineRule="auto"/>
        <w:rPr>
          <w:sz w:val="20"/>
          <w:szCs w:val="20"/>
          <w:color w:val="auto"/>
        </w:rPr>
      </w:pPr>
      <w:r>
        <w:rPr>
          <w:rFonts w:ascii="Times New Roman" w:cs="Times New Roman" w:eastAsia="Times New Roman" w:hAnsi="Times New Roman"/>
          <w:sz w:val="17"/>
          <w:szCs w:val="17"/>
          <w:i w:val="1"/>
          <w:iCs w:val="1"/>
          <w:color w:val="auto"/>
        </w:rPr>
        <w:t xml:space="preserve">Revenue Recognition </w:t>
      </w:r>
      <w:r>
        <w:rPr>
          <w:rFonts w:ascii="Times New Roman" w:cs="Times New Roman" w:eastAsia="Times New Roman" w:hAnsi="Times New Roman"/>
          <w:sz w:val="17"/>
          <w:szCs w:val="17"/>
          <w:color w:val="auto"/>
        </w:rPr>
        <w:t>— Revenue is recognized upon the transfer of control of products or services to the Company’s customers in an amount that reflects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consideration to which it expects to be entitled in exchange for those products or services. Please see Note 2, “Revenue,” for further discussion.</w:t>
      </w:r>
    </w:p>
    <w:p>
      <w:pPr>
        <w:spacing w:after="0" w:line="168" w:lineRule="exact"/>
        <w:rPr>
          <w:sz w:val="20"/>
          <w:szCs w:val="20"/>
          <w:color w:val="auto"/>
        </w:rPr>
      </w:pPr>
    </w:p>
    <w:p>
      <w:pPr>
        <w:ind w:right="40" w:firstLine="39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Cost of Goods Sold and Selling, General and Administrative Expenses </w:t>
      </w:r>
      <w:r>
        <w:rPr>
          <w:rFonts w:ascii="Times New Roman" w:cs="Times New Roman" w:eastAsia="Times New Roman" w:hAnsi="Times New Roman"/>
          <w:sz w:val="17"/>
          <w:szCs w:val="17"/>
          <w:color w:val="auto"/>
        </w:rPr>
        <w:t>— Costs associated with the production and procurement of product are included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cost of goods sold, including inbound freight costs, purchasing and receiving costs, inspection costs and other product procurement related charges, as well as the amounts recognized from foreign currency forward contracts as the underlying inventory hedged by such forward contracts is sold. Generally, all other expenses, excluding non-service related pension and post retirement (income) costs, interest expense (income) and income taxes, are included in selling, general and administrative (“SG&amp;A”) expenses, including warehousing and distribution expenses, as the predominant expenses associated therewith are general and administrative in nature, including rent, utilities, payroll and depreciation and amortization. Warehousing and distribution expenses, which are subject to exchange rate fluctuations, totaled $358.1 million, $335.2 million and $357.2 million in 2025, 2024 and 2023, respectively.</w:t>
      </w:r>
    </w:p>
    <w:p>
      <w:pPr>
        <w:spacing w:after="0" w:line="197" w:lineRule="exact"/>
        <w:rPr>
          <w:sz w:val="20"/>
          <w:szCs w:val="20"/>
          <w:color w:val="auto"/>
        </w:rPr>
      </w:pPr>
    </w:p>
    <w:p>
      <w:pPr>
        <w:ind w:right="180" w:firstLine="390"/>
        <w:spacing w:after="0" w:line="296" w:lineRule="auto"/>
        <w:rPr>
          <w:sz w:val="20"/>
          <w:szCs w:val="20"/>
          <w:color w:val="auto"/>
        </w:rPr>
      </w:pPr>
      <w:r>
        <w:rPr>
          <w:rFonts w:ascii="Times New Roman" w:cs="Times New Roman" w:eastAsia="Times New Roman" w:hAnsi="Times New Roman"/>
          <w:sz w:val="17"/>
          <w:szCs w:val="17"/>
          <w:i w:val="1"/>
          <w:iCs w:val="1"/>
          <w:color w:val="auto"/>
        </w:rPr>
        <w:t xml:space="preserve">Shipping and Handling Fees </w:t>
      </w:r>
      <w:r>
        <w:rPr>
          <w:rFonts w:ascii="Times New Roman" w:cs="Times New Roman" w:eastAsia="Times New Roman" w:hAnsi="Times New Roman"/>
          <w:sz w:val="17"/>
          <w:szCs w:val="17"/>
          <w:color w:val="auto"/>
        </w:rPr>
        <w:t>— Shipping and handling fees that are billed to customers are included in net sales. Shipping and handling costs incurred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are accounted for as fulfillment activities and are recorded in SG&amp;A expenses.</w:t>
      </w:r>
    </w:p>
    <w:p>
      <w:pPr>
        <w:spacing w:after="0" w:line="168" w:lineRule="exact"/>
        <w:rPr>
          <w:sz w:val="20"/>
          <w:szCs w:val="20"/>
          <w:color w:val="auto"/>
        </w:rPr>
      </w:pPr>
    </w:p>
    <w:p>
      <w:pPr>
        <w:jc w:val="both"/>
        <w:ind w:right="480" w:firstLine="39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Marketing </w:t>
      </w:r>
      <w:r>
        <w:rPr>
          <w:rFonts w:ascii="Times New Roman" w:cs="Times New Roman" w:eastAsia="Times New Roman" w:hAnsi="Times New Roman"/>
          <w:sz w:val="17"/>
          <w:szCs w:val="17"/>
          <w:color w:val="auto"/>
        </w:rPr>
        <w:t>— Marketing costs are expensed as incurred and are included in SG&amp;A expenses. Marketing expenses, which are subject to exchange rate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fluctuations, totaled $495.6 million, $480.0 million and $533.9 million in 2025, 2024 and 2023, respectively. Costs associated with cooperative advertising programs, under which the Company shares the cost of a customer’s advertising expenditures, are treated as a reduction of revenue.</w:t>
      </w:r>
    </w:p>
    <w:p>
      <w:pPr>
        <w:spacing w:after="0" w:line="187" w:lineRule="exact"/>
        <w:rPr>
          <w:sz w:val="20"/>
          <w:szCs w:val="20"/>
          <w:color w:val="auto"/>
        </w:rPr>
      </w:pPr>
    </w:p>
    <w:p>
      <w:pPr>
        <w:ind w:firstLine="390"/>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 Deferred tax assets and liabilities are recognized for temporary differences between the tax bases of assets and liabilities and their reported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amounts in the consolidated financial statements. Deferred tax assets and liabilities are measured using enacted tax rates expected to apply in the periods in which those temporary differences are expected to be recovered or settled. The effect on deferred tax assets and liabilities of a change in tax rates is recognized in the period that includes the enactment date. Valuation allowances are established when necessary to reduce deferred tax assets to the amounts more likely than not to be realized.</w:t>
      </w:r>
    </w:p>
    <w:p>
      <w:pPr>
        <w:spacing w:after="0" w:line="198" w:lineRule="exact"/>
        <w:rPr>
          <w:sz w:val="20"/>
          <w:szCs w:val="20"/>
          <w:color w:val="auto"/>
        </w:rPr>
      </w:pPr>
    </w:p>
    <w:p>
      <w:pPr>
        <w:ind w:right="60" w:firstLine="390"/>
        <w:spacing w:after="0" w:line="261" w:lineRule="auto"/>
        <w:rPr>
          <w:sz w:val="20"/>
          <w:szCs w:val="20"/>
          <w:color w:val="auto"/>
        </w:rPr>
      </w:pPr>
      <w:r>
        <w:rPr>
          <w:rFonts w:ascii="Times New Roman" w:cs="Times New Roman" w:eastAsia="Times New Roman" w:hAnsi="Times New Roman"/>
          <w:sz w:val="17"/>
          <w:szCs w:val="17"/>
          <w:color w:val="auto"/>
        </w:rPr>
        <w:t>Significant judgment is required in assessing the timing and amount of deductible and taxable items, evaluating tax positions and determining the income tax provision. The Company recognizes income tax benefits only when it is more likely than not that the tax position will be fully sustained upon review by taxing authorities, including resolution of related appeals or litigation processes, if any. If the recognition threshold is met, the Company measures the tax benefit at the largest amount with a greater than 50 percent likelihood of being realized upon ultimate settlement. For tax positions that are 50 percent or less likely of being sustained upon audit, the Company does not recognize any portion of that benefit in the financial statements. When the outcome of these tax matters changes, the change in estimate impacts the provision for income taxes in the period that such a determination is made. The Company recognizes interest and penalties related to unrecognized tax benefits in the Company’s income tax provision.</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recognizes the tax on Global Intangible Low Taxed Income (“GILTI”) as a period expense in the year the tax is incurred.</w:t>
      </w:r>
    </w:p>
    <w:p>
      <w:pPr>
        <w:spacing w:after="0" w:line="245" w:lineRule="exact"/>
        <w:rPr>
          <w:sz w:val="20"/>
          <w:szCs w:val="20"/>
          <w:color w:val="auto"/>
        </w:rPr>
      </w:pPr>
    </w:p>
    <w:p>
      <w:pPr>
        <w:ind w:right="80" w:firstLine="39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Financial Instruments </w:t>
      </w:r>
      <w:r>
        <w:rPr>
          <w:rFonts w:ascii="Times New Roman" w:cs="Times New Roman" w:eastAsia="Times New Roman" w:hAnsi="Times New Roman"/>
          <w:sz w:val="17"/>
          <w:szCs w:val="17"/>
          <w:color w:val="auto"/>
        </w:rPr>
        <w:t>— The Company currently uses foreign currency forward contracts, non-derivative instruments (the par value of certain of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foreign-denominated debt) and derivative instruments (cross-currency swap contracts) to hedge against a portion of its exposure to changes in foreign currency exchange rates. The Company records the foreign currency forward contracts and cross-currency swap contracts at fair value in its Consolidated Balance Sheets and does not net the related assets and liabilities. Changes in the fair value of foreign currency forward contracts designated as effective hedging instruments and changes in the carrying value of the foreign currency borrowings are recorded in equity as a component of accumulated other comprehensive loss (“AOCL”). Cash flows from the Company’s hedges are presented in the same category in the Company’s Consolidated Statements of Cash Flows as the items being hedged. The Company evaluates the effectiveness of its derivative and non-derivative instruments at inception and each quarter thereafter. The Company records immediately in earnings changes in the fair value of hedges that are not designated as effective hedging instruments. Please see Note 10, “Derivative Financial Instruments,” and Note 11, “Fair Value Measurements,”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82" w:name="page83"/>
    <w:bookmarkEnd w:id="82"/>
    <w:p>
      <w:pPr>
        <w:ind w:right="60" w:firstLine="39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Foreign Currency Translation and Transactions </w:t>
      </w:r>
      <w:r>
        <w:rPr>
          <w:rFonts w:ascii="Times New Roman" w:cs="Times New Roman" w:eastAsia="Times New Roman" w:hAnsi="Times New Roman"/>
          <w:sz w:val="17"/>
          <w:szCs w:val="17"/>
          <w:color w:val="auto"/>
        </w:rPr>
        <w:t>— The consolidated financial statements of the Company are prepared in United States dollars. If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functional currency of a foreign subsidiary is not the United States dollar, assets and liabilities are translated to United States dollars at the closing exchange rate in effect at the applicable balance sheet date and revenue and expenses are translated to United States dollars at the average exchange rate for the applicable period. The resulting translation adjustments are included in the Company’s Consolidated Statements of Comprehensive Income as a component of other comprehensive income (loss) and in the Consolidated Balance Sheets within AOCL. Gains and losses on the revaluation of intercompany loans made between foreign subsidiaries that are of a long-term investment nature are included in AOCL. Gains and losses arising from transactions denominated in a currency other than the functional currency of a particular entity are principally included in SG&amp;A expenses and totaled a loss of $38.3 million, $13.8 million and $30.2 million in 2025, 2024 and 2023, respectively.</w:t>
      </w:r>
    </w:p>
    <w:p>
      <w:pPr>
        <w:spacing w:after="0" w:line="199" w:lineRule="exact"/>
        <w:rPr>
          <w:sz w:val="20"/>
          <w:szCs w:val="20"/>
          <w:color w:val="auto"/>
        </w:rPr>
      </w:pPr>
    </w:p>
    <w:p>
      <w:pPr>
        <w:ind w:firstLine="39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Pension and Benefit Plans </w:t>
      </w:r>
      <w:r>
        <w:rPr>
          <w:rFonts w:ascii="Times New Roman" w:cs="Times New Roman" w:eastAsia="Times New Roman" w:hAnsi="Times New Roman"/>
          <w:sz w:val="17"/>
          <w:szCs w:val="17"/>
          <w:color w:val="auto"/>
        </w:rPr>
        <w:t>— Employee pension benefits earned during the year, as well as interest on the projected benefit obligations or accumulated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benefit obligations, are accrued quarterly. The expected return on plan assets is recognized quarterly and determined at the beginning of the year by applying the expected long-term rate of return on assets to the actual fair value of plan assets adjusted for expected benefit payments, contributions and plan expenses. Actuarial gains and losses are recognized in the Company’s operating results in the year in which they occur. These gains and losses include the difference between the actual return on plan assets and the expected return that was recognized quarterly, as well as the change in the projected benefit obligation caused by actual experience and updated actuarial assumptions differing from those assumptions used to record service and interest cost throughout the year. Actuarial gains and losses are measured at least annually at the end of the Company’s fiscal year and, as such, are generally recorded during the fourth quarter of each year. The service cost component of net benefit cost is recorded in SG&amp;A expenses and the other components of net benefit cost, which typically include interest cost, actuarial (gain) loss and expected return on plan assets, are recorded in non-service related pension and postretirement income (cost) in the Company’s Consolidated Statements of Operations. Please see Note 12, “Retirement and Benefit Plans,” for further discussion of the Company’s pension and benefit plans.</w:t>
      </w:r>
    </w:p>
    <w:p>
      <w:pPr>
        <w:spacing w:after="0" w:line="237" w:lineRule="exact"/>
        <w:rPr>
          <w:sz w:val="20"/>
          <w:szCs w:val="20"/>
          <w:color w:val="auto"/>
        </w:rPr>
      </w:pPr>
    </w:p>
    <w:p>
      <w:pPr>
        <w:ind w:right="20" w:firstLine="39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Stock-Based Compensation </w:t>
      </w:r>
      <w:r>
        <w:rPr>
          <w:rFonts w:ascii="Times New Roman" w:cs="Times New Roman" w:eastAsia="Times New Roman" w:hAnsi="Times New Roman"/>
          <w:sz w:val="17"/>
          <w:szCs w:val="17"/>
          <w:color w:val="auto"/>
        </w:rPr>
        <w:t>— The Company recognizes all share-based payments to employees and non-employee directors, net of actual forfeitures,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expense in the consolidated financial statements based on their grant date fair values. Please see Note 13, “Stock-Based Compensation,” for further discussion.</w:t>
      </w:r>
    </w:p>
    <w:p>
      <w:pPr>
        <w:spacing w:after="0" w:line="187" w:lineRule="exact"/>
        <w:rPr>
          <w:sz w:val="20"/>
          <w:szCs w:val="20"/>
          <w:color w:val="auto"/>
        </w:rPr>
      </w:pPr>
    </w:p>
    <w:p>
      <w:pPr>
        <w:ind w:right="100" w:firstLine="39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Recently Adopted Accounting Guidance </w:t>
      </w:r>
      <w:r>
        <w:rPr>
          <w:rFonts w:ascii="Times New Roman" w:cs="Times New Roman" w:eastAsia="Times New Roman" w:hAnsi="Times New Roman"/>
          <w:sz w:val="17"/>
          <w:szCs w:val="17"/>
          <w:color w:val="auto"/>
        </w:rPr>
        <w:t>— The Financial Accounting Standards Board (“FASB”) issued in December 2023 ASU 2023-09, Income Taxes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(Topic 740): Improvements to Income Tax Disclosures. The guidance is intended to improve the transparency of income tax disclosures by requiring (i) consistent categories and greater disaggregation of information in the rate reconciliation and (ii) income taxes paid disaggregated by jurisdiction. It also includes certain other amendments to improve the effectiveness of income tax disclosures. The Company adopted this standard on a prospective basis beginning with its 2025 annual consolidated financial statements. Other than the incremental disclosures, the adoption did not have any impact on the Company’s consolidated financial statements. Please see Note 9, “Income Taxes,” for the Company’s disclosures pertaining to this update.</w:t>
      </w:r>
    </w:p>
    <w:p>
      <w:pPr>
        <w:spacing w:after="0" w:line="198" w:lineRule="exact"/>
        <w:rPr>
          <w:sz w:val="20"/>
          <w:szCs w:val="20"/>
          <w:color w:val="auto"/>
        </w:rPr>
      </w:pPr>
    </w:p>
    <w:p>
      <w:pPr>
        <w:ind w:right="160" w:firstLine="39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Accounting Guidance Issued But Not Adopted as of February 1, 2026 </w:t>
      </w:r>
      <w:r>
        <w:rPr>
          <w:rFonts w:ascii="Times New Roman" w:cs="Times New Roman" w:eastAsia="Times New Roman" w:hAnsi="Times New Roman"/>
          <w:sz w:val="17"/>
          <w:szCs w:val="17"/>
          <w:color w:val="auto"/>
        </w:rPr>
        <w:t>— The FASB issued in November 2024 ASU 2024-03, Income Statement—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Reporting Comprehensive Income—Expense Disaggregation Disclosures (Subtopic 220-40): Disaggregation of Income Statement Expenses. The guidance requires disclosure, on an annual and interim basis, about the types of costs and expenses included in certain income statement expense captions. Entities are required to apply the guidance on a prospective basis, with retrospective application permitted. The update will be effective for the Company beginning with its 2027 annual consolidated financial statements and interim statements thereafter, with early adoption permitted. Since the adoption of ASU 2024-03 will only affect disclosures, it will not have an impact on the Company’s financial condition or results of operations.</w:t>
      </w:r>
    </w:p>
    <w:p>
      <w:pPr>
        <w:spacing w:after="0" w:line="200" w:lineRule="exact"/>
        <w:rPr>
          <w:sz w:val="20"/>
          <w:szCs w:val="20"/>
          <w:color w:val="auto"/>
        </w:rPr>
      </w:pPr>
    </w:p>
    <w:p>
      <w:pPr>
        <w:ind w:right="160" w:firstLine="625"/>
        <w:spacing w:after="0" w:line="265" w:lineRule="auto"/>
        <w:rPr>
          <w:sz w:val="20"/>
          <w:szCs w:val="20"/>
          <w:color w:val="auto"/>
        </w:rPr>
      </w:pPr>
      <w:r>
        <w:rPr>
          <w:rFonts w:ascii="Times New Roman" w:cs="Times New Roman" w:eastAsia="Times New Roman" w:hAnsi="Times New Roman"/>
          <w:sz w:val="17"/>
          <w:szCs w:val="17"/>
          <w:color w:val="auto"/>
        </w:rPr>
        <w:t>The FASB issued in July 2025 ASU 2025-05, Financial Instruments—Credit Losses (Topic 326): Measurement of Credit Losses for Accounts Receivable and Contract Assets. The guidance provides a practical expedient that can be elected to be applied to accounts receivable and contract assets, which allows entities to assume that current conditions as of the balance sheet date do not change for the remaining life of the assets when estimating expected credit losses for such assets. The Company will adopt the guidance prospectively beginning with its first quarter 2026 consolidated financial statements. The adoption of the update is not expected to have a material impact on the Company’s consolidated financial statements.</w:t>
      </w:r>
    </w:p>
    <w:p>
      <w:pPr>
        <w:spacing w:after="0" w:line="196" w:lineRule="exact"/>
        <w:rPr>
          <w:sz w:val="20"/>
          <w:szCs w:val="20"/>
          <w:color w:val="auto"/>
        </w:rPr>
      </w:pPr>
    </w:p>
    <w:p>
      <w:pPr>
        <w:ind w:right="200" w:firstLine="625"/>
        <w:spacing w:after="0" w:line="268" w:lineRule="auto"/>
        <w:rPr>
          <w:sz w:val="20"/>
          <w:szCs w:val="20"/>
          <w:color w:val="auto"/>
        </w:rPr>
      </w:pPr>
      <w:r>
        <w:rPr>
          <w:rFonts w:ascii="Times New Roman" w:cs="Times New Roman" w:eastAsia="Times New Roman" w:hAnsi="Times New Roman"/>
          <w:sz w:val="17"/>
          <w:szCs w:val="17"/>
          <w:color w:val="auto"/>
        </w:rPr>
        <w:t>The FASB issued in September 2025 ASU 2025-06, Intangibles—Goodwill and Other—Internal-Use Software (Subtopic 350-40): Targeted Improvements to the Accounting for Internal-Use Software. The guidance removes references to prescriptive and sequential development stages, requiring companies to capitalize internal-use software costs when management commits to funding the software project and it is probable the project will be completed. Entities may apply the guidance using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83" w:name="page84"/>
    <w:bookmarkEnd w:id="83"/>
    <w:p>
      <w:pPr>
        <w:ind w:right="400"/>
        <w:spacing w:after="0" w:line="274" w:lineRule="auto"/>
        <w:rPr>
          <w:sz w:val="20"/>
          <w:szCs w:val="20"/>
          <w:color w:val="auto"/>
        </w:rPr>
      </w:pPr>
      <w:r>
        <w:rPr>
          <w:rFonts w:ascii="Times New Roman" w:cs="Times New Roman" w:eastAsia="Times New Roman" w:hAnsi="Times New Roman"/>
          <w:sz w:val="17"/>
          <w:szCs w:val="17"/>
          <w:color w:val="auto"/>
        </w:rPr>
        <w:t>a prospective, retrospective or modified transition approach. The update will be effective for the Company beginning with its first quarter 2028 consolidated financial statements, with early adoption permitted. The Company is currently evaluating the update to determine the impact the adoption will have on its consolidated financial statements.</w:t>
      </w:r>
    </w:p>
    <w:p>
      <w:pPr>
        <w:spacing w:after="0" w:line="189"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The FASB issued in December 2025 ASU 2025-10, Government Grants (Topic 832): Accounting for Government Grants Received by Business Entities. The update established guidance on the recognition, measurement and presentation of a government grant received by a business entity. Entities may apply this guidance using a modified prospective, modified retrospective or retrospective approach. The update will be effective for the Company beginning with its first quarter 2029 consolidated financial statements, with early adoption permitted. The adoption of the update is not expected to have a material impact on the Company’s consolidated financial statements.</w:t>
      </w:r>
    </w:p>
    <w:p>
      <w:pPr>
        <w:spacing w:after="0" w:line="194" w:lineRule="exact"/>
        <w:rPr>
          <w:sz w:val="20"/>
          <w:szCs w:val="20"/>
          <w:color w:val="auto"/>
        </w:rPr>
      </w:pPr>
    </w:p>
    <w:p>
      <w:pPr>
        <w:ind w:left="400" w:hanging="396"/>
        <w:spacing w:after="0"/>
        <w:tabs>
          <w:tab w:leader="none" w:pos="40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49" w:lineRule="exact"/>
        <w:rPr>
          <w:sz w:val="20"/>
          <w:szCs w:val="20"/>
          <w:color w:val="auto"/>
        </w:rPr>
      </w:pPr>
    </w:p>
    <w:p>
      <w:pPr>
        <w:ind w:right="60" w:firstLine="390"/>
        <w:spacing w:after="0" w:line="274" w:lineRule="auto"/>
        <w:rPr>
          <w:sz w:val="20"/>
          <w:szCs w:val="20"/>
          <w:color w:val="auto"/>
        </w:rPr>
      </w:pPr>
      <w:r>
        <w:rPr>
          <w:rFonts w:ascii="Times New Roman" w:cs="Times New Roman" w:eastAsia="Times New Roman" w:hAnsi="Times New Roman"/>
          <w:sz w:val="17"/>
          <w:szCs w:val="17"/>
          <w:color w:val="auto"/>
        </w:rPr>
        <w:t>The Company generates revenue primarily from sales of finished products under its owned trademarks through its wholesale and retail operations and from licensing rights to its trademarks to third parties. Revenue is recognized upon the transfer of control of products or services to the Company’s customers in an amount that reflects the consideration to which it expects to be entitled in exchange for those products or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Product Sales</w:t>
      </w:r>
    </w:p>
    <w:p>
      <w:pPr>
        <w:spacing w:after="0" w:line="247" w:lineRule="exact"/>
        <w:rPr>
          <w:sz w:val="20"/>
          <w:szCs w:val="20"/>
          <w:color w:val="auto"/>
        </w:rPr>
      </w:pPr>
    </w:p>
    <w:p>
      <w:pPr>
        <w:ind w:right="20" w:firstLine="390"/>
        <w:spacing w:after="0" w:line="261" w:lineRule="auto"/>
        <w:rPr>
          <w:sz w:val="20"/>
          <w:szCs w:val="20"/>
          <w:color w:val="auto"/>
        </w:rPr>
      </w:pPr>
      <w:r>
        <w:rPr>
          <w:rFonts w:ascii="Times New Roman" w:cs="Times New Roman" w:eastAsia="Times New Roman" w:hAnsi="Times New Roman"/>
          <w:sz w:val="17"/>
          <w:szCs w:val="17"/>
          <w:color w:val="auto"/>
        </w:rPr>
        <w:t>The Company generates revenue from the wholesale distribution of its products to traditional retailers (including for sale through their digital commerce operations), pure play digital commerce retailers, franchisees, licensees and distributors. Revenue is recognized upon transfer of control of goods to the customer, which generally occurs when title to goods is passed and risk of loss transfers to the customer. Depending on the contract terms, transfer of control is upon shipment of goods to or upon receipt of goods by the customer. Payment typically is due within 30 to 90 days. The amount of revenue recognized is net of returns, sales allowances and other discounts that the Company offers to its wholesale customers. The Company estimates returns based on an analysis of historical experience and individual customer arrangements and estimates sales allowances and other discounts based on seasonal negotiations, historical experience and an evaluation of current sales trends and market conditions.</w:t>
      </w:r>
    </w:p>
    <w:p>
      <w:pPr>
        <w:spacing w:after="0" w:line="203" w:lineRule="exact"/>
        <w:rPr>
          <w:sz w:val="20"/>
          <w:szCs w:val="20"/>
          <w:color w:val="auto"/>
        </w:rPr>
      </w:pPr>
    </w:p>
    <w:p>
      <w:pPr>
        <w:ind w:right="240" w:firstLine="390"/>
        <w:spacing w:after="0" w:line="265" w:lineRule="auto"/>
        <w:rPr>
          <w:sz w:val="20"/>
          <w:szCs w:val="20"/>
          <w:color w:val="auto"/>
        </w:rPr>
      </w:pPr>
      <w:r>
        <w:rPr>
          <w:rFonts w:ascii="Times New Roman" w:cs="Times New Roman" w:eastAsia="Times New Roman" w:hAnsi="Times New Roman"/>
          <w:sz w:val="17"/>
          <w:szCs w:val="17"/>
          <w:color w:val="auto"/>
        </w:rPr>
        <w:t>The Company also generates revenue from the retail distribution of its products through its freestanding stores, shop-in-shop/concession locations and digital commerce sites. Revenue is recognized at the point of sale in the stores and shop-in-shop/concession locations and upon estimated time of delivery for sales through the Company’s digital commerce sites, at which point control of the products passes to the customer. The amount of revenue recognized is net of returns, which are estimated based on an analysis of historical experience. Costs associated with coupons are recorded as a reduction of revenue at the time of coupon redemption.</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excludes from revenue taxes collected from customers and remitted to government authorities related to sales of the Company’s products.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Shipping and handling costs that are billed to customers are included in net sales.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Customer Loyalty Programs</w:t>
      </w:r>
    </w:p>
    <w:p>
      <w:pPr>
        <w:spacing w:after="0" w:line="247" w:lineRule="exact"/>
        <w:rPr>
          <w:sz w:val="20"/>
          <w:szCs w:val="20"/>
          <w:color w:val="auto"/>
        </w:rPr>
      </w:pPr>
    </w:p>
    <w:p>
      <w:pPr>
        <w:ind w:right="320" w:firstLine="390"/>
        <w:spacing w:after="0" w:line="293" w:lineRule="auto"/>
        <w:rPr>
          <w:sz w:val="20"/>
          <w:szCs w:val="20"/>
          <w:color w:val="auto"/>
        </w:rPr>
      </w:pPr>
      <w:r>
        <w:rPr>
          <w:rFonts w:ascii="Times New Roman" w:cs="Times New Roman" w:eastAsia="Times New Roman" w:hAnsi="Times New Roman"/>
          <w:sz w:val="17"/>
          <w:szCs w:val="17"/>
          <w:color w:val="auto"/>
        </w:rPr>
        <w:t>The Company uses loyalty programs that offer customers of its retail businesses specified amounts off of future purchases for a specified period of time after certain levels of spending are achieved. Customers that are enrolled in the programs earn loyalty points for each purchase made.</w:t>
      </w:r>
    </w:p>
    <w:p>
      <w:pPr>
        <w:spacing w:after="0" w:line="173" w:lineRule="exact"/>
        <w:rPr>
          <w:sz w:val="20"/>
          <w:szCs w:val="20"/>
          <w:color w:val="auto"/>
        </w:rPr>
      </w:pPr>
    </w:p>
    <w:p>
      <w:pPr>
        <w:ind w:right="360" w:firstLine="390"/>
        <w:spacing w:after="0" w:line="268" w:lineRule="auto"/>
        <w:rPr>
          <w:sz w:val="20"/>
          <w:szCs w:val="20"/>
          <w:color w:val="auto"/>
        </w:rPr>
      </w:pPr>
      <w:r>
        <w:rPr>
          <w:rFonts w:ascii="Times New Roman" w:cs="Times New Roman" w:eastAsia="Times New Roman" w:hAnsi="Times New Roman"/>
          <w:sz w:val="17"/>
          <w:szCs w:val="17"/>
          <w:color w:val="auto"/>
        </w:rPr>
        <w:t>Loyalty points earned under the customer loyalty programs provide the customer a material right to acquire additional products and give rise to the Company having a separate performance obligation. For each transaction where a customer earns loyalty points, the Company allocates revenue between the products purchased and the loyalty points earned based on the relative standalone selling prices. Revenue allocated to loyalty points is recorded as deferred revenue until the loyalty points are redeemed or expire.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Gift Cards</w:t>
      </w:r>
    </w:p>
    <w:p>
      <w:pPr>
        <w:spacing w:after="0" w:line="247" w:lineRule="exact"/>
        <w:rPr>
          <w:sz w:val="20"/>
          <w:szCs w:val="20"/>
          <w:color w:val="auto"/>
        </w:rPr>
      </w:pPr>
    </w:p>
    <w:p>
      <w:pPr>
        <w:ind w:right="80" w:firstLine="390"/>
        <w:spacing w:after="0" w:line="268" w:lineRule="auto"/>
        <w:rPr>
          <w:sz w:val="20"/>
          <w:szCs w:val="20"/>
          <w:color w:val="auto"/>
        </w:rPr>
      </w:pPr>
      <w:r>
        <w:rPr>
          <w:rFonts w:ascii="Times New Roman" w:cs="Times New Roman" w:eastAsia="Times New Roman" w:hAnsi="Times New Roman"/>
          <w:sz w:val="17"/>
          <w:szCs w:val="17"/>
          <w:color w:val="auto"/>
        </w:rPr>
        <w:t>The Company sells gift cards to customers in its retail stores and on certain of its digital commerce sites. The Company does not charge administrative fees on gift cards nor do they expire. Gift card purchases by a customer are prepayments for products to be provided by the Company in the future and are therefore considered to be performance obligations of the Company. Upon the purchase of a gift card by a customer, the Company records deferred revenue for the cash value of the gift</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84" w:name="page85"/>
    <w:bookmarkEnd w:id="84"/>
    <w:p>
      <w:pPr>
        <w:spacing w:after="0" w:line="268" w:lineRule="auto"/>
        <w:rPr>
          <w:sz w:val="20"/>
          <w:szCs w:val="20"/>
          <w:color w:val="auto"/>
        </w:rPr>
      </w:pPr>
      <w:r>
        <w:rPr>
          <w:rFonts w:ascii="Times New Roman" w:cs="Times New Roman" w:eastAsia="Times New Roman" w:hAnsi="Times New Roman"/>
          <w:sz w:val="17"/>
          <w:szCs w:val="17"/>
          <w:color w:val="auto"/>
        </w:rPr>
        <w:t>card. Deferred revenue is relieved and revenue is recognized when the gift card is redeemed by the customer. The portion of gift cards that the Company does not expect to be redeemed (referred to as “breakage”) is recognized proportionately over the estimated customer redemption period, subject to the constraint that it must be probable that a significant reversal of revenue will not occur, if the Company determines that it does not have a legal obligation to remit the value of such unredeemed gift cards to any jurisdiction.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License Agreements</w:t>
      </w:r>
    </w:p>
    <w:p>
      <w:pPr>
        <w:spacing w:after="0" w:line="247" w:lineRule="exact"/>
        <w:rPr>
          <w:sz w:val="20"/>
          <w:szCs w:val="20"/>
          <w:color w:val="auto"/>
        </w:rPr>
      </w:pPr>
    </w:p>
    <w:p>
      <w:pPr>
        <w:ind w:right="40" w:firstLine="390"/>
        <w:spacing w:after="0" w:line="265" w:lineRule="auto"/>
        <w:rPr>
          <w:sz w:val="20"/>
          <w:szCs w:val="20"/>
          <w:color w:val="auto"/>
        </w:rPr>
      </w:pPr>
      <w:r>
        <w:rPr>
          <w:rFonts w:ascii="Times New Roman" w:cs="Times New Roman" w:eastAsia="Times New Roman" w:hAnsi="Times New Roman"/>
          <w:sz w:val="17"/>
          <w:szCs w:val="17"/>
          <w:color w:val="auto"/>
        </w:rPr>
        <w:t>The Company generates revenue from licensing the rights to access its trademarks to third parties, including the Company’s joint ventures. The license agreements generally are exclusive to a territory or product category, have terms in excess of one year and, in most cases, include renewal options. In exchange for providing these rights, the license agreements require the licensees to pay the Company a royalty and, in certain agreements, an advertising fee. In both cases, the Company generally receives the greater of (i) a sales-based percentage fee and (ii) a contractual minimum fee for each annual performance period under the license agreement.</w:t>
      </w:r>
    </w:p>
    <w:p>
      <w:pPr>
        <w:spacing w:after="0" w:line="196" w:lineRule="exact"/>
        <w:rPr>
          <w:sz w:val="20"/>
          <w:szCs w:val="20"/>
          <w:color w:val="auto"/>
        </w:rPr>
      </w:pPr>
    </w:p>
    <w:p>
      <w:pPr>
        <w:ind w:right="60" w:firstLine="390"/>
        <w:spacing w:after="0" w:line="265" w:lineRule="auto"/>
        <w:rPr>
          <w:sz w:val="20"/>
          <w:szCs w:val="20"/>
          <w:color w:val="auto"/>
        </w:rPr>
      </w:pPr>
      <w:r>
        <w:rPr>
          <w:rFonts w:ascii="Times New Roman" w:cs="Times New Roman" w:eastAsia="Times New Roman" w:hAnsi="Times New Roman"/>
          <w:sz w:val="17"/>
          <w:szCs w:val="17"/>
          <w:color w:val="auto"/>
        </w:rPr>
        <w:t>In addition to the rights to access its trademarks, the Company provides ongoing support to its licensees over the term of the agreements. As such, the Company’s license agreements are licenses of symbolic intellectual property and, therefore, revenue is recognized over time. For license agreements where the sales-based percentage fee exceeds the contractual minimum fee, the Company recognizes revenues as the licensed products are sold as reported to the Company by its licensees. For license agreements where the sales-based percentage fee does not exceed the contractual minimum fee, the Company recognizes the contractual minimum fee as revenue ratably over the contractual period.</w:t>
      </w:r>
    </w:p>
    <w:p>
      <w:pPr>
        <w:spacing w:after="0" w:line="196" w:lineRule="exact"/>
        <w:rPr>
          <w:sz w:val="20"/>
          <w:szCs w:val="20"/>
          <w:color w:val="auto"/>
        </w:rPr>
      </w:pPr>
    </w:p>
    <w:p>
      <w:pPr>
        <w:ind w:right="80" w:firstLine="390"/>
        <w:spacing w:after="0" w:line="293" w:lineRule="auto"/>
        <w:rPr>
          <w:sz w:val="20"/>
          <w:szCs w:val="20"/>
          <w:color w:val="auto"/>
        </w:rPr>
      </w:pPr>
      <w:r>
        <w:rPr>
          <w:rFonts w:ascii="Times New Roman" w:cs="Times New Roman" w:eastAsia="Times New Roman" w:hAnsi="Times New Roman"/>
          <w:sz w:val="17"/>
          <w:szCs w:val="17"/>
          <w:color w:val="auto"/>
        </w:rPr>
        <w:t>Under the terms of the license agreements, payments generally are due quarterly from the licensees. The Company records deferred revenue when amounts are received or receivable from the licensee in advance of the recognition of revenue.</w:t>
      </w:r>
    </w:p>
    <w:p>
      <w:pPr>
        <w:spacing w:after="0" w:line="173" w:lineRule="exact"/>
        <w:rPr>
          <w:sz w:val="20"/>
          <w:szCs w:val="20"/>
          <w:color w:val="auto"/>
        </w:rPr>
      </w:pPr>
    </w:p>
    <w:p>
      <w:pPr>
        <w:ind w:firstLine="390"/>
        <w:spacing w:after="0" w:line="268" w:lineRule="auto"/>
        <w:rPr>
          <w:sz w:val="20"/>
          <w:szCs w:val="20"/>
          <w:color w:val="auto"/>
        </w:rPr>
      </w:pPr>
      <w:r>
        <w:rPr>
          <w:rFonts w:ascii="Times New Roman" w:cs="Times New Roman" w:eastAsia="Times New Roman" w:hAnsi="Times New Roman"/>
          <w:sz w:val="17"/>
          <w:szCs w:val="17"/>
          <w:color w:val="auto"/>
        </w:rPr>
        <w:t>As of February 1, 2026, the contractual minimum fees on the portion of all license agreements not yet satisfied totaled $1.1 billion, of which the Company expects to recognize $254.4 million as revenue in 2026, $211.2 million in 2027 and $637.4 million thereafter. The Company elected not to disclose the remaining performance obligations for license agreements that have an original expected term of one year or less and expected sales-based percentage fees for the portion of all license agreements not yet satisfied.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Deferred Revenue</w:t>
      </w:r>
    </w:p>
    <w:p>
      <w:pPr>
        <w:spacing w:after="0" w:line="247" w:lineRule="exact"/>
        <w:rPr>
          <w:sz w:val="20"/>
          <w:szCs w:val="20"/>
          <w:color w:val="auto"/>
        </w:rPr>
      </w:pPr>
    </w:p>
    <w:p>
      <w:pPr>
        <w:ind w:right="160" w:firstLine="390"/>
        <w:spacing w:after="0" w:line="279" w:lineRule="auto"/>
        <w:rPr>
          <w:sz w:val="20"/>
          <w:szCs w:val="20"/>
          <w:color w:val="auto"/>
        </w:rPr>
      </w:pPr>
      <w:r>
        <w:rPr>
          <w:rFonts w:ascii="Times New Roman" w:cs="Times New Roman" w:eastAsia="Times New Roman" w:hAnsi="Times New Roman"/>
          <w:sz w:val="17"/>
          <w:szCs w:val="17"/>
          <w:color w:val="auto"/>
        </w:rPr>
        <w:t>Changes in deferred revenue, which primarily relate to customer loyalty programs, gift cards and license agreements for the years ended February 1, 2026 and February 2, 2025,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color w:val="auto"/>
              </w:rPr>
              <w:t>2024</w:t>
            </w:r>
          </w:p>
        </w:tc>
      </w:tr>
      <w:tr>
        <w:trPr>
          <w:trHeight w:val="214"/>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balance at beginning of period</w:t>
            </w: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center"/>
              <w:ind w:left="773"/>
              <w:spacing w:after="0"/>
              <w:rPr>
                <w:sz w:val="20"/>
                <w:szCs w:val="20"/>
                <w:color w:val="auto"/>
              </w:rPr>
            </w:pPr>
            <w:r>
              <w:rPr>
                <w:rFonts w:ascii="Times New Roman" w:cs="Times New Roman" w:eastAsia="Times New Roman" w:hAnsi="Times New Roman"/>
                <w:sz w:val="17"/>
                <w:szCs w:val="17"/>
                <w:color w:val="auto"/>
              </w:rPr>
              <w:t>55.3</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center"/>
              <w:ind w:left="773"/>
              <w:spacing w:after="0"/>
              <w:rPr>
                <w:sz w:val="20"/>
                <w:szCs w:val="20"/>
                <w:color w:val="auto"/>
              </w:rPr>
            </w:pPr>
            <w:r>
              <w:rPr>
                <w:rFonts w:ascii="Times New Roman" w:cs="Times New Roman" w:eastAsia="Times New Roman" w:hAnsi="Times New Roman"/>
                <w:sz w:val="17"/>
                <w:szCs w:val="17"/>
                <w:color w:val="auto"/>
              </w:rPr>
              <w:t>55.5</w:t>
            </w:r>
          </w:p>
        </w:tc>
      </w:tr>
      <w:tr>
        <w:trPr>
          <w:trHeight w:val="221"/>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additions to deferred revenue during the period</w:t>
            </w:r>
          </w:p>
        </w:tc>
        <w:tc>
          <w:tcPr>
            <w:tcW w:w="400" w:type="dxa"/>
            <w:vAlign w:val="bottom"/>
          </w:tcPr>
          <w:p>
            <w:pPr>
              <w:spacing w:after="0"/>
              <w:rPr>
                <w:sz w:val="19"/>
                <w:szCs w:val="19"/>
                <w:color w:val="auto"/>
              </w:rPr>
            </w:pPr>
          </w:p>
        </w:tc>
        <w:tc>
          <w:tcPr>
            <w:tcW w:w="1320" w:type="dxa"/>
            <w:vAlign w:val="bottom"/>
          </w:tcPr>
          <w:p>
            <w:pPr>
              <w:jc w:val="center"/>
              <w:ind w:left="773"/>
              <w:spacing w:after="0"/>
              <w:rPr>
                <w:sz w:val="20"/>
                <w:szCs w:val="20"/>
                <w:color w:val="auto"/>
              </w:rPr>
            </w:pPr>
            <w:r>
              <w:rPr>
                <w:rFonts w:ascii="Times New Roman" w:cs="Times New Roman" w:eastAsia="Times New Roman" w:hAnsi="Times New Roman"/>
                <w:sz w:val="17"/>
                <w:szCs w:val="17"/>
                <w:color w:val="auto"/>
              </w:rPr>
              <w:t>45.1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center"/>
              <w:ind w:left="773"/>
              <w:spacing w:after="0"/>
              <w:rPr>
                <w:sz w:val="20"/>
                <w:szCs w:val="20"/>
                <w:color w:val="auto"/>
              </w:rPr>
            </w:pPr>
            <w:r>
              <w:rPr>
                <w:rFonts w:ascii="Times New Roman" w:cs="Times New Roman" w:eastAsia="Times New Roman" w:hAnsi="Times New Roman"/>
                <w:sz w:val="17"/>
                <w:szCs w:val="17"/>
                <w:color w:val="auto"/>
              </w:rPr>
              <w:t>51.3</w:t>
            </w:r>
          </w:p>
        </w:tc>
      </w:tr>
      <w:tr>
        <w:trPr>
          <w:trHeight w:val="221"/>
        </w:trPr>
        <w:tc>
          <w:tcPr>
            <w:tcW w:w="676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Reductions in deferred revenue for revenue recognized during the period </w:t>
            </w:r>
            <w:r>
              <w:rPr>
                <w:rFonts w:ascii="Times New Roman" w:cs="Times New Roman" w:eastAsia="Times New Roman" w:hAnsi="Times New Roman"/>
                <w:sz w:val="22"/>
                <w:szCs w:val="22"/>
                <w:color w:val="auto"/>
                <w:vertAlign w:val="superscript"/>
              </w:rPr>
              <w:t>(1)</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733"/>
              <w:spacing w:after="0"/>
              <w:rPr>
                <w:sz w:val="20"/>
                <w:szCs w:val="20"/>
                <w:color w:val="auto"/>
              </w:rPr>
            </w:pPr>
            <w:r>
              <w:rPr>
                <w:rFonts w:ascii="Times New Roman" w:cs="Times New Roman" w:eastAsia="Times New Roman" w:hAnsi="Times New Roman"/>
                <w:sz w:val="17"/>
                <w:szCs w:val="17"/>
                <w:color w:val="auto"/>
              </w:rPr>
              <w:t>(51.4)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773"/>
              <w:spacing w:after="0"/>
              <w:rPr>
                <w:sz w:val="20"/>
                <w:szCs w:val="20"/>
                <w:color w:val="auto"/>
              </w:rPr>
            </w:pPr>
            <w:r>
              <w:rPr>
                <w:rFonts w:ascii="Times New Roman" w:cs="Times New Roman" w:eastAsia="Times New Roman" w:hAnsi="Times New Roman"/>
                <w:sz w:val="17"/>
                <w:szCs w:val="17"/>
                <w:color w:val="auto"/>
              </w:rPr>
              <w:t>(51.5)</w:t>
            </w:r>
          </w:p>
        </w:tc>
      </w:tr>
      <w:tr>
        <w:trPr>
          <w:trHeight w:val="214"/>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 balance at end of period</w:t>
            </w:r>
          </w:p>
        </w:tc>
        <w:tc>
          <w:tcPr>
            <w:tcW w:w="4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7"/>
                <w:szCs w:val="17"/>
                <w:color w:val="auto"/>
              </w:rPr>
              <w:t>49.0</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7"/>
                <w:szCs w:val="17"/>
                <w:color w:val="auto"/>
              </w:rPr>
              <w:t>55.3</w:t>
            </w:r>
          </w:p>
        </w:tc>
      </w:tr>
      <w:tr>
        <w:trPr>
          <w:trHeight w:val="20"/>
        </w:trPr>
        <w:tc>
          <w:tcPr>
            <w:tcW w:w="6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240" w:right="180" w:hanging="236"/>
        <w:spacing w:after="0" w:line="232" w:lineRule="auto"/>
        <w:tabs>
          <w:tab w:leader="none" w:pos="180" w:val="left"/>
        </w:tabs>
        <w:numPr>
          <w:ilvl w:val="0"/>
          <w:numId w:val="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amount of revenue recognized during the period that was included in the deferred revenue balance at the beginning of the period and does not contemplate revenue recognized from amounts deferred during the period.</w:t>
      </w:r>
    </w:p>
    <w:p>
      <w:pPr>
        <w:spacing w:after="0" w:line="217" w:lineRule="exact"/>
        <w:rPr>
          <w:sz w:val="20"/>
          <w:szCs w:val="20"/>
          <w:color w:val="auto"/>
        </w:rPr>
      </w:pPr>
    </w:p>
    <w:p>
      <w:pPr>
        <w:ind w:firstLine="390"/>
        <w:spacing w:after="0" w:line="293" w:lineRule="auto"/>
        <w:rPr>
          <w:sz w:val="20"/>
          <w:szCs w:val="20"/>
          <w:color w:val="auto"/>
        </w:rPr>
      </w:pPr>
      <w:r>
        <w:rPr>
          <w:rFonts w:ascii="Times New Roman" w:cs="Times New Roman" w:eastAsia="Times New Roman" w:hAnsi="Times New Roman"/>
          <w:sz w:val="17"/>
          <w:szCs w:val="17"/>
          <w:color w:val="auto"/>
        </w:rPr>
        <w:t>The Company also had long-term deferred revenue liabilities included in other liabilities in its Consolidated Balance Sheets of $4.7 million and $6.8 million as of February 1, 2026 and February 2, 2025, respectively.</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Please see Note 20, “Segment Data,” for information on the disaggregation of revenue by segment, distribution channel and brand.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color w:val="auto"/>
        </w:rPr>
        <w:t>3. ASSETS HELD FOR SALE</w:t>
      </w:r>
    </w:p>
    <w:p>
      <w:pPr>
        <w:spacing w:after="0" w:line="249" w:lineRule="exact"/>
        <w:rPr>
          <w:sz w:val="20"/>
          <w:szCs w:val="20"/>
          <w:color w:val="auto"/>
        </w:rPr>
      </w:pPr>
    </w:p>
    <w:p>
      <w:pPr>
        <w:ind w:right="40" w:firstLine="390"/>
        <w:spacing w:after="0" w:line="263" w:lineRule="auto"/>
        <w:rPr>
          <w:sz w:val="20"/>
          <w:szCs w:val="20"/>
          <w:color w:val="auto"/>
        </w:rPr>
      </w:pPr>
      <w:r>
        <w:rPr>
          <w:rFonts w:ascii="Times New Roman" w:cs="Times New Roman" w:eastAsia="Times New Roman" w:hAnsi="Times New Roman"/>
          <w:sz w:val="17"/>
          <w:szCs w:val="17"/>
          <w:color w:val="auto"/>
        </w:rPr>
        <w:t>In line with the fifth growth driver of the PVH+ Plan, the Company’s multiyear strategic plan, the Company has committed to a plan to sell its owned warehouse and distribution center located in Jonesville, NC. The Company concluded the criteria had been met to classify the building and related assets as held for sale during the first quarter of 2025 and ceased recording depreciation at that time. The carrying value of $16.7 million, which was determined to be lower than its fair value, less costs to sell, was reclassified from property, plant and equipment, net to assets held for sale in the Company’s Consolidated Balance Sheet during the first quarter of 2025. During the fourth quarter of 2025, the Company made the determination to redeploy certain equipment from the Jonesville warehouse and distribution center that was originally classified as held for sale for use in other Company warehouses and distribution centers.</w:t>
      </w:r>
    </w:p>
    <w:p>
      <w:pPr>
        <w:spacing w:after="0" w:line="198" w:lineRule="exact"/>
        <w:rPr>
          <w:sz w:val="20"/>
          <w:szCs w:val="20"/>
          <w:color w:val="auto"/>
        </w:rPr>
      </w:pPr>
    </w:p>
    <w:p>
      <w:pPr>
        <w:ind w:right="120" w:firstLine="390"/>
        <w:spacing w:after="0" w:line="293" w:lineRule="auto"/>
        <w:rPr>
          <w:sz w:val="20"/>
          <w:szCs w:val="20"/>
          <w:color w:val="auto"/>
        </w:rPr>
      </w:pPr>
      <w:r>
        <w:rPr>
          <w:rFonts w:ascii="Times New Roman" w:cs="Times New Roman" w:eastAsia="Times New Roman" w:hAnsi="Times New Roman"/>
          <w:sz w:val="17"/>
          <w:szCs w:val="17"/>
          <w:color w:val="auto"/>
        </w:rPr>
        <w:t>The building and remaining related assets classified as held for sale had a carrying value of $12.3 million as of February 1, 2026. The Company intends to sell the building and related assets within the next 12 months.</w:t>
      </w:r>
    </w:p>
    <w:p>
      <w:pPr>
        <w:spacing w:after="0" w:line="171" w:lineRule="exact"/>
        <w:rPr>
          <w:sz w:val="20"/>
          <w:szCs w:val="20"/>
          <w:color w:val="auto"/>
        </w:rPr>
      </w:pPr>
    </w:p>
    <w:p>
      <w:pPr>
        <w:ind w:left="400" w:hanging="396"/>
        <w:spacing w:after="0"/>
        <w:tabs>
          <w:tab w:leader="none" w:pos="40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DIVESTITURES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Sale of Warner’s, Olga and True&amp;Co. Women’s Intimates Businesses</w:t>
      </w:r>
    </w:p>
    <w:p>
      <w:pPr>
        <w:spacing w:after="0" w:line="247" w:lineRule="exact"/>
        <w:rPr>
          <w:sz w:val="20"/>
          <w:szCs w:val="20"/>
          <w:color w:val="auto"/>
        </w:rPr>
      </w:pPr>
    </w:p>
    <w:p>
      <w:pPr>
        <w:ind w:right="60" w:firstLine="390"/>
        <w:spacing w:after="0" w:line="293" w:lineRule="auto"/>
        <w:rPr>
          <w:sz w:val="20"/>
          <w:szCs w:val="20"/>
          <w:color w:val="auto"/>
        </w:rPr>
      </w:pPr>
      <w:r>
        <w:rPr>
          <w:rFonts w:ascii="Times New Roman" w:cs="Times New Roman" w:eastAsia="Times New Roman" w:hAnsi="Times New Roman"/>
          <w:sz w:val="17"/>
          <w:szCs w:val="17"/>
          <w:color w:val="auto"/>
        </w:rPr>
        <w:t>The Company completed the Heritage Brands intimates transaction on November 27, 2023 for net proceeds of $155.6 million, after transaction costs. The final carrying value of the net assets sold on the closing date was $140.3 million, which consisted of $44.5 million of inventory and $95.8 million of tradenames.</w:t>
      </w:r>
    </w:p>
    <w:p>
      <w:pPr>
        <w:spacing w:after="0" w:line="173" w:lineRule="exact"/>
        <w:rPr>
          <w:sz w:val="20"/>
          <w:szCs w:val="20"/>
          <w:color w:val="auto"/>
        </w:rPr>
      </w:pPr>
    </w:p>
    <w:p>
      <w:pPr>
        <w:ind w:right="60" w:firstLine="390"/>
        <w:spacing w:after="0" w:line="265" w:lineRule="auto"/>
        <w:rPr>
          <w:sz w:val="20"/>
          <w:szCs w:val="20"/>
          <w:color w:val="auto"/>
        </w:rPr>
      </w:pPr>
      <w:r>
        <w:rPr>
          <w:rFonts w:ascii="Times New Roman" w:cs="Times New Roman" w:eastAsia="Times New Roman" w:hAnsi="Times New Roman"/>
          <w:sz w:val="17"/>
          <w:szCs w:val="17"/>
          <w:color w:val="auto"/>
        </w:rPr>
        <w:t>In connection with the closing of the transaction, the Company recorded a gain of $15.3 million in the fourth quarter of 2023, which represented the excess of the amount of consideration received over the carrying value of the net assets, less costs to sell. An incremental gain of $10.0 million was recorded in the first quarter of 2024 due to the accelerated realization of the earnout provided for in the agreement with Basic Resources, which was paid in equal quarterly installments to the Company through the first quarter of 2025. These gains were recorded in other gain in the Company’s Consolidated Statements of Operations for the respective periods and are included in restructuring and other items for segment data reporting purposes.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PROPERTY, PLANT AND EQUIPMENT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42"/>
        </w:trPr>
        <w:tc>
          <w:tcPr>
            <w:tcW w:w="86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Property, plant and equipment, at cost, was as follows: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7"/>
        </w:trPr>
        <w:tc>
          <w:tcPr>
            <w:tcW w:w="8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(In millions)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2024</w:t>
            </w:r>
          </w:p>
        </w:tc>
      </w:tr>
      <w:tr>
        <w:trPr>
          <w:trHeight w:val="214"/>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Land</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1"/>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Buildings and building improvements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r>
      <w:tr>
        <w:trPr>
          <w:trHeight w:val="221"/>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Machinery, software and equipment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1,002.0</w:t>
            </w:r>
          </w:p>
        </w:tc>
      </w:tr>
      <w:tr>
        <w:trPr>
          <w:trHeight w:val="221"/>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Furniture and fixtures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611.0</w:t>
            </w:r>
          </w:p>
        </w:tc>
      </w:tr>
      <w:tr>
        <w:trPr>
          <w:trHeight w:val="221"/>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Shop-in-shops/concession locations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w:t>
            </w:r>
          </w:p>
        </w:tc>
      </w:tr>
      <w:tr>
        <w:trPr>
          <w:trHeight w:val="221"/>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Leasehold improvements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770.5</w:t>
            </w:r>
          </w:p>
        </w:tc>
      </w:tr>
      <w:tr>
        <w:trPr>
          <w:trHeight w:val="221"/>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w:t>
            </w:r>
          </w:p>
        </w:tc>
      </w:tr>
      <w:tr>
        <w:trPr>
          <w:trHeight w:val="214"/>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plant and equipment, gross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2,722.4</w:t>
            </w:r>
          </w:p>
        </w:tc>
      </w:tr>
      <w:tr>
        <w:trPr>
          <w:trHeight w:val="221"/>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(1,981.4)</w:t>
            </w:r>
          </w:p>
        </w:tc>
      </w:tr>
      <w:tr>
        <w:trPr>
          <w:trHeight w:val="214"/>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741.0</w:t>
            </w: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20" w:firstLine="390"/>
        <w:spacing w:after="0" w:line="260" w:lineRule="auto"/>
        <w:rPr>
          <w:sz w:val="20"/>
          <w:szCs w:val="20"/>
          <w:color w:val="auto"/>
        </w:rPr>
      </w:pPr>
      <w:r>
        <w:rPr>
          <w:rFonts w:ascii="Times New Roman" w:cs="Times New Roman" w:eastAsia="Times New Roman" w:hAnsi="Times New Roman"/>
          <w:sz w:val="17"/>
          <w:szCs w:val="17"/>
          <w:color w:val="auto"/>
        </w:rPr>
        <w:t>Land and buildings and building improvements, net of accumulated depreciation were reclassified to assets held for sale in the Company’s Consolidated Balance Sheet during 2025 in connection with a plan to sell the Company’s owned warehouse and distribution center located in Jonesville, NC. Please see Note 3, “Assets Held For Sale,” for further discussion. Construction in progress at February 1, 2026 and February 2, 2025 represents costs incurred for machinery, software and equipment, furniture and fixtures, and leasehold improvements not yet placed in use. Construction in progress at February 1, 2026 principally related to (i) investments in new stores and store renovations and (ii) investments, upgrades and enhancements in the Company’s information technology platforms, systems and infrastructure worldwide. Construction in progress at February 2, 2025 principally related to (i) enhancements to the Company’s warehouse and distribution network in Europe and (ii) investments in (a) upgrades and enhancements to platforms and systems worldwide and (b) new stores and store renovations. Interest costs capitalized in construction in progress were immaterial during 2025, 2024 and 2023.</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86" w:name="page87"/>
    <w:bookmarkEnd w:id="86"/>
    <w:p>
      <w:pPr>
        <w:ind w:left="400" w:hanging="396"/>
        <w:spacing w:after="0"/>
        <w:tabs>
          <w:tab w:leader="none" w:pos="40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INVESTMENTS IN UNCONSOLIDATED AFFILIATES</w:t>
      </w:r>
    </w:p>
    <w:p>
      <w:pPr>
        <w:spacing w:after="0" w:line="249" w:lineRule="exact"/>
        <w:rPr>
          <w:sz w:val="20"/>
          <w:szCs w:val="20"/>
          <w:color w:val="auto"/>
        </w:rPr>
      </w:pPr>
    </w:p>
    <w:p>
      <w:pPr>
        <w:ind w:right="260" w:firstLine="390"/>
        <w:spacing w:after="0" w:line="293" w:lineRule="auto"/>
        <w:rPr>
          <w:sz w:val="20"/>
          <w:szCs w:val="20"/>
          <w:color w:val="auto"/>
        </w:rPr>
      </w:pPr>
      <w:r>
        <w:rPr>
          <w:rFonts w:ascii="Times New Roman" w:cs="Times New Roman" w:eastAsia="Times New Roman" w:hAnsi="Times New Roman"/>
          <w:sz w:val="17"/>
          <w:szCs w:val="17"/>
          <w:color w:val="auto"/>
        </w:rPr>
        <w:t>Included in other assets in the Company’s Consolidated Balance Sheets was $214.3 million as of February 1, 2026 and $198.2 million as of February 2, 2025 related to the following investments in unconsolidated affiliates, all of which are being accounted for under the equity method of accounting.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PVH India</w:t>
      </w:r>
    </w:p>
    <w:p>
      <w:pPr>
        <w:spacing w:after="0" w:line="156" w:lineRule="exact"/>
        <w:rPr>
          <w:sz w:val="20"/>
          <w:szCs w:val="20"/>
          <w:color w:val="auto"/>
        </w:rPr>
      </w:pPr>
    </w:p>
    <w:p>
      <w:pPr>
        <w:ind w:right="720" w:firstLine="390"/>
        <w:spacing w:after="0" w:line="293" w:lineRule="auto"/>
        <w:rPr>
          <w:sz w:val="20"/>
          <w:szCs w:val="20"/>
          <w:color w:val="auto"/>
        </w:rPr>
      </w:pPr>
      <w:r>
        <w:rPr>
          <w:rFonts w:ascii="Times New Roman" w:cs="Times New Roman" w:eastAsia="Times New Roman" w:hAnsi="Times New Roman"/>
          <w:sz w:val="17"/>
          <w:szCs w:val="17"/>
          <w:color w:val="auto"/>
        </w:rPr>
        <w:t xml:space="preserve">The Company owns a 50% economic interest in PVH Arvind Fashion Private Limited (“PVH India”). PVH India licenses from certain Company subsidiaries the rights to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trademarks in India for certain product categories.</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received dividends of $5.7 million, $6.0 million and $6.0 million from PVH India during 2025, 2024 and 2023, respectively.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PVH Legwear</w:t>
      </w:r>
    </w:p>
    <w:p>
      <w:pPr>
        <w:spacing w:after="0" w:line="221" w:lineRule="exact"/>
        <w:rPr>
          <w:sz w:val="20"/>
          <w:szCs w:val="20"/>
          <w:color w:val="auto"/>
        </w:rPr>
      </w:pPr>
    </w:p>
    <w:p>
      <w:pPr>
        <w:ind w:right="140" w:firstLine="390"/>
        <w:spacing w:after="0" w:line="274" w:lineRule="auto"/>
        <w:rPr>
          <w:sz w:val="20"/>
          <w:szCs w:val="20"/>
          <w:color w:val="auto"/>
        </w:rPr>
      </w:pPr>
      <w:r>
        <w:rPr>
          <w:rFonts w:ascii="Times New Roman" w:cs="Times New Roman" w:eastAsia="Times New Roman" w:hAnsi="Times New Roman"/>
          <w:sz w:val="17"/>
          <w:szCs w:val="17"/>
          <w:color w:val="auto"/>
        </w:rPr>
        <w:t xml:space="preserve">The Company owns a 49% economic interest in PVH Legwear LLC (“PVH Legwear”). PVH Legwear licenses from certain subsidiaries of the Company the rights to distribute and sell socks and hosiery in the United States and Canada under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Additionally, PVH Legwear sells socks and hosiery under other owned and licensed trademarks.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received dividends of $12.3 million, $8.8 million and $6.9 million from PVH Legwear during 2025,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TH Brazil</w:t>
      </w:r>
    </w:p>
    <w:p>
      <w:pPr>
        <w:spacing w:after="0" w:line="247" w:lineRule="exact"/>
        <w:rPr>
          <w:sz w:val="20"/>
          <w:szCs w:val="20"/>
          <w:color w:val="auto"/>
        </w:rPr>
      </w:pPr>
    </w:p>
    <w:p>
      <w:pPr>
        <w:ind w:right="100" w:firstLine="390"/>
        <w:spacing w:after="0" w:line="293" w:lineRule="auto"/>
        <w:rPr>
          <w:sz w:val="20"/>
          <w:szCs w:val="20"/>
          <w:color w:val="auto"/>
        </w:rPr>
      </w:pPr>
      <w:r>
        <w:rPr>
          <w:rFonts w:ascii="Times New Roman" w:cs="Times New Roman" w:eastAsia="Times New Roman" w:hAnsi="Times New Roman"/>
          <w:sz w:val="17"/>
          <w:szCs w:val="17"/>
          <w:color w:val="auto"/>
        </w:rPr>
        <w:t xml:space="preserve">The Company owns an economic interest of approximately 41% in Tommy Hilfiger do Brasil S.A. (“TH Brazil”). TH Brazil licenses from a subsidiary of the Company the rights to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trademarks in Brazil for certain product categories.</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received dividends of $3.3 million, $1.2 million and $0.6 million from TH Brazil during 2025, 2024 and 2023, respectively.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PVH Mexico</w:t>
      </w:r>
    </w:p>
    <w:p>
      <w:pPr>
        <w:spacing w:after="0" w:line="247" w:lineRule="exact"/>
        <w:rPr>
          <w:sz w:val="20"/>
          <w:szCs w:val="20"/>
          <w:color w:val="auto"/>
        </w:rPr>
      </w:pPr>
    </w:p>
    <w:p>
      <w:pPr>
        <w:ind w:firstLine="390"/>
        <w:spacing w:after="0" w:line="274" w:lineRule="auto"/>
        <w:rPr>
          <w:sz w:val="20"/>
          <w:szCs w:val="20"/>
          <w:color w:val="auto"/>
        </w:rPr>
      </w:pPr>
      <w:r>
        <w:rPr>
          <w:rFonts w:ascii="Times New Roman" w:cs="Times New Roman" w:eastAsia="Times New Roman" w:hAnsi="Times New Roman"/>
          <w:sz w:val="17"/>
          <w:szCs w:val="17"/>
          <w:color w:val="auto"/>
        </w:rPr>
        <w:t xml:space="preserve">The Company owns a 49% economic interest in Baseco, S.A.P.I. de C.V. (“PVH Mexico”). PVH Mexico licenses from certain subsidiaries of the Company the rights to distribute and sell certain products in Mexico under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brands. Additionally, PVH Mexico licenses certain other trademarks for some product categories.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received dividends of $24.5 million, $25.8 million and $16.6 million from PVH Mexico during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238" w:right="399" w:bottom="1440" w:gutter="0" w:footer="0" w:header="0"/>
        </w:sectPr>
      </w:pPr>
    </w:p>
    <w:bookmarkStart w:id="87" w:name="page88"/>
    <w:bookmarkEnd w:id="87"/>
    <w:p>
      <w:pPr>
        <w:ind w:left="400" w:hanging="396"/>
        <w:spacing w:after="0"/>
        <w:tabs>
          <w:tab w:leader="none" w:pos="40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OTHER INTANGIBLE ASSETS</w:t>
      </w:r>
    </w:p>
    <w:p>
      <w:pPr>
        <w:spacing w:after="0" w:line="249" w:lineRule="exact"/>
        <w:rPr>
          <w:sz w:val="20"/>
          <w:szCs w:val="20"/>
          <w:color w:val="auto"/>
        </w:rPr>
      </w:pPr>
    </w:p>
    <w:p>
      <w:pPr>
        <w:ind w:firstLine="390"/>
        <w:spacing w:after="0" w:line="274" w:lineRule="auto"/>
        <w:rPr>
          <w:sz w:val="20"/>
          <w:szCs w:val="20"/>
          <w:color w:val="auto"/>
        </w:rPr>
      </w:pPr>
      <w:r>
        <w:rPr>
          <w:rFonts w:ascii="Times New Roman" w:cs="Times New Roman" w:eastAsia="Times New Roman" w:hAnsi="Times New Roman"/>
          <w:sz w:val="17"/>
          <w:szCs w:val="17"/>
          <w:color w:val="auto"/>
        </w:rPr>
        <w:t>As described in Note 20, “Segment Data,” effective February 3, 2025, the first day of 2025, the Company changed its reportable segments to be region-focused to align with changes in its business and organizational structure. The Company did not recast goodwill by segment for earlier historical periods as it was impracticable to do so.</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changes in the carrying amount of goodwill, by segment, prior to the change in reportable segments,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auto"/>
              </w:rPr>
              <w:t>Calvin Klein</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Tommy</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auto"/>
                <w:w w:val="99"/>
              </w:rPr>
              <w:t>Heritage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7"/>
                <w:szCs w:val="17"/>
                <w:color w:val="auto"/>
              </w:rPr>
              <w:t>Hilfiger</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7"/>
                <w:szCs w:val="17"/>
                <w:color w:val="auto"/>
              </w:rPr>
              <w:t>North</w:t>
            </w:r>
          </w:p>
        </w:tc>
        <w:tc>
          <w:tcPr>
            <w:tcW w:w="140" w:type="dxa"/>
            <w:vAlign w:val="bottom"/>
          </w:tcPr>
          <w:p>
            <w:pPr>
              <w:spacing w:after="0"/>
              <w:rPr>
                <w:sz w:val="15"/>
                <w:szCs w:val="15"/>
                <w:color w:val="auto"/>
              </w:rPr>
            </w:pPr>
          </w:p>
        </w:tc>
        <w:tc>
          <w:tcPr>
            <w:tcW w:w="122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7"/>
                <w:szCs w:val="17"/>
                <w:color w:val="auto"/>
              </w:rPr>
              <w:t>Calvin Klein</w:t>
            </w:r>
          </w:p>
        </w:tc>
        <w:tc>
          <w:tcPr>
            <w:tcW w:w="140" w:type="dxa"/>
            <w:vAlign w:val="bottom"/>
          </w:tcPr>
          <w:p>
            <w:pPr>
              <w:spacing w:after="0"/>
              <w:rPr>
                <w:sz w:val="15"/>
                <w:szCs w:val="15"/>
                <w:color w:val="auto"/>
              </w:rPr>
            </w:pPr>
          </w:p>
        </w:tc>
        <w:tc>
          <w:tcPr>
            <w:tcW w:w="90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7"/>
                <w:szCs w:val="17"/>
                <w:color w:val="auto"/>
              </w:rPr>
              <w:t>North</w:t>
            </w:r>
          </w:p>
        </w:tc>
        <w:tc>
          <w:tcPr>
            <w:tcW w:w="1380" w:type="dxa"/>
            <w:vAlign w:val="bottom"/>
            <w:gridSpan w:val="3"/>
          </w:tcPr>
          <w:p>
            <w:pPr>
              <w:jc w:val="right"/>
              <w:ind w:right="180"/>
              <w:spacing w:after="0" w:line="182" w:lineRule="exact"/>
              <w:rPr>
                <w:sz w:val="20"/>
                <w:szCs w:val="20"/>
                <w:color w:val="auto"/>
              </w:rPr>
            </w:pPr>
            <w:r>
              <w:rPr>
                <w:rFonts w:ascii="Times New Roman" w:cs="Times New Roman" w:eastAsia="Times New Roman" w:hAnsi="Times New Roman"/>
                <w:sz w:val="17"/>
                <w:szCs w:val="17"/>
                <w:color w:val="auto"/>
              </w:rPr>
              <w:t>Tommy Hilfiger</w:t>
            </w:r>
          </w:p>
        </w:tc>
        <w:tc>
          <w:tcPr>
            <w:tcW w:w="120" w:type="dxa"/>
            <w:vAlign w:val="bottom"/>
          </w:tcPr>
          <w:p>
            <w:pPr>
              <w:spacing w:after="0"/>
              <w:rPr>
                <w:sz w:val="15"/>
                <w:szCs w:val="15"/>
                <w:color w:val="auto"/>
              </w:rPr>
            </w:pPr>
          </w:p>
        </w:tc>
        <w:tc>
          <w:tcPr>
            <w:tcW w:w="106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7"/>
                <w:szCs w:val="17"/>
                <w:color w:val="auto"/>
              </w:rPr>
              <w:t>Brands</w:t>
            </w:r>
          </w:p>
        </w:tc>
        <w:tc>
          <w:tcPr>
            <w:tcW w:w="200" w:type="dxa"/>
            <w:vAlign w:val="bottom"/>
          </w:tcPr>
          <w:p>
            <w:pPr>
              <w:spacing w:after="0"/>
              <w:rPr>
                <w:sz w:val="15"/>
                <w:szCs w:val="15"/>
                <w:color w:val="auto"/>
              </w:rPr>
            </w:pPr>
          </w:p>
        </w:tc>
        <w:tc>
          <w:tcPr>
            <w:tcW w:w="76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21"/>
        </w:trPr>
        <w:tc>
          <w:tcPr>
            <w:tcW w:w="37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America</w:t>
            </w: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International</w:t>
            </w:r>
          </w:p>
        </w:tc>
        <w:tc>
          <w:tcPr>
            <w:tcW w:w="140" w:type="dxa"/>
            <w:vAlign w:val="bottom"/>
          </w:tcPr>
          <w:p>
            <w:pPr>
              <w:spacing w:after="0"/>
              <w:rPr>
                <w:sz w:val="19"/>
                <w:szCs w:val="19"/>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America</w:t>
            </w:r>
          </w:p>
        </w:tc>
        <w:tc>
          <w:tcPr>
            <w:tcW w:w="16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International</w:t>
            </w:r>
          </w:p>
        </w:tc>
        <w:tc>
          <w:tcPr>
            <w:tcW w:w="12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Wholesale</w:t>
            </w:r>
          </w:p>
        </w:tc>
        <w:tc>
          <w:tcPr>
            <w:tcW w:w="2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February 4, 2024</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80" w:type="dxa"/>
            <w:vAlign w:val="bottom"/>
            <w:tcBorders>
              <w:top w:val="single" w:sz="8" w:color="auto"/>
            </w:tcBorders>
          </w:tcPr>
          <w:p>
            <w:pPr>
              <w:ind w:left="20"/>
              <w:spacing w:after="0" w:line="214" w:lineRule="exact"/>
              <w:rPr>
                <w:sz w:val="20"/>
                <w:szCs w:val="20"/>
                <w:color w:val="auto"/>
              </w:rPr>
            </w:pPr>
            <w:r>
              <w:rPr>
                <w:rFonts w:ascii="Times New Roman" w:cs="Times New Roman" w:eastAsia="Times New Roman" w:hAnsi="Times New Roman"/>
                <w:sz w:val="17"/>
                <w:szCs w:val="17"/>
                <w:color w:val="auto"/>
              </w:rPr>
              <w:t xml:space="preserve">Goodwill, net </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1,558.3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2,322.1</w:t>
            </w:r>
          </w:p>
        </w:tc>
        <w:tc>
          <w:tcPr>
            <w:tcW w:w="0" w:type="dxa"/>
            <w:vAlign w:val="bottom"/>
          </w:tcPr>
          <w:p>
            <w:pPr>
              <w:spacing w:after="0"/>
              <w:rPr>
                <w:sz w:val="1"/>
                <w:szCs w:val="1"/>
                <w:color w:val="auto"/>
              </w:rPr>
            </w:pPr>
          </w:p>
        </w:tc>
      </w:tr>
      <w:tr>
        <w:trPr>
          <w:trHeight w:val="221"/>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0" w:type="dxa"/>
            <w:vAlign w:val="bottom"/>
          </w:tcPr>
          <w:p>
            <w:pPr>
              <w:spacing w:after="0"/>
              <w:rPr>
                <w:sz w:val="1"/>
                <w:szCs w:val="1"/>
                <w:color w:val="auto"/>
              </w:rPr>
            </w:pPr>
          </w:p>
        </w:tc>
      </w:tr>
      <w:tr>
        <w:trPr>
          <w:trHeight w:val="221"/>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February 2, 2025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80" w:type="dxa"/>
            <w:vAlign w:val="bottom"/>
            <w:tcBorders>
              <w:bottom w:val="single" w:sz="8" w:color="CCEEFF"/>
            </w:tcBorders>
            <w:gridSpan w:val="2"/>
            <w:shd w:val="clear" w:color="auto" w:fill="CCEEFF"/>
          </w:tcPr>
          <w:p>
            <w:pPr>
              <w:ind w:left="20"/>
              <w:spacing w:after="0" w:line="214" w:lineRule="exact"/>
              <w:rPr>
                <w:sz w:val="20"/>
                <w:szCs w:val="20"/>
                <w:color w:val="auto"/>
              </w:rPr>
            </w:pPr>
            <w:r>
              <w:rPr>
                <w:rFonts w:ascii="Times New Roman" w:cs="Times New Roman" w:eastAsia="Times New Roman" w:hAnsi="Times New Roman"/>
                <w:sz w:val="17"/>
                <w:szCs w:val="17"/>
                <w:color w:val="auto"/>
              </w:rPr>
              <w:t xml:space="preserve">Goodwill, net </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2,260.1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240" w:right="260" w:hanging="236"/>
        <w:spacing w:after="0" w:line="232" w:lineRule="auto"/>
        <w:tabs>
          <w:tab w:leader="none" w:pos="18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Goodwill is net of accumulated impairment charges of $449.9 million, $471.3 million and $177.2 million related to its Calvin Klein North America, Calvin Klein International and Tommy Hilfiger North America reporting units, respectively, as of February 2, 2025 and February 4, 2024.</w:t>
      </w:r>
    </w:p>
    <w:p>
      <w:pPr>
        <w:spacing w:after="0" w:line="217" w:lineRule="exact"/>
        <w:rPr>
          <w:sz w:val="20"/>
          <w:szCs w:val="20"/>
          <w:color w:val="auto"/>
        </w:rPr>
      </w:pPr>
    </w:p>
    <w:p>
      <w:pPr>
        <w:ind w:right="40" w:firstLine="390"/>
        <w:spacing w:after="0" w:line="271" w:lineRule="auto"/>
        <w:rPr>
          <w:sz w:val="20"/>
          <w:szCs w:val="20"/>
          <w:color w:val="auto"/>
        </w:rPr>
      </w:pPr>
      <w:r>
        <w:rPr>
          <w:rFonts w:ascii="Times New Roman" w:cs="Times New Roman" w:eastAsia="Times New Roman" w:hAnsi="Times New Roman"/>
          <w:sz w:val="17"/>
          <w:szCs w:val="17"/>
          <w:color w:val="auto"/>
        </w:rPr>
        <w:t>The information in the table below reflects the impact of the segment change whereby goodwill was reallocated to the respective reporting units on the first day of 2025 using a relative fair value approach. As a result of the change in reportable segments, the Company performed an impairment assessment immediately before and immediately after the segment change became effective, and no impairment of goodwill was identified.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18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EMEA</w:t>
            </w:r>
          </w:p>
        </w:tc>
        <w:tc>
          <w:tcPr>
            <w:tcW w:w="22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Americas</w:t>
            </w:r>
          </w:p>
        </w:tc>
        <w:tc>
          <w:tcPr>
            <w:tcW w:w="180" w:type="dxa"/>
            <w:vAlign w:val="bottom"/>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APAC</w:t>
            </w:r>
          </w:p>
        </w:tc>
        <w:tc>
          <w:tcPr>
            <w:tcW w:w="20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Licensing</w:t>
            </w:r>
          </w:p>
        </w:tc>
        <w:tc>
          <w:tcPr>
            <w:tcW w:w="220" w:type="dxa"/>
            <w:vAlign w:val="bottom"/>
          </w:tcPr>
          <w:p>
            <w:pPr>
              <w:spacing w:after="0"/>
              <w:rPr>
                <w:sz w:val="19"/>
                <w:szCs w:val="19"/>
                <w:color w:val="auto"/>
              </w:rPr>
            </w:pPr>
          </w:p>
        </w:tc>
        <w:tc>
          <w:tcPr>
            <w:tcW w:w="7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Total</w:t>
            </w:r>
          </w:p>
        </w:tc>
      </w:tr>
      <w:tr>
        <w:trPr>
          <w:trHeight w:val="201"/>
        </w:trPr>
        <w:tc>
          <w:tcPr>
            <w:tcW w:w="3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February 2, 2025</w:t>
            </w: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r>
      <w:tr>
        <w:trPr>
          <w:trHeight w:val="214"/>
        </w:trPr>
        <w:tc>
          <w:tcPr>
            <w:tcW w:w="3680" w:type="dxa"/>
            <w:vAlign w:val="bottom"/>
            <w:tcBorders>
              <w:top w:val="single" w:sz="8" w:color="auto"/>
            </w:tcBorders>
          </w:tcPr>
          <w:p>
            <w:pPr>
              <w:ind w:left="20"/>
              <w:spacing w:after="0" w:line="214" w:lineRule="exact"/>
              <w:rPr>
                <w:sz w:val="20"/>
                <w:szCs w:val="20"/>
                <w:color w:val="auto"/>
              </w:rPr>
            </w:pPr>
            <w:r>
              <w:rPr>
                <w:rFonts w:ascii="Times New Roman" w:cs="Times New Roman" w:eastAsia="Times New Roman" w:hAnsi="Times New Roman"/>
                <w:sz w:val="17"/>
                <w:szCs w:val="17"/>
                <w:color w:val="auto"/>
              </w:rPr>
              <w:t xml:space="preserve">Goodwill, net </w:t>
            </w:r>
            <w:r>
              <w:rPr>
                <w:rFonts w:ascii="Times New Roman" w:cs="Times New Roman" w:eastAsia="Times New Roman" w:hAnsi="Times New Roman"/>
                <w:sz w:val="22"/>
                <w:szCs w:val="22"/>
                <w:color w:val="auto"/>
                <w:vertAlign w:val="superscript"/>
              </w:rPr>
              <w:t>(1)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1,426.4</w:t>
            </w:r>
          </w:p>
        </w:tc>
        <w:tc>
          <w:tcPr>
            <w:tcW w:w="100" w:type="dxa"/>
            <w:vAlign w:val="bottom"/>
          </w:tcPr>
          <w:p>
            <w:pPr>
              <w:spacing w:after="0"/>
              <w:rPr>
                <w:sz w:val="18"/>
                <w:szCs w:val="18"/>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412.1</w:t>
            </w:r>
          </w:p>
        </w:tc>
        <w:tc>
          <w:tcPr>
            <w:tcW w:w="100" w:type="dxa"/>
            <w:vAlign w:val="bottom"/>
          </w:tcPr>
          <w:p>
            <w:pPr>
              <w:spacing w:after="0"/>
              <w:rPr>
                <w:sz w:val="18"/>
                <w:szCs w:val="18"/>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2,260.1</w:t>
            </w:r>
          </w:p>
        </w:tc>
      </w:tr>
      <w:tr>
        <w:trPr>
          <w:trHeight w:val="221"/>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(426.0)</w:t>
            </w:r>
          </w:p>
        </w:tc>
      </w:tr>
      <w:tr>
        <w:trPr>
          <w:trHeight w:val="221"/>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Currency translation</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187.8</w:t>
            </w:r>
          </w:p>
        </w:tc>
      </w:tr>
      <w:tr>
        <w:trPr>
          <w:trHeight w:val="221"/>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as of February 1, 2026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r>
      <w:tr>
        <w:trPr>
          <w:trHeight w:val="214"/>
        </w:trPr>
        <w:tc>
          <w:tcPr>
            <w:tcW w:w="3760" w:type="dxa"/>
            <w:vAlign w:val="bottom"/>
            <w:gridSpan w:val="2"/>
          </w:tcPr>
          <w:p>
            <w:pPr>
              <w:ind w:left="20"/>
              <w:spacing w:after="0" w:line="214" w:lineRule="exact"/>
              <w:rPr>
                <w:sz w:val="20"/>
                <w:szCs w:val="20"/>
                <w:color w:val="auto"/>
              </w:rPr>
            </w:pPr>
            <w:r>
              <w:rPr>
                <w:rFonts w:ascii="Times New Roman" w:cs="Times New Roman" w:eastAsia="Times New Roman" w:hAnsi="Times New Roman"/>
                <w:sz w:val="17"/>
                <w:szCs w:val="17"/>
                <w:color w:val="auto"/>
              </w:rPr>
              <w:t xml:space="preserve">Goodwill, net </w:t>
            </w:r>
            <w:r>
              <w:rPr>
                <w:rFonts w:ascii="Times New Roman" w:cs="Times New Roman" w:eastAsia="Times New Roman" w:hAnsi="Times New Roman"/>
                <w:sz w:val="22"/>
                <w:szCs w:val="22"/>
                <w:color w:val="auto"/>
                <w:vertAlign w:val="superscript"/>
              </w:rPr>
              <w:t>(2)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1,607.4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2,021.9</w:t>
            </w:r>
          </w:p>
        </w:tc>
      </w:tr>
      <w:tr>
        <w:trPr>
          <w:trHeight w:val="20"/>
        </w:trPr>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240" w:hanging="236"/>
        <w:spacing w:after="0" w:line="232" w:lineRule="auto"/>
        <w:tabs>
          <w:tab w:leader="none" w:pos="18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Goodwill is net of accumulated impairment charges of $206.9 million, $635.3 million, $156.4 million and $99.8 million related to its EMEA, Americas, APAC and Licensing reporting units, respectively, as of February 2, 2025.</w:t>
      </w:r>
    </w:p>
    <w:p>
      <w:pPr>
        <w:spacing w:after="0" w:line="216" w:lineRule="exact"/>
        <w:rPr>
          <w:rFonts w:ascii="Times New Roman" w:cs="Times New Roman" w:eastAsia="Times New Roman" w:hAnsi="Times New Roman"/>
          <w:sz w:val="22"/>
          <w:szCs w:val="22"/>
          <w:color w:val="auto"/>
          <w:vertAlign w:val="superscript"/>
        </w:rPr>
      </w:pPr>
    </w:p>
    <w:p>
      <w:pPr>
        <w:ind w:left="240" w:hanging="236"/>
        <w:spacing w:after="0" w:line="232" w:lineRule="auto"/>
        <w:tabs>
          <w:tab w:leader="none" w:pos="18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Goodwill is net of accumulated impairment charges of $206.9 million, $642.9 million, $574.8 million and $99.8 million related to its EMEA, Americas, APAC and Licensing reporting units, respectively, as of February 1, 2026.</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88" w:name="page89"/>
    <w:bookmarkEnd w:id="88"/>
    <w:p>
      <w:pPr>
        <w:ind w:left="400"/>
        <w:spacing w:after="0"/>
        <w:rPr>
          <w:sz w:val="20"/>
          <w:szCs w:val="20"/>
          <w:color w:val="auto"/>
        </w:rPr>
      </w:pPr>
      <w:r>
        <w:rPr>
          <w:rFonts w:ascii="Times New Roman" w:cs="Times New Roman" w:eastAsia="Times New Roman" w:hAnsi="Times New Roman"/>
          <w:sz w:val="17"/>
          <w:szCs w:val="17"/>
          <w:color w:val="auto"/>
        </w:rPr>
        <w:t>The Company’s other intangible assets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color w:val="auto"/>
                <w:w w:val="99"/>
              </w:rPr>
              <w:t>2025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7"/>
                <w:szCs w:val="17"/>
                <w:color w:val="auto"/>
                <w:w w:val="99"/>
              </w:rPr>
              <w:t>2024</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line="163" w:lineRule="exact"/>
              <w:rPr>
                <w:sz w:val="20"/>
                <w:szCs w:val="20"/>
                <w:color w:val="auto"/>
              </w:rPr>
            </w:pPr>
            <w:r>
              <w:rPr>
                <w:rFonts w:ascii="Times New Roman" w:cs="Times New Roman" w:eastAsia="Times New Roman" w:hAnsi="Times New Roman"/>
                <w:sz w:val="17"/>
                <w:szCs w:val="17"/>
                <w:color w:val="auto"/>
              </w:rPr>
              <w:t>Gross</w:t>
            </w:r>
          </w:p>
        </w:tc>
        <w:tc>
          <w:tcPr>
            <w:tcW w:w="16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auto"/>
              </w:rPr>
              <w:t>Accumulated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20"/>
              <w:spacing w:after="0" w:line="163" w:lineRule="exact"/>
              <w:rPr>
                <w:sz w:val="20"/>
                <w:szCs w:val="20"/>
                <w:color w:val="auto"/>
              </w:rPr>
            </w:pPr>
            <w:r>
              <w:rPr>
                <w:rFonts w:ascii="Times New Roman" w:cs="Times New Roman" w:eastAsia="Times New Roman" w:hAnsi="Times New Roman"/>
                <w:sz w:val="17"/>
                <w:szCs w:val="17"/>
                <w:color w:val="auto"/>
              </w:rPr>
              <w:t>Gross</w:t>
            </w:r>
          </w:p>
        </w:tc>
        <w:tc>
          <w:tcPr>
            <w:tcW w:w="14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auto"/>
              </w:rPr>
              <w:t>Accumulated</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7"/>
                <w:szCs w:val="17"/>
                <w:color w:val="auto"/>
              </w:rPr>
              <w:t>Carrying</w:t>
            </w: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7"/>
                <w:szCs w:val="17"/>
                <w:color w:val="auto"/>
              </w:rPr>
              <w:t>Carrying</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14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Amount</w:t>
            </w:r>
          </w:p>
        </w:tc>
        <w:tc>
          <w:tcPr>
            <w:tcW w:w="16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Amortization</w:t>
            </w:r>
          </w:p>
        </w:tc>
        <w:tc>
          <w:tcPr>
            <w:tcW w:w="220" w:type="dxa"/>
            <w:vAlign w:val="bottom"/>
          </w:tcPr>
          <w:p>
            <w:pPr>
              <w:spacing w:after="0"/>
              <w:rPr>
                <w:sz w:val="20"/>
                <w:szCs w:val="20"/>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Net</w:t>
            </w:r>
          </w:p>
        </w:tc>
        <w:tc>
          <w:tcPr>
            <w:tcW w:w="14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Amount</w:t>
            </w: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Amortization</w:t>
            </w:r>
          </w:p>
        </w:tc>
        <w:tc>
          <w:tcPr>
            <w:tcW w:w="240" w:type="dxa"/>
            <w:vAlign w:val="bottom"/>
          </w:tcPr>
          <w:p>
            <w:pPr>
              <w:spacing w:after="0"/>
              <w:rPr>
                <w:sz w:val="20"/>
                <w:szCs w:val="20"/>
                <w:color w:val="auto"/>
              </w:rPr>
            </w:pPr>
          </w:p>
        </w:tc>
        <w:tc>
          <w:tcPr>
            <w:tcW w:w="7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Net</w:t>
            </w:r>
          </w:p>
        </w:tc>
        <w:tc>
          <w:tcPr>
            <w:tcW w:w="0" w:type="dxa"/>
            <w:vAlign w:val="bottom"/>
          </w:tcPr>
          <w:p>
            <w:pPr>
              <w:spacing w:after="0"/>
              <w:rPr>
                <w:sz w:val="1"/>
                <w:szCs w:val="1"/>
                <w:color w:val="auto"/>
              </w:rPr>
            </w:pPr>
          </w:p>
        </w:tc>
      </w:tr>
      <w:tr>
        <w:trPr>
          <w:trHeight w:val="201"/>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subject to amortization:</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2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Customer relationships </w:t>
            </w:r>
            <w:r>
              <w:rPr>
                <w:rFonts w:ascii="Times New Roman" w:cs="Times New Roman" w:eastAsia="Times New Roman" w:hAnsi="Times New Roman"/>
                <w:sz w:val="22"/>
                <w:szCs w:val="22"/>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w:t>
            </w:r>
          </w:p>
        </w:tc>
        <w:tc>
          <w:tcPr>
            <w:tcW w:w="8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22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Reacquired license rights</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w:t>
            </w:r>
          </w:p>
        </w:tc>
        <w:tc>
          <w:tcPr>
            <w:tcW w:w="0" w:type="dxa"/>
            <w:vAlign w:val="bottom"/>
          </w:tcPr>
          <w:p>
            <w:pPr>
              <w:spacing w:after="0"/>
              <w:rPr>
                <w:sz w:val="1"/>
                <w:szCs w:val="1"/>
                <w:color w:val="auto"/>
              </w:rPr>
            </w:pPr>
          </w:p>
        </w:tc>
      </w:tr>
      <w:tr>
        <w:trPr>
          <w:trHeight w:val="214"/>
        </w:trPr>
        <w:tc>
          <w:tcPr>
            <w:tcW w:w="4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intangible assets subject to amortization</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261.7</w:t>
            </w:r>
          </w:p>
        </w:tc>
        <w:tc>
          <w:tcPr>
            <w:tcW w:w="0" w:type="dxa"/>
            <w:vAlign w:val="bottom"/>
          </w:tcPr>
          <w:p>
            <w:pPr>
              <w:spacing w:after="0"/>
              <w:rPr>
                <w:sz w:val="1"/>
                <w:szCs w:val="1"/>
                <w:color w:val="auto"/>
              </w:rPr>
            </w:pPr>
          </w:p>
        </w:tc>
      </w:tr>
      <w:tr>
        <w:trPr>
          <w:trHeight w:val="22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Indefinite-lived intangible assets: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Tradenames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2,565.0</w:t>
            </w:r>
          </w:p>
        </w:tc>
        <w:tc>
          <w:tcPr>
            <w:tcW w:w="0" w:type="dxa"/>
            <w:vAlign w:val="bottom"/>
          </w:tcPr>
          <w:p>
            <w:pPr>
              <w:spacing w:after="0"/>
              <w:rPr>
                <w:sz w:val="1"/>
                <w:szCs w:val="1"/>
                <w:color w:val="auto"/>
              </w:rPr>
            </w:pPr>
          </w:p>
        </w:tc>
      </w:tr>
      <w:tr>
        <w:trPr>
          <w:trHeight w:val="221"/>
        </w:trPr>
        <w:tc>
          <w:tcPr>
            <w:tcW w:w="442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Reacquired perpetual license rights </w:t>
            </w:r>
            <w:r>
              <w:rPr>
                <w:rFonts w:ascii="Times New Roman" w:cs="Times New Roman" w:eastAsia="Times New Roman" w:hAnsi="Times New Roman"/>
                <w:sz w:val="22"/>
                <w:szCs w:val="22"/>
                <w:color w:val="auto"/>
                <w:vertAlign w:val="superscript"/>
              </w:rPr>
              <w:t>(2)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w:t>
            </w:r>
          </w:p>
        </w:tc>
        <w:tc>
          <w:tcPr>
            <w:tcW w:w="0" w:type="dxa"/>
            <w:vAlign w:val="bottom"/>
          </w:tcPr>
          <w:p>
            <w:pPr>
              <w:spacing w:after="0"/>
              <w:rPr>
                <w:sz w:val="1"/>
                <w:szCs w:val="1"/>
                <w:color w:val="auto"/>
              </w:rPr>
            </w:pPr>
          </w:p>
        </w:tc>
      </w:tr>
      <w:tr>
        <w:trPr>
          <w:trHeight w:val="214"/>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indefinite-lived intangible assets</w:t>
            </w: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2,844.0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2,844.0</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2,759.2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2,759.2</w:t>
            </w:r>
          </w:p>
        </w:tc>
        <w:tc>
          <w:tcPr>
            <w:tcW w:w="0" w:type="dxa"/>
            <w:vAlign w:val="bottom"/>
          </w:tcPr>
          <w:p>
            <w:pPr>
              <w:spacing w:after="0"/>
              <w:rPr>
                <w:sz w:val="1"/>
                <w:szCs w:val="1"/>
                <w:color w:val="auto"/>
              </w:rPr>
            </w:pPr>
          </w:p>
        </w:tc>
      </w:tr>
      <w:tr>
        <w:trPr>
          <w:trHeight w:val="239"/>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3,096.2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3,020.9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gross carrying amount and accumulated amortization of certain intangible assets include the impact of changes in foreign currency exchange rates.</w:t>
      </w:r>
    </w:p>
    <w:p>
      <w:pPr>
        <w:spacing w:after="0" w:line="247" w:lineRule="exact"/>
        <w:rPr>
          <w:sz w:val="20"/>
          <w:szCs w:val="20"/>
          <w:color w:val="auto"/>
        </w:rPr>
      </w:pPr>
    </w:p>
    <w:p>
      <w:pPr>
        <w:ind w:left="620" w:right="40" w:hanging="226"/>
        <w:spacing w:after="0" w:line="266" w:lineRule="auto"/>
        <w:tabs>
          <w:tab w:leader="none" w:pos="560" w:val="left"/>
        </w:tabs>
        <w:numPr>
          <w:ilvl w:val="0"/>
          <w:numId w:val="4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change in the gross carrying amount and accumulated amortization balances from February 2, 2025 to February 1, 2026 both included a reduction of $122.0 million for fully amortized intangible assets.</w:t>
      </w:r>
    </w:p>
    <w:p>
      <w:pPr>
        <w:spacing w:after="0" w:line="191" w:lineRule="exact"/>
        <w:rPr>
          <w:rFonts w:ascii="Times New Roman" w:cs="Times New Roman" w:eastAsia="Times New Roman" w:hAnsi="Times New Roman"/>
          <w:sz w:val="20"/>
          <w:szCs w:val="20"/>
          <w:color w:val="auto"/>
          <w:vertAlign w:val="superscript"/>
        </w:rPr>
      </w:pPr>
    </w:p>
    <w:p>
      <w:pPr>
        <w:ind w:left="620" w:right="80" w:hanging="226"/>
        <w:spacing w:after="0" w:line="266" w:lineRule="auto"/>
        <w:tabs>
          <w:tab w:leader="none" w:pos="560" w:val="left"/>
        </w:tabs>
        <w:numPr>
          <w:ilvl w:val="0"/>
          <w:numId w:val="4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change from February 2, 2025 to February 1, 2026 included $53.5 million of noncash impairment charges for the reacquired perpetual license rights in Australia. Please see the section “Goodwill and Other Intangible Assets Impairment Testing” below for further discussion.</w:t>
      </w:r>
    </w:p>
    <w:p>
      <w:pPr>
        <w:spacing w:after="0" w:line="192" w:lineRule="exact"/>
        <w:rPr>
          <w:sz w:val="20"/>
          <w:szCs w:val="20"/>
          <w:color w:val="auto"/>
        </w:rPr>
      </w:pPr>
    </w:p>
    <w:p>
      <w:pPr>
        <w:ind w:right="800" w:firstLine="390"/>
        <w:spacing w:after="0" w:line="293" w:lineRule="auto"/>
        <w:rPr>
          <w:sz w:val="20"/>
          <w:szCs w:val="20"/>
          <w:color w:val="auto"/>
        </w:rPr>
      </w:pPr>
      <w:r>
        <w:rPr>
          <w:rFonts w:ascii="Times New Roman" w:cs="Times New Roman" w:eastAsia="Times New Roman" w:hAnsi="Times New Roman"/>
          <w:sz w:val="17"/>
          <w:szCs w:val="17"/>
          <w:color w:val="auto"/>
        </w:rPr>
        <w:t>Amortization expense related to the Company’s intangible assets subject to amortization was $16.6 million and $22.5 million for 2025 and 2024, respectively.</w:t>
      </w:r>
    </w:p>
    <w:p>
      <w:pPr>
        <w:spacing w:after="0" w:line="173" w:lineRule="exact"/>
        <w:rPr>
          <w:sz w:val="20"/>
          <w:szCs w:val="20"/>
          <w:color w:val="auto"/>
        </w:rPr>
      </w:pPr>
    </w:p>
    <w:p>
      <w:pPr>
        <w:ind w:right="160" w:firstLine="390"/>
        <w:spacing w:after="0" w:line="279" w:lineRule="auto"/>
        <w:rPr>
          <w:sz w:val="20"/>
          <w:szCs w:val="20"/>
          <w:color w:val="auto"/>
        </w:rPr>
      </w:pPr>
      <w:r>
        <w:rPr>
          <w:rFonts w:ascii="Times New Roman" w:cs="Times New Roman" w:eastAsia="Times New Roman" w:hAnsi="Times New Roman"/>
          <w:sz w:val="17"/>
          <w:szCs w:val="17"/>
          <w:color w:val="auto"/>
        </w:rPr>
        <w:t>Assuming constant foreign currency exchange rates and no change in the gross carrying amount of the intangible assets, amortization expense for the next five years related to the Company’s intangible assets subject to amortization as of February 1, 2026 is expected to be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52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(In millions)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7"/>
        </w:trPr>
        <w:tc>
          <w:tcPr>
            <w:tcW w:w="1520" w:type="dxa"/>
            <w:vAlign w:val="bottom"/>
            <w:tcBorders>
              <w:bottom w:val="single" w:sz="8" w:color="CCEEFF"/>
            </w:tcBorders>
          </w:tcPr>
          <w:p>
            <w:pPr>
              <w:jc w:val="right"/>
              <w:ind w:right="353"/>
              <w:spacing w:after="0"/>
              <w:rPr>
                <w:sz w:val="20"/>
                <w:szCs w:val="20"/>
                <w:color w:val="auto"/>
              </w:rPr>
            </w:pPr>
            <w:r>
              <w:rPr>
                <w:rFonts w:ascii="Times New Roman" w:cs="Times New Roman" w:eastAsia="Times New Roman" w:hAnsi="Times New Roman"/>
                <w:sz w:val="17"/>
                <w:szCs w:val="17"/>
                <w:color w:val="auto"/>
              </w:rPr>
              <w:t>Fiscal Year</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Amount</w:t>
            </w:r>
          </w:p>
        </w:tc>
      </w:tr>
      <w:tr>
        <w:trPr>
          <w:trHeight w:val="214"/>
        </w:trPr>
        <w:tc>
          <w:tcPr>
            <w:tcW w:w="15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21"/>
        </w:trPr>
        <w:tc>
          <w:tcPr>
            <w:tcW w:w="15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21"/>
        </w:trPr>
        <w:tc>
          <w:tcPr>
            <w:tcW w:w="15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2028</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21"/>
        </w:trPr>
        <w:tc>
          <w:tcPr>
            <w:tcW w:w="15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2029</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21"/>
        </w:trPr>
        <w:tc>
          <w:tcPr>
            <w:tcW w:w="15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2030</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Goodwill and Other Intangible Assets Impairment Testing</w:t>
      </w:r>
    </w:p>
    <w:p>
      <w:pPr>
        <w:spacing w:after="0" w:line="247" w:lineRule="exact"/>
        <w:rPr>
          <w:sz w:val="20"/>
          <w:szCs w:val="20"/>
          <w:color w:val="auto"/>
        </w:rPr>
      </w:pPr>
    </w:p>
    <w:p>
      <w:pPr>
        <w:ind w:right="60" w:firstLine="390"/>
        <w:spacing w:after="0" w:line="293" w:lineRule="auto"/>
        <w:rPr>
          <w:sz w:val="20"/>
          <w:szCs w:val="20"/>
          <w:color w:val="auto"/>
        </w:rPr>
      </w:pPr>
      <w:r>
        <w:rPr>
          <w:rFonts w:ascii="Times New Roman" w:cs="Times New Roman" w:eastAsia="Times New Roman" w:hAnsi="Times New Roman"/>
          <w:sz w:val="17"/>
          <w:szCs w:val="17"/>
          <w:color w:val="auto"/>
        </w:rPr>
        <w:t>Please see Note 1, “Summary of Significant Accounting Policies,” for discussion of the Company’s goodwill and other intangible assets impairment testing process.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Goodwill Impairment Testing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Interim Impairment Test</w:t>
      </w:r>
    </w:p>
    <w:p>
      <w:pPr>
        <w:spacing w:after="0" w:line="249" w:lineRule="exact"/>
        <w:rPr>
          <w:sz w:val="20"/>
          <w:szCs w:val="20"/>
          <w:color w:val="auto"/>
        </w:rPr>
      </w:pPr>
    </w:p>
    <w:p>
      <w:pPr>
        <w:ind w:right="140" w:firstLine="390"/>
        <w:spacing w:after="0" w:line="274" w:lineRule="auto"/>
        <w:rPr>
          <w:sz w:val="20"/>
          <w:szCs w:val="20"/>
          <w:color w:val="auto"/>
        </w:rPr>
      </w:pPr>
      <w:r>
        <w:rPr>
          <w:rFonts w:ascii="Times New Roman" w:cs="Times New Roman" w:eastAsia="Times New Roman" w:hAnsi="Times New Roman"/>
          <w:sz w:val="17"/>
          <w:szCs w:val="17"/>
          <w:color w:val="auto"/>
        </w:rPr>
        <w:t>Macroeconomic and geopolitical factors that occurred during the first quarter of 2025 resulted in significant market volatility and a decrease in the Company’s stock price. As a result, the Company determined there was a triggering event that required the Company to perform a quantitative interim goodwill impairment test as of the end of the first quarter of 2025.</w:t>
      </w:r>
    </w:p>
    <w:p>
      <w:pPr>
        <w:spacing w:after="0" w:line="189" w:lineRule="exact"/>
        <w:rPr>
          <w:sz w:val="20"/>
          <w:szCs w:val="20"/>
          <w:color w:val="auto"/>
        </w:rPr>
      </w:pPr>
    </w:p>
    <w:p>
      <w:pPr>
        <w:ind w:right="320" w:firstLine="390"/>
        <w:spacing w:after="0" w:line="293" w:lineRule="auto"/>
        <w:rPr>
          <w:sz w:val="20"/>
          <w:szCs w:val="20"/>
          <w:color w:val="auto"/>
        </w:rPr>
      </w:pPr>
      <w:r>
        <w:rPr>
          <w:rFonts w:ascii="Times New Roman" w:cs="Times New Roman" w:eastAsia="Times New Roman" w:hAnsi="Times New Roman"/>
          <w:sz w:val="17"/>
          <w:szCs w:val="17"/>
          <w:color w:val="auto"/>
        </w:rPr>
        <w:t>As a result of this interim impairment test, the Company recorded $426.0 million of noncash impairment charges during the first quarter of 2025, which were included in goodwill and other intangible asset impairments in the Company’s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89" w:name="page90"/>
    <w:bookmarkEnd w:id="89"/>
    <w:p>
      <w:pPr>
        <w:jc w:val="both"/>
        <w:ind w:right="60"/>
        <w:spacing w:after="0" w:line="274" w:lineRule="auto"/>
        <w:rPr>
          <w:sz w:val="20"/>
          <w:szCs w:val="20"/>
          <w:color w:val="auto"/>
        </w:rPr>
      </w:pPr>
      <w:r>
        <w:rPr>
          <w:rFonts w:ascii="Times New Roman" w:cs="Times New Roman" w:eastAsia="Times New Roman" w:hAnsi="Times New Roman"/>
          <w:sz w:val="17"/>
          <w:szCs w:val="17"/>
          <w:color w:val="auto"/>
        </w:rPr>
        <w:t>Consolidated Statement of Operations and included in restructuring and other items for segment data reporting purposes. The impairments were primarily due to a significant increase in discount rates, which incorporated elevated risk premiums, in particular for the Americas and APAC reporting units. Impairment charges of $7.6 million and $418.4 million fully impaired the goodwill balances in the Americas and APAC segments, respectively.</w:t>
      </w:r>
    </w:p>
    <w:p>
      <w:pPr>
        <w:spacing w:after="0" w:line="189" w:lineRule="exact"/>
        <w:rPr>
          <w:sz w:val="20"/>
          <w:szCs w:val="20"/>
          <w:color w:val="auto"/>
        </w:rPr>
      </w:pPr>
    </w:p>
    <w:p>
      <w:pPr>
        <w:ind w:right="40" w:firstLine="390"/>
        <w:spacing w:after="0" w:line="268" w:lineRule="auto"/>
        <w:rPr>
          <w:sz w:val="20"/>
          <w:szCs w:val="20"/>
          <w:color w:val="auto"/>
        </w:rPr>
      </w:pPr>
      <w:r>
        <w:rPr>
          <w:rFonts w:ascii="Times New Roman" w:cs="Times New Roman" w:eastAsia="Times New Roman" w:hAnsi="Times New Roman"/>
          <w:sz w:val="17"/>
          <w:szCs w:val="17"/>
          <w:color w:val="auto"/>
        </w:rPr>
        <w:t>The fair value of the reporting units for goodwill impairment testing was determined using an income approach. The income approach was based on discounted projected future (debt-free) cash flows for each reporting unit. The discount rates applied to these cash flows were based on the weighted average cost of capital for each reporting unit, which takes market participant assumptions into consideration, inclusive of a risk premium for each reporting unit to account for the additional risk and uncertainty perceived by market participants related to each reporting unit’s cash flows due to macroeconomic and geopolitical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Annual Impairment Test</w:t>
      </w:r>
    </w:p>
    <w:p>
      <w:pPr>
        <w:spacing w:after="0" w:line="249" w:lineRule="exact"/>
        <w:rPr>
          <w:sz w:val="20"/>
          <w:szCs w:val="20"/>
          <w:color w:val="auto"/>
        </w:rPr>
      </w:pPr>
    </w:p>
    <w:p>
      <w:pPr>
        <w:ind w:right="80" w:firstLine="390"/>
        <w:spacing w:after="0" w:line="274" w:lineRule="auto"/>
        <w:rPr>
          <w:sz w:val="20"/>
          <w:szCs w:val="20"/>
          <w:color w:val="auto"/>
        </w:rPr>
      </w:pPr>
      <w:r>
        <w:rPr>
          <w:rFonts w:ascii="Times New Roman" w:cs="Times New Roman" w:eastAsia="Times New Roman" w:hAnsi="Times New Roman"/>
          <w:sz w:val="17"/>
          <w:szCs w:val="17"/>
          <w:color w:val="auto"/>
        </w:rPr>
        <w:t>The Company performed its annual impairment test for goodwill as of the beginning of the third quarter of 2025. For the 2025 annual goodwill impairment test, the Company elected to assess qualitative factors first to determine whether it was more likely than not that the fair value of each reporting unit with allocated goodwill was less than its carrying amount.</w:t>
      </w:r>
    </w:p>
    <w:p>
      <w:pPr>
        <w:spacing w:after="0" w:line="189" w:lineRule="exact"/>
        <w:rPr>
          <w:sz w:val="20"/>
          <w:szCs w:val="20"/>
          <w:color w:val="auto"/>
        </w:rPr>
      </w:pPr>
    </w:p>
    <w:p>
      <w:pPr>
        <w:ind w:right="20" w:firstLine="390"/>
        <w:spacing w:after="0" w:line="274" w:lineRule="auto"/>
        <w:rPr>
          <w:sz w:val="20"/>
          <w:szCs w:val="20"/>
          <w:color w:val="auto"/>
        </w:rPr>
      </w:pPr>
      <w:r>
        <w:rPr>
          <w:rFonts w:ascii="Times New Roman" w:cs="Times New Roman" w:eastAsia="Times New Roman" w:hAnsi="Times New Roman"/>
          <w:sz w:val="17"/>
          <w:szCs w:val="17"/>
          <w:color w:val="auto"/>
        </w:rPr>
        <w:t>The Company assessed relevant events and circumstances, including industry, market and macroeconomic conditions, as well as Company- and reporting unit-specific factors. In performing this assessment, the Company considered the results of its quantitative interim goodwill impairment test performed in the first quarter of 2025 and the impact of changes in the weighted average cost of capital and updated financial forecasts since the date of the interim impairment test.</w:t>
      </w:r>
    </w:p>
    <w:p>
      <w:pPr>
        <w:spacing w:after="0" w:line="189" w:lineRule="exact"/>
        <w:rPr>
          <w:sz w:val="20"/>
          <w:szCs w:val="20"/>
          <w:color w:val="auto"/>
        </w:rPr>
      </w:pPr>
    </w:p>
    <w:p>
      <w:pPr>
        <w:jc w:val="both"/>
        <w:ind w:right="120" w:firstLine="390"/>
        <w:spacing w:after="0" w:line="274" w:lineRule="auto"/>
        <w:rPr>
          <w:sz w:val="20"/>
          <w:szCs w:val="20"/>
          <w:color w:val="auto"/>
        </w:rPr>
      </w:pPr>
      <w:r>
        <w:rPr>
          <w:rFonts w:ascii="Times New Roman" w:cs="Times New Roman" w:eastAsia="Times New Roman" w:hAnsi="Times New Roman"/>
          <w:sz w:val="17"/>
          <w:szCs w:val="17"/>
          <w:color w:val="auto"/>
        </w:rPr>
        <w:t>After assessing these events and circumstances, the Company determined that it was not more likely than not that the fair value of each reporting unit with allocated goodwill was less than its carrying amount and concluded that the quantitative goodwill impairment test was not required. No impairment of goodwill resulted from the Company’s annual impairment test.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Annual Impairment Test</w:t>
      </w:r>
    </w:p>
    <w:p>
      <w:pPr>
        <w:spacing w:after="0" w:line="249" w:lineRule="exact"/>
        <w:rPr>
          <w:sz w:val="20"/>
          <w:szCs w:val="20"/>
          <w:color w:val="auto"/>
        </w:rPr>
      </w:pPr>
    </w:p>
    <w:p>
      <w:pPr>
        <w:ind w:right="340" w:firstLine="390"/>
        <w:spacing w:after="0" w:line="293" w:lineRule="auto"/>
        <w:rPr>
          <w:sz w:val="20"/>
          <w:szCs w:val="20"/>
          <w:color w:val="auto"/>
        </w:rPr>
      </w:pPr>
      <w:r>
        <w:rPr>
          <w:rFonts w:ascii="Times New Roman" w:cs="Times New Roman" w:eastAsia="Times New Roman" w:hAnsi="Times New Roman"/>
          <w:sz w:val="17"/>
          <w:szCs w:val="17"/>
          <w:color w:val="auto"/>
        </w:rPr>
        <w:t>For the 2024 annual goodwill impairment test performed as of the beginning of the third quarter of 2024, the Company elected to bypass the qualitative assessment and proceeded directly to the quantitative impairment test using a discounted cash flow method to estimate the fair value of its reporting units.</w:t>
      </w:r>
    </w:p>
    <w:p>
      <w:pPr>
        <w:spacing w:after="0" w:line="173" w:lineRule="exact"/>
        <w:rPr>
          <w:sz w:val="20"/>
          <w:szCs w:val="20"/>
          <w:color w:val="auto"/>
        </w:rPr>
      </w:pPr>
    </w:p>
    <w:p>
      <w:pPr>
        <w:ind w:right="140" w:firstLine="390"/>
        <w:spacing w:after="0" w:line="293" w:lineRule="auto"/>
        <w:rPr>
          <w:sz w:val="20"/>
          <w:szCs w:val="20"/>
          <w:color w:val="auto"/>
        </w:rPr>
      </w:pPr>
      <w:r>
        <w:rPr>
          <w:rFonts w:ascii="Times New Roman" w:cs="Times New Roman" w:eastAsia="Times New Roman" w:hAnsi="Times New Roman"/>
          <w:sz w:val="17"/>
          <w:szCs w:val="17"/>
          <w:color w:val="auto"/>
        </w:rPr>
        <w:t>The Company’s annual goodwill impairment test for 2024 yielded estimated fair values in excess of the carrying amounts for all of its reporting units with assigned goodwill and therefore no impairment of goodwill was identified.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2023 Annual Impairment Test</w:t>
      </w:r>
    </w:p>
    <w:p>
      <w:pPr>
        <w:spacing w:after="0" w:line="249" w:lineRule="exact"/>
        <w:rPr>
          <w:sz w:val="20"/>
          <w:szCs w:val="20"/>
          <w:color w:val="auto"/>
        </w:rPr>
      </w:pPr>
    </w:p>
    <w:p>
      <w:pPr>
        <w:jc w:val="both"/>
        <w:ind w:right="380" w:firstLine="390"/>
        <w:spacing w:after="0" w:line="274" w:lineRule="auto"/>
        <w:rPr>
          <w:sz w:val="20"/>
          <w:szCs w:val="20"/>
          <w:color w:val="auto"/>
        </w:rPr>
      </w:pPr>
      <w:r>
        <w:rPr>
          <w:rFonts w:ascii="Times New Roman" w:cs="Times New Roman" w:eastAsia="Times New Roman" w:hAnsi="Times New Roman"/>
          <w:sz w:val="17"/>
          <w:szCs w:val="17"/>
          <w:color w:val="auto"/>
        </w:rPr>
        <w:t>For the 2023 annual goodwill impairment test performed as of the beginning of the third quarter of 2023, the Company elected to perform a qualitative assessment first to determine whether it was more likely than not that the fair value of each reporting unit with allocated goodwill was less than its carrying amount.</w:t>
      </w:r>
    </w:p>
    <w:p>
      <w:pPr>
        <w:spacing w:after="0" w:line="189" w:lineRule="exact"/>
        <w:rPr>
          <w:sz w:val="20"/>
          <w:szCs w:val="20"/>
          <w:color w:val="auto"/>
        </w:rPr>
      </w:pPr>
    </w:p>
    <w:p>
      <w:pPr>
        <w:ind w:firstLine="390"/>
        <w:spacing w:after="0" w:line="263" w:lineRule="auto"/>
        <w:rPr>
          <w:sz w:val="20"/>
          <w:szCs w:val="20"/>
          <w:color w:val="auto"/>
        </w:rPr>
      </w:pPr>
      <w:r>
        <w:rPr>
          <w:rFonts w:ascii="Times New Roman" w:cs="Times New Roman" w:eastAsia="Times New Roman" w:hAnsi="Times New Roman"/>
          <w:sz w:val="17"/>
          <w:szCs w:val="17"/>
          <w:color w:val="auto"/>
        </w:rPr>
        <w:t>The Company assessed relevant events and circumstances, including industry, market and macroeconomic conditions, as well as Company- and reporting unit-specific factors. In performing this assessment, the Company considered the results of its quantitative goodwill impairment test performed in 2022, and the impact at that time of (i) the improvement in certain macroeconomic conditions contributing to a favorable change in the Company’s market capitalization since the time of the 2022 test, which would imply a reduction to the risk premium included in the discount rate used in the 2022 test and, therefore, improvement in the fair values of the Company’s reporting units, and (ii) the Company’s then-current financial performance and updated financial forecasts, which were generally consistent with or exceeded the projections used in the 2022 test.</w:t>
      </w:r>
    </w:p>
    <w:p>
      <w:pPr>
        <w:spacing w:after="0" w:line="198" w:lineRule="exact"/>
        <w:rPr>
          <w:sz w:val="20"/>
          <w:szCs w:val="20"/>
          <w:color w:val="auto"/>
        </w:rPr>
      </w:pPr>
    </w:p>
    <w:p>
      <w:pPr>
        <w:jc w:val="both"/>
        <w:ind w:right="120" w:firstLine="390"/>
        <w:spacing w:after="0" w:line="274" w:lineRule="auto"/>
        <w:rPr>
          <w:sz w:val="20"/>
          <w:szCs w:val="20"/>
          <w:color w:val="auto"/>
        </w:rPr>
      </w:pPr>
      <w:r>
        <w:rPr>
          <w:rFonts w:ascii="Times New Roman" w:cs="Times New Roman" w:eastAsia="Times New Roman" w:hAnsi="Times New Roman"/>
          <w:sz w:val="17"/>
          <w:szCs w:val="17"/>
          <w:color w:val="auto"/>
        </w:rPr>
        <w:t>After assessing these events and circumstances, the Company determined that it was not more likely than not that the fair value of each reporting unit with allocated goodwill was less than its carrying amount and concluded that the quantitative goodwill impairment test was not required. No impairment of goodwill resulted from the Company’s annual impairment test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i w:val="1"/>
          <w:iCs w:val="1"/>
          <w:u w:val="single" w:color="auto"/>
          <w:color w:val="auto"/>
        </w:rPr>
        <w:t>Indefinite-Lived Intangible Assets Impairment Testing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Interim Impairment Test</w:t>
      </w:r>
    </w:p>
    <w:p>
      <w:pPr>
        <w:spacing w:after="0" w:line="249" w:lineRule="exact"/>
        <w:rPr>
          <w:sz w:val="20"/>
          <w:szCs w:val="20"/>
          <w:color w:val="auto"/>
        </w:rPr>
      </w:pPr>
    </w:p>
    <w:p>
      <w:pPr>
        <w:ind w:firstLine="390"/>
        <w:spacing w:after="0" w:line="260" w:lineRule="auto"/>
        <w:rPr>
          <w:sz w:val="20"/>
          <w:szCs w:val="20"/>
          <w:color w:val="auto"/>
        </w:rPr>
      </w:pPr>
      <w:r>
        <w:rPr>
          <w:rFonts w:ascii="Times New Roman" w:cs="Times New Roman" w:eastAsia="Times New Roman" w:hAnsi="Times New Roman"/>
          <w:sz w:val="17"/>
          <w:szCs w:val="17"/>
          <w:color w:val="auto"/>
        </w:rPr>
        <w:t xml:space="preserve">The Company also determined the macroeconomic and geopolitical conditions that occurred during the first quarter of 2025 and resulting impacts to the Company discussed above were also a triggering event that prompted the need to perform interim impairment testing of its other indefinite-lived intangible assets as of the end of the first quarter of 2025. For the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tradenames and the reacquired perpetual license rights for </w:t>
      </w:r>
      <w:r>
        <w:rPr>
          <w:rFonts w:ascii="Times New Roman" w:cs="Times New Roman" w:eastAsia="Times New Roman" w:hAnsi="Times New Roman"/>
          <w:sz w:val="17"/>
          <w:szCs w:val="17"/>
          <w:i w:val="1"/>
          <w:iCs w:val="1"/>
          <w:color w:val="auto"/>
        </w:rPr>
        <w:t>TOMMY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HILFIGER </w:t>
      </w:r>
      <w:r>
        <w:rPr>
          <w:rFonts w:ascii="Times New Roman" w:cs="Times New Roman" w:eastAsia="Times New Roman" w:hAnsi="Times New Roman"/>
          <w:sz w:val="17"/>
          <w:szCs w:val="17"/>
          <w:color w:val="auto"/>
        </w:rPr>
        <w:t>in India, the Company elected to first assess qualitative factors to determine whether it was more likely than not that the fair value of any asset was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less than its carrying amount. For these assets, no impairment was identified as a result of the Company’s annual indefinite-lived intangible asset impairment test for 2024 and the fair values of these indefinite-lived intangible assets substantially exceeded their carrying amounts. The asset with the least excess fair value had an estimated fair value that exceeded its carrying amount by approximately 93% as of the date of the Company’s 2024 annual test. Considering this and other factors, the Company determined qualitatively that it was not more likely than not that the fair values of these indefinite-lived intangible assets were less than their carrying amounts and concluded that a quantitative impairment test was not required.</w:t>
      </w:r>
    </w:p>
    <w:p>
      <w:pPr>
        <w:spacing w:after="0" w:line="202" w:lineRule="exact"/>
        <w:rPr>
          <w:sz w:val="20"/>
          <w:szCs w:val="20"/>
          <w:color w:val="auto"/>
        </w:rPr>
      </w:pPr>
    </w:p>
    <w:p>
      <w:pPr>
        <w:ind w:right="40" w:firstLine="390"/>
        <w:spacing w:after="0" w:line="260" w:lineRule="auto"/>
        <w:rPr>
          <w:sz w:val="20"/>
          <w:szCs w:val="20"/>
          <w:color w:val="auto"/>
        </w:rPr>
      </w:pPr>
      <w:r>
        <w:rPr>
          <w:rFonts w:ascii="Times New Roman" w:cs="Times New Roman" w:eastAsia="Times New Roman" w:hAnsi="Times New Roman"/>
          <w:sz w:val="17"/>
          <w:szCs w:val="17"/>
          <w:color w:val="auto"/>
        </w:rPr>
        <w:t>For the reacquired perpetual license rights in Australia, the Company elected to bypass the qualitative assessment and proceeded directly to the quantitative impairment test. As a result of this quantitative interim impairment testing, the Company recorded $53.5 million of noncash impairment charges during the first quarter of 2025 to write down the license rights, which had a carrying amount of $190.8 million, to a fair value of $137.3 million. The $53.5 million of impairment charges was included in goodwill and other intangible asset impairments in the Company’s Consolidated Statement of Operations and included in restructuring and other items for segment data reporting purposes. The impairment was primarily due to a significant increase in discount rates. Holding all other assumptions constant, a 100 basis point change in the annual revenue growth rate of the Australia business would result in a change to the estimated fair value of the license rights of approximately $22.0 million. Likewise, a 100 basis point change in the weighted average cost of capital would result in a change to the estimated fair value of the license rights of approximately $25.0 million.</w:t>
      </w:r>
    </w:p>
    <w:p>
      <w:pPr>
        <w:spacing w:after="0" w:line="205" w:lineRule="exact"/>
        <w:rPr>
          <w:sz w:val="20"/>
          <w:szCs w:val="20"/>
          <w:color w:val="auto"/>
        </w:rPr>
      </w:pPr>
    </w:p>
    <w:p>
      <w:pPr>
        <w:ind w:right="280" w:firstLine="390"/>
        <w:spacing w:after="0" w:line="274" w:lineRule="auto"/>
        <w:rPr>
          <w:sz w:val="20"/>
          <w:szCs w:val="20"/>
          <w:color w:val="auto"/>
        </w:rPr>
      </w:pPr>
      <w:r>
        <w:rPr>
          <w:rFonts w:ascii="Times New Roman" w:cs="Times New Roman" w:eastAsia="Times New Roman" w:hAnsi="Times New Roman"/>
          <w:sz w:val="17"/>
          <w:szCs w:val="17"/>
          <w:color w:val="auto"/>
        </w:rPr>
        <w:t>The fair value of the Company’s reacquired perpetual license rights in Australia was determined using an income approach which estimates the net cash flows directly attributable to the subject intangible asset. These cash flows were discounted to present value using a discount rate of approximately 17% that factors in the relative risk of the intangible asset.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Annual Impairment Test</w:t>
      </w:r>
    </w:p>
    <w:p>
      <w:pPr>
        <w:spacing w:after="0" w:line="249" w:lineRule="exact"/>
        <w:rPr>
          <w:sz w:val="20"/>
          <w:szCs w:val="20"/>
          <w:color w:val="auto"/>
        </w:rPr>
      </w:pPr>
    </w:p>
    <w:p>
      <w:pPr>
        <w:jc w:val="both"/>
        <w:ind w:right="20" w:firstLine="390"/>
        <w:spacing w:after="0" w:line="274" w:lineRule="auto"/>
        <w:rPr>
          <w:sz w:val="20"/>
          <w:szCs w:val="20"/>
          <w:color w:val="auto"/>
        </w:rPr>
      </w:pPr>
      <w:r>
        <w:rPr>
          <w:rFonts w:ascii="Times New Roman" w:cs="Times New Roman" w:eastAsia="Times New Roman" w:hAnsi="Times New Roman"/>
          <w:sz w:val="17"/>
          <w:szCs w:val="17"/>
          <w:color w:val="auto"/>
        </w:rPr>
        <w:t>The Company performed its annual impairment test for other indefinite-lived intangible assets as of the beginning of the third quarter of 2025. For the 2025 annual indefinite-lived intangible assets impairment test, the Company elected to assess qualitative factors first to determine whether it was more likely than not that the fair value of any asset was less than its carrying amount.</w:t>
      </w:r>
    </w:p>
    <w:p>
      <w:pPr>
        <w:spacing w:after="0" w:line="189" w:lineRule="exact"/>
        <w:rPr>
          <w:sz w:val="20"/>
          <w:szCs w:val="20"/>
          <w:color w:val="auto"/>
        </w:rPr>
      </w:pPr>
    </w:p>
    <w:p>
      <w:pPr>
        <w:ind w:right="40" w:firstLine="390"/>
        <w:spacing w:after="0" w:line="260" w:lineRule="auto"/>
        <w:rPr>
          <w:sz w:val="20"/>
          <w:szCs w:val="20"/>
          <w:color w:val="auto"/>
        </w:rPr>
      </w:pPr>
      <w:r>
        <w:rPr>
          <w:rFonts w:ascii="Times New Roman" w:cs="Times New Roman" w:eastAsia="Times New Roman" w:hAnsi="Times New Roman"/>
          <w:sz w:val="17"/>
          <w:szCs w:val="17"/>
          <w:color w:val="auto"/>
        </w:rPr>
        <w:t>The Company assessed relevant events and circumstances, including industry, market and macroeconomic conditions, as well as Company- and asset-specific factors. In performing this assessment, the Company considered the results of its interim impairment testing performed in the first quarter of 2025 and the impact of changes in the weighted average cost of capital and updated financial forecasts since the date of the interim impairment test. After assessing these events and circumstances, the Company determined that it was not more likely than not that the fair value of its indefinite-lived intangible assets were less than their carrying amounts and concluded that a quantitative impairment test was not required. No impairment of indefinite-lived intangible assets resulted from the Company’s annual impairment test. Except for the reacquired perpetual license rights in Australia, for which the most recent quantitative impairment test was performed in the first quarter of 2025, the results of which are described above, all indefinite-lived intangibles had significant excess fair value in the most recent quantitative impairment test performed in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Annual Impairment Test</w:t>
      </w:r>
    </w:p>
    <w:p>
      <w:pPr>
        <w:spacing w:after="0" w:line="249" w:lineRule="exact"/>
        <w:rPr>
          <w:sz w:val="20"/>
          <w:szCs w:val="20"/>
          <w:color w:val="auto"/>
        </w:rPr>
      </w:pPr>
    </w:p>
    <w:p>
      <w:pPr>
        <w:ind w:right="80" w:firstLine="390"/>
        <w:spacing w:after="0" w:line="268" w:lineRule="auto"/>
        <w:rPr>
          <w:sz w:val="20"/>
          <w:szCs w:val="20"/>
          <w:color w:val="auto"/>
        </w:rPr>
      </w:pPr>
      <w:r>
        <w:rPr>
          <w:rFonts w:ascii="Times New Roman" w:cs="Times New Roman" w:eastAsia="Times New Roman" w:hAnsi="Times New Roman"/>
          <w:sz w:val="17"/>
          <w:szCs w:val="17"/>
          <w:color w:val="auto"/>
        </w:rPr>
        <w:t>For the 2024 annual impairment test performed as of the beginning of the third quarter of 2024 for all other indefinite-lived intangible assets, the Company elected to bypass the qualitative assessment and proceeded directly to the quantitative impairment test, using a discounted cash flow method to estimate fair value. The fair values for all indefinite-lived intangible assets exceeded their carrying amounts and, therefore, the assets were not impaired. The indefinite-lived intangible asset with the least excess fair value had an estimated fair value that exceeded its carrying amount by 19%.</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i w:val="1"/>
          <w:iCs w:val="1"/>
          <w:color w:val="auto"/>
        </w:rPr>
        <w:t>2023 Annual Impairment Test</w:t>
      </w:r>
    </w:p>
    <w:p>
      <w:pPr>
        <w:spacing w:after="0" w:line="249" w:lineRule="exact"/>
        <w:rPr>
          <w:sz w:val="20"/>
          <w:szCs w:val="20"/>
          <w:color w:val="auto"/>
        </w:rPr>
      </w:pPr>
    </w:p>
    <w:p>
      <w:pPr>
        <w:ind w:firstLine="390"/>
        <w:spacing w:after="0" w:line="293" w:lineRule="auto"/>
        <w:rPr>
          <w:sz w:val="20"/>
          <w:szCs w:val="20"/>
          <w:color w:val="auto"/>
        </w:rPr>
      </w:pPr>
      <w:r>
        <w:rPr>
          <w:rFonts w:ascii="Times New Roman" w:cs="Times New Roman" w:eastAsia="Times New Roman" w:hAnsi="Times New Roman"/>
          <w:sz w:val="17"/>
          <w:szCs w:val="17"/>
          <w:color w:val="auto"/>
        </w:rPr>
        <w:t>For the 2023 annual other indefinite-lived intangible assets impairment test performed as of the beginning of the third quarter of 2023, the Company elected to first assess qualitative factors to determine whether it was more likely than not that the fair value of any asset was less than its carrying amount.</w:t>
      </w:r>
    </w:p>
    <w:p>
      <w:pPr>
        <w:spacing w:after="0" w:line="173" w:lineRule="exact"/>
        <w:rPr>
          <w:sz w:val="20"/>
          <w:szCs w:val="20"/>
          <w:color w:val="auto"/>
        </w:rPr>
      </w:pPr>
    </w:p>
    <w:p>
      <w:pPr>
        <w:ind w:right="100" w:firstLine="390"/>
        <w:spacing w:after="0" w:line="265" w:lineRule="auto"/>
        <w:rPr>
          <w:sz w:val="20"/>
          <w:szCs w:val="20"/>
          <w:color w:val="auto"/>
        </w:rPr>
      </w:pPr>
      <w:r>
        <w:rPr>
          <w:rFonts w:ascii="Times New Roman" w:cs="Times New Roman" w:eastAsia="Times New Roman" w:hAnsi="Times New Roman"/>
          <w:sz w:val="17"/>
          <w:szCs w:val="17"/>
          <w:color w:val="auto"/>
        </w:rPr>
        <w:t>The Company assessed relevant events and circumstances, including industry, market and macroeconomic conditions, as well as Company- and asset-specific factors. In performing this assessment, the Company considered the results of its annual impairment testing performed in 2022, and the impact at that time of (i) the improvement in certain macroeconomic conditions contributing to a favorable change in the Company’s market capitalization since the time of 2022 test, which would imply a reduction to the risk premium included in the discount rate used in the 2022 test, and therefore, improvement in the fair value of each of its indefinite-lived intangible assets and (ii) the Company’s then-current financial performance and updated financial forecasts.</w:t>
      </w:r>
    </w:p>
    <w:p>
      <w:pPr>
        <w:spacing w:after="0" w:line="196" w:lineRule="exact"/>
        <w:rPr>
          <w:sz w:val="20"/>
          <w:szCs w:val="20"/>
          <w:color w:val="auto"/>
        </w:rPr>
      </w:pPr>
    </w:p>
    <w:p>
      <w:pPr>
        <w:jc w:val="both"/>
        <w:ind w:right="240" w:firstLine="390"/>
        <w:spacing w:after="0" w:line="274" w:lineRule="auto"/>
        <w:rPr>
          <w:sz w:val="20"/>
          <w:szCs w:val="20"/>
          <w:color w:val="auto"/>
        </w:rPr>
      </w:pPr>
      <w:r>
        <w:rPr>
          <w:rFonts w:ascii="Times New Roman" w:cs="Times New Roman" w:eastAsia="Times New Roman" w:hAnsi="Times New Roman"/>
          <w:sz w:val="17"/>
          <w:szCs w:val="17"/>
          <w:color w:val="auto"/>
        </w:rPr>
        <w:t>After assessing these events and circumstances, the Company determined that it was not more likely than not that the fair value of each of its indefinite-lived intangible assets was less than its carrying amount and concluded that a quantitative impairment test was not required. No impairment of indefinite-lived intangible assets resulted from the Company’s annual impairment test in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Considerations Since the 2025 Annual Impairment Tests</w:t>
      </w:r>
    </w:p>
    <w:p>
      <w:pPr>
        <w:spacing w:after="0" w:line="249" w:lineRule="exact"/>
        <w:rPr>
          <w:sz w:val="20"/>
          <w:szCs w:val="20"/>
          <w:color w:val="auto"/>
        </w:rPr>
      </w:pPr>
    </w:p>
    <w:p>
      <w:pPr>
        <w:ind w:right="20" w:firstLine="390"/>
        <w:spacing w:after="0" w:line="260" w:lineRule="auto"/>
        <w:rPr>
          <w:sz w:val="20"/>
          <w:szCs w:val="20"/>
          <w:color w:val="auto"/>
        </w:rPr>
      </w:pPr>
      <w:r>
        <w:rPr>
          <w:rFonts w:ascii="Times New Roman" w:cs="Times New Roman" w:eastAsia="Times New Roman" w:hAnsi="Times New Roman"/>
          <w:sz w:val="17"/>
          <w:szCs w:val="17"/>
          <w:color w:val="auto"/>
        </w:rPr>
        <w:t>There have been no significant events or change in circumstances since the date of the 2025 annual impairment tests that would indicate the remaining carrying amounts of the Company’s goodwill and other indefinite-lived intangible assets may be impaired as of February 1, 2026. If different assumptions for the Company’s goodwill and other indefinite-lived intangible assets impairment tests had been applied, significantly different outcomes could have resulted. There continues to be significant uncertainty with respect to the conflict in the Middle East and global trade policies (including tariffs) and their broader macroeconomic implications, as well as the impact of inflation and other macroeconomic factors, and foreign currency volatility. If economic conditions or market factors utilized in the impairment analysis deteriorate or otherwise vary from current assumptions (including those resulting in changes in the weighted average cost of capital), industry conditions deteriorate, or business conditions or strategies for a specific reporting unit change from current assumptions, the Company’s businesses do not perform as projected, or there is an extended period of a significant decline in its stock price, the Company could incur additional goodwill and other indefinite-lived intangible asset impairment charges in the future.</w:t>
      </w:r>
    </w:p>
    <w:p>
      <w:pPr>
        <w:spacing w:after="0" w:line="200" w:lineRule="exact"/>
        <w:rPr>
          <w:sz w:val="20"/>
          <w:szCs w:val="20"/>
          <w:color w:val="auto"/>
        </w:rPr>
      </w:pPr>
    </w:p>
    <w:p>
      <w:pPr>
        <w:ind w:left="400" w:hanging="396"/>
        <w:spacing w:after="0"/>
        <w:tabs>
          <w:tab w:leader="none" w:pos="40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Short-Term Borrowings</w:t>
      </w:r>
    </w:p>
    <w:p>
      <w:pPr>
        <w:spacing w:after="0" w:line="247" w:lineRule="exact"/>
        <w:rPr>
          <w:sz w:val="20"/>
          <w:szCs w:val="20"/>
          <w:color w:val="auto"/>
        </w:rPr>
      </w:pPr>
    </w:p>
    <w:p>
      <w:pPr>
        <w:ind w:right="60" w:firstLine="390"/>
        <w:spacing w:after="0" w:line="293" w:lineRule="auto"/>
        <w:rPr>
          <w:sz w:val="20"/>
          <w:szCs w:val="20"/>
          <w:color w:val="auto"/>
        </w:rPr>
      </w:pPr>
      <w:r>
        <w:rPr>
          <w:rFonts w:ascii="Times New Roman" w:cs="Times New Roman" w:eastAsia="Times New Roman" w:hAnsi="Times New Roman"/>
          <w:sz w:val="17"/>
          <w:szCs w:val="17"/>
          <w:color w:val="auto"/>
        </w:rPr>
        <w:t>The Company has the ability to draw revolving borrowings under the senior unsecured credit facilities discussed below in the section entitled “2022 Senior Unsecured Credit Facilities.” The Company had no revolving borrowings outstanding under these facilities as of February 1, 2026 and February 2, 2025.</w:t>
      </w:r>
    </w:p>
    <w:p>
      <w:pPr>
        <w:spacing w:after="0" w:line="173" w:lineRule="exact"/>
        <w:rPr>
          <w:sz w:val="20"/>
          <w:szCs w:val="20"/>
          <w:color w:val="auto"/>
        </w:rPr>
      </w:pPr>
    </w:p>
    <w:p>
      <w:pPr>
        <w:ind w:right="160" w:firstLine="390"/>
        <w:spacing w:after="0" w:line="268" w:lineRule="auto"/>
        <w:rPr>
          <w:sz w:val="20"/>
          <w:szCs w:val="20"/>
          <w:color w:val="auto"/>
        </w:rPr>
      </w:pPr>
      <w:r>
        <w:rPr>
          <w:rFonts w:ascii="Times New Roman" w:cs="Times New Roman" w:eastAsia="Times New Roman" w:hAnsi="Times New Roman"/>
          <w:sz w:val="17"/>
          <w:szCs w:val="17"/>
          <w:color w:val="auto"/>
        </w:rPr>
        <w:t>Additionally, the Company has the ability to borrow under short-term lines of credit, overdraft facilities and short-term revolving credit facilities denominated in various foreign currencies. These facilities provided for borrowing capacity of up to $234.9 million based on exchange rates in effect on February 1, 2026 and are utilized primarily to fund working capital needs. The Company had no borrowings outstanding under these facilities as of February 1, 2026 and February 2,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Commercial Paper</w:t>
      </w:r>
    </w:p>
    <w:p>
      <w:pPr>
        <w:spacing w:after="0" w:line="249" w:lineRule="exact"/>
        <w:rPr>
          <w:sz w:val="20"/>
          <w:szCs w:val="20"/>
          <w:color w:val="auto"/>
        </w:rPr>
      </w:pPr>
    </w:p>
    <w:p>
      <w:pPr>
        <w:ind w:right="120" w:firstLine="390"/>
        <w:spacing w:after="0" w:line="268" w:lineRule="auto"/>
        <w:rPr>
          <w:sz w:val="20"/>
          <w:szCs w:val="20"/>
          <w:color w:val="auto"/>
        </w:rPr>
      </w:pPr>
      <w:r>
        <w:rPr>
          <w:rFonts w:ascii="Times New Roman" w:cs="Times New Roman" w:eastAsia="Times New Roman" w:hAnsi="Times New Roman"/>
          <w:sz w:val="17"/>
          <w:szCs w:val="17"/>
          <w:color w:val="auto"/>
        </w:rPr>
        <w:t>The Company has the ability to issue unsecured commercial paper notes with maturities that vary but do not exceed 397 days from the date of issuance primarily to fund working capital needs. Borrowings under the commercial paper note program, when taken together with the revolving borrowings outstanding under the multicurrency revolving credit facility included in the 2022 facilities (as defined below), cannot exceed $1,150.0 million. The Company had no borrowings outstanding under the commercial paper note program as of February 1, 2026 and February 2,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2025 Unsecured Delayed Draw Term Loan Facilities</w:t>
      </w:r>
    </w:p>
    <w:p>
      <w:pPr>
        <w:spacing w:after="0" w:line="249" w:lineRule="exact"/>
        <w:rPr>
          <w:sz w:val="20"/>
          <w:szCs w:val="20"/>
          <w:color w:val="auto"/>
        </w:rPr>
      </w:pPr>
    </w:p>
    <w:p>
      <w:pPr>
        <w:ind w:right="80" w:firstLine="390"/>
        <w:spacing w:after="0" w:line="293" w:lineRule="auto"/>
        <w:rPr>
          <w:sz w:val="20"/>
          <w:szCs w:val="20"/>
          <w:color w:val="auto"/>
        </w:rPr>
      </w:pPr>
      <w:r>
        <w:rPr>
          <w:rFonts w:ascii="Times New Roman" w:cs="Times New Roman" w:eastAsia="Times New Roman" w:hAnsi="Times New Roman"/>
          <w:sz w:val="17"/>
          <w:szCs w:val="17"/>
          <w:color w:val="auto"/>
        </w:rPr>
        <w:t>On April 4, 2025, the Company entered into a credit agreement that provided for a delayed draw term loan facility with aggregate lending commitments of $250.0 million for United States dollar-denominated senior unsecured term loans (the “April</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92" w:name="page93"/>
    <w:bookmarkEnd w:id="92"/>
    <w:p>
      <w:pPr>
        <w:ind w:right="460"/>
        <w:spacing w:after="0" w:line="293" w:lineRule="auto"/>
        <w:rPr>
          <w:sz w:val="20"/>
          <w:szCs w:val="20"/>
          <w:color w:val="auto"/>
        </w:rPr>
      </w:pPr>
      <w:r>
        <w:rPr>
          <w:rFonts w:ascii="Times New Roman" w:cs="Times New Roman" w:eastAsia="Times New Roman" w:hAnsi="Times New Roman"/>
          <w:sz w:val="17"/>
          <w:szCs w:val="17"/>
          <w:color w:val="auto"/>
        </w:rPr>
        <w:t>4 facility”). On April 25, 2025, the Company entered into an additional credit agreement that provided for a delayed draw term loan facility with aggregate lending commitments of $450.0 million for United States dollar-denominated senior unsecured term loans (the “April 25 facility”).</w:t>
      </w:r>
    </w:p>
    <w:p>
      <w:pPr>
        <w:spacing w:after="0" w:line="173" w:lineRule="exact"/>
        <w:rPr>
          <w:sz w:val="20"/>
          <w:szCs w:val="20"/>
          <w:color w:val="auto"/>
        </w:rPr>
      </w:pPr>
    </w:p>
    <w:p>
      <w:pPr>
        <w:ind w:firstLine="390"/>
        <w:spacing w:after="0" w:line="274" w:lineRule="auto"/>
        <w:rPr>
          <w:sz w:val="20"/>
          <w:szCs w:val="20"/>
          <w:color w:val="auto"/>
        </w:rPr>
      </w:pPr>
      <w:r>
        <w:rPr>
          <w:rFonts w:ascii="Times New Roman" w:cs="Times New Roman" w:eastAsia="Times New Roman" w:hAnsi="Times New Roman"/>
          <w:sz w:val="17"/>
          <w:szCs w:val="17"/>
          <w:color w:val="auto"/>
        </w:rPr>
        <w:t>The April 25 facility terminated by its terms during the second quarter of 2025 as a result of the Company’s issuance of the $500.0 million principal amount of 5 1/2% senior notes due June 13, 2030 discussed below. The April 4 facility terminated by its terms on February 4, 2026. The Company had not drawn on these facilities prior to their terminations.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6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61"/>
        </w:trPr>
        <w:tc>
          <w:tcPr>
            <w:tcW w:w="120" w:type="dxa"/>
            <w:vAlign w:val="bottom"/>
          </w:tcPr>
          <w:p>
            <w:pPr>
              <w:spacing w:after="0"/>
              <w:rPr>
                <w:sz w:val="24"/>
                <w:szCs w:val="24"/>
                <w:color w:val="auto"/>
              </w:rPr>
            </w:pPr>
          </w:p>
        </w:tc>
        <w:tc>
          <w:tcPr>
            <w:tcW w:w="77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auto"/>
              </w:rPr>
              <w:t>The carrying amounts of the Company’s long-term debt were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7"/>
        </w:trPr>
        <w:tc>
          <w:tcPr>
            <w:tcW w:w="7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2024</w:t>
            </w:r>
          </w:p>
        </w:tc>
      </w:tr>
      <w:tr>
        <w:trPr>
          <w:trHeight w:val="84"/>
        </w:trPr>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21"/>
        </w:trPr>
        <w:tc>
          <w:tcPr>
            <w:tcW w:w="7820" w:type="dxa"/>
            <w:vAlign w:val="bottom"/>
            <w:gridSpan w:val="3"/>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Senior unsecured Term Loan A facility due 2027 </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432.7</w:t>
            </w:r>
          </w:p>
        </w:tc>
      </w:tr>
      <w:tr>
        <w:trPr>
          <w:trHeight w:val="221"/>
        </w:trPr>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5/8% senior unsecured notes due 2025</w:t>
            </w:r>
          </w:p>
        </w:tc>
        <w:tc>
          <w:tcPr>
            <w:tcW w:w="3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499.4</w:t>
            </w:r>
          </w:p>
        </w:tc>
      </w:tr>
      <w:tr>
        <w:trPr>
          <w:trHeight w:val="221"/>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3</w:t>
            </w:r>
          </w:p>
        </w:tc>
        <w:tc>
          <w:tcPr>
            <w:tcW w:w="7700" w:type="dxa"/>
            <w:vAlign w:val="bottom"/>
            <w:gridSpan w:val="2"/>
            <w:shd w:val="clear" w:color="auto" w:fill="CCEEFF"/>
          </w:tcPr>
          <w:p>
            <w:pPr>
              <w:ind w:left="40"/>
              <w:spacing w:after="0" w:line="221" w:lineRule="exact"/>
              <w:rPr>
                <w:sz w:val="20"/>
                <w:szCs w:val="20"/>
                <w:color w:val="auto"/>
              </w:rPr>
            </w:pPr>
            <w:r>
              <w:rPr>
                <w:rFonts w:ascii="Times New Roman" w:cs="Times New Roman" w:eastAsia="Times New Roman" w:hAnsi="Times New Roman"/>
                <w:sz w:val="17"/>
                <w:szCs w:val="17"/>
                <w:color w:val="auto"/>
              </w:rPr>
              <w:t xml:space="preserve">1/8% senior unsecured euro notes due 2027 </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619.1</w:t>
            </w:r>
          </w:p>
        </w:tc>
      </w:tr>
      <w:tr>
        <w:trPr>
          <w:trHeight w:val="221"/>
        </w:trPr>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4</w:t>
            </w:r>
          </w:p>
        </w:tc>
        <w:tc>
          <w:tcPr>
            <w:tcW w:w="7700" w:type="dxa"/>
            <w:vAlign w:val="bottom"/>
            <w:gridSpan w:val="2"/>
          </w:tcPr>
          <w:p>
            <w:pPr>
              <w:ind w:left="40"/>
              <w:spacing w:after="0" w:line="221" w:lineRule="exact"/>
              <w:rPr>
                <w:sz w:val="20"/>
                <w:szCs w:val="20"/>
                <w:color w:val="auto"/>
              </w:rPr>
            </w:pPr>
            <w:r>
              <w:rPr>
                <w:rFonts w:ascii="Times New Roman" w:cs="Times New Roman" w:eastAsia="Times New Roman" w:hAnsi="Times New Roman"/>
                <w:sz w:val="17"/>
                <w:szCs w:val="17"/>
                <w:color w:val="auto"/>
              </w:rPr>
              <w:t xml:space="preserve">1/8% senior unsecured euro notes due 2029 </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539.5</w:t>
            </w:r>
          </w:p>
        </w:tc>
      </w:tr>
      <w:tr>
        <w:trPr>
          <w:trHeight w:val="221"/>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5</w:t>
            </w:r>
          </w:p>
        </w:tc>
        <w:tc>
          <w:tcPr>
            <w:tcW w:w="7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1/2% senior unsecured notes due 2030</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494.8</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2,304.5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2,090.7</w:t>
            </w:r>
          </w:p>
        </w:tc>
      </w:tr>
      <w:tr>
        <w:trPr>
          <w:trHeight w:val="221"/>
        </w:trPr>
        <w:tc>
          <w:tcPr>
            <w:tcW w:w="7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510.8</w:t>
            </w:r>
          </w:p>
        </w:tc>
      </w:tr>
      <w:tr>
        <w:trPr>
          <w:trHeight w:val="214"/>
        </w:trPr>
        <w:tc>
          <w:tcPr>
            <w:tcW w:w="78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2,291.4</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1,579.9</w:t>
            </w:r>
          </w:p>
        </w:tc>
      </w:tr>
      <w:tr>
        <w:trPr>
          <w:trHeight w:val="20"/>
        </w:trPr>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620" w:right="20" w:hanging="304"/>
        <w:spacing w:after="0" w:line="226" w:lineRule="auto"/>
        <w:tabs>
          <w:tab w:leader="none" w:pos="652"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The carrying amount of the euro-denominated Term Loan A facility and the senior unsecured euro notes includes the impact of changes in the exchange rate of the United States dollar against the euro.</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Please see Note 11, “Fair Value Measurements,” for the fair value of the Company’s long-term debt as of February 1, 2026 and February 2, 2025.</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Company’s mandatory long-term debt repayments for the next five years were as follows as of February 1, 2026:</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440" w:type="dxa"/>
            <w:vAlign w:val="bottom"/>
          </w:tcPr>
          <w:p>
            <w:pPr>
              <w:spacing w:after="0"/>
              <w:rPr>
                <w:sz w:val="19"/>
                <w:szCs w:val="19"/>
                <w:color w:val="auto"/>
              </w:rPr>
            </w:pPr>
          </w:p>
        </w:tc>
        <w:tc>
          <w:tcPr>
            <w:tcW w:w="1080" w:type="dxa"/>
            <w:vAlign w:val="bottom"/>
            <w:gridSpan w:val="2"/>
            <w:vMerge w:val="restart"/>
          </w:tcPr>
          <w:p>
            <w:pPr>
              <w:jc w:val="right"/>
              <w:ind w:right="253"/>
              <w:spacing w:after="0"/>
              <w:rPr>
                <w:sz w:val="20"/>
                <w:szCs w:val="20"/>
                <w:color w:val="auto"/>
              </w:rPr>
            </w:pPr>
            <w:r>
              <w:rPr>
                <w:rFonts w:ascii="Times New Roman" w:cs="Times New Roman" w:eastAsia="Times New Roman" w:hAnsi="Times New Roman"/>
                <w:sz w:val="17"/>
                <w:szCs w:val="17"/>
                <w:color w:val="auto"/>
                <w:w w:val="93"/>
              </w:rPr>
              <w:t xml:space="preserve">Amount </w:t>
            </w:r>
            <w:r>
              <w:rPr>
                <w:rFonts w:ascii="Times New Roman" w:cs="Times New Roman" w:eastAsia="Times New Roman" w:hAnsi="Times New Roman"/>
                <w:sz w:val="22"/>
                <w:szCs w:val="22"/>
                <w:color w:val="auto"/>
                <w:w w:val="93"/>
                <w:vertAlign w:val="superscript"/>
              </w:rPr>
              <w:t>(1)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0" w:type="dxa"/>
            <w:vAlign w:val="bottom"/>
          </w:tcPr>
          <w:p>
            <w:pPr>
              <w:spacing w:after="0" w:line="188" w:lineRule="exact"/>
              <w:rPr>
                <w:sz w:val="20"/>
                <w:szCs w:val="20"/>
                <w:color w:val="auto"/>
              </w:rPr>
            </w:pPr>
            <w:r>
              <w:rPr>
                <w:rFonts w:ascii="Times New Roman" w:cs="Times New Roman" w:eastAsia="Times New Roman" w:hAnsi="Times New Roman"/>
                <w:sz w:val="17"/>
                <w:szCs w:val="17"/>
                <w:color w:val="auto"/>
                <w:w w:val="97"/>
              </w:rPr>
              <w:t>Fiscal Year</w:t>
            </w: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21"/>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1,181.0</w:t>
            </w:r>
          </w:p>
        </w:tc>
        <w:tc>
          <w:tcPr>
            <w:tcW w:w="0" w:type="dxa"/>
            <w:vAlign w:val="bottom"/>
          </w:tcPr>
          <w:p>
            <w:pPr>
              <w:spacing w:after="0"/>
              <w:rPr>
                <w:sz w:val="1"/>
                <w:szCs w:val="1"/>
                <w:color w:val="auto"/>
              </w:rPr>
            </w:pPr>
          </w:p>
        </w:tc>
      </w:tr>
      <w:tr>
        <w:trPr>
          <w:trHeight w:val="221"/>
        </w:trPr>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622.2</w:t>
            </w:r>
          </w:p>
        </w:tc>
        <w:tc>
          <w:tcPr>
            <w:tcW w:w="0" w:type="dxa"/>
            <w:vAlign w:val="bottom"/>
          </w:tcPr>
          <w:p>
            <w:pPr>
              <w:spacing w:after="0"/>
              <w:rPr>
                <w:sz w:val="1"/>
                <w:szCs w:val="1"/>
                <w:color w:val="auto"/>
              </w:rPr>
            </w:pPr>
          </w:p>
        </w:tc>
      </w:tr>
      <w:tr>
        <w:trPr>
          <w:trHeight w:val="221"/>
        </w:trPr>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620" w:right="220" w:hanging="304"/>
        <w:spacing w:after="0" w:line="226" w:lineRule="auto"/>
        <w:tabs>
          <w:tab w:leader="none" w:pos="646" w:val="left"/>
        </w:tabs>
        <w:numPr>
          <w:ilvl w:val="0"/>
          <w:numId w:val="5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 portion of the Company’s mandatory long-term debt repayments is denominated in euros and subject to changes in the exchange rate of the United States dollar against the euro.</w:t>
      </w:r>
    </w:p>
    <w:p>
      <w:pPr>
        <w:spacing w:after="0" w:line="217" w:lineRule="exact"/>
        <w:rPr>
          <w:sz w:val="20"/>
          <w:szCs w:val="20"/>
          <w:color w:val="auto"/>
        </w:rPr>
      </w:pPr>
    </w:p>
    <w:p>
      <w:pPr>
        <w:ind w:right="140" w:firstLine="390"/>
        <w:spacing w:after="0" w:line="293" w:lineRule="auto"/>
        <w:rPr>
          <w:sz w:val="20"/>
          <w:szCs w:val="20"/>
          <w:color w:val="auto"/>
        </w:rPr>
      </w:pPr>
      <w:r>
        <w:rPr>
          <w:rFonts w:ascii="Times New Roman" w:cs="Times New Roman" w:eastAsia="Times New Roman" w:hAnsi="Times New Roman"/>
          <w:sz w:val="17"/>
          <w:szCs w:val="17"/>
          <w:color w:val="auto"/>
        </w:rPr>
        <w:t>Total debt repayments for the next five years exceed the total carrying amount of the Company’s debt as of February 1, 2026 because the carrying amount reflects the unamortized portions of debt issuance costs and the original issue discounts.</w:t>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February 1, 2026, approximately 80% of the Company’s long-term debt had fixed interest rates, with the remainder at variable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auto"/>
        </w:rPr>
        <w:t>2022 Senior Unsecured Credit Facilities</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On December 9, 2022 (the “Closing Date”), the Company entered into senior unsecured credit facilities (the “2022 facilities”). The 2022 facilities consist of</w:t>
      </w:r>
    </w:p>
    <w:p>
      <w:pPr>
        <w:spacing w:after="0" w:line="31" w:lineRule="exact"/>
        <w:rPr>
          <w:sz w:val="20"/>
          <w:szCs w:val="20"/>
          <w:color w:val="auto"/>
        </w:rPr>
      </w:pPr>
    </w:p>
    <w:p>
      <w:pPr>
        <w:ind w:right="20" w:firstLine="4"/>
        <w:spacing w:after="0" w:line="259" w:lineRule="auto"/>
        <w:tabs>
          <w:tab w:leader="none" w:pos="23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€440.6 million euro-denominated Term Loan A facility (the “Euro TLA facility”), (b) a $1,150.0 million United States dollar-denominated multicurrency revolving credit facility (the “multicurrency revolving credit facility”), which is available in (i) United States dollars, (ii) Australian dollars (limited to A$50.0 million), (iii) Canadian dollars (limited to C$70.0 million), or (iv) euros, yen, pounds sterling, Swiss francs or other agreed foreign currencies (limited to €250.0 million</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and (c) a $50.0 million United States dollar-denominated revolving credit facility available in United States dollars or Hong Kong dollars (together with the multicurrency revolving credit facility, the “revolving credit facilities”). The 2022 facilities are due on December 9, 2027.</w:t>
      </w:r>
    </w:p>
    <w:p>
      <w:pPr>
        <w:spacing w:after="0" w:line="201" w:lineRule="exact"/>
        <w:rPr>
          <w:sz w:val="20"/>
          <w:szCs w:val="20"/>
          <w:color w:val="auto"/>
        </w:rPr>
      </w:pPr>
    </w:p>
    <w:p>
      <w:pPr>
        <w:ind w:right="100" w:firstLine="390"/>
        <w:spacing w:after="0" w:line="265" w:lineRule="auto"/>
        <w:rPr>
          <w:sz w:val="20"/>
          <w:szCs w:val="20"/>
          <w:color w:val="auto"/>
        </w:rPr>
      </w:pPr>
      <w:r>
        <w:rPr>
          <w:rFonts w:ascii="Times New Roman" w:cs="Times New Roman" w:eastAsia="Times New Roman" w:hAnsi="Times New Roman"/>
          <w:sz w:val="17"/>
          <w:szCs w:val="17"/>
          <w:color w:val="auto"/>
        </w:rPr>
        <w:t>The multicurrency revolving credit facility also includes amounts available for letters of credit and has a portion available for the making of swingline loans. The issuance of such letters of credit and the making of any swingline loan reduces the amount available under the multicurrency revolving credit facility. So long as certain conditions are satisfied, the Company may add one or more senior unsecured term loan facilities or increase the commitments under the revolving credit facilities by an aggregate amount not to exceed $1,500.0 million. The lenders under the 2022 facilities are not required to provide commitments with respect to such additional facilities or increased commitments.</w:t>
      </w:r>
    </w:p>
    <w:p>
      <w:pPr>
        <w:spacing w:after="0" w:line="196" w:lineRule="exact"/>
        <w:rPr>
          <w:sz w:val="20"/>
          <w:szCs w:val="20"/>
          <w:color w:val="auto"/>
        </w:rPr>
      </w:pPr>
    </w:p>
    <w:p>
      <w:pPr>
        <w:ind w:firstLine="390"/>
        <w:spacing w:after="0" w:line="265" w:lineRule="auto"/>
        <w:rPr>
          <w:sz w:val="20"/>
          <w:szCs w:val="20"/>
          <w:color w:val="auto"/>
        </w:rPr>
      </w:pPr>
      <w:r>
        <w:rPr>
          <w:rFonts w:ascii="Times New Roman" w:cs="Times New Roman" w:eastAsia="Times New Roman" w:hAnsi="Times New Roman"/>
          <w:sz w:val="17"/>
          <w:szCs w:val="17"/>
          <w:color w:val="auto"/>
        </w:rPr>
        <w:t>The terms of the Euro TLA facility require the Company to make quarterly repayments of amounts outstanding, which commenced with the calendar quarter ending March 31, 2023. Such required repayment amounts equal 2.50% per annum of the principal amount outstanding on the Closing Date, paid in equal installments and subject to certain customary adjustments, with the balance due on the maturity date of the Euro TLA facility. The outstanding borrowings under the 2022 facilities are prepayable at any time without penalty (other than customary breakage costs). Any voluntary repayments made by the Company would reduce the future required repayment amounts. The outstanding principal balance for the Euro TLA facility was €407.6 million as of February 1, 2026.</w:t>
      </w:r>
    </w:p>
    <w:p>
      <w:pPr>
        <w:spacing w:after="0" w:line="196" w:lineRule="exact"/>
        <w:rPr>
          <w:sz w:val="20"/>
          <w:szCs w:val="20"/>
          <w:color w:val="auto"/>
        </w:rPr>
      </w:pPr>
    </w:p>
    <w:p>
      <w:pPr>
        <w:ind w:firstLine="390"/>
        <w:spacing w:after="0" w:line="293" w:lineRule="auto"/>
        <w:rPr>
          <w:sz w:val="20"/>
          <w:szCs w:val="20"/>
          <w:color w:val="auto"/>
        </w:rPr>
      </w:pPr>
      <w:r>
        <w:rPr>
          <w:rFonts w:ascii="Times New Roman" w:cs="Times New Roman" w:eastAsia="Times New Roman" w:hAnsi="Times New Roman"/>
          <w:sz w:val="17"/>
          <w:szCs w:val="17"/>
          <w:color w:val="auto"/>
        </w:rPr>
        <w:t>The Company made payments totaling $12.7 million, $11.8 million and $11.9 million on its term loan under the 2022 facilities during 2025, 2024 and 2023, respectively.</w:t>
      </w:r>
    </w:p>
    <w:p>
      <w:pPr>
        <w:spacing w:after="0" w:line="173" w:lineRule="exact"/>
        <w:rPr>
          <w:sz w:val="20"/>
          <w:szCs w:val="20"/>
          <w:color w:val="auto"/>
        </w:rPr>
      </w:pPr>
    </w:p>
    <w:p>
      <w:pPr>
        <w:ind w:right="120" w:firstLine="390"/>
        <w:spacing w:after="0" w:line="274" w:lineRule="auto"/>
        <w:rPr>
          <w:sz w:val="20"/>
          <w:szCs w:val="20"/>
          <w:color w:val="auto"/>
        </w:rPr>
      </w:pPr>
      <w:r>
        <w:rPr>
          <w:rFonts w:ascii="Times New Roman" w:cs="Times New Roman" w:eastAsia="Times New Roman" w:hAnsi="Times New Roman"/>
          <w:sz w:val="17"/>
          <w:szCs w:val="17"/>
          <w:color w:val="auto"/>
        </w:rPr>
        <w:t>The euro-denominated borrowings under the Euro TLA facility and multicurrency revolving credit facility bear interest at a rate per annum equal to a euro interbank offered rate (“EURIBOR”) and the euro-denominated swing line borrowings under the 2022 facilities bear interest at a rate per annum equal to an adjusted daily simple euro short term rate (“ESTR”), calculated in a manner set forth in the 2022 facilities, plus in each case an applicable margin.</w:t>
      </w:r>
    </w:p>
    <w:p>
      <w:pPr>
        <w:spacing w:after="0" w:line="189" w:lineRule="exact"/>
        <w:rPr>
          <w:sz w:val="20"/>
          <w:szCs w:val="20"/>
          <w:color w:val="auto"/>
        </w:rPr>
      </w:pPr>
    </w:p>
    <w:p>
      <w:pPr>
        <w:ind w:right="40" w:firstLine="390"/>
        <w:spacing w:after="0" w:line="293" w:lineRule="auto"/>
        <w:rPr>
          <w:sz w:val="20"/>
          <w:szCs w:val="20"/>
          <w:color w:val="auto"/>
        </w:rPr>
      </w:pPr>
      <w:r>
        <w:rPr>
          <w:rFonts w:ascii="Times New Roman" w:cs="Times New Roman" w:eastAsia="Times New Roman" w:hAnsi="Times New Roman"/>
          <w:sz w:val="17"/>
          <w:szCs w:val="17"/>
          <w:color w:val="auto"/>
        </w:rPr>
        <w:t>The United States dollar-denominated borrowings under the 2022 facilities bear interest at a rate per annum equal to, at the Company’s option, either a base rate or an adjusted term secured overnight financing rate, calculated in a manner set forth in the 2022 facilities, plus an applicable margin.</w:t>
      </w:r>
    </w:p>
    <w:p>
      <w:pPr>
        <w:spacing w:after="0" w:line="173" w:lineRule="exact"/>
        <w:rPr>
          <w:sz w:val="20"/>
          <w:szCs w:val="20"/>
          <w:color w:val="auto"/>
        </w:rPr>
      </w:pPr>
    </w:p>
    <w:p>
      <w:pPr>
        <w:ind w:right="200" w:firstLine="390"/>
        <w:spacing w:after="0" w:line="293" w:lineRule="auto"/>
        <w:rPr>
          <w:sz w:val="20"/>
          <w:szCs w:val="20"/>
          <w:color w:val="auto"/>
        </w:rPr>
      </w:pPr>
      <w:r>
        <w:rPr>
          <w:rFonts w:ascii="Times New Roman" w:cs="Times New Roman" w:eastAsia="Times New Roman" w:hAnsi="Times New Roman"/>
          <w:sz w:val="17"/>
          <w:szCs w:val="17"/>
          <w:color w:val="auto"/>
        </w:rPr>
        <w:t>The borrowings denominated in other foreign currencies under the 2022 facilities bear interest at various indexed rates specified in the 2022 facilities and are calculated in a manner set forth in the 2022 facilities, plus an applicable margin.</w:t>
      </w:r>
    </w:p>
    <w:p>
      <w:pPr>
        <w:spacing w:after="0" w:line="173" w:lineRule="exact"/>
        <w:rPr>
          <w:sz w:val="20"/>
          <w:szCs w:val="20"/>
          <w:color w:val="auto"/>
        </w:rPr>
      </w:pPr>
    </w:p>
    <w:p>
      <w:pPr>
        <w:ind w:right="60" w:firstLine="390"/>
        <w:spacing w:after="0" w:line="263" w:lineRule="auto"/>
        <w:rPr>
          <w:sz w:val="20"/>
          <w:szCs w:val="20"/>
          <w:color w:val="auto"/>
        </w:rPr>
      </w:pPr>
      <w:r>
        <w:rPr>
          <w:rFonts w:ascii="Times New Roman" w:cs="Times New Roman" w:eastAsia="Times New Roman" w:hAnsi="Times New Roman"/>
          <w:sz w:val="17"/>
          <w:szCs w:val="17"/>
          <w:color w:val="auto"/>
        </w:rPr>
        <w:t>The applicable margin with respect to the Euro TLA facility as of February 1, 2026 was 1.250%. The applicable margin with respect to the revolving credit facilities as of February 1, 2026 was 0.125% for loans bearing interest at the base rate, Canadian prime rate or daily simple ESTR and 1.125% for loans bearing interest at the EURIBOR or any other rate specified in the 2022 facilities. The applicable margin for borrowings under the Euro TLA facility and each revolving credit facility is subject to adjustment (i) after the date of delivery of the compliance certificate and financial statements, with respect to each of the Company’s fiscal quarters, based upon the Company’s net leverage ratio or (ii) after the date of delivery of notice of a change in the Company’s public debt rating by Standard &amp; Poor’s or Moody’s.</w:t>
      </w:r>
    </w:p>
    <w:p>
      <w:pPr>
        <w:spacing w:after="0" w:line="198" w:lineRule="exact"/>
        <w:rPr>
          <w:sz w:val="20"/>
          <w:szCs w:val="20"/>
          <w:color w:val="auto"/>
        </w:rPr>
      </w:pPr>
    </w:p>
    <w:p>
      <w:pPr>
        <w:jc w:val="both"/>
        <w:ind w:right="300" w:firstLine="390"/>
        <w:spacing w:after="0" w:line="274" w:lineRule="auto"/>
        <w:rPr>
          <w:sz w:val="20"/>
          <w:szCs w:val="20"/>
          <w:color w:val="auto"/>
        </w:rPr>
      </w:pPr>
      <w:r>
        <w:rPr>
          <w:rFonts w:ascii="Times New Roman" w:cs="Times New Roman" w:eastAsia="Times New Roman" w:hAnsi="Times New Roman"/>
          <w:sz w:val="17"/>
          <w:szCs w:val="17"/>
          <w:color w:val="auto"/>
        </w:rPr>
        <w:t>The 2022 facilities contain customary events of default, including but not limited to nonpayment; material inaccuracy of representations and warranties; violations of covenants; certain bankruptcies and liquidations; cross-default to material indebtedness; certain material judgments; certain events related to the Employee Retirement Income Security Act of 1974, as amended; and a change in control (as defined in the 2022 facilities).</w:t>
      </w:r>
    </w:p>
    <w:p>
      <w:pPr>
        <w:spacing w:after="0" w:line="189" w:lineRule="exact"/>
        <w:rPr>
          <w:sz w:val="20"/>
          <w:szCs w:val="20"/>
          <w:color w:val="auto"/>
        </w:rPr>
      </w:pPr>
    </w:p>
    <w:p>
      <w:pPr>
        <w:jc w:val="both"/>
        <w:ind w:right="40" w:firstLine="390"/>
        <w:spacing w:after="0" w:line="274" w:lineRule="auto"/>
        <w:rPr>
          <w:sz w:val="20"/>
          <w:szCs w:val="20"/>
          <w:color w:val="auto"/>
        </w:rPr>
      </w:pPr>
      <w:r>
        <w:rPr>
          <w:rFonts w:ascii="Times New Roman" w:cs="Times New Roman" w:eastAsia="Times New Roman" w:hAnsi="Times New Roman"/>
          <w:sz w:val="17"/>
          <w:szCs w:val="17"/>
          <w:color w:val="auto"/>
        </w:rPr>
        <w:t>The 2022 facilities require the Company to comply with customary affirmative, negative and financial covenants, including a maximum net leverage ratio, calculated in a manner set forth in the 2022 facilities. A breach of any of these operating or financial covenants would result in a default under the 2022 facilities. If an event of default occurs and is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94" w:name="page95"/>
    <w:bookmarkEnd w:id="94"/>
    <w:p>
      <w:pPr>
        <w:ind w:right="20"/>
        <w:spacing w:after="0" w:line="293" w:lineRule="auto"/>
        <w:rPr>
          <w:sz w:val="20"/>
          <w:szCs w:val="20"/>
          <w:color w:val="auto"/>
        </w:rPr>
      </w:pPr>
      <w:r>
        <w:rPr>
          <w:rFonts w:ascii="Times New Roman" w:cs="Times New Roman" w:eastAsia="Times New Roman" w:hAnsi="Times New Roman"/>
          <w:sz w:val="17"/>
          <w:szCs w:val="17"/>
          <w:color w:val="auto"/>
        </w:rPr>
        <w:t>continuing, the lenders could elect to declare all amounts then outstanding, together with accrued interest, to be immediately due and payable, which would result in acceleration of the Company’s other debt.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7 3/4% Debentures Due 2023</w:t>
      </w:r>
    </w:p>
    <w:p>
      <w:pPr>
        <w:spacing w:after="0" w:line="247" w:lineRule="exact"/>
        <w:rPr>
          <w:sz w:val="20"/>
          <w:szCs w:val="20"/>
          <w:color w:val="auto"/>
        </w:rPr>
      </w:pPr>
    </w:p>
    <w:p>
      <w:pPr>
        <w:ind w:right="160" w:firstLine="390"/>
        <w:spacing w:after="0" w:line="293" w:lineRule="auto"/>
        <w:rPr>
          <w:sz w:val="20"/>
          <w:szCs w:val="20"/>
          <w:color w:val="auto"/>
        </w:rPr>
      </w:pPr>
      <w:r>
        <w:rPr>
          <w:rFonts w:ascii="Times New Roman" w:cs="Times New Roman" w:eastAsia="Times New Roman" w:hAnsi="Times New Roman"/>
          <w:sz w:val="17"/>
          <w:szCs w:val="17"/>
          <w:color w:val="auto"/>
        </w:rPr>
        <w:t>The Company had $100.0 million of debentures due November 15, 2023 that accrued interest at the rate of 7 3/4%. The Company repaid these debentures at maturity.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3 5/8% Euro Senior Notes Due 2024</w:t>
      </w:r>
    </w:p>
    <w:p>
      <w:pPr>
        <w:spacing w:after="0" w:line="247" w:lineRule="exact"/>
        <w:rPr>
          <w:sz w:val="20"/>
          <w:szCs w:val="20"/>
          <w:color w:val="auto"/>
        </w:rPr>
      </w:pPr>
    </w:p>
    <w:p>
      <w:pPr>
        <w:ind w:right="60" w:firstLine="390"/>
        <w:spacing w:after="0" w:line="268" w:lineRule="auto"/>
        <w:rPr>
          <w:sz w:val="20"/>
          <w:szCs w:val="20"/>
          <w:color w:val="auto"/>
        </w:rPr>
      </w:pPr>
      <w:r>
        <w:rPr>
          <w:rFonts w:ascii="Times New Roman" w:cs="Times New Roman" w:eastAsia="Times New Roman" w:hAnsi="Times New Roman"/>
          <w:sz w:val="17"/>
          <w:szCs w:val="17"/>
          <w:color w:val="auto"/>
        </w:rPr>
        <w:t>The Company had outstanding €525.0 million principal amount of 3 5/8% senior notes due July 15, 2024. The Company redeemed these notes on April 25, 2024 utilizing the net proceeds from the issuance of the €525.0 million principal amount of 4 1/8% senior notes due July 16, 2029 together with other available funds, as discussed below. The Company recorded an immaterial amount of debt extinguishment costs to write-off previously capitalized debt issuance costs associated with these notes during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4 5/8% Senior Notes Due 2025</w:t>
      </w:r>
    </w:p>
    <w:p>
      <w:pPr>
        <w:spacing w:after="0" w:line="247" w:lineRule="exact"/>
        <w:rPr>
          <w:sz w:val="20"/>
          <w:szCs w:val="20"/>
          <w:color w:val="auto"/>
        </w:rPr>
      </w:pPr>
    </w:p>
    <w:p>
      <w:pPr>
        <w:jc w:val="both"/>
        <w:ind w:right="80" w:firstLine="390"/>
        <w:spacing w:after="0" w:line="274" w:lineRule="auto"/>
        <w:rPr>
          <w:sz w:val="20"/>
          <w:szCs w:val="20"/>
          <w:color w:val="auto"/>
        </w:rPr>
      </w:pPr>
      <w:r>
        <w:rPr>
          <w:rFonts w:ascii="Times New Roman" w:cs="Times New Roman" w:eastAsia="Times New Roman" w:hAnsi="Times New Roman"/>
          <w:sz w:val="17"/>
          <w:szCs w:val="17"/>
          <w:color w:val="auto"/>
        </w:rPr>
        <w:t>The Company had outstanding $500.0 million principal amount of 4 5/8% senior notes due July 10, 2025. The Company repaid these notes upon maturity utilizing the net proceeds from the issuance of the $500.0 million principal amount of 5 1/2% senior notes due June 13, 2030 together with other available funds, as discussed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3 1/8% Euro Senior Notes Due 2027</w:t>
      </w:r>
    </w:p>
    <w:p>
      <w:pPr>
        <w:spacing w:after="0" w:line="247" w:lineRule="exact"/>
        <w:rPr>
          <w:sz w:val="20"/>
          <w:szCs w:val="20"/>
          <w:color w:val="auto"/>
        </w:rPr>
      </w:pPr>
    </w:p>
    <w:p>
      <w:pPr>
        <w:ind w:firstLine="390"/>
        <w:spacing w:after="0" w:line="274" w:lineRule="auto"/>
        <w:rPr>
          <w:sz w:val="20"/>
          <w:szCs w:val="20"/>
          <w:color w:val="auto"/>
        </w:rPr>
      </w:pPr>
      <w:r>
        <w:rPr>
          <w:rFonts w:ascii="Times New Roman" w:cs="Times New Roman" w:eastAsia="Times New Roman" w:hAnsi="Times New Roman"/>
          <w:sz w:val="17"/>
          <w:szCs w:val="17"/>
          <w:color w:val="auto"/>
        </w:rPr>
        <w:t>The Company has outstanding €600.0 million principal amount of 3 1/8% senior notes due December 15, 2027. The Company may redeem some or all of these notes at any time prior to September 15, 2027 by paying a “make whole” premium plus any accrued and unpaid interest. In addition, in advance of maturity, the Company may redeem the remaining outstanding notes beginning on September 15, 2027 at their principal amount plus any accrued and unpaid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4 1/8% Euro Senior Notes Due 2029</w:t>
      </w:r>
    </w:p>
    <w:p>
      <w:pPr>
        <w:spacing w:after="0" w:line="247" w:lineRule="exact"/>
        <w:rPr>
          <w:sz w:val="20"/>
          <w:szCs w:val="20"/>
          <w:color w:val="auto"/>
        </w:rPr>
      </w:pPr>
    </w:p>
    <w:p>
      <w:pPr>
        <w:jc w:val="both"/>
        <w:ind w:right="180" w:firstLine="390"/>
        <w:spacing w:after="0" w:line="274" w:lineRule="auto"/>
        <w:rPr>
          <w:sz w:val="20"/>
          <w:szCs w:val="20"/>
          <w:color w:val="auto"/>
        </w:rPr>
      </w:pPr>
      <w:r>
        <w:rPr>
          <w:rFonts w:ascii="Times New Roman" w:cs="Times New Roman" w:eastAsia="Times New Roman" w:hAnsi="Times New Roman"/>
          <w:sz w:val="17"/>
          <w:szCs w:val="17"/>
          <w:color w:val="auto"/>
        </w:rPr>
        <w:t>The Company issued on April 15, 2024, €525.0 million principal amount of 4 1/8% senior notes due July 16, 2029. The Company paid €5.4 million ($5.7 million based on exchange rates in effect on the payment date) of fees in connection with the issuance of the notes, which are being amortized over the term of the notes.</w:t>
      </w:r>
    </w:p>
    <w:p>
      <w:pPr>
        <w:spacing w:after="0" w:line="189" w:lineRule="exact"/>
        <w:rPr>
          <w:sz w:val="20"/>
          <w:szCs w:val="20"/>
          <w:color w:val="auto"/>
        </w:rPr>
      </w:pPr>
    </w:p>
    <w:p>
      <w:pPr>
        <w:ind w:right="80" w:firstLine="390"/>
        <w:spacing w:after="0" w:line="268" w:lineRule="auto"/>
        <w:rPr>
          <w:sz w:val="20"/>
          <w:szCs w:val="20"/>
          <w:color w:val="auto"/>
        </w:rPr>
      </w:pPr>
      <w:r>
        <w:rPr>
          <w:rFonts w:ascii="Times New Roman" w:cs="Times New Roman" w:eastAsia="Times New Roman" w:hAnsi="Times New Roman"/>
          <w:sz w:val="17"/>
          <w:szCs w:val="17"/>
          <w:color w:val="auto"/>
        </w:rPr>
        <w:t>During the first quarter of 2025, the Company completed the allocation of an amount equal to 100% of the net proceeds of the offering to sustainable materials, which qualify as environmental Eligible Projects (as defined in the Company’s prospectus relating to the notes offering). During the first quarter of 2024, the Company utilized the net proceeds of the offering, together with other available funds, to redeem the €525.0 million principal amount of 3 5/8% senior notes due July 15, 2024, as discussed above.</w:t>
      </w:r>
    </w:p>
    <w:p>
      <w:pPr>
        <w:spacing w:after="0" w:line="194" w:lineRule="exact"/>
        <w:rPr>
          <w:sz w:val="20"/>
          <w:szCs w:val="20"/>
          <w:color w:val="auto"/>
        </w:rPr>
      </w:pPr>
    </w:p>
    <w:p>
      <w:pPr>
        <w:jc w:val="both"/>
        <w:ind w:right="100" w:firstLine="390"/>
        <w:spacing w:after="0" w:line="274" w:lineRule="auto"/>
        <w:rPr>
          <w:sz w:val="20"/>
          <w:szCs w:val="20"/>
          <w:color w:val="auto"/>
        </w:rPr>
      </w:pPr>
      <w:r>
        <w:rPr>
          <w:rFonts w:ascii="Times New Roman" w:cs="Times New Roman" w:eastAsia="Times New Roman" w:hAnsi="Times New Roman"/>
          <w:sz w:val="17"/>
          <w:szCs w:val="17"/>
          <w:color w:val="auto"/>
        </w:rPr>
        <w:t>The Company may redeem some or all of these notes at any time prior to April 16, 2029 by paying a “make whole” premium, plus any accrued and unpaid interest. In addition, in advance of maturity, the Company may redeem the remaining outstanding notes beginning on April 16, 2029, or all of these notes at any time in the event of certain developments affecting taxation, at their principal amount plus any accrued and unpaid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5 1/2% Senior Notes Due 2030</w:t>
      </w:r>
    </w:p>
    <w:p>
      <w:pPr>
        <w:spacing w:after="0" w:line="247" w:lineRule="exact"/>
        <w:rPr>
          <w:sz w:val="20"/>
          <w:szCs w:val="20"/>
          <w:color w:val="auto"/>
        </w:rPr>
      </w:pPr>
    </w:p>
    <w:p>
      <w:pPr>
        <w:jc w:val="both"/>
        <w:ind w:right="100" w:firstLine="390"/>
        <w:spacing w:after="0" w:line="293" w:lineRule="auto"/>
        <w:rPr>
          <w:sz w:val="20"/>
          <w:szCs w:val="20"/>
          <w:color w:val="auto"/>
        </w:rPr>
      </w:pPr>
      <w:r>
        <w:rPr>
          <w:rFonts w:ascii="Times New Roman" w:cs="Times New Roman" w:eastAsia="Times New Roman" w:hAnsi="Times New Roman"/>
          <w:sz w:val="17"/>
          <w:szCs w:val="17"/>
          <w:color w:val="auto"/>
        </w:rPr>
        <w:t>The Company issued on June 13, 2025, $500.0 million principal amount of 5 1/2% senior notes due June 13, 2030. The Company paid $6.0 million of fees in connection with the issuance of the notes, which are being amortized over the term of the notes.</w:t>
      </w:r>
    </w:p>
    <w:p>
      <w:pPr>
        <w:spacing w:after="0" w:line="173" w:lineRule="exact"/>
        <w:rPr>
          <w:sz w:val="20"/>
          <w:szCs w:val="20"/>
          <w:color w:val="auto"/>
        </w:rPr>
      </w:pPr>
    </w:p>
    <w:p>
      <w:pPr>
        <w:ind w:right="200" w:firstLine="390"/>
        <w:spacing w:after="0" w:line="293" w:lineRule="auto"/>
        <w:rPr>
          <w:sz w:val="20"/>
          <w:szCs w:val="20"/>
          <w:color w:val="auto"/>
        </w:rPr>
      </w:pPr>
      <w:r>
        <w:rPr>
          <w:rFonts w:ascii="Times New Roman" w:cs="Times New Roman" w:eastAsia="Times New Roman" w:hAnsi="Times New Roman"/>
          <w:sz w:val="17"/>
          <w:szCs w:val="17"/>
          <w:color w:val="auto"/>
        </w:rPr>
        <w:t>The Company utilized the net proceeds of the offering, together with other available funds, to repay the $500.0 million principal amount of 4 5/8% senior notes due July 10, 2025, as discussed above.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95" w:name="page96"/>
    <w:bookmarkEnd w:id="95"/>
    <w:p>
      <w:pPr>
        <w:ind w:right="20" w:firstLine="390"/>
        <w:spacing w:after="0" w:line="274" w:lineRule="auto"/>
        <w:rPr>
          <w:sz w:val="20"/>
          <w:szCs w:val="20"/>
          <w:color w:val="auto"/>
        </w:rPr>
      </w:pPr>
      <w:r>
        <w:rPr>
          <w:rFonts w:ascii="Times New Roman" w:cs="Times New Roman" w:eastAsia="Times New Roman" w:hAnsi="Times New Roman"/>
          <w:sz w:val="17"/>
          <w:szCs w:val="17"/>
          <w:color w:val="auto"/>
        </w:rPr>
        <w:t>The Company may redeem some or all of these notes at any time prior to May 13, 2030 by paying a “make whole” premium, plus any accrued and unpaid interest. In addition, in advance of maturity, the Company may redeem the remaining outstanding notes beginning on May 13, 2030 at their principal amount plus any accrued and unpaid interest.</w:t>
      </w:r>
    </w:p>
    <w:p>
      <w:pPr>
        <w:spacing w:after="0" w:line="189" w:lineRule="exact"/>
        <w:rPr>
          <w:sz w:val="20"/>
          <w:szCs w:val="20"/>
          <w:color w:val="auto"/>
        </w:rPr>
      </w:pPr>
    </w:p>
    <w:p>
      <w:pPr>
        <w:ind w:right="380" w:firstLine="390"/>
        <w:spacing w:after="0" w:line="293" w:lineRule="auto"/>
        <w:rPr>
          <w:sz w:val="20"/>
          <w:szCs w:val="20"/>
          <w:color w:val="auto"/>
        </w:rPr>
      </w:pPr>
      <w:r>
        <w:rPr>
          <w:rFonts w:ascii="Times New Roman" w:cs="Times New Roman" w:eastAsia="Times New Roman" w:hAnsi="Times New Roman"/>
          <w:sz w:val="17"/>
          <w:szCs w:val="17"/>
          <w:color w:val="auto"/>
        </w:rPr>
        <w:t>The Company’s ability to create liens on the Company’s assets or engage in sale/leaseback transactions is restricted under the indentures governing the Company’s senior notes.</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February 1, 2026, the Company was in compliance with all applicable financial and non-financial covenants under its financing arrangements.</w:t>
      </w:r>
    </w:p>
    <w:p>
      <w:pPr>
        <w:spacing w:after="0" w:line="247" w:lineRule="exact"/>
        <w:rPr>
          <w:sz w:val="20"/>
          <w:szCs w:val="20"/>
          <w:color w:val="auto"/>
        </w:rPr>
      </w:pPr>
    </w:p>
    <w:p>
      <w:pPr>
        <w:ind w:firstLine="390"/>
        <w:spacing w:after="0" w:line="293" w:lineRule="auto"/>
        <w:rPr>
          <w:sz w:val="20"/>
          <w:szCs w:val="20"/>
          <w:color w:val="auto"/>
        </w:rPr>
      </w:pPr>
      <w:r>
        <w:rPr>
          <w:rFonts w:ascii="Times New Roman" w:cs="Times New Roman" w:eastAsia="Times New Roman" w:hAnsi="Times New Roman"/>
          <w:sz w:val="17"/>
          <w:szCs w:val="17"/>
          <w:color w:val="auto"/>
        </w:rPr>
        <w:t>The Company also has standby letters of credit and bank guarantees primarily to collateralize the Company’s insurance and lease obligations. The Company had $104.3 million of these standby letters of credit and bank guarantees outstanding as of February 1, 2026.</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Interest paid was $91.9 million, $78.4 million and $96.4 million during 2025, 2024 and 2023, respectively.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9.   INCOME TAXES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42"/>
        </w:trPr>
        <w:tc>
          <w:tcPr>
            <w:tcW w:w="71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domestic and foreign components of income before income taxes were as follows: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7"/>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2023</w:t>
            </w:r>
          </w:p>
        </w:tc>
      </w:tr>
      <w:tr>
        <w:trPr>
          <w:trHeight w:val="214"/>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Domestic</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center"/>
              <w:ind w:left="333"/>
              <w:spacing w:after="0"/>
              <w:rPr>
                <w:sz w:val="20"/>
                <w:szCs w:val="20"/>
                <w:color w:val="auto"/>
              </w:rPr>
            </w:pPr>
            <w:r>
              <w:rPr>
                <w:rFonts w:ascii="Times New Roman" w:cs="Times New Roman" w:eastAsia="Times New Roman" w:hAnsi="Times New Roman"/>
                <w:sz w:val="17"/>
                <w:szCs w:val="17"/>
                <w:color w:val="auto"/>
              </w:rPr>
              <w:t>(239.6)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w:t>
            </w:r>
          </w:p>
        </w:tc>
      </w:tr>
      <w:tr>
        <w:trPr>
          <w:trHeight w:val="221"/>
        </w:trPr>
        <w:tc>
          <w:tcPr>
            <w:tcW w:w="71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Foreign</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53"/>
              <w:spacing w:after="0"/>
              <w:rPr>
                <w:sz w:val="20"/>
                <w:szCs w:val="20"/>
                <w:color w:val="auto"/>
              </w:rPr>
            </w:pPr>
            <w:r>
              <w:rPr>
                <w:rFonts w:ascii="Times New Roman" w:cs="Times New Roman" w:eastAsia="Times New Roman" w:hAnsi="Times New Roman"/>
                <w:sz w:val="17"/>
                <w:szCs w:val="17"/>
                <w:color w:val="auto"/>
              </w:rPr>
              <w:t>390.9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750.1</w:t>
            </w:r>
          </w:p>
        </w:tc>
      </w:tr>
      <w:tr>
        <w:trPr>
          <w:trHeight w:val="239"/>
        </w:trPr>
        <w:tc>
          <w:tcPr>
            <w:tcW w:w="7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7"/>
                <w:szCs w:val="17"/>
                <w:color w:val="auto"/>
              </w:rPr>
              <w:t>151.3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841.0</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right="240" w:firstLine="390"/>
        <w:spacing w:after="0" w:line="293" w:lineRule="auto"/>
        <w:rPr>
          <w:sz w:val="20"/>
          <w:szCs w:val="20"/>
          <w:color w:val="auto"/>
        </w:rPr>
      </w:pPr>
      <w:r>
        <w:rPr>
          <w:rFonts w:ascii="Times New Roman" w:cs="Times New Roman" w:eastAsia="Times New Roman" w:hAnsi="Times New Roman"/>
          <w:sz w:val="17"/>
          <w:szCs w:val="17"/>
          <w:color w:val="auto"/>
        </w:rPr>
        <w:t>The income before income taxes in 2025 includes $479.5 million of noncash goodwill and other intangible asset impairment charges recorded during the first quarter of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provision for income taxes attributable to income consisted of the following:</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7"/>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2023</w:t>
            </w:r>
          </w:p>
        </w:tc>
      </w:tr>
      <w:tr>
        <w:trPr>
          <w:trHeight w:val="214"/>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1"/>
        </w:trPr>
        <w:tc>
          <w:tcPr>
            <w:tcW w:w="7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21"/>
        </w:trPr>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r>
      <w:tr>
        <w:trPr>
          <w:trHeight w:val="221"/>
        </w:trPr>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and local:</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1"/>
        </w:trPr>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21"/>
        </w:trPr>
        <w:tc>
          <w:tcPr>
            <w:tcW w:w="7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1"/>
        </w:trPr>
        <w:tc>
          <w:tcPr>
            <w:tcW w:w="7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186.4</w:t>
            </w:r>
          </w:p>
        </w:tc>
      </w:tr>
      <w:tr>
        <w:trPr>
          <w:trHeight w:val="221"/>
        </w:trPr>
        <w:tc>
          <w:tcPr>
            <w:tcW w:w="7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4"/>
        </w:trPr>
        <w:tc>
          <w:tcPr>
            <w:tcW w:w="7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177.4</w:t>
            </w: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96" w:name="page97"/>
    <w:bookmarkEnd w:id="96"/>
    <w:p>
      <w:pPr>
        <w:ind w:left="8980" w:hanging="8583"/>
        <w:spacing w:after="0" w:line="303" w:lineRule="auto"/>
        <w:rPr>
          <w:sz w:val="20"/>
          <w:szCs w:val="20"/>
          <w:color w:val="auto"/>
        </w:rPr>
      </w:pPr>
      <w:r>
        <w:rPr>
          <w:rFonts w:ascii="Times New Roman" w:cs="Times New Roman" w:eastAsia="Times New Roman" w:hAnsi="Times New Roman"/>
          <w:sz w:val="17"/>
          <w:szCs w:val="17"/>
          <w:color w:val="auto"/>
        </w:rPr>
        <w:t>The reconciliation of the U.S. federal statutory tax rate to the Company’s worldwide effective income tax rate for 2025 after the adoption of ASU 2023-09 2025</w:t>
      </w:r>
    </w:p>
    <w:tbl>
      <w:tblPr>
        <w:tblLayout w:type="fixed"/>
        <w:tblInd w:w="0" w:type="dxa"/>
        <w:tblCellMar>
          <w:top w:w="0" w:type="dxa"/>
          <w:left w:w="0" w:type="dxa"/>
          <w:bottom w:w="0" w:type="dxa"/>
          <w:right w:w="0" w:type="dxa"/>
        </w:tblCellMar>
      </w:tblPr>
      <w:tr>
        <w:trPr>
          <w:trHeight w:val="194"/>
        </w:trPr>
        <w:tc>
          <w:tcPr>
            <w:tcW w:w="1080" w:type="dxa"/>
            <w:vAlign w:val="bottom"/>
          </w:tcPr>
          <w:p>
            <w:pPr>
              <w:spacing w:after="0"/>
              <w:rPr>
                <w:sz w:val="16"/>
                <w:szCs w:val="16"/>
                <w:color w:val="auto"/>
              </w:rPr>
            </w:pPr>
          </w:p>
        </w:tc>
        <w:tc>
          <w:tcPr>
            <w:tcW w:w="6760" w:type="dxa"/>
            <w:vAlign w:val="bottom"/>
            <w:tcBorders>
              <w:bottom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(Dollars in millions)</w:t>
            </w: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53"/>
              <w:spacing w:after="0" w:line="194" w:lineRule="exact"/>
              <w:rPr>
                <w:sz w:val="20"/>
                <w:szCs w:val="20"/>
                <w:color w:val="auto"/>
              </w:rPr>
            </w:pPr>
            <w:r>
              <w:rPr>
                <w:rFonts w:ascii="Times New Roman" w:cs="Times New Roman" w:eastAsia="Times New Roman" w:hAnsi="Times New Roman"/>
                <w:sz w:val="17"/>
                <w:szCs w:val="17"/>
                <w:color w:val="auto"/>
              </w:rPr>
              <w:t>Amount</w:t>
            </w:r>
          </w:p>
        </w:tc>
        <w:tc>
          <w:tcPr>
            <w:tcW w:w="1180" w:type="dxa"/>
            <w:vAlign w:val="bottom"/>
            <w:tcBorders>
              <w:top w:val="single" w:sz="8" w:color="auto"/>
              <w:bottom w:val="single" w:sz="8" w:color="auto"/>
            </w:tcBorders>
          </w:tcPr>
          <w:p>
            <w:pPr>
              <w:jc w:val="right"/>
              <w:ind w:right="333"/>
              <w:spacing w:after="0" w:line="194" w:lineRule="exact"/>
              <w:rPr>
                <w:sz w:val="20"/>
                <w:szCs w:val="20"/>
                <w:color w:val="auto"/>
              </w:rPr>
            </w:pPr>
            <w:r>
              <w:rPr>
                <w:rFonts w:ascii="Times New Roman" w:cs="Times New Roman" w:eastAsia="Times New Roman" w:hAnsi="Times New Roman"/>
                <w:sz w:val="17"/>
                <w:szCs w:val="17"/>
                <w:color w:val="auto"/>
              </w:rPr>
              <w:t>Percent</w:t>
            </w:r>
          </w:p>
        </w:tc>
        <w:tc>
          <w:tcPr>
            <w:tcW w:w="0" w:type="dxa"/>
            <w:vAlign w:val="bottom"/>
          </w:tcPr>
          <w:p>
            <w:pPr>
              <w:spacing w:after="0"/>
              <w:rPr>
                <w:sz w:val="1"/>
                <w:szCs w:val="1"/>
                <w:color w:val="auto"/>
              </w:rPr>
            </w:pPr>
          </w:p>
        </w:tc>
      </w:tr>
      <w:tr>
        <w:trPr>
          <w:trHeight w:val="214"/>
        </w:trPr>
        <w:tc>
          <w:tcPr>
            <w:tcW w:w="1080" w:type="dxa"/>
            <w:vAlign w:val="bottom"/>
          </w:tcPr>
          <w:p>
            <w:pPr>
              <w:spacing w:after="0"/>
              <w:rPr>
                <w:sz w:val="18"/>
                <w:szCs w:val="18"/>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federal statutory tax rate</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31.8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State and local income taxes, net of federal income tax effect </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4.7</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tax effects (by jurisdiction):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Australia</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Statutory tax rate difference between Australia and United States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(7.0)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Nondeductible impairment of goodwill</w:t>
            </w:r>
          </w:p>
        </w:tc>
        <w:tc>
          <w:tcPr>
            <w:tcW w:w="220" w:type="dxa"/>
            <w:vAlign w:val="bottom"/>
          </w:tcPr>
          <w:p>
            <w:pPr>
              <w:spacing w:after="0"/>
              <w:rPr>
                <w:sz w:val="19"/>
                <w:szCs w:val="19"/>
                <w:color w:val="auto"/>
              </w:rPr>
            </w:pP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16.3</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10.8 %</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1.1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China</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withholding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7.8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Nondeductible impairment of goodwill</w:t>
            </w:r>
          </w:p>
        </w:tc>
        <w:tc>
          <w:tcPr>
            <w:tcW w:w="220" w:type="dxa"/>
            <w:vAlign w:val="bottom"/>
          </w:tcPr>
          <w:p>
            <w:pPr>
              <w:spacing w:after="0"/>
              <w:rPr>
                <w:sz w:val="19"/>
                <w:szCs w:val="19"/>
                <w:color w:val="auto"/>
              </w:rPr>
            </w:pP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48.3</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31.9 %</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(6.0)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Hong Kong</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Nondeductible impairment of goodwill</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11.9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(1.9)</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Netherlands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Statutory tax rate difference between Netherlands and United States</w:t>
            </w:r>
          </w:p>
        </w:tc>
        <w:tc>
          <w:tcPr>
            <w:tcW w:w="220" w:type="dxa"/>
            <w:vAlign w:val="bottom"/>
          </w:tcPr>
          <w:p>
            <w:pPr>
              <w:spacing w:after="0"/>
              <w:rPr>
                <w:sz w:val="19"/>
                <w:szCs w:val="19"/>
                <w:color w:val="auto"/>
              </w:rPr>
            </w:pP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11.2</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7.4 %</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remeasurement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7.8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(0.2)</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South Korea</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Nondeductible impairment of goodwill</w:t>
            </w:r>
          </w:p>
        </w:tc>
        <w:tc>
          <w:tcPr>
            <w:tcW w:w="220" w:type="dxa"/>
            <w:vAlign w:val="bottom"/>
          </w:tcPr>
          <w:p>
            <w:pPr>
              <w:spacing w:after="0"/>
              <w:rPr>
                <w:sz w:val="19"/>
                <w:szCs w:val="19"/>
                <w:color w:val="auto"/>
              </w:rPr>
            </w:pP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6.3</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3.0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foreign jurisdictions</w:t>
            </w:r>
          </w:p>
        </w:tc>
        <w:tc>
          <w:tcPr>
            <w:tcW w:w="220" w:type="dxa"/>
            <w:vAlign w:val="bottom"/>
          </w:tcPr>
          <w:p>
            <w:pPr>
              <w:spacing w:after="0"/>
              <w:rPr>
                <w:sz w:val="19"/>
                <w:szCs w:val="19"/>
                <w:color w:val="auto"/>
              </w:rPr>
            </w:pP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20.2</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13.3 %</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cross-border tax laws: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Foreign-derived intangible income deduction (FDII)</w:t>
            </w:r>
          </w:p>
        </w:tc>
        <w:tc>
          <w:tcPr>
            <w:tcW w:w="22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(13.4)</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credits: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tax credits</w:t>
            </w:r>
          </w:p>
        </w:tc>
        <w:tc>
          <w:tcPr>
            <w:tcW w:w="22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(9.6)</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valuation allowances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0.6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Nontaxable or nondeductible items</w:t>
            </w:r>
          </w:p>
        </w:tc>
        <w:tc>
          <w:tcPr>
            <w:tcW w:w="220" w:type="dxa"/>
            <w:vAlign w:val="bottom"/>
          </w:tcPr>
          <w:p>
            <w:pPr>
              <w:spacing w:after="0"/>
              <w:rPr>
                <w:sz w:val="19"/>
                <w:szCs w:val="19"/>
                <w:color w:val="auto"/>
              </w:rPr>
            </w:pP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8.7</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0" w:type="dxa"/>
            <w:vAlign w:val="bottom"/>
          </w:tcPr>
          <w:p>
            <w:pPr>
              <w:spacing w:after="0"/>
              <w:rPr>
                <w:sz w:val="1"/>
                <w:szCs w:val="1"/>
                <w:color w:val="auto"/>
              </w:rPr>
            </w:pPr>
          </w:p>
        </w:tc>
      </w:tr>
      <w:tr>
        <w:trPr>
          <w:trHeight w:val="221"/>
        </w:trPr>
        <w:tc>
          <w:tcPr>
            <w:tcW w:w="108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unrecognized tax benefits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(15.6)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14"/>
        </w:trPr>
        <w:tc>
          <w:tcPr>
            <w:tcW w:w="7840" w:type="dxa"/>
            <w:vAlign w:val="bottom"/>
            <w:gridSpan w:val="2"/>
            <w:vMerge w:val="restart"/>
          </w:tcPr>
          <w:p>
            <w:pPr>
              <w:spacing w:after="0"/>
              <w:rPr>
                <w:sz w:val="20"/>
                <w:szCs w:val="20"/>
                <w:color w:val="auto"/>
              </w:rPr>
            </w:pPr>
            <w:r>
              <w:rPr>
                <w:rFonts w:ascii="Times New Roman" w:cs="Times New Roman" w:eastAsia="Times New Roman" w:hAnsi="Times New Roman"/>
                <w:sz w:val="34"/>
                <w:szCs w:val="34"/>
                <w:color w:val="auto"/>
                <w:vertAlign w:val="subscript"/>
              </w:rPr>
              <w:t>was as follows:</w:t>
            </w:r>
            <w:r>
              <w:rPr>
                <w:rFonts w:ascii="Times New Roman" w:cs="Times New Roman" w:eastAsia="Times New Roman" w:hAnsi="Times New Roman"/>
                <w:sz w:val="17"/>
                <w:szCs w:val="17"/>
                <w:color w:val="auto"/>
              </w:rPr>
              <w:t>Effective income tax rate</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126.0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83.3 %</w:t>
            </w:r>
          </w:p>
        </w:tc>
        <w:tc>
          <w:tcPr>
            <w:tcW w:w="0" w:type="dxa"/>
            <w:vAlign w:val="bottom"/>
          </w:tcPr>
          <w:p>
            <w:pPr>
              <w:spacing w:after="0"/>
              <w:rPr>
                <w:sz w:val="1"/>
                <w:szCs w:val="1"/>
                <w:color w:val="auto"/>
              </w:rPr>
            </w:pPr>
          </w:p>
        </w:tc>
      </w:tr>
      <w:tr>
        <w:trPr>
          <w:trHeight w:val="20"/>
        </w:trPr>
        <w:tc>
          <w:tcPr>
            <w:tcW w:w="784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180" w:hanging="176"/>
        <w:spacing w:after="0"/>
        <w:tabs>
          <w:tab w:leader="none" w:pos="180"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State taxes in California, New Jersey and Florida represent the majority (greater than 50 percent) of the tax effect in this category.</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388" w:lineRule="exact"/>
        <w:rPr>
          <w:rFonts w:ascii="Times New Roman" w:cs="Times New Roman" w:eastAsia="Times New Roman" w:hAnsi="Times New Roman"/>
          <w:sz w:val="22"/>
          <w:szCs w:val="22"/>
          <w:color w:val="auto"/>
          <w:vertAlign w:val="superscript"/>
        </w:rPr>
      </w:pPr>
    </w:p>
    <w:p>
      <w:pPr>
        <w:ind w:left="546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00"/>
          </w:cols>
          <w:pgMar w:left="320" w:top="1006" w:right="479" w:bottom="1440" w:gutter="0" w:footer="0" w:header="0"/>
        </w:sectPr>
      </w:pPr>
    </w:p>
    <w:bookmarkStart w:id="97" w:name="page98"/>
    <w:bookmarkEnd w:id="97"/>
    <w:p>
      <w:pPr>
        <w:ind w:right="200" w:firstLine="390"/>
        <w:spacing w:after="0" w:line="279" w:lineRule="auto"/>
        <w:rPr>
          <w:sz w:val="20"/>
          <w:szCs w:val="20"/>
          <w:color w:val="auto"/>
        </w:rPr>
      </w:pPr>
      <w:r>
        <w:rPr>
          <w:rFonts w:ascii="Times New Roman" w:cs="Times New Roman" w:eastAsia="Times New Roman" w:hAnsi="Times New Roman"/>
          <w:sz w:val="17"/>
          <w:szCs w:val="17"/>
          <w:color w:val="auto"/>
        </w:rPr>
        <w:t>The reconciliations of the U.S. federal statutory tax rate to the Company’s worldwide effective income tax rate for the years prior to the adoption of ASU 2023-09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6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2023</w:t>
            </w:r>
          </w:p>
        </w:tc>
      </w:tr>
      <w:tr>
        <w:trPr>
          <w:trHeight w:val="21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Statutory federal income tax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21"/>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and local income taxes, net of federal income tax benefit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w:t>
            </w:r>
          </w:p>
        </w:tc>
      </w:tr>
      <w:tr>
        <w:trPr>
          <w:trHeight w:val="22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Effects of international jurisdictions, including foreign tax credits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r>
      <w:tr>
        <w:trPr>
          <w:trHeight w:val="221"/>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estimates for uncertain tax positions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w w:val="85"/>
              </w:rPr>
              <w:t>(1)</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2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r>
      <w:tr>
        <w:trPr>
          <w:trHeight w:val="221"/>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on foreign earnings (GILTI and FDII)</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1"/>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Excess tax (benefit) expense related to stock-based compensation</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r>
      <w:tr>
        <w:trPr>
          <w:trHeight w:val="221"/>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net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3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0.5 %</w:t>
            </w:r>
          </w:p>
        </w:tc>
      </w:tr>
      <w:tr>
        <w:trPr>
          <w:trHeight w:val="239"/>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15.2 %</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21.1 %</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180" w:hanging="176"/>
        <w:spacing w:after="0"/>
        <w:tabs>
          <w:tab w:leader="none" w:pos="180" w:val="left"/>
        </w:tabs>
        <w:numPr>
          <w:ilvl w:val="0"/>
          <w:numId w:val="5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 benefit of 4.7% from the settlement of a multi-year audit in an international jurisdiction.</w:t>
      </w:r>
    </w:p>
    <w:p>
      <w:pPr>
        <w:spacing w:after="0" w:line="203" w:lineRule="exact"/>
        <w:rPr>
          <w:sz w:val="20"/>
          <w:szCs w:val="20"/>
          <w:color w:val="auto"/>
        </w:rPr>
      </w:pPr>
    </w:p>
    <w:p>
      <w:pPr>
        <w:ind w:right="40" w:firstLine="390"/>
        <w:spacing w:after="0" w:line="258" w:lineRule="auto"/>
        <w:rPr>
          <w:sz w:val="20"/>
          <w:szCs w:val="20"/>
          <w:color w:val="auto"/>
        </w:rPr>
      </w:pPr>
      <w:r>
        <w:rPr>
          <w:rFonts w:ascii="Times New Roman" w:cs="Times New Roman" w:eastAsia="Times New Roman" w:hAnsi="Times New Roman"/>
          <w:sz w:val="17"/>
          <w:szCs w:val="17"/>
          <w:color w:val="auto"/>
        </w:rPr>
        <w:t>The Company’s tax rate is influenced by several factors, including the mix of international and domestic pre-tax earnings, specific discrete transactions and events, new regulations, audits by tax authorities, and new information received. These elements may lead to adjustments in both the Company’s estimates for uncertain tax positions and the overall effective tax rate.</w:t>
      </w:r>
    </w:p>
    <w:p>
      <w:pPr>
        <w:spacing w:after="0" w:line="176" w:lineRule="exact"/>
        <w:rPr>
          <w:sz w:val="20"/>
          <w:szCs w:val="20"/>
          <w:color w:val="auto"/>
        </w:rPr>
      </w:pPr>
    </w:p>
    <w:p>
      <w:pPr>
        <w:ind w:firstLine="390"/>
        <w:spacing w:after="0" w:line="277" w:lineRule="auto"/>
        <w:rPr>
          <w:sz w:val="20"/>
          <w:szCs w:val="20"/>
          <w:color w:val="auto"/>
        </w:rPr>
      </w:pPr>
      <w:r>
        <w:rPr>
          <w:rFonts w:ascii="Times New Roman" w:cs="Times New Roman" w:eastAsia="Times New Roman" w:hAnsi="Times New Roman"/>
          <w:sz w:val="17"/>
          <w:szCs w:val="17"/>
          <w:color w:val="auto"/>
        </w:rPr>
        <w:t>On July 4, 2025, the One Big Beautiful Bill Act was enacted into law, introducing a broad range of tax reform provisions. The enacted changes did not have a material impact on the 2025 effective tax rate.</w:t>
      </w:r>
    </w:p>
    <w:p>
      <w:pPr>
        <w:spacing w:after="0" w:line="186" w:lineRule="exact"/>
        <w:rPr>
          <w:sz w:val="20"/>
          <w:szCs w:val="20"/>
          <w:color w:val="auto"/>
        </w:rPr>
      </w:pPr>
    </w:p>
    <w:p>
      <w:pPr>
        <w:ind w:right="360" w:firstLine="390"/>
        <w:spacing w:after="0" w:line="274" w:lineRule="auto"/>
        <w:rPr>
          <w:sz w:val="20"/>
          <w:szCs w:val="20"/>
          <w:color w:val="auto"/>
        </w:rPr>
      </w:pPr>
      <w:r>
        <w:rPr>
          <w:rFonts w:ascii="Times New Roman" w:cs="Times New Roman" w:eastAsia="Times New Roman" w:hAnsi="Times New Roman"/>
          <w:sz w:val="17"/>
          <w:szCs w:val="17"/>
          <w:color w:val="auto"/>
        </w:rPr>
        <w:t>The Organization for Economic Cooperation and Development released the Pillar Two framework which includes transition and safe harbor guidelines around the implementation of a global minimum effective tax rate of 15%. Pillar Two legislation was enacted in certain jurisdictions where the Company operates and was effective in 2024. The global minimum effective tax rate did not have a material impact on the 2025 and 2024 effective tax rates.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61"/>
        </w:trPr>
        <w:tc>
          <w:tcPr>
            <w:tcW w:w="73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The components of deferred income tax assets and liabilities were as follows: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7"/>
        </w:trPr>
        <w:tc>
          <w:tcPr>
            <w:tcW w:w="7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2025</w:t>
            </w:r>
          </w:p>
        </w:tc>
        <w:tc>
          <w:tcPr>
            <w:tcW w:w="2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2024</w:t>
            </w:r>
          </w:p>
        </w:tc>
      </w:tr>
      <w:tr>
        <w:trPr>
          <w:trHeight w:val="201"/>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deferred tax assets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1"/>
        </w:trPr>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Tax loss and credit carryforwards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w:t>
            </w:r>
          </w:p>
        </w:tc>
        <w:tc>
          <w:tcPr>
            <w:tcW w:w="26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w:t>
            </w:r>
          </w:p>
        </w:tc>
      </w:tr>
      <w:tr>
        <w:trPr>
          <w:trHeight w:val="221"/>
        </w:trPr>
        <w:tc>
          <w:tcPr>
            <w:tcW w:w="7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503.0</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331.4</w:t>
            </w:r>
          </w:p>
        </w:tc>
      </w:tr>
      <w:tr>
        <w:trPr>
          <w:trHeight w:val="221"/>
        </w:trPr>
        <w:tc>
          <w:tcPr>
            <w:tcW w:w="73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Employee compensation and benefits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21"/>
        </w:trPr>
        <w:tc>
          <w:tcPr>
            <w:tcW w:w="7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221"/>
        </w:trPr>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242.6</w:t>
            </w:r>
          </w:p>
        </w:tc>
      </w:tr>
      <w:tr>
        <w:trPr>
          <w:trHeight w:val="221"/>
        </w:trPr>
        <w:tc>
          <w:tcPr>
            <w:tcW w:w="7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3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50.8</w:t>
            </w:r>
          </w:p>
        </w:tc>
      </w:tr>
      <w:tr>
        <w:trPr>
          <w:trHeight w:val="214"/>
        </w:trPr>
        <w:tc>
          <w:tcPr>
            <w:tcW w:w="73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Subtotal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892.6</w:t>
            </w:r>
          </w:p>
        </w:tc>
      </w:tr>
      <w:tr>
        <w:trPr>
          <w:trHeight w:val="221"/>
        </w:trPr>
        <w:tc>
          <w:tcPr>
            <w:tcW w:w="73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Valuation allowances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w:t>
            </w:r>
          </w:p>
        </w:tc>
      </w:tr>
      <w:tr>
        <w:trPr>
          <w:trHeight w:val="214"/>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gross deferred tax assets, net of valuation allowances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832.6</w:t>
            </w:r>
          </w:p>
        </w:tc>
      </w:tr>
      <w:tr>
        <w:trPr>
          <w:trHeight w:val="221"/>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Gross deferred tax liabilities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1"/>
        </w:trPr>
        <w:tc>
          <w:tcPr>
            <w:tcW w:w="7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Intangibles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(771.0)</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(754.7)</w:t>
            </w:r>
          </w:p>
        </w:tc>
      </w:tr>
      <w:tr>
        <w:trPr>
          <w:trHeight w:val="221"/>
        </w:trPr>
        <w:tc>
          <w:tcPr>
            <w:tcW w:w="73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(304.8)</w:t>
            </w:r>
          </w:p>
        </w:tc>
      </w:tr>
      <w:tr>
        <w:trPr>
          <w:trHeight w:val="221"/>
        </w:trPr>
        <w:tc>
          <w:tcPr>
            <w:tcW w:w="7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w:t>
            </w:r>
          </w:p>
        </w:tc>
      </w:tr>
      <w:tr>
        <w:trPr>
          <w:trHeight w:val="221"/>
        </w:trPr>
        <w:tc>
          <w:tcPr>
            <w:tcW w:w="730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14"/>
        </w:trPr>
        <w:tc>
          <w:tcPr>
            <w:tcW w:w="7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gross deferred tax liabilities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(1,281.5)</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(1,129.1)</w:t>
            </w:r>
          </w:p>
        </w:tc>
      </w:tr>
      <w:tr>
        <w:trPr>
          <w:trHeight w:val="214"/>
        </w:trPr>
        <w:tc>
          <w:tcPr>
            <w:tcW w:w="7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deferred tax liability</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(296.5)</w:t>
            </w:r>
          </w:p>
        </w:tc>
      </w:tr>
      <w:tr>
        <w:trPr>
          <w:trHeight w:val="20"/>
        </w:trPr>
        <w:tc>
          <w:tcPr>
            <w:tcW w:w="16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98" w:name="page99"/>
    <w:bookmarkEnd w:id="98"/>
    <w:p>
      <w:pPr>
        <w:ind w:right="200" w:firstLine="390"/>
        <w:spacing w:after="0" w:line="293" w:lineRule="auto"/>
        <w:rPr>
          <w:sz w:val="20"/>
          <w:szCs w:val="20"/>
          <w:color w:val="auto"/>
        </w:rPr>
      </w:pPr>
      <w:r>
        <w:rPr>
          <w:rFonts w:ascii="Times New Roman" w:cs="Times New Roman" w:eastAsia="Times New Roman" w:hAnsi="Times New Roman"/>
          <w:sz w:val="17"/>
          <w:szCs w:val="17"/>
          <w:color w:val="auto"/>
        </w:rPr>
        <w:t>At the end of 2025, the Company had approximately $190.1 million of net operating loss and tax credit carryforwards on a tax-effected basis available to offset future taxable income in various jurisdictions. The carryforwards expire principally between 2026 and 2045.</w:t>
      </w:r>
    </w:p>
    <w:p>
      <w:pPr>
        <w:spacing w:after="0" w:line="173" w:lineRule="exact"/>
        <w:rPr>
          <w:sz w:val="20"/>
          <w:szCs w:val="20"/>
          <w:color w:val="auto"/>
        </w:rPr>
      </w:pPr>
    </w:p>
    <w:p>
      <w:pPr>
        <w:jc w:val="both"/>
        <w:ind w:firstLine="390"/>
        <w:spacing w:after="0" w:line="274" w:lineRule="auto"/>
        <w:rPr>
          <w:sz w:val="20"/>
          <w:szCs w:val="20"/>
          <w:color w:val="auto"/>
        </w:rPr>
      </w:pPr>
      <w:r>
        <w:rPr>
          <w:rFonts w:ascii="Times New Roman" w:cs="Times New Roman" w:eastAsia="Times New Roman" w:hAnsi="Times New Roman"/>
          <w:sz w:val="17"/>
          <w:szCs w:val="17"/>
          <w:color w:val="auto"/>
        </w:rPr>
        <w:t>The Company’s intent is to reinvest indefinitely substantially all of its historical earnings in foreign subsidiaries outside of the United States in jurisdictions which it would expect to incur material tax costs upon the distribution of such amounts. It is not practicable to estimate the amount of tax that might be payable if these earnings were repatriated due to the complexities associated with the hypothetical calculation.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Taxes Paid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1"/>
        </w:trPr>
        <w:tc>
          <w:tcPr>
            <w:tcW w:w="76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Income taxes paid, net of refunds received, in 2025 were as follows: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7"/>
        </w:trPr>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2025</w:t>
            </w:r>
          </w:p>
        </w:tc>
      </w:tr>
      <w:tr>
        <w:trPr>
          <w:trHeight w:val="214"/>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1"/>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(by jurisdiction):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1"/>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China</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21"/>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Germany</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21"/>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Hong Kong</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21"/>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Netherlands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w:t>
            </w:r>
          </w:p>
        </w:tc>
      </w:tr>
      <w:tr>
        <w:trPr>
          <w:trHeight w:val="221"/>
        </w:trPr>
        <w:tc>
          <w:tcPr>
            <w:tcW w:w="76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w:t>
            </w:r>
          </w:p>
        </w:tc>
      </w:tr>
      <w:tr>
        <w:trPr>
          <w:trHeight w:val="239"/>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182.2</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Income taxes paid, net of refunds received were $165.6 million and $209.8 million in 2024 and 2023, respectively.</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Uncertain Tax Positions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61"/>
        </w:trPr>
        <w:tc>
          <w:tcPr>
            <w:tcW w:w="8880" w:type="dxa"/>
            <w:vAlign w:val="bottom"/>
            <w:gridSpan w:val="5"/>
          </w:tcPr>
          <w:p>
            <w:pPr>
              <w:ind w:left="400"/>
              <w:spacing w:after="0"/>
              <w:rPr>
                <w:sz w:val="20"/>
                <w:szCs w:val="20"/>
                <w:color w:val="auto"/>
              </w:rPr>
            </w:pPr>
            <w:r>
              <w:rPr>
                <w:rFonts w:ascii="Times New Roman" w:cs="Times New Roman" w:eastAsia="Times New Roman" w:hAnsi="Times New Roman"/>
                <w:sz w:val="17"/>
                <w:szCs w:val="17"/>
                <w:color w:val="auto"/>
              </w:rPr>
              <w:t>The summary of the activity related to our gross unrecognized tax benefits for each of the last three years was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7"/>
        </w:trPr>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2023</w:t>
            </w:r>
          </w:p>
        </w:tc>
      </w:tr>
      <w:tr>
        <w:trPr>
          <w:trHeight w:val="214"/>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w:t>
            </w:r>
          </w:p>
        </w:tc>
      </w:tr>
      <w:tr>
        <w:trPr>
          <w:trHeight w:val="221"/>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Increases related to prior year tax positions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w:t>
            </w:r>
          </w:p>
        </w:tc>
      </w:tr>
      <w:tr>
        <w:trPr>
          <w:trHeight w:val="221"/>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Decreases related to prior year tax positions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21"/>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Increases related to current year tax positions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21"/>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Lapses in statute of limitations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21"/>
        </w:trPr>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Effects of foreign currency translation</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39"/>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right="420" w:firstLine="390"/>
        <w:spacing w:after="0" w:line="293" w:lineRule="auto"/>
        <w:rPr>
          <w:sz w:val="20"/>
          <w:szCs w:val="20"/>
          <w:color w:val="auto"/>
        </w:rPr>
      </w:pPr>
      <w:r>
        <w:rPr>
          <w:rFonts w:ascii="Times New Roman" w:cs="Times New Roman" w:eastAsia="Times New Roman" w:hAnsi="Times New Roman"/>
          <w:sz w:val="17"/>
          <w:szCs w:val="17"/>
          <w:color w:val="auto"/>
        </w:rPr>
        <w:t>The entire amount of uncertain tax positions as of February 1, 2026, if recognized, would reduce the future effective tax rate under current accounting guidance.</w:t>
      </w:r>
    </w:p>
    <w:p>
      <w:pPr>
        <w:spacing w:after="0" w:line="173" w:lineRule="exact"/>
        <w:rPr>
          <w:sz w:val="20"/>
          <w:szCs w:val="20"/>
          <w:color w:val="auto"/>
        </w:rPr>
      </w:pPr>
    </w:p>
    <w:p>
      <w:pPr>
        <w:ind w:right="60" w:firstLine="390"/>
        <w:spacing w:after="0" w:line="265" w:lineRule="auto"/>
        <w:rPr>
          <w:sz w:val="20"/>
          <w:szCs w:val="20"/>
          <w:color w:val="auto"/>
        </w:rPr>
      </w:pPr>
      <w:r>
        <w:rPr>
          <w:rFonts w:ascii="Times New Roman" w:cs="Times New Roman" w:eastAsia="Times New Roman" w:hAnsi="Times New Roman"/>
          <w:sz w:val="17"/>
          <w:szCs w:val="17"/>
          <w:color w:val="auto"/>
        </w:rPr>
        <w:t>Interest and penalties related to uncertain tax positions are recorded in the Company’s income tax provision. Interest and penalties recognized in the Company’s Consolidated Statements of Operations for 2025, 2024 and 2023 totaled a benefit of $0.8 million, a benefit of $9.2 million and an expense of $1.3 million, respectively. Interest and penalties accrued in the Company’s Consolidated Balance Sheets as of February 1, 2026 and February 2, 2025 totaled $11.4 million and $11.7 million, respectively. The Company recorded its liabilities for uncertain tax positions principally in accrued expenses and other liabilities in its Consolidated Balance Sheets.</w:t>
      </w:r>
    </w:p>
    <w:p>
      <w:pPr>
        <w:spacing w:after="0" w:line="196" w:lineRule="exact"/>
        <w:rPr>
          <w:sz w:val="20"/>
          <w:szCs w:val="20"/>
          <w:color w:val="auto"/>
        </w:rPr>
      </w:pPr>
    </w:p>
    <w:p>
      <w:pPr>
        <w:ind w:right="20" w:firstLine="390"/>
        <w:spacing w:after="0" w:line="274" w:lineRule="auto"/>
        <w:rPr>
          <w:sz w:val="20"/>
          <w:szCs w:val="20"/>
          <w:color w:val="auto"/>
        </w:rPr>
      </w:pPr>
      <w:r>
        <w:rPr>
          <w:rFonts w:ascii="Times New Roman" w:cs="Times New Roman" w:eastAsia="Times New Roman" w:hAnsi="Times New Roman"/>
          <w:sz w:val="17"/>
          <w:szCs w:val="17"/>
          <w:color w:val="auto"/>
        </w:rPr>
        <w:t>The Company files income tax returns in the United States, various state and local jurisdictions and in over 40 international jurisdictions each year. Most tax audit examinations by taxing authorities have been completed, or the statute of limitations has expired, for the Company’s United States federal, foreign, state and local income tax returns filed through 2015.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99" w:name="page100"/>
    <w:bookmarkEnd w:id="99"/>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10.</w:t>
        <w:tab/>
        <w:t>DERIVATIVE FINANCIAL INSTRUMENTS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Cash Flow Hedges</w:t>
      </w:r>
    </w:p>
    <w:p>
      <w:pPr>
        <w:spacing w:after="0" w:line="247" w:lineRule="exact"/>
        <w:rPr>
          <w:sz w:val="20"/>
          <w:szCs w:val="20"/>
          <w:color w:val="auto"/>
        </w:rPr>
      </w:pPr>
    </w:p>
    <w:p>
      <w:pPr>
        <w:ind w:right="20" w:firstLine="390"/>
        <w:spacing w:after="0" w:line="274" w:lineRule="auto"/>
        <w:rPr>
          <w:sz w:val="20"/>
          <w:szCs w:val="20"/>
          <w:color w:val="auto"/>
        </w:rPr>
      </w:pPr>
      <w:r>
        <w:rPr>
          <w:rFonts w:ascii="Times New Roman" w:cs="Times New Roman" w:eastAsia="Times New Roman" w:hAnsi="Times New Roman"/>
          <w:sz w:val="17"/>
          <w:szCs w:val="17"/>
          <w:color w:val="auto"/>
        </w:rPr>
        <w:t>The Company has exposure to changes in foreign currency exchange rates related to anticipated cash flows associated with inventory purchases made by its foreign subsidiaries in a currency other than their functional currency. The Company uses foreign currency forward contracts to hedge against a portion of this exposure.</w:t>
      </w:r>
    </w:p>
    <w:p>
      <w:pPr>
        <w:spacing w:after="0" w:line="189" w:lineRule="exact"/>
        <w:rPr>
          <w:sz w:val="20"/>
          <w:szCs w:val="20"/>
          <w:color w:val="auto"/>
        </w:rPr>
      </w:pPr>
    </w:p>
    <w:p>
      <w:pPr>
        <w:ind w:right="40" w:firstLine="390"/>
        <w:spacing w:after="0" w:line="268" w:lineRule="auto"/>
        <w:rPr>
          <w:sz w:val="20"/>
          <w:szCs w:val="20"/>
          <w:color w:val="auto"/>
        </w:rPr>
      </w:pPr>
      <w:r>
        <w:rPr>
          <w:rFonts w:ascii="Times New Roman" w:cs="Times New Roman" w:eastAsia="Times New Roman" w:hAnsi="Times New Roman"/>
          <w:sz w:val="17"/>
          <w:szCs w:val="17"/>
          <w:color w:val="auto"/>
        </w:rPr>
        <w:t>The Company records the foreign currency forward contracts at fair value in its Consolidated Balance Sheets and does not net the related assets and liabilities. The foreign currency forward contracts associated with certain international inventory purchases are designated as effective hedging instruments (“cash flow hedges”). As such, the changes in the fair value of the cash flow hedges are recorded in equity as a component of AOCL. No amounts were excluded from effectiveness testing.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Net Investment Hedges</w:t>
      </w:r>
    </w:p>
    <w:p>
      <w:pPr>
        <w:spacing w:after="0" w:line="247" w:lineRule="exact"/>
        <w:rPr>
          <w:sz w:val="20"/>
          <w:szCs w:val="20"/>
          <w:color w:val="auto"/>
        </w:rPr>
      </w:pPr>
    </w:p>
    <w:p>
      <w:pPr>
        <w:ind w:right="220" w:firstLine="390"/>
        <w:spacing w:after="0" w:line="274" w:lineRule="auto"/>
        <w:rPr>
          <w:sz w:val="20"/>
          <w:szCs w:val="20"/>
          <w:color w:val="auto"/>
        </w:rPr>
      </w:pPr>
      <w:r>
        <w:rPr>
          <w:rFonts w:ascii="Times New Roman" w:cs="Times New Roman" w:eastAsia="Times New Roman" w:hAnsi="Times New Roman"/>
          <w:sz w:val="17"/>
          <w:szCs w:val="17"/>
          <w:color w:val="auto"/>
        </w:rPr>
        <w:t>The Company has exposure to changes in foreign currency exchange rates related to the value of its investments in foreign subsidiaries denominated in a currency other than the United States dollar. To hedge against a portion of this exposure, the Company uses both non-derivative instruments (the par value of certain of its foreign-denominated debt) and derivative instruments (cross-currency swap contracts), which it designates as net investment hedges.</w:t>
      </w:r>
    </w:p>
    <w:p>
      <w:pPr>
        <w:spacing w:after="0" w:line="189" w:lineRule="exact"/>
        <w:rPr>
          <w:sz w:val="20"/>
          <w:szCs w:val="20"/>
          <w:color w:val="auto"/>
        </w:rPr>
      </w:pPr>
    </w:p>
    <w:p>
      <w:pPr>
        <w:ind w:right="100" w:firstLine="390"/>
        <w:spacing w:after="0" w:line="265" w:lineRule="auto"/>
        <w:rPr>
          <w:sz w:val="20"/>
          <w:szCs w:val="20"/>
          <w:color w:val="auto"/>
        </w:rPr>
      </w:pPr>
      <w:r>
        <w:rPr>
          <w:rFonts w:ascii="Times New Roman" w:cs="Times New Roman" w:eastAsia="Times New Roman" w:hAnsi="Times New Roman"/>
          <w:sz w:val="17"/>
          <w:szCs w:val="17"/>
          <w:color w:val="auto"/>
        </w:rPr>
        <w:t>The Company designated (i) the par value of its €600.0 million principal amount of 3 1/8% senior notes due 2027, (ii) until their redemption on April 25, 2024, the par value of its €525.0 million principal amount of 3 5/8% senior notes due 2024, and (iii) as of April 25, 2024, the par value of its €525.0 million principal amount of 4 1/8% senior notes due 2029 (collectively, “foreign currency borrowings”), all of which were issued by PVH Corp., a U.S.-based entity, as net investment hedges of its investments in certain of its foreign subsidiaries that use the euro as their functional currency. Please see Note 8, “Debt,” for further discussion of the Company’s foreign currency borrowings.</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records the foreign currency borrowings at carrying value in its Consolidated Balance Sheets. The carrying value of the foreign currency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borrowings is remeasured at the end of each reporting period to reflect changes in the foreign currency exchange spot rate. During the period in which the foreign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currency borrowings are designated as net investment hedges, such remeasurement is recorded in equity as a component of AOCL. The fair value and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carrying value of the foreign currency borrowings designated as net investment hedges were $1,357.8 million and $1,327.3 million, respectively, as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 2026 and $1,181.0 million and $1,158.6 million, respectively, as of February 2, 2025. The Company evaluates the effectiveness of its non-derivative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instrument net investment hedges at inception and each quarter thereafter. No amounts were excluded from effectiveness testing.</w:t>
      </w: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2023, the Company entered into multiple fixed-to-fixed cross-currency swap contracts, which, in aggregate, economically converted the Company’s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$500.0 million principal amount of 4 5/8% senior notes due July 2025 from a United States dollar-denominated obligation to a euro-denominated obligation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€457.2 million. As part of these swap contracts, the Company received fixed-rate United States dollar-denominated interest at contracted rates and paid fixed-rate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euro-denominated interest at a rate of 0%.</w:t>
      </w:r>
    </w:p>
    <w:p>
      <w:pPr>
        <w:spacing w:after="0" w:line="228" w:lineRule="exact"/>
        <w:rPr>
          <w:sz w:val="20"/>
          <w:szCs w:val="20"/>
          <w:color w:val="auto"/>
        </w:rPr>
      </w:pPr>
    </w:p>
    <w:p>
      <w:pPr>
        <w:ind w:right="20" w:firstLine="390"/>
        <w:spacing w:after="0" w:line="268" w:lineRule="auto"/>
        <w:rPr>
          <w:sz w:val="20"/>
          <w:szCs w:val="20"/>
          <w:color w:val="auto"/>
        </w:rPr>
      </w:pPr>
      <w:r>
        <w:rPr>
          <w:rFonts w:ascii="Times New Roman" w:cs="Times New Roman" w:eastAsia="Times New Roman" w:hAnsi="Times New Roman"/>
          <w:sz w:val="17"/>
          <w:szCs w:val="17"/>
          <w:color w:val="auto"/>
        </w:rPr>
        <w:t>In July 2025, the Company completed a transaction to effectively blend and extend the cross-currency swaps maturing in July 2025 with new fixed-to-fixed cross-currency swap contracts maturing in July 2027 and July 2028 with notional amounts of $300.0 million and $200.0 million, respectively. As part of these swap contracts, the Company will receive fixed-rate United States dollar-denominated interest at contracted rates and will pay fixed-rate euro-denominated interest at a rate of 0%.</w:t>
      </w:r>
    </w:p>
    <w:p>
      <w:pPr>
        <w:spacing w:after="0" w:line="194" w:lineRule="exact"/>
        <w:rPr>
          <w:sz w:val="20"/>
          <w:szCs w:val="20"/>
          <w:color w:val="auto"/>
        </w:rPr>
      </w:pPr>
    </w:p>
    <w:p>
      <w:pPr>
        <w:jc w:val="both"/>
        <w:ind w:right="20" w:firstLine="390"/>
        <w:spacing w:after="0" w:line="263" w:lineRule="auto"/>
        <w:rPr>
          <w:sz w:val="20"/>
          <w:szCs w:val="20"/>
          <w:color w:val="auto"/>
        </w:rPr>
      </w:pPr>
      <w:r>
        <w:rPr>
          <w:rFonts w:ascii="Times New Roman" w:cs="Times New Roman" w:eastAsia="Times New Roman" w:hAnsi="Times New Roman"/>
          <w:sz w:val="17"/>
          <w:szCs w:val="17"/>
          <w:color w:val="auto"/>
        </w:rPr>
        <w:t>The Company designates its cross-currency swap contracts as net investment hedges of its investments in certain of its foreign subsidiaries that use the euro as their functional currency. The Company records the cross-currency swap contracts at fair value in its Consolidated Balance Sheets and does not net the related assets and liabilities. Changes in the fair value of the cross-currency swap contracts are recorded in equity as a component of AOCL. The Company evaluates the effectiveness of its derivative instrument net investment hedges at inception and each quarter thereafter. The interest components of the cross-currency swaps are excluded from the assessment of hedge effectiveness and are initially recorded in equity as a component of AOCL. Such amounts are recognized ratably over the term of the cross-currency swap contracts as a credit to interest expense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04"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auto"/>
        </w:rPr>
        <w:t>Undesignated Contracts</w:t>
      </w:r>
    </w:p>
    <w:p>
      <w:pPr>
        <w:spacing w:after="0" w:line="247" w:lineRule="exact"/>
        <w:rPr>
          <w:sz w:val="20"/>
          <w:szCs w:val="20"/>
          <w:color w:val="auto"/>
        </w:rPr>
      </w:pPr>
    </w:p>
    <w:p>
      <w:pPr>
        <w:jc w:val="both"/>
        <w:ind w:right="80" w:firstLine="390"/>
        <w:spacing w:after="0" w:line="268" w:lineRule="auto"/>
        <w:rPr>
          <w:sz w:val="20"/>
          <w:szCs w:val="20"/>
          <w:color w:val="auto"/>
        </w:rPr>
      </w:pPr>
      <w:r>
        <w:rPr>
          <w:rFonts w:ascii="Times New Roman" w:cs="Times New Roman" w:eastAsia="Times New Roman" w:hAnsi="Times New Roman"/>
          <w:sz w:val="17"/>
          <w:szCs w:val="17"/>
          <w:color w:val="auto"/>
        </w:rPr>
        <w:t>The Company records immediately in earnings changes in the fair value of hedges that are not designated as effective hedging instruments (“undesignated contracts”), which primarily include foreign currency forward contracts related to third party and intercompany transactions, and intercompany loans that are not of a long-term investment nature. Any gains and losses that are immediately recognized in earnings on such contracts are largely offset by the remeasurement of the underlying balances.</w:t>
      </w:r>
    </w:p>
    <w:p>
      <w:pPr>
        <w:spacing w:after="0" w:line="194" w:lineRule="exact"/>
        <w:rPr>
          <w:sz w:val="20"/>
          <w:szCs w:val="20"/>
          <w:color w:val="auto"/>
        </w:rPr>
      </w:pPr>
    </w:p>
    <w:p>
      <w:pPr>
        <w:ind w:right="420" w:firstLine="390"/>
        <w:spacing w:after="0" w:line="293" w:lineRule="auto"/>
        <w:rPr>
          <w:sz w:val="20"/>
          <w:szCs w:val="20"/>
          <w:color w:val="auto"/>
        </w:rPr>
      </w:pPr>
      <w:r>
        <w:rPr>
          <w:rFonts w:ascii="Times New Roman" w:cs="Times New Roman" w:eastAsia="Times New Roman" w:hAnsi="Times New Roman"/>
          <w:sz w:val="17"/>
          <w:szCs w:val="17"/>
          <w:color w:val="auto"/>
        </w:rPr>
        <w:t>The Company does not use derivative or non-derivative financial instruments for trading or speculative purposes. The cash flows from the Company’s hedges are presented in the same category in the Company’s Consolidated Statements of Cash Flows as the items being hedged.</w:t>
      </w:r>
    </w:p>
    <w:p>
      <w:pPr>
        <w:spacing w:after="0" w:line="173" w:lineRule="exact"/>
        <w:rPr>
          <w:sz w:val="20"/>
          <w:szCs w:val="20"/>
          <w:color w:val="auto"/>
        </w:rPr>
      </w:pPr>
    </w:p>
    <w:p>
      <w:pPr>
        <w:ind w:right="100" w:firstLine="390"/>
        <w:spacing w:after="0" w:line="274" w:lineRule="auto"/>
        <w:rPr>
          <w:sz w:val="20"/>
          <w:szCs w:val="20"/>
          <w:color w:val="auto"/>
        </w:rPr>
      </w:pPr>
      <w:r>
        <w:rPr>
          <w:rFonts w:ascii="Times New Roman" w:cs="Times New Roman" w:eastAsia="Times New Roman" w:hAnsi="Times New Roman"/>
          <w:sz w:val="17"/>
          <w:szCs w:val="17"/>
          <w:color w:val="auto"/>
        </w:rPr>
        <w:t>As a result of the use of derivative instruments, the Company may be exposed to the risk that counterparties to such contracts will fail to meet their contractual obligations. To mitigate this counterparty credit risk, the Company only enters into contracts with carefully selected financial institutions based upon an evaluation of their credit ratings and certain other financial factors.</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fair value and presentation of the Company’s derivative financial instruments in its Consolidated Balance Sheets: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Assets</w:t>
            </w: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222"/>
              <w:spacing w:after="0"/>
              <w:rPr>
                <w:sz w:val="20"/>
                <w:szCs w:val="20"/>
                <w:color w:val="auto"/>
              </w:rPr>
            </w:pPr>
            <w:r>
              <w:rPr>
                <w:rFonts w:ascii="Times New Roman" w:cs="Times New Roman" w:eastAsia="Times New Roman" w:hAnsi="Times New Roman"/>
                <w:sz w:val="16"/>
                <w:szCs w:val="16"/>
                <w:color w:val="auto"/>
              </w:rPr>
              <w:t>2025</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222"/>
              <w:spacing w:after="0"/>
              <w:rPr>
                <w:sz w:val="20"/>
                <w:szCs w:val="20"/>
                <w:color w:val="auto"/>
              </w:rPr>
            </w:pPr>
            <w:r>
              <w:rPr>
                <w:rFonts w:ascii="Times New Roman" w:cs="Times New Roman" w:eastAsia="Times New Roman" w:hAnsi="Times New Roman"/>
                <w:sz w:val="16"/>
                <w:szCs w:val="16"/>
                <w:color w:val="auto"/>
              </w:rPr>
              <w:t>2024</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1080" w:type="dxa"/>
            <w:vAlign w:val="bottom"/>
            <w:gridSpan w:val="3"/>
          </w:tcPr>
          <w:p>
            <w:pPr>
              <w:jc w:val="center"/>
              <w:ind w:right="120"/>
              <w:spacing w:after="0" w:line="152" w:lineRule="exact"/>
              <w:rPr>
                <w:sz w:val="20"/>
                <w:szCs w:val="20"/>
                <w:color w:val="auto"/>
              </w:rPr>
            </w:pPr>
            <w:r>
              <w:rPr>
                <w:rFonts w:ascii="Times New Roman" w:cs="Times New Roman" w:eastAsia="Times New Roman" w:hAnsi="Times New Roman"/>
                <w:sz w:val="16"/>
                <w:szCs w:val="16"/>
                <w:color w:val="auto"/>
                <w:w w:val="98"/>
              </w:rPr>
              <w:t>Other Current</w:t>
            </w: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Other Assets</w:t>
            </w:r>
          </w:p>
        </w:tc>
        <w:tc>
          <w:tcPr>
            <w:tcW w:w="1080" w:type="dxa"/>
            <w:vAlign w:val="bottom"/>
            <w:gridSpan w:val="3"/>
          </w:tcPr>
          <w:p>
            <w:pPr>
              <w:jc w:val="center"/>
              <w:ind w:right="120"/>
              <w:spacing w:after="0" w:line="152" w:lineRule="exact"/>
              <w:rPr>
                <w:sz w:val="20"/>
                <w:szCs w:val="20"/>
                <w:color w:val="auto"/>
              </w:rPr>
            </w:pPr>
            <w:r>
              <w:rPr>
                <w:rFonts w:ascii="Times New Roman" w:cs="Times New Roman" w:eastAsia="Times New Roman" w:hAnsi="Times New Roman"/>
                <w:sz w:val="16"/>
                <w:szCs w:val="16"/>
                <w:color w:val="auto"/>
                <w:w w:val="98"/>
              </w:rPr>
              <w:t>Other Current</w:t>
            </w: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color w:val="auto"/>
                <w:w w:val="95"/>
              </w:rPr>
              <w:t>Accrued</w:t>
            </w:r>
          </w:p>
        </w:tc>
        <w:tc>
          <w:tcPr>
            <w:tcW w:w="140" w:type="dxa"/>
            <w:vAlign w:val="bottom"/>
          </w:tcPr>
          <w:p>
            <w:pPr>
              <w:spacing w:after="0"/>
              <w:rPr>
                <w:sz w:val="13"/>
                <w:szCs w:val="13"/>
                <w:color w:val="auto"/>
              </w:rPr>
            </w:pPr>
          </w:p>
        </w:tc>
        <w:tc>
          <w:tcPr>
            <w:tcW w:w="840" w:type="dxa"/>
            <w:vAlign w:val="bottom"/>
          </w:tcPr>
          <w:p>
            <w:pPr>
              <w:jc w:val="center"/>
              <w:ind w:right="82"/>
              <w:spacing w:after="0" w:line="152" w:lineRule="exact"/>
              <w:rPr>
                <w:sz w:val="20"/>
                <w:szCs w:val="20"/>
                <w:color w:val="auto"/>
              </w:rPr>
            </w:pPr>
            <w:r>
              <w:rPr>
                <w:rFonts w:ascii="Times New Roman" w:cs="Times New Roman" w:eastAsia="Times New Roman" w:hAnsi="Times New Roman"/>
                <w:sz w:val="16"/>
                <w:szCs w:val="16"/>
                <w:color w:val="auto"/>
                <w:w w:val="98"/>
              </w:rPr>
              <w:t>Other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6"/>
                <w:szCs w:val="16"/>
                <w:color w:val="auto"/>
                <w:w w:val="95"/>
              </w:rPr>
              <w:t>Accrued</w:t>
            </w:r>
          </w:p>
        </w:tc>
        <w:tc>
          <w:tcPr>
            <w:tcW w:w="140" w:type="dxa"/>
            <w:vAlign w:val="bottom"/>
          </w:tcPr>
          <w:p>
            <w:pPr>
              <w:spacing w:after="0"/>
              <w:rPr>
                <w:sz w:val="13"/>
                <w:szCs w:val="13"/>
                <w:color w:val="auto"/>
              </w:rPr>
            </w:pPr>
          </w:p>
        </w:tc>
        <w:tc>
          <w:tcPr>
            <w:tcW w:w="840" w:type="dxa"/>
            <w:vAlign w:val="bottom"/>
          </w:tcPr>
          <w:p>
            <w:pPr>
              <w:ind w:left="180"/>
              <w:spacing w:after="0" w:line="152" w:lineRule="exact"/>
              <w:rPr>
                <w:sz w:val="20"/>
                <w:szCs w:val="20"/>
                <w:color w:val="auto"/>
              </w:rPr>
            </w:pPr>
            <w:r>
              <w:rPr>
                <w:rFonts w:ascii="Times New Roman" w:cs="Times New Roman" w:eastAsia="Times New Roman" w:hAnsi="Times New Roman"/>
                <w:sz w:val="16"/>
                <w:szCs w:val="16"/>
                <w:color w:val="auto"/>
              </w:rPr>
              <w:t>Other</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5"/>
              </w:rPr>
              <w:t>Assets</w:t>
            </w:r>
          </w:p>
        </w:tc>
        <w:tc>
          <w:tcPr>
            <w:tcW w:w="108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5"/>
              </w:rPr>
              <w:t>Assets</w:t>
            </w:r>
          </w:p>
        </w:tc>
        <w:tc>
          <w:tcPr>
            <w:tcW w:w="10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Expenses</w:t>
            </w:r>
          </w:p>
        </w:tc>
        <w:tc>
          <w:tcPr>
            <w:tcW w:w="14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8"/>
              </w:rPr>
              <w:t>Liabilities</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Expenses</w:t>
            </w:r>
          </w:p>
        </w:tc>
        <w:tc>
          <w:tcPr>
            <w:tcW w:w="140" w:type="dxa"/>
            <w:vAlign w:val="bottom"/>
          </w:tcPr>
          <w:p>
            <w:pPr>
              <w:spacing w:after="0"/>
              <w:rPr>
                <w:sz w:val="17"/>
                <w:szCs w:val="17"/>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Liabilities</w:t>
            </w:r>
          </w:p>
        </w:tc>
        <w:tc>
          <w:tcPr>
            <w:tcW w:w="0" w:type="dxa"/>
            <w:vAlign w:val="bottom"/>
          </w:tcPr>
          <w:p>
            <w:pPr>
              <w:spacing w:after="0"/>
              <w:rPr>
                <w:sz w:val="1"/>
                <w:szCs w:val="1"/>
                <w:color w:val="auto"/>
              </w:rPr>
            </w:pPr>
          </w:p>
        </w:tc>
      </w:tr>
      <w:tr>
        <w:trPr>
          <w:trHeight w:val="141"/>
        </w:trPr>
        <w:tc>
          <w:tcPr>
            <w:tcW w:w="26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Contracts designated as cash flow and</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hedges: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64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6"/>
                <w:szCs w:val="16"/>
                <w:color w:val="auto"/>
              </w:rPr>
              <w:t>Foreign currency forward contracts</w:t>
            </w:r>
          </w:p>
        </w:tc>
        <w:tc>
          <w:tcPr>
            <w:tcW w:w="180" w:type="dxa"/>
            <w:vAlign w:val="bottom"/>
            <w:vMerge w:val="restart"/>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 purchases)</w:t>
            </w:r>
          </w:p>
        </w:tc>
        <w:tc>
          <w:tcPr>
            <w:tcW w:w="18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40" w:type="dxa"/>
            <w:vAlign w:val="bottom"/>
          </w:tcPr>
          <w:p>
            <w:pPr>
              <w:ind w:left="140"/>
              <w:spacing w:after="0" w:line="156" w:lineRule="exact"/>
              <w:rPr>
                <w:sz w:val="20"/>
                <w:szCs w:val="20"/>
                <w:color w:val="auto"/>
              </w:rPr>
            </w:pPr>
            <w:r>
              <w:rPr>
                <w:rFonts w:ascii="Times New Roman" w:cs="Times New Roman" w:eastAsia="Times New Roman" w:hAnsi="Times New Roman"/>
                <w:sz w:val="16"/>
                <w:szCs w:val="16"/>
                <w:color w:val="auto"/>
              </w:rPr>
              <w:t>Cross-currency swap contracts (net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4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 hedges)</w:t>
            </w: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Undesignated contracts: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firstLine="390"/>
        <w:spacing w:after="0" w:line="293" w:lineRule="auto"/>
        <w:rPr>
          <w:sz w:val="20"/>
          <w:szCs w:val="20"/>
          <w:color w:val="auto"/>
        </w:rPr>
      </w:pPr>
      <w:r>
        <w:rPr>
          <w:rFonts w:ascii="Times New Roman" w:cs="Times New Roman" w:eastAsia="Times New Roman" w:hAnsi="Times New Roman"/>
          <w:sz w:val="17"/>
          <w:szCs w:val="17"/>
          <w:color w:val="auto"/>
        </w:rPr>
        <w:t>The notional amount outstanding of foreign currency forward contracts was $1,373.4 million at February 1, 2026. Such contracts expire principally between February 2026 and April 2027.</w:t>
      </w:r>
    </w:p>
    <w:p>
      <w:pPr>
        <w:spacing w:after="0" w:line="1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tables summarize the effect of the Company’s hedges designated as cash flow and net investment hedging instruments: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 Gain</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175"/>
        </w:trPr>
        <w:tc>
          <w:tcPr>
            <w:tcW w:w="3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gridSpan w:val="4"/>
          </w:tcPr>
          <w:p>
            <w:pPr>
              <w:jc w:val="center"/>
              <w:spacing w:after="0" w:line="175" w:lineRule="exact"/>
              <w:rPr>
                <w:sz w:val="20"/>
                <w:szCs w:val="20"/>
                <w:color w:val="auto"/>
              </w:rPr>
            </w:pPr>
            <w:r>
              <w:rPr>
                <w:rFonts w:ascii="Times New Roman" w:cs="Times New Roman" w:eastAsia="Times New Roman" w:hAnsi="Times New Roman"/>
                <w:sz w:val="17"/>
                <w:szCs w:val="17"/>
                <w:color w:val="auto"/>
              </w:rPr>
              <w:t>Recognized in Other</w:t>
            </w: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221"/>
        </w:trPr>
        <w:tc>
          <w:tcPr>
            <w:tcW w:w="3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6"/>
          </w:tcPr>
          <w:p>
            <w:pPr>
              <w:jc w:val="center"/>
              <w:ind w:left="513"/>
              <w:spacing w:after="0"/>
              <w:rPr>
                <w:sz w:val="20"/>
                <w:szCs w:val="20"/>
                <w:color w:val="auto"/>
              </w:rPr>
            </w:pPr>
            <w:r>
              <w:rPr>
                <w:rFonts w:ascii="Times New Roman" w:cs="Times New Roman" w:eastAsia="Times New Roman" w:hAnsi="Times New Roman"/>
                <w:sz w:val="17"/>
                <w:szCs w:val="17"/>
                <w:color w:val="auto"/>
              </w:rPr>
              <w:t>Comprehensive Income (Loss)</w:t>
            </w:r>
          </w:p>
        </w:tc>
        <w:tc>
          <w:tcPr>
            <w:tcW w:w="880" w:type="dxa"/>
            <w:vAlign w:val="bottom"/>
            <w:tcBorders>
              <w:bottom w:val="single" w:sz="8" w:color="auto"/>
            </w:tcBorders>
          </w:tcPr>
          <w:p>
            <w:pPr>
              <w:spacing w:after="0"/>
              <w:rPr>
                <w:sz w:val="19"/>
                <w:szCs w:val="19"/>
                <w:color w:val="auto"/>
              </w:rPr>
            </w:pPr>
          </w:p>
        </w:tc>
        <w:tc>
          <w:tcPr>
            <w:tcW w:w="3760" w:type="dxa"/>
            <w:vAlign w:val="bottom"/>
          </w:tcPr>
          <w:p>
            <w:pPr>
              <w:spacing w:after="0"/>
              <w:rPr>
                <w:sz w:val="19"/>
                <w:szCs w:val="19"/>
                <w:color w:val="auto"/>
              </w:rPr>
            </w:pPr>
          </w:p>
        </w:tc>
      </w:tr>
      <w:tr>
        <w:trPr>
          <w:trHeight w:val="214"/>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color w:val="auto"/>
              </w:rPr>
              <w:t>2023</w:t>
            </w:r>
          </w:p>
        </w:tc>
        <w:tc>
          <w:tcPr>
            <w:tcW w:w="3760" w:type="dxa"/>
            <w:vAlign w:val="bottom"/>
          </w:tcPr>
          <w:p>
            <w:pPr>
              <w:spacing w:after="0"/>
              <w:rPr>
                <w:sz w:val="18"/>
                <w:szCs w:val="18"/>
                <w:color w:val="auto"/>
              </w:rPr>
            </w:pPr>
          </w:p>
        </w:tc>
      </w:tr>
      <w:tr>
        <w:trPr>
          <w:trHeight w:val="157"/>
        </w:trPr>
        <w:tc>
          <w:tcPr>
            <w:tcW w:w="34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7"/>
                <w:szCs w:val="17"/>
                <w:color w:val="auto"/>
              </w:rPr>
              <w:t>Foreign currency forward contracts (inventory</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760" w:type="dxa"/>
            <w:vAlign w:val="bottom"/>
          </w:tcPr>
          <w:p>
            <w:pPr>
              <w:spacing w:after="0"/>
              <w:rPr>
                <w:sz w:val="13"/>
                <w:szCs w:val="13"/>
                <w:color w:val="auto"/>
              </w:rPr>
            </w:pPr>
          </w:p>
        </w:tc>
      </w:tr>
      <w:tr>
        <w:trPr>
          <w:trHeight w:val="22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3760" w:type="dxa"/>
            <w:vAlign w:val="bottom"/>
          </w:tcPr>
          <w:p>
            <w:pPr>
              <w:spacing w:after="0"/>
              <w:rPr>
                <w:sz w:val="19"/>
                <w:szCs w:val="19"/>
                <w:color w:val="auto"/>
              </w:rPr>
            </w:pPr>
          </w:p>
        </w:tc>
      </w:tr>
      <w:tr>
        <w:trPr>
          <w:trHeight w:val="177"/>
        </w:trPr>
        <w:tc>
          <w:tcPr>
            <w:tcW w:w="346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Foreign currency borrowings (net investment</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760" w:type="dxa"/>
            <w:vAlign w:val="bottom"/>
          </w:tcPr>
          <w:p>
            <w:pPr>
              <w:spacing w:after="0"/>
              <w:rPr>
                <w:sz w:val="15"/>
                <w:szCs w:val="15"/>
                <w:color w:val="auto"/>
              </w:rPr>
            </w:pPr>
          </w:p>
        </w:tc>
      </w:tr>
      <w:tr>
        <w:trPr>
          <w:trHeight w:val="227"/>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hedges)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3760" w:type="dxa"/>
            <w:vAlign w:val="bottom"/>
          </w:tcPr>
          <w:p>
            <w:pPr>
              <w:spacing w:after="0"/>
              <w:rPr>
                <w:sz w:val="19"/>
                <w:szCs w:val="19"/>
                <w:color w:val="auto"/>
              </w:rPr>
            </w:pPr>
          </w:p>
        </w:tc>
      </w:tr>
      <w:tr>
        <w:trPr>
          <w:trHeight w:val="177"/>
        </w:trPr>
        <w:tc>
          <w:tcPr>
            <w:tcW w:w="34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Cross-currency swap contracts (net investment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760" w:type="dxa"/>
            <w:vAlign w:val="bottom"/>
          </w:tcPr>
          <w:p>
            <w:pPr>
              <w:spacing w:after="0"/>
              <w:rPr>
                <w:sz w:val="15"/>
                <w:szCs w:val="15"/>
                <w:color w:val="auto"/>
              </w:rPr>
            </w:pPr>
          </w:p>
        </w:tc>
      </w:tr>
      <w:tr>
        <w:trPr>
          <w:trHeight w:val="22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hedges)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3760" w:type="dxa"/>
            <w:vAlign w:val="bottom"/>
          </w:tcPr>
          <w:p>
            <w:pPr>
              <w:spacing w:after="0"/>
              <w:rPr>
                <w:sz w:val="19"/>
                <w:szCs w:val="19"/>
                <w:color w:val="auto"/>
              </w:rPr>
            </w:pPr>
          </w:p>
        </w:tc>
      </w:tr>
      <w:tr>
        <w:trPr>
          <w:trHeight w:val="214"/>
        </w:trPr>
        <w:tc>
          <w:tcPr>
            <w:tcW w:w="3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3760" w:type="dxa"/>
            <w:vAlign w:val="bottom"/>
          </w:tcPr>
          <w:p>
            <w:pPr>
              <w:spacing w:after="0"/>
              <w:rPr>
                <w:sz w:val="18"/>
                <w:szCs w:val="18"/>
                <w:color w:val="auto"/>
              </w:rPr>
            </w:pPr>
          </w:p>
        </w:tc>
      </w:tr>
      <w:tr>
        <w:trPr>
          <w:trHeight w:val="20"/>
        </w:trPr>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864"/>
        </w:trPr>
        <w:tc>
          <w:tcPr>
            <w:tcW w:w="3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F-29</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10"/>
        </w:trPr>
        <w:tc>
          <w:tcPr>
            <w:tcW w:w="34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 millions)</w:t>
      </w:r>
    </w:p>
    <w:p>
      <w:pPr>
        <w:spacing w:after="0" w:line="31"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7"/>
          <w:szCs w:val="17"/>
          <w:color w:val="auto"/>
        </w:rPr>
        <w:t>Foreign currency forward contracts (inventory purchases)</w:t>
      </w:r>
    </w:p>
    <w:p>
      <w:pPr>
        <w:spacing w:after="0" w:line="9" w:lineRule="exact"/>
        <w:rPr>
          <w:sz w:val="20"/>
          <w:szCs w:val="20"/>
          <w:color w:val="auto"/>
        </w:rPr>
      </w:pPr>
    </w:p>
    <w:p>
      <w:pPr>
        <w:ind w:left="20" w:right="60"/>
        <w:spacing w:after="0" w:line="245" w:lineRule="auto"/>
        <w:rPr>
          <w:sz w:val="20"/>
          <w:szCs w:val="20"/>
          <w:color w:val="auto"/>
        </w:rPr>
      </w:pPr>
      <w:r>
        <w:rPr>
          <w:rFonts w:ascii="Times New Roman" w:cs="Times New Roman" w:eastAsia="Times New Roman" w:hAnsi="Times New Roman"/>
          <w:sz w:val="17"/>
          <w:szCs w:val="17"/>
          <w:color w:val="auto"/>
        </w:rPr>
        <w:t>Cross-currency swap contracts (net investment hedges)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jc w:val="center"/>
        <w:ind w:left="180" w:right="260"/>
        <w:spacing w:after="0" w:line="245" w:lineRule="auto"/>
        <w:rPr>
          <w:sz w:val="20"/>
          <w:szCs w:val="20"/>
          <w:color w:val="auto"/>
        </w:rPr>
      </w:pPr>
      <w:r>
        <w:rPr>
          <w:rFonts w:ascii="Times New Roman" w:cs="Times New Roman" w:eastAsia="Times New Roman" w:hAnsi="Times New Roman"/>
          <w:sz w:val="17"/>
          <w:szCs w:val="17"/>
          <w:color w:val="auto"/>
        </w:rPr>
        <w:t>Amount of Gain Reclassified from AOCL into Income, Consolidated Statements of Operations Location, and Total Amount of Consolidated Statements of Operations Line Item</w:t>
      </w:r>
    </w:p>
    <w:tbl>
      <w:tblPr>
        <w:tblLayout w:type="fixed"/>
        <w:tblInd w:w="0" w:type="dxa"/>
        <w:tblCellMar>
          <w:top w:w="0" w:type="dxa"/>
          <w:left w:w="0" w:type="dxa"/>
          <w:bottom w:w="0" w:type="dxa"/>
          <w:right w:w="0" w:type="dxa"/>
        </w:tblCellMar>
      </w:tblPr>
      <w:tr>
        <w:trPr>
          <w:trHeight w:val="224"/>
        </w:trPr>
        <w:tc>
          <w:tcPr>
            <w:tcW w:w="240" w:type="dxa"/>
            <w:vAlign w:val="bottom"/>
            <w:tcBorders>
              <w:top w:val="single" w:sz="8" w:color="auto"/>
              <w:bottom w:val="single" w:sz="8" w:color="auto"/>
            </w:tcBorders>
          </w:tcPr>
          <w:p>
            <w:pPr>
              <w:spacing w:after="0"/>
              <w:rPr>
                <w:sz w:val="19"/>
                <w:szCs w:val="19"/>
                <w:color w:val="auto"/>
              </w:rPr>
            </w:pPr>
          </w:p>
        </w:tc>
        <w:tc>
          <w:tcPr>
            <w:tcW w:w="2860" w:type="dxa"/>
            <w:vAlign w:val="bottom"/>
            <w:tcBorders>
              <w:top w:val="single" w:sz="8" w:color="auto"/>
              <w:bottom w:val="single" w:sz="8" w:color="auto"/>
            </w:tcBorders>
            <w:gridSpan w:val="6"/>
          </w:tcPr>
          <w:p>
            <w:pPr>
              <w:jc w:val="right"/>
              <w:ind w:right="553"/>
              <w:spacing w:after="0"/>
              <w:rPr>
                <w:sz w:val="20"/>
                <w:szCs w:val="20"/>
                <w:color w:val="auto"/>
              </w:rPr>
            </w:pPr>
            <w:r>
              <w:rPr>
                <w:rFonts w:ascii="Times New Roman" w:cs="Times New Roman" w:eastAsia="Times New Roman" w:hAnsi="Times New Roman"/>
                <w:sz w:val="17"/>
                <w:szCs w:val="17"/>
                <w:color w:val="auto"/>
              </w:rPr>
              <w:t>Amount Reclassified</w:t>
            </w:r>
          </w:p>
        </w:tc>
        <w:tc>
          <w:tcPr>
            <w:tcW w:w="3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Location</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260" w:type="dxa"/>
            <w:vAlign w:val="bottom"/>
            <w:tcBorders>
              <w:top w:val="single" w:sz="8" w:color="auto"/>
              <w:bottom w:val="single" w:sz="8" w:color="auto"/>
            </w:tcBorders>
            <w:gridSpan w:val="7"/>
          </w:tcPr>
          <w:p>
            <w:pPr>
              <w:ind w:left="140"/>
              <w:spacing w:after="0"/>
              <w:rPr>
                <w:sz w:val="20"/>
                <w:szCs w:val="20"/>
                <w:color w:val="auto"/>
              </w:rPr>
            </w:pPr>
            <w:r>
              <w:rPr>
                <w:rFonts w:ascii="Times New Roman" w:cs="Times New Roman" w:eastAsia="Times New Roman" w:hAnsi="Times New Roman"/>
                <w:sz w:val="17"/>
                <w:szCs w:val="17"/>
                <w:color w:val="auto"/>
              </w:rPr>
              <w:t>Total Statements of Operations Amount</w:t>
            </w:r>
          </w:p>
        </w:tc>
        <w:tc>
          <w:tcPr>
            <w:tcW w:w="0" w:type="dxa"/>
            <w:vAlign w:val="bottom"/>
          </w:tcPr>
          <w:p>
            <w:pPr>
              <w:spacing w:after="0"/>
              <w:rPr>
                <w:sz w:val="1"/>
                <w:szCs w:val="1"/>
                <w:color w:val="auto"/>
              </w:rPr>
            </w:pPr>
          </w:p>
        </w:tc>
      </w:tr>
      <w:tr>
        <w:trPr>
          <w:trHeight w:val="214"/>
        </w:trPr>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rPr>
              <w:t>Cost of goods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20"/>
                <w:szCs w:val="20"/>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tcPr>
          <w:p>
            <w:pPr>
              <w:spacing w:after="0"/>
              <w:rPr>
                <w:sz w:val="20"/>
                <w:szCs w:val="20"/>
                <w:color w:val="auto"/>
              </w:rPr>
            </w:pPr>
          </w:p>
        </w:tc>
        <w:tc>
          <w:tcPr>
            <w:tcW w:w="72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11.1</w:t>
            </w:r>
          </w:p>
        </w:tc>
        <w:tc>
          <w:tcPr>
            <w:tcW w:w="100" w:type="dxa"/>
            <w:vAlign w:val="bottom"/>
          </w:tcPr>
          <w:p>
            <w:pPr>
              <w:spacing w:after="0"/>
              <w:rPr>
                <w:sz w:val="20"/>
                <w:szCs w:val="20"/>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sold</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3,801.6</w:t>
            </w:r>
          </w:p>
        </w:tc>
        <w:tc>
          <w:tcPr>
            <w:tcW w:w="10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3,510.4</w:t>
            </w:r>
          </w:p>
        </w:tc>
        <w:tc>
          <w:tcPr>
            <w:tcW w:w="10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3,854.5</w:t>
            </w:r>
          </w:p>
        </w:tc>
        <w:tc>
          <w:tcPr>
            <w:tcW w:w="0" w:type="dxa"/>
            <w:vAlign w:val="bottom"/>
          </w:tcPr>
          <w:p>
            <w:pPr>
              <w:spacing w:after="0"/>
              <w:rPr>
                <w:sz w:val="1"/>
                <w:szCs w:val="1"/>
                <w:color w:val="auto"/>
              </w:rPr>
            </w:pPr>
          </w:p>
        </w:tc>
      </w:tr>
      <w:tr>
        <w:trPr>
          <w:trHeight w:val="403"/>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0" w:type="dxa"/>
            <w:vAlign w:val="bottom"/>
          </w:tcPr>
          <w:p>
            <w:pPr>
              <w:spacing w:after="0"/>
              <w:rPr>
                <w:sz w:val="1"/>
                <w:szCs w:val="1"/>
                <w:color w:val="auto"/>
              </w:rPr>
            </w:pPr>
          </w:p>
        </w:tc>
      </w:tr>
      <w:tr>
        <w:trPr>
          <w:trHeight w:val="214"/>
        </w:trPr>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14.3</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-1558925</wp:posOffset>
            </wp:positionH>
            <wp:positionV relativeFrom="paragraph">
              <wp:posOffset>-693420</wp:posOffset>
            </wp:positionV>
            <wp:extent cx="6873240" cy="255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6873240" cy="255905"/>
                    </a:xfrm>
                    <a:prstGeom prst="rect">
                      <a:avLst/>
                    </a:prstGeom>
                    <a:noFill/>
                  </pic:spPr>
                </pic:pic>
              </a:graphicData>
            </a:graphic>
          </wp:anchor>
        </w:drawing>
        <w:drawing>
          <wp:anchor simplePos="0" relativeHeight="251657728" behindDoc="1" locked="0" layoutInCell="0" allowOverlap="1">
            <wp:simplePos x="0" y="0"/>
            <wp:positionH relativeFrom="column">
              <wp:posOffset>-1558925</wp:posOffset>
            </wp:positionH>
            <wp:positionV relativeFrom="paragraph">
              <wp:posOffset>-180975</wp:posOffset>
            </wp:positionV>
            <wp:extent cx="6873240" cy="165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6873240" cy="165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00" w:space="260"/>
            <w:col w:w="8620"/>
          </w:cols>
          <w:pgMar w:left="320" w:top="1045" w:right="499" w:bottom="1440" w:gutter="0" w:footer="0" w:header="0"/>
        </w:sectPr>
      </w:pPr>
    </w:p>
    <w:p>
      <w:pPr>
        <w:spacing w:after="0" w:line="107" w:lineRule="exact"/>
        <w:rPr>
          <w:sz w:val="20"/>
          <w:szCs w:val="20"/>
          <w:color w:val="auto"/>
        </w:rPr>
      </w:pPr>
    </w:p>
    <w:p>
      <w:pPr>
        <w:ind w:firstLine="390"/>
        <w:spacing w:after="0" w:line="268" w:lineRule="auto"/>
        <w:rPr>
          <w:sz w:val="20"/>
          <w:szCs w:val="20"/>
          <w:color w:val="auto"/>
        </w:rPr>
      </w:pPr>
      <w:r>
        <w:rPr>
          <w:rFonts w:ascii="Times New Roman" w:cs="Times New Roman" w:eastAsia="Times New Roman" w:hAnsi="Times New Roman"/>
          <w:sz w:val="17"/>
          <w:szCs w:val="17"/>
          <w:color w:val="auto"/>
        </w:rPr>
        <w:t>A net loss in AOCL on foreign currency forward contracts at February 1, 2026 of $31.4 million is estimated to be reclassified in the next 12 months in the Company’s Consolidated Statement of Operations to cost of goods sold as the underlying inventory hedged by such forward contracts is sold. Amounts recognized in AOCL for foreign currency borrowings and the effective portion of the Company’s net investment hedges would be recognized in earnings only upon the sale or substantially complete liquidation of the hedged net investment.</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effect of the Company’s undesignated contracts recognized in SG&amp;A expenses in its Consolidated Statements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Operations: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4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gridSpan w:val="7"/>
          </w:tcPr>
          <w:p>
            <w:pPr>
              <w:jc w:val="center"/>
              <w:ind w:right="233"/>
              <w:spacing w:after="0"/>
              <w:rPr>
                <w:sz w:val="20"/>
                <w:szCs w:val="20"/>
                <w:color w:val="auto"/>
              </w:rPr>
            </w:pPr>
            <w:r>
              <w:rPr>
                <w:rFonts w:ascii="Times New Roman" w:cs="Times New Roman" w:eastAsia="Times New Roman" w:hAnsi="Times New Roman"/>
                <w:sz w:val="17"/>
                <w:szCs w:val="17"/>
                <w:color w:val="auto"/>
              </w:rPr>
              <w:t>(Loss) Gain Recognized in SG&amp;A Expenses</w:t>
            </w:r>
          </w:p>
        </w:tc>
      </w:tr>
      <w:tr>
        <w:trPr>
          <w:trHeight w:val="214"/>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2023</w:t>
            </w:r>
          </w:p>
        </w:tc>
      </w:tr>
      <w:tr>
        <w:trPr>
          <w:trHeight w:val="282"/>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Foreign currency forward contracts </w:t>
            </w:r>
            <w:r>
              <w:rPr>
                <w:rFonts w:ascii="Times New Roman" w:cs="Times New Roman" w:eastAsia="Times New Roman" w:hAnsi="Times New Roman"/>
                <w:sz w:val="22"/>
                <w:szCs w:val="22"/>
                <w:color w:val="auto"/>
                <w:vertAlign w:val="superscript"/>
              </w:rPr>
              <w:t>(1)</w:t>
            </w: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20" w:type="dxa"/>
            <w:vAlign w:val="bottom"/>
          </w:tcPr>
          <w:p>
            <w:pPr>
              <w:spacing w:after="0"/>
              <w:rPr>
                <w:sz w:val="24"/>
                <w:szCs w:val="24"/>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24"/>
                <w:szCs w:val="24"/>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bl>
    <w:p>
      <w:pPr>
        <w:spacing w:after="0" w:line="226" w:lineRule="exact"/>
        <w:rPr>
          <w:sz w:val="20"/>
          <w:szCs w:val="20"/>
          <w:color w:val="auto"/>
        </w:rPr>
      </w:pPr>
    </w:p>
    <w:p>
      <w:pPr>
        <w:jc w:val="both"/>
        <w:ind w:left="400" w:right="20"/>
        <w:spacing w:after="0" w:line="472"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Any gains and losses that are immediately recognized in earnings on such contracts are largely offset by the remeasurement of the underlying balances. The Company had no derivative financial instruments with credit risk-related contingent features underlying the related contracts as of February 1, 2026.</w:t>
      </w:r>
    </w:p>
    <w:p>
      <w:pPr>
        <w:ind w:left="380" w:hanging="376"/>
        <w:spacing w:after="0"/>
        <w:tabs>
          <w:tab w:leader="none" w:pos="38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48" w:lineRule="exact"/>
        <w:rPr>
          <w:rFonts w:ascii="Times New Roman" w:cs="Times New Roman" w:eastAsia="Times New Roman" w:hAnsi="Times New Roman"/>
          <w:sz w:val="17"/>
          <w:szCs w:val="17"/>
          <w:b w:val="1"/>
          <w:bCs w:val="1"/>
          <w:color w:val="auto"/>
        </w:rPr>
      </w:pPr>
    </w:p>
    <w:p>
      <w:pPr>
        <w:ind w:left="4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accordance with U.S. GAAP, fair value is defined as the price that would be received to sell an asset or paid to transfer a liability in an orderly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 between market participants at the measurement date. A three level hierarchy prioritizes the inputs used to measure fair value as follows:</w:t>
      </w:r>
    </w:p>
    <w:p>
      <w:pPr>
        <w:spacing w:after="0" w:line="228" w:lineRule="exact"/>
        <w:rPr>
          <w:sz w:val="20"/>
          <w:szCs w:val="20"/>
          <w:color w:val="auto"/>
        </w:rPr>
      </w:pPr>
    </w:p>
    <w:p>
      <w:pPr>
        <w:ind w:left="400" w:right="720"/>
        <w:spacing w:after="0" w:line="293" w:lineRule="auto"/>
        <w:rPr>
          <w:sz w:val="20"/>
          <w:szCs w:val="20"/>
          <w:color w:val="auto"/>
        </w:rPr>
      </w:pPr>
      <w:r>
        <w:rPr>
          <w:rFonts w:ascii="Times New Roman" w:cs="Times New Roman" w:eastAsia="Times New Roman" w:hAnsi="Times New Roman"/>
          <w:sz w:val="17"/>
          <w:szCs w:val="17"/>
          <w:color w:val="auto"/>
        </w:rPr>
        <w:t>Level 1 – Inputs are unadjusted quoted prices in active markets for identical assets or liabilities that the Company has the ability to access at the measurement date.</w:t>
      </w:r>
    </w:p>
    <w:p>
      <w:pPr>
        <w:spacing w:after="0" w:line="173" w:lineRule="exact"/>
        <w:rPr>
          <w:sz w:val="20"/>
          <w:szCs w:val="20"/>
          <w:color w:val="auto"/>
        </w:rPr>
      </w:pPr>
    </w:p>
    <w:p>
      <w:pPr>
        <w:ind w:left="400" w:right="40"/>
        <w:spacing w:after="0" w:line="274" w:lineRule="auto"/>
        <w:rPr>
          <w:sz w:val="20"/>
          <w:szCs w:val="20"/>
          <w:color w:val="auto"/>
        </w:rPr>
      </w:pPr>
      <w:r>
        <w:rPr>
          <w:rFonts w:ascii="Times New Roman" w:cs="Times New Roman" w:eastAsia="Times New Roman" w:hAnsi="Times New Roman"/>
          <w:sz w:val="17"/>
          <w:szCs w:val="17"/>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89" w:lineRule="exact"/>
        <w:rPr>
          <w:sz w:val="20"/>
          <w:szCs w:val="20"/>
          <w:color w:val="auto"/>
        </w:rPr>
      </w:pPr>
    </w:p>
    <w:p>
      <w:pPr>
        <w:ind w:left="400" w:right="400"/>
        <w:spacing w:after="0" w:line="293" w:lineRule="auto"/>
        <w:rPr>
          <w:sz w:val="20"/>
          <w:szCs w:val="20"/>
          <w:color w:val="auto"/>
        </w:rPr>
      </w:pPr>
      <w:r>
        <w:rPr>
          <w:rFonts w:ascii="Times New Roman" w:cs="Times New Roman" w:eastAsia="Times New Roman" w:hAnsi="Times New Roman"/>
          <w:sz w:val="17"/>
          <w:szCs w:val="17"/>
          <w:color w:val="auto"/>
        </w:rPr>
        <w:t>Level 3 – Unobservable inputs reflecting the Company’s own assumptions about the inputs that market participants would use in pricing the asset or liability based on the best information available.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80"/>
          </w:cols>
          <w:pgMar w:left="320" w:top="1045" w:right="499" w:bottom="1440" w:gutter="0" w:footer="0" w:header="0"/>
          <w:type w:val="continuous"/>
        </w:sectPr>
      </w:pPr>
    </w:p>
    <w:bookmarkStart w:id="102" w:name="page103"/>
    <w:bookmarkEnd w:id="102"/>
    <w:p>
      <w:pPr>
        <w:ind w:right="220" w:firstLine="390"/>
        <w:spacing w:after="0" w:line="276" w:lineRule="auto"/>
        <w:rPr>
          <w:sz w:val="20"/>
          <w:szCs w:val="20"/>
          <w:color w:val="auto"/>
        </w:rPr>
      </w:pPr>
      <w:r>
        <w:rPr>
          <w:rFonts w:ascii="Times New Roman" w:cs="Times New Roman" w:eastAsia="Times New Roman" w:hAnsi="Times New Roman"/>
          <w:sz w:val="17"/>
          <w:szCs w:val="17"/>
          <w:color w:val="auto"/>
        </w:rPr>
        <w:t>In accordance with the fair value hierarchy described above, the following table shows the fair value of the Company’s financial assets and liabilities that are required to be remeasured at fair value on a recurring basis:</w:t>
      </w:r>
    </w:p>
    <w:p>
      <w:pPr>
        <w:spacing w:after="0" w:line="2" w:lineRule="exact"/>
        <w:rPr>
          <w:sz w:val="20"/>
          <w:szCs w:val="20"/>
          <w:color w:val="auto"/>
        </w:rPr>
      </w:pPr>
    </w:p>
    <w:tbl>
      <w:tblPr>
        <w:tblLayout w:type="fixed"/>
        <w:tblInd w:w="420" w:type="dxa"/>
        <w:tblCellMar>
          <w:top w:w="0" w:type="dxa"/>
          <w:left w:w="0" w:type="dxa"/>
          <w:bottom w:w="0" w:type="dxa"/>
          <w:right w:w="0" w:type="dxa"/>
        </w:tblCellMar>
      </w:tblPr>
      <w:tr>
        <w:trPr>
          <w:trHeight w:val="182"/>
        </w:trPr>
        <w:tc>
          <w:tcPr>
            <w:tcW w:w="2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gridSpan w:val="3"/>
          </w:tcPr>
          <w:p>
            <w:pPr>
              <w:jc w:val="right"/>
              <w:ind w:right="651"/>
              <w:spacing w:after="0"/>
              <w:rPr>
                <w:sz w:val="20"/>
                <w:szCs w:val="20"/>
                <w:color w:val="auto"/>
              </w:rPr>
            </w:pPr>
            <w:r>
              <w:rPr>
                <w:rFonts w:ascii="Times New Roman" w:cs="Times New Roman" w:eastAsia="Times New Roman" w:hAnsi="Times New Roman"/>
                <w:sz w:val="14"/>
                <w:szCs w:val="14"/>
                <w:color w:val="auto"/>
                <w:w w:val="99"/>
              </w:rPr>
              <w:t>2025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gridSpan w:val="3"/>
          </w:tcPr>
          <w:p>
            <w:pPr>
              <w:jc w:val="right"/>
              <w:ind w:right="651"/>
              <w:spacing w:after="0"/>
              <w:rPr>
                <w:sz w:val="20"/>
                <w:szCs w:val="20"/>
                <w:color w:val="auto"/>
              </w:rPr>
            </w:pPr>
            <w:r>
              <w:rPr>
                <w:rFonts w:ascii="Times New Roman" w:cs="Times New Roman" w:eastAsia="Times New Roman" w:hAnsi="Times New Roman"/>
                <w:sz w:val="14"/>
                <w:szCs w:val="14"/>
                <w:color w:val="auto"/>
                <w:w w:val="99"/>
              </w:rPr>
              <w:t>2024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9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400" w:type="dxa"/>
            <w:vAlign w:val="bottom"/>
            <w:vMerge w:val="continue"/>
          </w:tcPr>
          <w:p>
            <w:pPr>
              <w:spacing w:after="0"/>
              <w:rPr>
                <w:sz w:val="15"/>
                <w:szCs w:val="15"/>
                <w:color w:val="auto"/>
              </w:rPr>
            </w:pPr>
          </w:p>
        </w:tc>
        <w:tc>
          <w:tcPr>
            <w:tcW w:w="96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color w:val="auto"/>
                <w:w w:val="98"/>
              </w:rPr>
              <w:t>Level 1</w:t>
            </w: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Level 2</w:t>
            </w: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Level 3</w:t>
            </w: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8"/>
              </w:rPr>
              <w:t>Level 1</w:t>
            </w: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Level 2</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Level 3</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59"/>
        </w:trPr>
        <w:tc>
          <w:tcPr>
            <w:tcW w:w="24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Assets:</w:t>
            </w:r>
          </w:p>
        </w:tc>
        <w:tc>
          <w:tcPr>
            <w:tcW w:w="5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56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9"/>
              </w:rPr>
              <w:t>N/A</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134"/>
        </w:trPr>
        <w:tc>
          <w:tcPr>
            <w:tcW w:w="2400" w:type="dxa"/>
            <w:vAlign w:val="bottom"/>
          </w:tcPr>
          <w:p>
            <w:pPr>
              <w:ind w:left="140"/>
              <w:spacing w:after="0" w:line="134" w:lineRule="exact"/>
              <w:rPr>
                <w:sz w:val="20"/>
                <w:szCs w:val="20"/>
                <w:color w:val="auto"/>
              </w:rPr>
            </w:pPr>
            <w:r>
              <w:rPr>
                <w:rFonts w:ascii="Times New Roman" w:cs="Times New Roman" w:eastAsia="Times New Roman" w:hAnsi="Times New Roman"/>
                <w:sz w:val="14"/>
                <w:szCs w:val="14"/>
                <w:color w:val="auto"/>
              </w:rPr>
              <w:t>Cross-currency swap contracts (net</w:t>
            </w:r>
          </w:p>
        </w:tc>
        <w:tc>
          <w:tcPr>
            <w:tcW w:w="560" w:type="dxa"/>
            <w:vAlign w:val="bottom"/>
            <w:vMerge w:val="restart"/>
          </w:tcPr>
          <w:p>
            <w:pPr>
              <w:jc w:val="center"/>
              <w:ind w:left="251"/>
              <w:spacing w:after="0"/>
              <w:rPr>
                <w:sz w:val="20"/>
                <w:szCs w:val="20"/>
                <w:color w:val="auto"/>
              </w:rPr>
            </w:pPr>
            <w:r>
              <w:rPr>
                <w:rFonts w:ascii="Times New Roman" w:cs="Times New Roman" w:eastAsia="Times New Roman" w:hAnsi="Times New Roman"/>
                <w:sz w:val="14"/>
                <w:szCs w:val="14"/>
                <w:color w:val="auto"/>
                <w:w w:val="99"/>
              </w:rPr>
              <w:t>N/A</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0" w:type="dxa"/>
            <w:vAlign w:val="bottom"/>
          </w:tcPr>
          <w:p>
            <w:pPr>
              <w:spacing w:after="0"/>
              <w:rPr>
                <w:sz w:val="1"/>
                <w:szCs w:val="1"/>
                <w:color w:val="auto"/>
              </w:rPr>
            </w:pPr>
          </w:p>
        </w:tc>
      </w:tr>
      <w:tr>
        <w:trPr>
          <w:trHeight w:val="187"/>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hedges)</w:t>
            </w:r>
          </w:p>
        </w:tc>
        <w:tc>
          <w:tcPr>
            <w:tcW w:w="5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Rabbi trust assets</w:t>
            </w:r>
          </w:p>
        </w:tc>
        <w:tc>
          <w:tcPr>
            <w:tcW w:w="56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9"/>
              </w:rPr>
              <w:t>21.6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N/A</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rPr>
              <w:t>N/A</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5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9"/>
              </w:rPr>
              <w:t>21.6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2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4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forward contracts</w:t>
            </w:r>
          </w:p>
        </w:tc>
        <w:tc>
          <w:tcPr>
            <w:tcW w:w="56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9"/>
              </w:rPr>
              <w:t>N/A</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34"/>
        </w:trPr>
        <w:tc>
          <w:tcPr>
            <w:tcW w:w="2400" w:type="dxa"/>
            <w:vAlign w:val="bottom"/>
          </w:tcPr>
          <w:p>
            <w:pPr>
              <w:ind w:left="140"/>
              <w:spacing w:after="0" w:line="134" w:lineRule="exact"/>
              <w:rPr>
                <w:sz w:val="20"/>
                <w:szCs w:val="20"/>
                <w:color w:val="auto"/>
              </w:rPr>
            </w:pPr>
            <w:r>
              <w:rPr>
                <w:rFonts w:ascii="Times New Roman" w:cs="Times New Roman" w:eastAsia="Times New Roman" w:hAnsi="Times New Roman"/>
                <w:sz w:val="14"/>
                <w:szCs w:val="14"/>
                <w:color w:val="auto"/>
              </w:rPr>
              <w:t>Cross-currency swap contracts (net</w:t>
            </w:r>
          </w:p>
        </w:tc>
        <w:tc>
          <w:tcPr>
            <w:tcW w:w="560" w:type="dxa"/>
            <w:vAlign w:val="bottom"/>
            <w:vMerge w:val="restart"/>
          </w:tcPr>
          <w:p>
            <w:pPr>
              <w:jc w:val="center"/>
              <w:ind w:left="251"/>
              <w:spacing w:after="0"/>
              <w:rPr>
                <w:sz w:val="20"/>
                <w:szCs w:val="20"/>
                <w:color w:val="auto"/>
              </w:rPr>
            </w:pPr>
            <w:r>
              <w:rPr>
                <w:rFonts w:ascii="Times New Roman" w:cs="Times New Roman" w:eastAsia="Times New Roman" w:hAnsi="Times New Roman"/>
                <w:sz w:val="14"/>
                <w:szCs w:val="14"/>
                <w:color w:val="auto"/>
                <w:w w:val="99"/>
              </w:rPr>
              <w:t>N/A</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9"/>
              </w:rPr>
              <w:t>N/A</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N/A</w:t>
            </w:r>
          </w:p>
        </w:tc>
        <w:tc>
          <w:tcPr>
            <w:tcW w:w="2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investment hedges)</w:t>
            </w:r>
          </w:p>
        </w:tc>
        <w:tc>
          <w:tcPr>
            <w:tcW w:w="5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560" w:type="dxa"/>
            <w:vAlign w:val="bottom"/>
            <w:tcBorders>
              <w:top w:val="single" w:sz="8" w:color="auto"/>
              <w:bottom w:val="single" w:sz="8" w:color="auto"/>
            </w:tcBorders>
            <w:shd w:val="clear" w:color="auto" w:fill="CCEEFF"/>
          </w:tcPr>
          <w:p>
            <w:pPr>
              <w:jc w:val="center"/>
              <w:ind w:left="251"/>
              <w:spacing w:after="0"/>
              <w:rPr>
                <w:sz w:val="20"/>
                <w:szCs w:val="20"/>
                <w:color w:val="auto"/>
              </w:rPr>
            </w:pPr>
            <w:r>
              <w:rPr>
                <w:rFonts w:ascii="Times New Roman" w:cs="Times New Roman" w:eastAsia="Times New Roman" w:hAnsi="Times New Roman"/>
                <w:sz w:val="14"/>
                <w:szCs w:val="14"/>
                <w:color w:val="auto"/>
                <w:w w:val="99"/>
              </w:rPr>
              <w:t>N/A</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ind w:right="91"/>
              <w:spacing w:after="0"/>
              <w:rPr>
                <w:sz w:val="20"/>
                <w:szCs w:val="20"/>
                <w:color w:val="auto"/>
              </w:rPr>
            </w:pPr>
            <w:r>
              <w:rPr>
                <w:rFonts w:ascii="Times New Roman" w:cs="Times New Roman" w:eastAsia="Times New Roman" w:hAnsi="Times New Roman"/>
                <w:sz w:val="14"/>
                <w:szCs w:val="14"/>
                <w:color w:val="auto"/>
                <w:w w:val="99"/>
              </w:rPr>
              <w:t>N/A</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fair value of the foreign currency forward contracts is measured as the total amount of currency to be purchased, multiplied by the difference between</w:t>
      </w:r>
    </w:p>
    <w:p>
      <w:pPr>
        <w:spacing w:after="0" w:line="31" w:lineRule="exact"/>
        <w:rPr>
          <w:sz w:val="20"/>
          <w:szCs w:val="20"/>
          <w:color w:val="auto"/>
        </w:rPr>
      </w:pPr>
    </w:p>
    <w:p>
      <w:pPr>
        <w:ind w:firstLine="4"/>
        <w:spacing w:after="0" w:line="260" w:lineRule="auto"/>
        <w:tabs>
          <w:tab w:leader="none" w:pos="20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currency forward rate as of the period end and (ii) the settlement rate specified in each contract. The fair value of the cross-currency swap contracts is measured using the discounted cash flows of the contracts, which are determined based on observable inputs, including the foreign currency forward rates and discount rates, as of the period end. The fair value of the rabbi trust assets, which consist of investments in mutual funds, is valued at the net asset value of the funds, as determined by the closing price in the active market in which the individual fund is traded.</w:t>
      </w:r>
    </w:p>
    <w:p>
      <w:pPr>
        <w:spacing w:after="0" w:line="201" w:lineRule="exact"/>
        <w:rPr>
          <w:sz w:val="20"/>
          <w:szCs w:val="20"/>
          <w:color w:val="auto"/>
        </w:rPr>
      </w:pPr>
    </w:p>
    <w:p>
      <w:pPr>
        <w:ind w:right="20" w:firstLine="390"/>
        <w:spacing w:after="0" w:line="271" w:lineRule="auto"/>
        <w:rPr>
          <w:sz w:val="20"/>
          <w:szCs w:val="20"/>
          <w:color w:val="auto"/>
        </w:rPr>
      </w:pPr>
      <w:r>
        <w:rPr>
          <w:rFonts w:ascii="Times New Roman" w:cs="Times New Roman" w:eastAsia="Times New Roman" w:hAnsi="Times New Roman"/>
          <w:sz w:val="17"/>
          <w:szCs w:val="17"/>
          <w:color w:val="auto"/>
        </w:rPr>
        <w:t>The Company established a rabbi trust that holds investments related to the Company’s supplemental savings plan. The rabbi trust is considered a variable interest entity and it is consolidated in the Company’s financial statements because the Company is considered the primary beneficiary of the rabbi trust. The rabbi trust assets generally mirror the investment elections made by eligible plan participants and are included as follows in the Company’s Consolidated Balance Sheets:</w:t>
      </w:r>
    </w:p>
    <w:p>
      <w:pPr>
        <w:spacing w:after="0" w:line="205" w:lineRule="exact"/>
        <w:rPr>
          <w:sz w:val="20"/>
          <w:szCs w:val="20"/>
          <w:color w:val="auto"/>
        </w:rPr>
      </w:pPr>
    </w:p>
    <w:tbl>
      <w:tblPr>
        <w:tblLayout w:type="fixed"/>
        <w:tblInd w:w="420" w:type="dxa"/>
        <w:tblCellMar>
          <w:top w:w="0" w:type="dxa"/>
          <w:left w:w="0" w:type="dxa"/>
          <w:bottom w:w="0" w:type="dxa"/>
          <w:right w:w="0" w:type="dxa"/>
        </w:tblCellMar>
      </w:tblPr>
      <w:tr>
        <w:trPr>
          <w:trHeight w:val="182"/>
        </w:trPr>
        <w:tc>
          <w:tcPr>
            <w:tcW w:w="1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3"/>
          </w:tcPr>
          <w:p>
            <w:pPr>
              <w:jc w:val="right"/>
              <w:ind w:right="231"/>
              <w:spacing w:after="0"/>
              <w:rPr>
                <w:sz w:val="20"/>
                <w:szCs w:val="20"/>
                <w:color w:val="auto"/>
              </w:rPr>
            </w:pPr>
            <w:r>
              <w:rPr>
                <w:rFonts w:ascii="Times New Roman" w:cs="Times New Roman" w:eastAsia="Times New Roman" w:hAnsi="Times New Roman"/>
                <w:sz w:val="14"/>
                <w:szCs w:val="14"/>
                <w:color w:val="auto"/>
              </w:rPr>
              <w:t>2025</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20" w:type="dxa"/>
            <w:vAlign w:val="bottom"/>
            <w:gridSpan w:val="3"/>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2"/>
                <w:szCs w:val="2"/>
                <w:color w:val="auto"/>
              </w:rPr>
            </w:pPr>
          </w:p>
        </w:tc>
        <w:tc>
          <w:tcPr>
            <w:tcW w:w="19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800" w:type="dxa"/>
            <w:vAlign w:val="bottom"/>
            <w:vMerge w:val="continue"/>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3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Pr>
          <w:p>
            <w:pPr>
              <w:spacing w:after="0"/>
              <w:rPr>
                <w:sz w:val="15"/>
                <w:szCs w:val="15"/>
                <w:color w:val="auto"/>
              </w:rPr>
            </w:pPr>
          </w:p>
        </w:tc>
        <w:tc>
          <w:tcPr>
            <w:tcW w:w="17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Other Current Assets</w:t>
            </w:r>
          </w:p>
        </w:tc>
        <w:tc>
          <w:tcPr>
            <w:tcW w:w="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rPr>
              <w:t>Other Assets</w:t>
            </w:r>
          </w:p>
        </w:tc>
        <w:tc>
          <w:tcPr>
            <w:tcW w:w="0" w:type="dxa"/>
            <w:vAlign w:val="bottom"/>
          </w:tcPr>
          <w:p>
            <w:pPr>
              <w:spacing w:after="0"/>
              <w:rPr>
                <w:sz w:val="1"/>
                <w:szCs w:val="1"/>
                <w:color w:val="auto"/>
              </w:rPr>
            </w:pPr>
          </w:p>
        </w:tc>
      </w:tr>
      <w:tr>
        <w:trPr>
          <w:trHeight w:val="182"/>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Rabbi trust assets</w:t>
            </w:r>
          </w:p>
        </w:tc>
        <w:tc>
          <w:tcPr>
            <w:tcW w:w="2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5"/>
                <w:szCs w:val="15"/>
                <w:color w:val="auto"/>
              </w:rPr>
            </w:pPr>
          </w:p>
        </w:tc>
        <w:tc>
          <w:tcPr>
            <w:tcW w:w="1740" w:type="dxa"/>
            <w:vAlign w:val="bottom"/>
            <w:tcBorders>
              <w:top w:val="single" w:sz="8" w:color="auto"/>
            </w:tcBorders>
          </w:tcPr>
          <w:p>
            <w:pPr>
              <w:jc w:val="right"/>
              <w:ind w:right="1591"/>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corresponding deferred compensation liability is included in accrued expenses and other liabilities in the Company’s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Unrealized gains recognized on the rabbi trust investments during 2025, 2024 and 2023 were $2.5 million, $1.4 million, and $0.9 million, respectively.</w:t>
      </w: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There were no transfers between any levels of the fair value hierarchy for any of the Company’s fair value measurements.</w:t>
      </w:r>
    </w:p>
    <w:p>
      <w:pPr>
        <w:spacing w:after="0" w:line="247" w:lineRule="exact"/>
        <w:rPr>
          <w:sz w:val="20"/>
          <w:szCs w:val="20"/>
          <w:color w:val="auto"/>
        </w:rPr>
      </w:pPr>
    </w:p>
    <w:p>
      <w:pPr>
        <w:ind w:right="100" w:firstLine="390"/>
        <w:spacing w:after="0" w:line="265" w:lineRule="auto"/>
        <w:rPr>
          <w:sz w:val="20"/>
          <w:szCs w:val="20"/>
          <w:color w:val="auto"/>
        </w:rPr>
      </w:pPr>
      <w:r>
        <w:rPr>
          <w:rFonts w:ascii="Times New Roman" w:cs="Times New Roman" w:eastAsia="Times New Roman" w:hAnsi="Times New Roman"/>
          <w:sz w:val="17"/>
          <w:szCs w:val="17"/>
          <w:color w:val="auto"/>
        </w:rPr>
        <w:t>The Company’s non-financial assets, which primarily consist of goodwill, other intangible assets, property, plant and equipment, and operating lease right-of-use assets, are not required to be measured at fair value on a recurring basis, and instead are reported at their carrying amount. However, on a periodic basis whenever events or changes in circumstances indicate that their carrying amount may not be fully recoverable (and at least annually for goodwill and other indefinite-lived intangible assets), non-financial assets are assessed for impairment. The Company determines the fair values of these assets based on Level 3 measurements. If the fair value is determined to be lower than the carrying amount, an impairment charge is recorded to write down the asset to its fair value.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03" w:name="page104"/>
    <w:bookmarkEnd w:id="103"/>
    <w:p>
      <w:pPr>
        <w:ind w:right="140" w:firstLine="390"/>
        <w:spacing w:after="0" w:line="293" w:lineRule="auto"/>
        <w:rPr>
          <w:sz w:val="20"/>
          <w:szCs w:val="20"/>
          <w:color w:val="auto"/>
        </w:rPr>
      </w:pPr>
      <w:r>
        <w:rPr>
          <w:rFonts w:ascii="Times New Roman" w:cs="Times New Roman" w:eastAsia="Times New Roman" w:hAnsi="Times New Roman"/>
          <w:sz w:val="17"/>
          <w:szCs w:val="17"/>
          <w:color w:val="auto"/>
        </w:rPr>
        <w:t>The following tables show the fair values of the Company’s non-financial assets that were required to be remeasured at fair value on a non-recurring basis during 2025, 2024 and 2023, and the total impairments recorded as a result of the remeasurement process: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100" w:type="dxa"/>
            <w:vAlign w:val="bottom"/>
          </w:tcPr>
          <w:p>
            <w:pPr>
              <w:spacing w:after="0"/>
              <w:rPr>
                <w:sz w:val="17"/>
                <w:szCs w:val="17"/>
                <w:color w:val="auto"/>
              </w:rPr>
            </w:pPr>
          </w:p>
        </w:tc>
        <w:tc>
          <w:tcPr>
            <w:tcW w:w="3880" w:type="dxa"/>
            <w:vAlign w:val="bottom"/>
            <w:gridSpan w:val="8"/>
          </w:tcPr>
          <w:p>
            <w:pPr>
              <w:jc w:val="center"/>
              <w:spacing w:after="0"/>
              <w:rPr>
                <w:sz w:val="20"/>
                <w:szCs w:val="20"/>
                <w:color w:val="auto"/>
              </w:rPr>
            </w:pPr>
            <w:r>
              <w:rPr>
                <w:rFonts w:ascii="Times New Roman" w:cs="Times New Roman" w:eastAsia="Times New Roman" w:hAnsi="Times New Roman"/>
                <w:sz w:val="17"/>
                <w:szCs w:val="17"/>
                <w:color w:val="auto"/>
              </w:rPr>
              <w:t>Fair Value Measurement Using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Fair Value</w:t>
            </w: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3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80" w:type="dxa"/>
            <w:vAlign w:val="bottom"/>
            <w:gridSpan w:val="2"/>
            <w:vMerge w:val="restart"/>
          </w:tcPr>
          <w:p>
            <w:pPr>
              <w:jc w:val="center"/>
              <w:ind w:right="280"/>
              <w:spacing w:after="0" w:line="169" w:lineRule="exact"/>
              <w:rPr>
                <w:sz w:val="20"/>
                <w:szCs w:val="20"/>
                <w:color w:val="auto"/>
              </w:rPr>
            </w:pPr>
            <w:r>
              <w:rPr>
                <w:rFonts w:ascii="Times New Roman" w:cs="Times New Roman" w:eastAsia="Times New Roman" w:hAnsi="Times New Roman"/>
                <w:sz w:val="17"/>
                <w:szCs w:val="17"/>
                <w:color w:val="auto"/>
              </w:rPr>
              <w:t>As Of</w:t>
            </w:r>
          </w:p>
        </w:tc>
        <w:tc>
          <w:tcPr>
            <w:tcW w:w="260" w:type="dxa"/>
            <w:vAlign w:val="bottom"/>
          </w:tcPr>
          <w:p>
            <w:pPr>
              <w:spacing w:after="0"/>
              <w:rPr>
                <w:sz w:val="3"/>
                <w:szCs w:val="3"/>
                <w:color w:val="auto"/>
              </w:rPr>
            </w:pPr>
          </w:p>
        </w:tc>
        <w:tc>
          <w:tcPr>
            <w:tcW w:w="1400" w:type="dxa"/>
            <w:vAlign w:val="bottom"/>
            <w:vMerge w:val="restart"/>
          </w:tcPr>
          <w:p>
            <w:pPr>
              <w:jc w:val="right"/>
              <w:ind w:right="553"/>
              <w:spacing w:after="0" w:line="169" w:lineRule="exact"/>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10"/>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20"/>
                <w:szCs w:val="20"/>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Level 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left="233"/>
              <w:spacing w:after="0"/>
              <w:rPr>
                <w:sz w:val="20"/>
                <w:szCs w:val="20"/>
                <w:color w:val="auto"/>
              </w:rPr>
            </w:pPr>
            <w:r>
              <w:rPr>
                <w:rFonts w:ascii="Times New Roman" w:cs="Times New Roman" w:eastAsia="Times New Roman" w:hAnsi="Times New Roman"/>
                <w:sz w:val="17"/>
                <w:szCs w:val="17"/>
                <w:color w:val="auto"/>
              </w:rPr>
              <w:t>Level 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Level 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Impairment Date</w:t>
            </w:r>
          </w:p>
        </w:tc>
        <w:tc>
          <w:tcPr>
            <w:tcW w:w="260" w:type="dxa"/>
            <w:vAlign w:val="bottom"/>
          </w:tcPr>
          <w:p>
            <w:pPr>
              <w:spacing w:after="0"/>
              <w:rPr>
                <w:sz w:val="20"/>
                <w:szCs w:val="20"/>
                <w:color w:val="auto"/>
              </w:rPr>
            </w:pPr>
          </w:p>
        </w:tc>
        <w:tc>
          <w:tcPr>
            <w:tcW w:w="14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Impairments</w:t>
            </w:r>
          </w:p>
        </w:tc>
        <w:tc>
          <w:tcPr>
            <w:tcW w:w="0" w:type="dxa"/>
            <w:vAlign w:val="bottom"/>
          </w:tcPr>
          <w:p>
            <w:pPr>
              <w:spacing w:after="0"/>
              <w:rPr>
                <w:sz w:val="1"/>
                <w:szCs w:val="1"/>
                <w:color w:val="auto"/>
              </w:rPr>
            </w:pPr>
          </w:p>
        </w:tc>
      </w:tr>
      <w:tr>
        <w:trPr>
          <w:trHeight w:val="214"/>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5"/>
              </w:rPr>
              <w:t>N/A</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0" w:type="dxa"/>
            <w:vAlign w:val="bottom"/>
          </w:tcPr>
          <w:p>
            <w:pPr>
              <w:spacing w:after="0"/>
              <w:rPr>
                <w:sz w:val="1"/>
                <w:szCs w:val="1"/>
                <w:color w:val="auto"/>
              </w:rPr>
            </w:pPr>
          </w:p>
        </w:tc>
      </w:tr>
      <w:tr>
        <w:trPr>
          <w:trHeight w:val="221"/>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47"/>
        </w:trPr>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47"/>
        </w:trPr>
        <w:tc>
          <w:tcPr>
            <w:tcW w:w="3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firstLine="390"/>
        <w:spacing w:after="0" w:line="293" w:lineRule="auto"/>
        <w:rPr>
          <w:sz w:val="20"/>
          <w:szCs w:val="20"/>
          <w:color w:val="auto"/>
        </w:rPr>
      </w:pPr>
      <w:r>
        <w:rPr>
          <w:rFonts w:ascii="Times New Roman" w:cs="Times New Roman" w:eastAsia="Times New Roman" w:hAnsi="Times New Roman"/>
          <w:sz w:val="17"/>
          <w:szCs w:val="17"/>
          <w:color w:val="auto"/>
        </w:rPr>
        <w:t>Other intangible assets with a carrying amount of $190.8 million were written down to a fair value of $137.3 million during 2025. In addition, the Company recorded $426.0 million of goodwill impairment charges during 2025. Please see Note 7, “Goodwill and Other Intangible Assets,” for further discussion.</w:t>
      </w:r>
    </w:p>
    <w:p>
      <w:pPr>
        <w:spacing w:after="0" w:line="173" w:lineRule="exact"/>
        <w:rPr>
          <w:sz w:val="20"/>
          <w:szCs w:val="20"/>
          <w:color w:val="auto"/>
        </w:rPr>
      </w:pPr>
    </w:p>
    <w:p>
      <w:pPr>
        <w:ind w:firstLine="390"/>
        <w:spacing w:after="0" w:line="261" w:lineRule="auto"/>
        <w:rPr>
          <w:sz w:val="20"/>
          <w:szCs w:val="20"/>
          <w:color w:val="auto"/>
        </w:rPr>
      </w:pPr>
      <w:r>
        <w:rPr>
          <w:rFonts w:ascii="Times New Roman" w:cs="Times New Roman" w:eastAsia="Times New Roman" w:hAnsi="Times New Roman"/>
          <w:sz w:val="17"/>
          <w:szCs w:val="17"/>
          <w:color w:val="auto"/>
        </w:rPr>
        <w:t>Operating lease right-of-use assets with a carrying amount of $18.1 million and property, plant and equipment with a carrying amount of $12.2 million were written down to their fair values of $16.1 million and $0.4 million, respectively, during 2025, primarily in connection with the financial performance in certain of the Company’s retail stores. Fair value of the Company’s operating lease right-of-use assets was determined based on the discounted cash flows of the estimated market rents. Fair value of the Company’s property, plant and equipment was determined based on the estimated discounted future cash flows associated with the assets using sales trends and market participant assumptions. The $13.8 million of impairment charges during 2025 were included in SG&amp;A expenses in the Company’s Consolidated Statement of Operations. In addition, for segment data reporting purposes, the charges were recorded as follows: $7.6 million in the EMEA segment, $1.9 million in the Americas segment, $2.2 million in the APAC segment and $2.1 million was included in restructuring and other items.</w:t>
      </w:r>
    </w:p>
    <w:p>
      <w:pPr>
        <w:spacing w:after="0" w:line="203" w:lineRule="exact"/>
        <w:rPr>
          <w:sz w:val="20"/>
          <w:szCs w:val="20"/>
          <w:color w:val="auto"/>
        </w:rPr>
      </w:pPr>
    </w:p>
    <w:p>
      <w:pPr>
        <w:ind w:right="20" w:firstLine="390"/>
        <w:spacing w:after="0" w:line="261" w:lineRule="auto"/>
        <w:rPr>
          <w:sz w:val="20"/>
          <w:szCs w:val="20"/>
          <w:color w:val="auto"/>
        </w:rPr>
      </w:pPr>
      <w:r>
        <w:rPr>
          <w:rFonts w:ascii="Times New Roman" w:cs="Times New Roman" w:eastAsia="Times New Roman" w:hAnsi="Times New Roman"/>
          <w:sz w:val="17"/>
          <w:szCs w:val="17"/>
          <w:color w:val="auto"/>
        </w:rPr>
        <w:t>Operating lease right-of-use assets with a carrying amount of $5.0 million and property, plant and equipment with a carrying amount of $9.1 million were written down to their fair values of $3.4 million and $0.5 million, respectively, during 2024, primarily in connection with the financial performance in certain of the Company’s retail stores. Fair value of the Company’s operating lease right-of-use assets was determined based on the discounted cash flows of the estimated market rents. Fair value of the Company’s property, plant and equipment was determined based on the estimated discounted future cash flows associated with the assets using sales trends and market participant assumptions. The $10.2 million of impairment charges during 2024 were included in SG&amp;A expenses in the Company’s Consolidated Statement of Operations. In addition, for segment data reporting purposes, the charges were recorded as follows: $6.6 million in the EMEA segment, $1.1 million in the Americas segment and $2.5 million in the APAC segment.</w:t>
      </w:r>
    </w:p>
    <w:p>
      <w:pPr>
        <w:spacing w:after="0" w:line="203" w:lineRule="exact"/>
        <w:rPr>
          <w:sz w:val="20"/>
          <w:szCs w:val="20"/>
          <w:color w:val="auto"/>
        </w:rPr>
      </w:pPr>
    </w:p>
    <w:p>
      <w:pPr>
        <w:ind w:right="40" w:firstLine="390"/>
        <w:spacing w:after="0" w:line="265" w:lineRule="auto"/>
        <w:rPr>
          <w:sz w:val="20"/>
          <w:szCs w:val="20"/>
          <w:color w:val="auto"/>
        </w:rPr>
      </w:pPr>
      <w:r>
        <w:rPr>
          <w:rFonts w:ascii="Times New Roman" w:cs="Times New Roman" w:eastAsia="Times New Roman" w:hAnsi="Times New Roman"/>
          <w:sz w:val="17"/>
          <w:szCs w:val="17"/>
          <w:color w:val="auto"/>
        </w:rPr>
        <w:t>Property, plant and equipment with a carrying amount of $6.2 million was written down to a fair value of $0.5 million during 2023 primarily in connection with the financial performance in certain of the Company’s retail stores. Fair value of the Company’s property, plant and equipment was determined based on the estimated discounted future cash flows associated with the assets using sales trends and market participant assumptions. The $5.7 million of impairment charges during 2023 were included in SG&amp;A expenses in the Company’s Consolidated Statement of Operations. In addition, for segment data reporting purposes, the charges were recorded as follows: $3.0 million in the EMEA segment, $1.4 million in the Americas segment and $1.3 million in the APAC segment.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104" w:name="page105"/>
    <w:bookmarkEnd w:id="104"/>
    <w:p>
      <w:pPr>
        <w:ind w:left="400"/>
        <w:spacing w:after="0"/>
        <w:rPr>
          <w:sz w:val="20"/>
          <w:szCs w:val="20"/>
          <w:color w:val="auto"/>
        </w:rPr>
      </w:pPr>
      <w:r>
        <w:rPr>
          <w:rFonts w:ascii="Times New Roman" w:cs="Times New Roman" w:eastAsia="Times New Roman" w:hAnsi="Times New Roman"/>
          <w:sz w:val="17"/>
          <w:szCs w:val="17"/>
          <w:color w:val="auto"/>
        </w:rPr>
        <w:t>The carrying amounts and the fair values of the Company’s cash and cash equivalents, short-term borrowings and long-term debt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7"/>
                <w:szCs w:val="17"/>
                <w:color w:val="auto"/>
              </w:rPr>
              <w:t>2025</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7"/>
                <w:szCs w:val="17"/>
                <w:color w:val="auto"/>
              </w:rPr>
              <w:t>2024</w:t>
            </w:r>
          </w:p>
        </w:tc>
        <w:tc>
          <w:tcPr>
            <w:tcW w:w="960" w:type="dxa"/>
            <w:vAlign w:val="bottom"/>
            <w:tcBorders>
              <w:bottom w:val="single" w:sz="8" w:color="auto"/>
            </w:tcBorders>
          </w:tcPr>
          <w:p>
            <w:pPr>
              <w:spacing w:after="0"/>
              <w:rPr>
                <w:sz w:val="19"/>
                <w:szCs w:val="19"/>
                <w:color w:val="auto"/>
              </w:rPr>
            </w:pPr>
          </w:p>
        </w:tc>
      </w:tr>
      <w:tr>
        <w:trPr>
          <w:trHeight w:val="162"/>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line="163" w:lineRule="exact"/>
              <w:rPr>
                <w:sz w:val="20"/>
                <w:szCs w:val="20"/>
                <w:color w:val="auto"/>
              </w:rPr>
            </w:pPr>
            <w:r>
              <w:rPr>
                <w:rFonts w:ascii="Times New Roman" w:cs="Times New Roman" w:eastAsia="Times New Roman" w:hAnsi="Times New Roman"/>
                <w:sz w:val="17"/>
                <w:szCs w:val="17"/>
                <w:color w:val="auto"/>
                <w:w w:val="99"/>
              </w:rPr>
              <w:t>Carrying</w:t>
            </w:r>
          </w:p>
        </w:tc>
        <w:tc>
          <w:tcPr>
            <w:tcW w:w="280" w:type="dxa"/>
            <w:vAlign w:val="bottom"/>
          </w:tcPr>
          <w:p>
            <w:pPr>
              <w:spacing w:after="0"/>
              <w:rPr>
                <w:sz w:val="14"/>
                <w:szCs w:val="14"/>
                <w:color w:val="auto"/>
              </w:rPr>
            </w:pPr>
          </w:p>
        </w:tc>
        <w:tc>
          <w:tcPr>
            <w:tcW w:w="960" w:type="dxa"/>
            <w:vAlign w:val="bottom"/>
          </w:tcPr>
          <w:p>
            <w:pPr>
              <w:jc w:val="center"/>
              <w:ind w:right="193"/>
              <w:spacing w:after="0" w:line="163" w:lineRule="exact"/>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line="163" w:lineRule="exact"/>
              <w:rPr>
                <w:sz w:val="20"/>
                <w:szCs w:val="20"/>
                <w:color w:val="auto"/>
              </w:rPr>
            </w:pPr>
            <w:r>
              <w:rPr>
                <w:rFonts w:ascii="Times New Roman" w:cs="Times New Roman" w:eastAsia="Times New Roman" w:hAnsi="Times New Roman"/>
                <w:sz w:val="17"/>
                <w:szCs w:val="17"/>
                <w:color w:val="auto"/>
                <w:w w:val="99"/>
              </w:rPr>
              <w:t>Carrying</w:t>
            </w:r>
          </w:p>
        </w:tc>
        <w:tc>
          <w:tcPr>
            <w:tcW w:w="280" w:type="dxa"/>
            <w:vAlign w:val="bottom"/>
          </w:tcPr>
          <w:p>
            <w:pPr>
              <w:spacing w:after="0"/>
              <w:rPr>
                <w:sz w:val="14"/>
                <w:szCs w:val="14"/>
                <w:color w:val="auto"/>
              </w:rPr>
            </w:pPr>
          </w:p>
        </w:tc>
        <w:tc>
          <w:tcPr>
            <w:tcW w:w="960" w:type="dxa"/>
            <w:vAlign w:val="bottom"/>
          </w:tcPr>
          <w:p>
            <w:pPr>
              <w:jc w:val="right"/>
              <w:ind w:right="393"/>
              <w:spacing w:after="0" w:line="163" w:lineRule="exact"/>
              <w:rPr>
                <w:sz w:val="20"/>
                <w:szCs w:val="20"/>
                <w:color w:val="auto"/>
              </w:rPr>
            </w:pPr>
            <w:r>
              <w:rPr>
                <w:rFonts w:ascii="Times New Roman" w:cs="Times New Roman" w:eastAsia="Times New Roman" w:hAnsi="Times New Roman"/>
                <w:sz w:val="17"/>
                <w:szCs w:val="17"/>
                <w:color w:val="auto"/>
              </w:rPr>
              <w:t>Fair</w:t>
            </w:r>
          </w:p>
        </w:tc>
      </w:tr>
      <w:tr>
        <w:trPr>
          <w:trHeight w:val="234"/>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Amount</w:t>
            </w:r>
          </w:p>
        </w:tc>
        <w:tc>
          <w:tcPr>
            <w:tcW w:w="280" w:type="dxa"/>
            <w:vAlign w:val="bottom"/>
          </w:tcPr>
          <w:p>
            <w:pPr>
              <w:spacing w:after="0"/>
              <w:rPr>
                <w:sz w:val="20"/>
                <w:szCs w:val="20"/>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8"/>
              </w:rPr>
              <w:t>Value</w:t>
            </w: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Amount</w:t>
            </w:r>
          </w:p>
        </w:tc>
        <w:tc>
          <w:tcPr>
            <w:tcW w:w="280" w:type="dxa"/>
            <w:vAlign w:val="bottom"/>
          </w:tcPr>
          <w:p>
            <w:pPr>
              <w:spacing w:after="0"/>
              <w:rPr>
                <w:sz w:val="20"/>
                <w:szCs w:val="20"/>
                <w:color w:val="auto"/>
              </w:rPr>
            </w:pPr>
          </w:p>
        </w:tc>
        <w:tc>
          <w:tcPr>
            <w:tcW w:w="96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Value</w:t>
            </w:r>
          </w:p>
        </w:tc>
      </w:tr>
      <w:tr>
        <w:trPr>
          <w:trHeight w:val="214"/>
        </w:trPr>
        <w:tc>
          <w:tcPr>
            <w:tcW w:w="5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748.0</w:t>
            </w:r>
          </w:p>
        </w:tc>
      </w:tr>
      <w:tr>
        <w:trPr>
          <w:trHeight w:val="221"/>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borrowings</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(including portion classified as current)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2,113.8</w:t>
            </w:r>
          </w:p>
        </w:tc>
      </w:tr>
    </w:tbl>
    <w:p>
      <w:pPr>
        <w:spacing w:after="0" w:line="307" w:lineRule="exact"/>
        <w:rPr>
          <w:sz w:val="20"/>
          <w:szCs w:val="20"/>
          <w:color w:val="auto"/>
        </w:rPr>
      </w:pPr>
    </w:p>
    <w:p>
      <w:pPr>
        <w:ind w:right="20" w:firstLine="390"/>
        <w:spacing w:after="0" w:line="268" w:lineRule="auto"/>
        <w:rPr>
          <w:sz w:val="20"/>
          <w:szCs w:val="20"/>
          <w:color w:val="auto"/>
        </w:rPr>
      </w:pPr>
      <w:r>
        <w:rPr>
          <w:rFonts w:ascii="Times New Roman" w:cs="Times New Roman" w:eastAsia="Times New Roman" w:hAnsi="Times New Roman"/>
          <w:sz w:val="17"/>
          <w:szCs w:val="17"/>
          <w:color w:val="auto"/>
        </w:rPr>
        <w:t>The fair values of cash and cash equivalents and short-term borrowings approximate their carrying amounts due to the short-term nature of these instruments. The Company estimates the fair value of its long-term debt using quoted market prices as of the last business day of the applicable year. The Company classifies the measurement of its long-term debt as a Level 1 measurement. The carrying amounts of long-term debt reflect the unamortized portions of debt issuance costs and the original issue discounts.</w:t>
      </w:r>
    </w:p>
    <w:p>
      <w:pPr>
        <w:spacing w:after="0" w:line="19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12.</w:t>
        <w:tab/>
        <w:t>RETIREMENT AND BENEFIT PLANS</w:t>
      </w:r>
    </w:p>
    <w:p>
      <w:pPr>
        <w:spacing w:after="0" w:line="249" w:lineRule="exact"/>
        <w:rPr>
          <w:sz w:val="20"/>
          <w:szCs w:val="20"/>
          <w:color w:val="auto"/>
        </w:rPr>
      </w:pPr>
    </w:p>
    <w:p>
      <w:pPr>
        <w:ind w:right="20" w:firstLine="390"/>
        <w:spacing w:after="0" w:line="265" w:lineRule="auto"/>
        <w:rPr>
          <w:sz w:val="20"/>
          <w:szCs w:val="20"/>
          <w:color w:val="auto"/>
        </w:rPr>
      </w:pPr>
      <w:r>
        <w:rPr>
          <w:rFonts w:ascii="Times New Roman" w:cs="Times New Roman" w:eastAsia="Times New Roman" w:hAnsi="Times New Roman"/>
          <w:sz w:val="17"/>
          <w:szCs w:val="17"/>
          <w:color w:val="auto"/>
        </w:rPr>
        <w:t>The Company, as of February 1, 2026, has two noncontributory qualified defined benefit pension plans covering substantially all employees resident in the United States hired prior to January 1, 2022, who meet certain age and service requirements. The plans provide monthly benefits upon retirement generally based on career average compensation, subject to the plan freeze as discussed below, and years of credited service. The plans also provide participants with the option to receive their benefits in the form of lump sum payments. Vesting in plan benefits generally occurs after five years of service. The Company refers to these two plans as its “Pension Plans.”</w:t>
      </w:r>
    </w:p>
    <w:p>
      <w:pPr>
        <w:spacing w:after="0" w:line="196" w:lineRule="exact"/>
        <w:rPr>
          <w:sz w:val="20"/>
          <w:szCs w:val="20"/>
          <w:color w:val="auto"/>
        </w:rPr>
      </w:pPr>
    </w:p>
    <w:p>
      <w:pPr>
        <w:ind w:right="140" w:firstLine="390"/>
        <w:spacing w:after="0" w:line="265" w:lineRule="auto"/>
        <w:rPr>
          <w:sz w:val="20"/>
          <w:szCs w:val="20"/>
          <w:color w:val="auto"/>
        </w:rPr>
      </w:pPr>
      <w:r>
        <w:rPr>
          <w:rFonts w:ascii="Times New Roman" w:cs="Times New Roman" w:eastAsia="Times New Roman" w:hAnsi="Times New Roman"/>
          <w:sz w:val="17"/>
          <w:szCs w:val="17"/>
          <w:color w:val="auto"/>
        </w:rPr>
        <w:t>The Company also has three noncontributory unfunded non-qualified supplemental defined benefit pension plans, one of which is a supplemental pension plan for certain employees resident in the United States hired prior to January 1, 2022, who meet certain age and service requirements that provides benefits for compensation in excess of Internal Revenue Service earnings limits and requires payments to vested employees upon or after employment termination or retirement, according to their distribution election, and two other plans for select former senior management. The Company refers to these three plans as its “SERP Plans.”</w:t>
      </w:r>
    </w:p>
    <w:p>
      <w:pPr>
        <w:spacing w:after="0" w:line="196" w:lineRule="exact"/>
        <w:rPr>
          <w:sz w:val="20"/>
          <w:szCs w:val="20"/>
          <w:color w:val="auto"/>
        </w:rPr>
      </w:pPr>
    </w:p>
    <w:p>
      <w:pPr>
        <w:ind w:right="100" w:firstLine="390"/>
        <w:spacing w:after="0" w:line="293" w:lineRule="auto"/>
        <w:rPr>
          <w:sz w:val="20"/>
          <w:szCs w:val="20"/>
          <w:color w:val="auto"/>
        </w:rPr>
      </w:pPr>
      <w:r>
        <w:rPr>
          <w:rFonts w:ascii="Times New Roman" w:cs="Times New Roman" w:eastAsia="Times New Roman" w:hAnsi="Times New Roman"/>
          <w:sz w:val="17"/>
          <w:szCs w:val="17"/>
          <w:color w:val="auto"/>
        </w:rPr>
        <w:t>The Company also provides certain other postretirement benefits to certain retirees resident in the United States under two plans. Retirees contribute to the cost of the applicable plan, which are unfunded and frozen. The Company refers to these plans as its “Postretirement Plans.”</w:t>
      </w:r>
    </w:p>
    <w:p>
      <w:pPr>
        <w:spacing w:after="0" w:line="173" w:lineRule="exact"/>
        <w:rPr>
          <w:sz w:val="20"/>
          <w:szCs w:val="20"/>
          <w:color w:val="auto"/>
        </w:rPr>
      </w:pPr>
    </w:p>
    <w:p>
      <w:pPr>
        <w:ind w:right="20" w:firstLine="390"/>
        <w:spacing w:after="0" w:line="265" w:lineRule="auto"/>
        <w:rPr>
          <w:sz w:val="20"/>
          <w:szCs w:val="20"/>
          <w:color w:val="auto"/>
        </w:rPr>
      </w:pPr>
      <w:r>
        <w:rPr>
          <w:rFonts w:ascii="Times New Roman" w:cs="Times New Roman" w:eastAsia="Times New Roman" w:hAnsi="Times New Roman"/>
          <w:sz w:val="17"/>
          <w:szCs w:val="17"/>
          <w:color w:val="auto"/>
        </w:rPr>
        <w:t>In the fourth quarter of 2023, the Company’s Board of Directors approved changes to its Pension Plans and its supplemental pension plan to freeze the pensionable compensation and credited service amounts used to calculate participants’ benefits which became effective June 30, 2024, except for employees near retirement age that meet a specified service requirement, who will continue to accrue benefits under the Pension Plans and supplemental pension plan, as applicable, through June 30, 2026 (two years after the effective date of the freeze). In connection with the freeze, the Company recognized a reduction in the projected benefit obligation and a pre-tax curtailment gain of $17.2 million for the Pension Plans and $2.6 million for the supplemental pension plan in 2023.</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105" w:name="page106"/>
    <w:bookmarkEnd w:id="105"/>
    <w:p>
      <w:pPr>
        <w:ind w:left="400"/>
        <w:spacing w:after="0"/>
        <w:rPr>
          <w:sz w:val="20"/>
          <w:szCs w:val="20"/>
          <w:color w:val="auto"/>
        </w:rPr>
      </w:pPr>
      <w:r>
        <w:rPr>
          <w:rFonts w:ascii="Times New Roman" w:cs="Times New Roman" w:eastAsia="Times New Roman" w:hAnsi="Times New Roman"/>
          <w:sz w:val="17"/>
          <w:szCs w:val="17"/>
          <w:color w:val="auto"/>
        </w:rPr>
        <w:t>Reconciliations of the changes in the projected benefit obligation (Pension Plans and SERP Plans) and the accumulated benefit obligation (Postretirement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Plans) were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Pension Plans</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7"/>
                <w:szCs w:val="17"/>
                <w:color w:val="auto"/>
              </w:rPr>
              <w:t>SERP Plans</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7"/>
                <w:szCs w:val="17"/>
                <w:color w:val="auto"/>
              </w:rPr>
              <w:t>Postretirement Plans</w:t>
            </w:r>
          </w:p>
        </w:tc>
      </w:tr>
      <w:tr>
        <w:trPr>
          <w:trHeight w:val="214"/>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9"/>
              </w:rPr>
              <w:t>2024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2024</w:t>
            </w:r>
          </w:p>
        </w:tc>
      </w:tr>
      <w:tr>
        <w:trPr>
          <w:trHeight w:val="21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 payments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9"/>
        </w:trPr>
        <w:tc>
          <w:tcPr>
            <w:tcW w:w="31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Benefit payments, net of retiree</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3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contributions</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21"/>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Actuarial (gain) loss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Service cost for both the Pension Plans and SERP Plans decreased in 2025 compared to 2024 primarily due to the plan freeze.</w:t>
      </w:r>
    </w:p>
    <w:p>
      <w:pPr>
        <w:spacing w:after="0" w:line="247" w:lineRule="exact"/>
        <w:rPr>
          <w:sz w:val="20"/>
          <w:szCs w:val="20"/>
          <w:color w:val="auto"/>
        </w:rPr>
      </w:pPr>
    </w:p>
    <w:p>
      <w:pPr>
        <w:ind w:right="20" w:firstLine="390"/>
        <w:spacing w:after="0" w:line="268" w:lineRule="auto"/>
        <w:rPr>
          <w:sz w:val="20"/>
          <w:szCs w:val="20"/>
          <w:color w:val="auto"/>
        </w:rPr>
      </w:pPr>
      <w:r>
        <w:rPr>
          <w:rFonts w:ascii="Times New Roman" w:cs="Times New Roman" w:eastAsia="Times New Roman" w:hAnsi="Times New Roman"/>
          <w:sz w:val="17"/>
          <w:szCs w:val="17"/>
          <w:color w:val="auto"/>
        </w:rPr>
        <w:t>In 2024, vested participants whose employment had been terminated were offered an opportunity to elect a lump sum payment of their accrued pension benefit from the Pension Plans. Payments of $41.5 million were made in the fourth quarter of 2024 to participants that made this election. These payments, together with $17.6 million of lump sum payments made in the normal course of business throughout the year, are included as benefit payments from the Pension Plans and constitute settlements that satisfied the Company’s remaining benefit obligations to the participants using assets from the Pension Plans.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Reconciliations of the fair value of the assets held by the Pension Plans and the funded status were as follows: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7"/>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2024</w:t>
            </w:r>
          </w:p>
        </w:tc>
      </w:tr>
      <w:tr>
        <w:trPr>
          <w:trHeight w:val="21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 at beginning of year</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554.4</w:t>
            </w:r>
          </w:p>
        </w:tc>
      </w:tr>
      <w:tr>
        <w:trPr>
          <w:trHeight w:val="221"/>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Actual return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2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payments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r>
      <w:tr>
        <w:trPr>
          <w:trHeight w:val="221"/>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Company contributions</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14"/>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plan assets at end of year</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477.7</w:t>
            </w:r>
          </w:p>
        </w:tc>
      </w:tr>
      <w:tr>
        <w:trPr>
          <w:trHeight w:val="214"/>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Funded status at end of year</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Amounts recognized in the Company’s Consolidated Balance Sheets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7"/>
                <w:szCs w:val="17"/>
                <w:color w:val="auto"/>
              </w:rPr>
              <w:t>Pension Plans</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SERP Plans</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7"/>
                <w:szCs w:val="17"/>
                <w:color w:val="auto"/>
              </w:rPr>
              <w:t>Postretirement Plans</w:t>
            </w:r>
          </w:p>
        </w:tc>
        <w:tc>
          <w:tcPr>
            <w:tcW w:w="4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353"/>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7"/>
                <w:szCs w:val="17"/>
                <w:color w:val="auto"/>
              </w:rPr>
              <w:t>2025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2024</w:t>
            </w:r>
          </w:p>
        </w:tc>
        <w:tc>
          <w:tcPr>
            <w:tcW w:w="4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0" w:type="dxa"/>
            <w:vAlign w:val="bottom"/>
          </w:tcPr>
          <w:p>
            <w:pPr>
              <w:spacing w:after="0"/>
              <w:rPr>
                <w:sz w:val="18"/>
                <w:szCs w:val="18"/>
                <w:color w:val="auto"/>
              </w:rPr>
            </w:pPr>
          </w:p>
        </w:tc>
      </w:tr>
      <w:tr>
        <w:trPr>
          <w:trHeight w:val="221"/>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Non-current liabilities</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left="173"/>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Pr>
          <w:p>
            <w:pPr>
              <w:spacing w:after="0"/>
              <w:rPr>
                <w:sz w:val="19"/>
                <w:szCs w:val="19"/>
                <w:color w:val="auto"/>
              </w:rPr>
            </w:pPr>
          </w:p>
        </w:tc>
      </w:tr>
      <w:tr>
        <w:trPr>
          <w:trHeight w:val="239"/>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amount recognized</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center"/>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center"/>
              <w:ind w:left="173"/>
              <w:spacing w:after="0"/>
              <w:rPr>
                <w:sz w:val="20"/>
                <w:szCs w:val="20"/>
                <w:color w:val="auto"/>
              </w:rPr>
            </w:pPr>
            <w:r>
              <w:rPr>
                <w:rFonts w:ascii="Times New Roman" w:cs="Times New Roman" w:eastAsia="Times New Roman" w:hAnsi="Times New Roman"/>
                <w:sz w:val="17"/>
                <w:szCs w:val="17"/>
                <w:color w:val="auto"/>
              </w:rPr>
              <w:t>(6.3)</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gridSpan w:val="3"/>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tcPr>
          <w:p>
            <w:pPr>
              <w:spacing w:after="0"/>
              <w:rPr>
                <w:sz w:val="20"/>
                <w:szCs w:val="20"/>
                <w:color w:val="auto"/>
              </w:rPr>
            </w:pPr>
          </w:p>
        </w:tc>
      </w:tr>
      <w:tr>
        <w:trPr>
          <w:trHeight w:val="20"/>
        </w:trPr>
        <w:tc>
          <w:tcPr>
            <w:tcW w:w="3360" w:type="dxa"/>
            <w:vAlign w:val="bottom"/>
            <w:tcBorders>
              <w:top w:val="single" w:sz="8" w:color="CCEEFF"/>
            </w:tcBorders>
            <w:gridSpan w:val="3"/>
          </w:tcPr>
          <w:p>
            <w:pPr>
              <w:spacing w:after="0" w:line="20" w:lineRule="exact"/>
              <w:rPr>
                <w:sz w:val="1"/>
                <w:szCs w:val="1"/>
                <w:color w:val="auto"/>
              </w:rPr>
            </w:pPr>
          </w:p>
        </w:tc>
        <w:tc>
          <w:tcPr>
            <w:tcW w:w="400" w:type="dxa"/>
            <w:vAlign w:val="bottom"/>
            <w:tcBorders>
              <w:top w:val="single" w:sz="8" w:color="CCEEFF"/>
              <w:bottom w:val="single" w:sz="8" w:color="auto"/>
            </w:tcBorders>
            <w:gridSpan w:val="2"/>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5"/>
        </w:trPr>
        <w:tc>
          <w:tcPr>
            <w:tcW w:w="4900" w:type="dxa"/>
            <w:vAlign w:val="bottom"/>
            <w:gridSpan w:val="11"/>
          </w:tcPr>
          <w:p>
            <w:pPr>
              <w:jc w:val="right"/>
              <w:spacing w:after="0"/>
              <w:rPr>
                <w:sz w:val="20"/>
                <w:szCs w:val="20"/>
                <w:color w:val="auto"/>
              </w:rPr>
            </w:pPr>
            <w:r>
              <w:rPr>
                <w:rFonts w:ascii="Times New Roman" w:cs="Times New Roman" w:eastAsia="Times New Roman" w:hAnsi="Times New Roman"/>
                <w:sz w:val="17"/>
                <w:szCs w:val="17"/>
                <w:color w:val="auto"/>
              </w:rPr>
              <w:t>The components of net benefit cost recognized were as follows: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7"/>
        </w:trPr>
        <w:tc>
          <w:tcPr>
            <w:tcW w:w="28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color w:val="auto"/>
              </w:rPr>
              <w:t>Pension Plans</w:t>
            </w: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7"/>
                <w:szCs w:val="17"/>
                <w:color w:val="auto"/>
              </w:rPr>
              <w:t>SERP Plans</w:t>
            </w: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7"/>
                <w:szCs w:val="17"/>
                <w:color w:val="auto"/>
              </w:rPr>
              <w:t>Postretirement Plans</w:t>
            </w:r>
          </w:p>
        </w:tc>
        <w:tc>
          <w:tcPr>
            <w:tcW w:w="4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14"/>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2024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73"/>
              <w:spacing w:after="0"/>
              <w:rPr>
                <w:sz w:val="20"/>
                <w:szCs w:val="20"/>
                <w:color w:val="auto"/>
              </w:rPr>
            </w:pPr>
            <w:r>
              <w:rPr>
                <w:rFonts w:ascii="Times New Roman" w:cs="Times New Roman" w:eastAsia="Times New Roman" w:hAnsi="Times New Roman"/>
                <w:sz w:val="17"/>
                <w:szCs w:val="17"/>
                <w:color w:val="auto"/>
                <w:w w:val="99"/>
              </w:rPr>
              <w:t>2025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bottom w:val="single" w:sz="8" w:color="auto"/>
            </w:tcBorders>
          </w:tcPr>
          <w:p>
            <w:pPr>
              <w:spacing w:after="0"/>
              <w:rPr>
                <w:sz w:val="18"/>
                <w:szCs w:val="18"/>
                <w:color w:val="auto"/>
              </w:rPr>
            </w:pPr>
          </w:p>
        </w:tc>
      </w:tr>
      <w:tr>
        <w:trPr>
          <w:trHeight w:val="214"/>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center"/>
              <w:ind w:left="173"/>
              <w:spacing w:after="0"/>
              <w:rPr>
                <w:sz w:val="20"/>
                <w:szCs w:val="20"/>
                <w:color w:val="auto"/>
              </w:rPr>
            </w:pPr>
            <w:r>
              <w:rPr>
                <w:rFonts w:ascii="Times New Roman" w:cs="Times New Roman" w:eastAsia="Times New Roman" w:hAnsi="Times New Roman"/>
                <w:sz w:val="17"/>
                <w:szCs w:val="17"/>
                <w:color w:val="auto"/>
              </w:rPr>
              <w:t>10.7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r>
      <w:tr>
        <w:trPr>
          <w:trHeight w:val="221"/>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cost</w:t>
            </w: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28.7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0" w:type="dxa"/>
            <w:vAlign w:val="bottom"/>
          </w:tcPr>
          <w:p>
            <w:pPr>
              <w:spacing w:after="0"/>
              <w:rPr>
                <w:sz w:val="19"/>
                <w:szCs w:val="19"/>
                <w:color w:val="auto"/>
              </w:rPr>
            </w:pPr>
          </w:p>
        </w:tc>
      </w:tr>
      <w:tr>
        <w:trPr>
          <w:trHeight w:val="22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plan assets</w:t>
            </w:r>
          </w:p>
        </w:tc>
        <w:tc>
          <w:tcPr>
            <w:tcW w:w="1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(24.6)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(32.9)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(33.8)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r>
      <w:tr>
        <w:trPr>
          <w:trHeight w:val="221"/>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Actuarial (gain) loss</w:t>
            </w:r>
          </w:p>
        </w:tc>
        <w:tc>
          <w:tcPr>
            <w:tcW w:w="180" w:type="dxa"/>
            <w:vAlign w:val="bottom"/>
          </w:tcPr>
          <w:p>
            <w:pPr>
              <w:spacing w:after="0"/>
              <w:rPr>
                <w:sz w:val="19"/>
                <w:szCs w:val="19"/>
                <w:color w:val="auto"/>
              </w:rPr>
            </w:pPr>
          </w:p>
        </w:tc>
        <w:tc>
          <w:tcPr>
            <w:tcW w:w="680" w:type="dxa"/>
            <w:vAlign w:val="bottom"/>
            <w:gridSpan w:val="2"/>
          </w:tcPr>
          <w:p>
            <w:pPr>
              <w:jc w:val="center"/>
              <w:ind w:left="133"/>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28.9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0" w:type="dxa"/>
            <w:vAlign w:val="bottom"/>
          </w:tcPr>
          <w:p>
            <w:pPr>
              <w:spacing w:after="0"/>
              <w:rPr>
                <w:sz w:val="19"/>
                <w:szCs w:val="19"/>
                <w:color w:val="auto"/>
              </w:rPr>
            </w:pPr>
          </w:p>
        </w:tc>
      </w:tr>
      <w:tr>
        <w:trPr>
          <w:trHeight w:val="221"/>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Curtailment gain</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9"/>
                <w:szCs w:val="19"/>
                <w:color w:val="auto"/>
              </w:rPr>
            </w:pPr>
          </w:p>
        </w:tc>
      </w:tr>
      <w:tr>
        <w:trPr>
          <w:trHeight w:val="214"/>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center"/>
              <w:ind w:left="173"/>
              <w:spacing w:after="0"/>
              <w:rPr>
                <w:sz w:val="20"/>
                <w:szCs w:val="20"/>
                <w:color w:val="auto"/>
              </w:rPr>
            </w:pPr>
            <w:r>
              <w:rPr>
                <w:rFonts w:ascii="Times New Roman" w:cs="Times New Roman" w:eastAsia="Times New Roman" w:hAnsi="Times New Roman"/>
                <w:sz w:val="17"/>
                <w:szCs w:val="17"/>
                <w:color w:val="auto"/>
              </w:rPr>
              <w:t>35.4</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center"/>
              <w:ind w:right="3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0" w:type="dxa"/>
            <w:vAlign w:val="bottom"/>
            <w:tcBorders>
              <w:top w:val="single" w:sz="8" w:color="auto"/>
              <w:bottom w:val="single" w:sz="8" w:color="auto"/>
            </w:tcBorders>
          </w:tcPr>
          <w:p>
            <w:pPr>
              <w:spacing w:after="0"/>
              <w:rPr>
                <w:sz w:val="18"/>
                <w:szCs w:val="18"/>
                <w:color w:val="auto"/>
              </w:rPr>
            </w:pPr>
          </w:p>
        </w:tc>
      </w:tr>
      <w:tr>
        <w:trPr>
          <w:trHeight w:val="20"/>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420" w:firstLine="390"/>
        <w:spacing w:after="0" w:line="293" w:lineRule="auto"/>
        <w:rPr>
          <w:sz w:val="20"/>
          <w:szCs w:val="20"/>
          <w:color w:val="auto"/>
        </w:rPr>
      </w:pPr>
      <w:r>
        <w:rPr>
          <w:rFonts w:ascii="Times New Roman" w:cs="Times New Roman" w:eastAsia="Times New Roman" w:hAnsi="Times New Roman"/>
          <w:sz w:val="17"/>
          <w:szCs w:val="17"/>
          <w:color w:val="auto"/>
        </w:rPr>
        <w:t>The net actuarial (gain) loss in net benefit cost in 2025 and 2024 was due principally to the difference between the actual and expected returns on plan assets for the Pension Plans. The net actuarial gain in net benefit cost in 2023 was due principally to an increase in the discount rate.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06" w:name="page107"/>
    <w:bookmarkEnd w:id="106"/>
    <w:p>
      <w:pPr>
        <w:ind w:right="380" w:firstLine="390"/>
        <w:spacing w:after="0" w:line="293" w:lineRule="auto"/>
        <w:rPr>
          <w:sz w:val="20"/>
          <w:szCs w:val="20"/>
          <w:color w:val="auto"/>
        </w:rPr>
      </w:pPr>
      <w:r>
        <w:rPr>
          <w:rFonts w:ascii="Times New Roman" w:cs="Times New Roman" w:eastAsia="Times New Roman" w:hAnsi="Times New Roman"/>
          <w:sz w:val="17"/>
          <w:szCs w:val="17"/>
          <w:color w:val="auto"/>
        </w:rPr>
        <w:t>The components of net benefit cost are recorded in the Company’s Consolidated Statements of Operations as follows: (i) the service cost component is recorded in SG&amp;A expenses and (ii) the other components are recorded in non-service related pension and postretirement income (cost).</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accumulated benefit obligations (Pension Plans and SERP Plans) were as follows: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Pension Plans</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7"/>
                <w:szCs w:val="17"/>
                <w:color w:val="auto"/>
              </w:rPr>
              <w:t>SERP Plans</w:t>
            </w:r>
          </w:p>
        </w:tc>
        <w:tc>
          <w:tcPr>
            <w:tcW w:w="900" w:type="dxa"/>
            <w:vAlign w:val="bottom"/>
            <w:tcBorders>
              <w:bottom w:val="single" w:sz="8" w:color="auto"/>
            </w:tcBorders>
          </w:tcPr>
          <w:p>
            <w:pPr>
              <w:spacing w:after="0"/>
              <w:rPr>
                <w:sz w:val="19"/>
                <w:szCs w:val="19"/>
                <w:color w:val="auto"/>
              </w:rPr>
            </w:pPr>
          </w:p>
        </w:tc>
      </w:tr>
      <w:tr>
        <w:trPr>
          <w:trHeight w:val="214"/>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w w:val="99"/>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2024</w:t>
            </w:r>
          </w:p>
        </w:tc>
      </w:tr>
      <w:tr>
        <w:trPr>
          <w:trHeight w:val="220"/>
        </w:trPr>
        <w:tc>
          <w:tcPr>
            <w:tcW w:w="3060" w:type="dxa"/>
            <w:vAlign w:val="bottom"/>
          </w:tcPr>
          <w:p>
            <w:pPr>
              <w:spacing w:after="0"/>
              <w:rPr>
                <w:sz w:val="20"/>
                <w:szCs w:val="20"/>
                <w:color w:val="auto"/>
              </w:rPr>
            </w:pPr>
            <w:r>
              <w:rPr>
                <w:rFonts w:ascii="Times New Roman" w:cs="Times New Roman" w:eastAsia="Times New Roman" w:hAnsi="Times New Roman"/>
                <w:sz w:val="17"/>
                <w:szCs w:val="17"/>
                <w:color w:val="auto"/>
              </w:rPr>
              <w:t>Accumulated benefit obligation</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462.7</w:t>
            </w:r>
          </w:p>
        </w:tc>
        <w:tc>
          <w:tcPr>
            <w:tcW w:w="12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488.4</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37.5</w:t>
            </w:r>
          </w:p>
        </w:tc>
        <w:tc>
          <w:tcPr>
            <w:tcW w:w="10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r>
    </w:tbl>
    <w:p>
      <w:pPr>
        <w:spacing w:after="0" w:line="301" w:lineRule="exact"/>
        <w:rPr>
          <w:sz w:val="20"/>
          <w:szCs w:val="20"/>
          <w:color w:val="auto"/>
        </w:rPr>
      </w:pPr>
    </w:p>
    <w:p>
      <w:pPr>
        <w:ind w:right="160" w:firstLine="390"/>
        <w:spacing w:after="0" w:line="279" w:lineRule="auto"/>
        <w:rPr>
          <w:sz w:val="20"/>
          <w:szCs w:val="20"/>
          <w:color w:val="auto"/>
        </w:rPr>
      </w:pPr>
      <w:r>
        <w:rPr>
          <w:rFonts w:ascii="Times New Roman" w:cs="Times New Roman" w:eastAsia="Times New Roman" w:hAnsi="Times New Roman"/>
          <w:sz w:val="17"/>
          <w:szCs w:val="17"/>
          <w:color w:val="auto"/>
        </w:rPr>
        <w:t>As of February 1, 2026 and February 2, 2025, both of the Company’s Pension Plans had projected benefit obligations and accumulated benefit obligations in excess of plan assets. The balances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millions, except plan count)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2024</w:t>
            </w:r>
          </w:p>
        </w:tc>
      </w:tr>
      <w:tr>
        <w:trPr>
          <w:trHeight w:val="21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plans with projected benefit obligations in excess of plan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1"/>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Aggregate projected benefit obligation</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463.1</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490.6</w:t>
            </w:r>
          </w:p>
        </w:tc>
      </w:tr>
      <w:tr>
        <w:trPr>
          <w:trHeight w:val="22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Aggregate fair value of related plan assets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477.7</w:t>
            </w:r>
          </w:p>
        </w:tc>
      </w:tr>
      <w:tr>
        <w:trPr>
          <w:trHeight w:val="247"/>
        </w:trPr>
        <w:tc>
          <w:tcPr>
            <w:tcW w:w="8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2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plans with accumulated benefit obligations in excess of plan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1"/>
        </w:trPr>
        <w:tc>
          <w:tcPr>
            <w:tcW w:w="8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Aggregate accumulated benefit obligation</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462.7</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488.4</w:t>
            </w:r>
          </w:p>
        </w:tc>
      </w:tr>
      <w:tr>
        <w:trPr>
          <w:trHeight w:val="221"/>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Aggregate fair value of related plan assets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477.7</w:t>
            </w:r>
          </w:p>
        </w:tc>
      </w:tr>
    </w:tbl>
    <w:p>
      <w:pPr>
        <w:spacing w:after="0" w:line="294" w:lineRule="exact"/>
        <w:rPr>
          <w:sz w:val="20"/>
          <w:szCs w:val="20"/>
          <w:color w:val="auto"/>
        </w:rPr>
      </w:pPr>
    </w:p>
    <w:p>
      <w:pPr>
        <w:ind w:right="240" w:firstLine="390"/>
        <w:spacing w:after="0" w:line="293" w:lineRule="auto"/>
        <w:rPr>
          <w:sz w:val="20"/>
          <w:szCs w:val="20"/>
          <w:color w:val="auto"/>
        </w:rPr>
      </w:pPr>
      <w:r>
        <w:rPr>
          <w:rFonts w:ascii="Times New Roman" w:cs="Times New Roman" w:eastAsia="Times New Roman" w:hAnsi="Times New Roman"/>
          <w:sz w:val="17"/>
          <w:szCs w:val="17"/>
          <w:color w:val="auto"/>
        </w:rPr>
        <w:t>As of February 1, 2026 and February 2, 2025, all of the Company’s SERP Plans had projected benefit obligations and accumulated benefit obligations in excess of plan assets as the plans are unfunded.</w:t>
      </w:r>
    </w:p>
    <w:p>
      <w:pPr>
        <w:spacing w:after="0" w:line="173" w:lineRule="exact"/>
        <w:rPr>
          <w:sz w:val="20"/>
          <w:szCs w:val="20"/>
          <w:color w:val="auto"/>
        </w:rPr>
      </w:pPr>
    </w:p>
    <w:p>
      <w:pPr>
        <w:ind w:right="280" w:firstLine="390"/>
        <w:spacing w:after="0" w:line="279" w:lineRule="auto"/>
        <w:rPr>
          <w:sz w:val="20"/>
          <w:szCs w:val="20"/>
          <w:color w:val="auto"/>
        </w:rPr>
      </w:pPr>
      <w:r>
        <w:rPr>
          <w:rFonts w:ascii="Times New Roman" w:cs="Times New Roman" w:eastAsia="Times New Roman" w:hAnsi="Times New Roman"/>
          <w:sz w:val="17"/>
          <w:szCs w:val="17"/>
          <w:color w:val="auto"/>
        </w:rPr>
        <w:t>Significant weighted average rate assumptions used in determining the projected and accumulated benefit obligations at the end of each year and benefit cost in the following year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9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2023</w:t>
            </w:r>
          </w:p>
        </w:tc>
      </w:tr>
      <w:tr>
        <w:trPr>
          <w:trHeight w:val="21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 (applies to Pension Plans and SERP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5.50 %</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5.72 %</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5.63 %</w:t>
            </w:r>
          </w:p>
        </w:tc>
      </w:tr>
      <w:tr>
        <w:trPr>
          <w:trHeight w:val="221"/>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 (applies to Postretirement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5.36 %</w:t>
            </w:r>
          </w:p>
        </w:tc>
      </w:tr>
      <w:tr>
        <w:trPr>
          <w:trHeight w:val="22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Rate of increase in compensation levels (applies to Pension Plans)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4.00 %</w:t>
            </w:r>
          </w:p>
        </w:tc>
      </w:tr>
      <w:tr>
        <w:trPr>
          <w:trHeight w:val="227"/>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long-term rate of return on assets (applies to Pension Plans)</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6.25 %</w:t>
            </w:r>
          </w:p>
        </w:tc>
      </w:tr>
    </w:tbl>
    <w:p>
      <w:pPr>
        <w:spacing w:after="0" w:line="301" w:lineRule="exact"/>
        <w:rPr>
          <w:sz w:val="20"/>
          <w:szCs w:val="20"/>
          <w:color w:val="auto"/>
        </w:rPr>
      </w:pPr>
    </w:p>
    <w:p>
      <w:pPr>
        <w:ind w:right="80" w:firstLine="390"/>
        <w:spacing w:after="0" w:line="274" w:lineRule="auto"/>
        <w:rPr>
          <w:sz w:val="20"/>
          <w:szCs w:val="20"/>
          <w:color w:val="auto"/>
        </w:rPr>
      </w:pPr>
      <w:r>
        <w:rPr>
          <w:rFonts w:ascii="Times New Roman" w:cs="Times New Roman" w:eastAsia="Times New Roman" w:hAnsi="Times New Roman"/>
          <w:sz w:val="17"/>
          <w:szCs w:val="17"/>
          <w:color w:val="auto"/>
        </w:rPr>
        <w:t>To develop the expected long-term rate of return on assets assumption, the Company considered the historical level of the risk premium associated with the asset classes in which the portfolio is invested and the expectations for future returns of each asset class. The expected return for each asset class was then weighted based on the target asset allocation.</w:t>
      </w:r>
    </w:p>
    <w:p>
      <w:pPr>
        <w:spacing w:after="0" w:line="176" w:lineRule="exact"/>
        <w:rPr>
          <w:sz w:val="20"/>
          <w:szCs w:val="20"/>
          <w:color w:val="auto"/>
        </w:rPr>
      </w:pPr>
    </w:p>
    <w:p>
      <w:pPr>
        <w:ind w:firstLine="390"/>
        <w:spacing w:after="0" w:line="242" w:lineRule="auto"/>
        <w:rPr>
          <w:sz w:val="20"/>
          <w:szCs w:val="20"/>
          <w:color w:val="auto"/>
        </w:rPr>
      </w:pPr>
      <w:r>
        <w:rPr>
          <w:rFonts w:ascii="Times New Roman" w:cs="Times New Roman" w:eastAsia="Times New Roman" w:hAnsi="Times New Roman"/>
          <w:sz w:val="17"/>
          <w:szCs w:val="17"/>
          <w:color w:val="auto"/>
        </w:rPr>
        <w:t>The assets of the Pension Plans are invested with the objectives of earning a reasonable rate of return while minimizing the risk of large losses and generating a total investment return to pay present and future plan benefits. Assets are diversified by asset class in order to reduce volatility of overall results from year to year and to take advantage of various investment opportunities. The strategic target allocation for the Pension Plans as of February 2, 2025 was approximately 20% United States equities, 10% international equities and 70% fixed income investments and cash. Equity securities primarily included investments in large-, mid- and small-cap companies located in the United States and abroad. Fixed income securities included corporate bonds of companies from diversified industries, municipal bonds and United States Treasury securities. The target allocation was amended in January 2026 to 10% global equity, 10% liquid debt or equity investments including real estate and infrastructure, and 80% liability-hedging assets, which include investments in cash, fixed income securities or derivatives thereof that are intended to mitigate interest rate risk or reduce the duration mismatch between the assets and liabilities of the plan trust. Plan assets as of February 1, 2026 are collective funds whose objectives are diversified equity, infrastructure, real estate and fixed income. Actual investment allocations may vary from the Company’s target investment allocations due to prevailing market conditions.</w:t>
      </w:r>
    </w:p>
    <w:p>
      <w:pPr>
        <w:spacing w:after="0" w:line="214" w:lineRule="exact"/>
        <w:rPr>
          <w:sz w:val="20"/>
          <w:szCs w:val="20"/>
          <w:color w:val="auto"/>
        </w:rPr>
      </w:pPr>
    </w:p>
    <w:p>
      <w:pPr>
        <w:ind w:right="120" w:firstLine="390"/>
        <w:spacing w:after="0" w:line="293" w:lineRule="auto"/>
        <w:rPr>
          <w:sz w:val="20"/>
          <w:szCs w:val="20"/>
          <w:color w:val="auto"/>
        </w:rPr>
      </w:pPr>
      <w:r>
        <w:rPr>
          <w:rFonts w:ascii="Times New Roman" w:cs="Times New Roman" w:eastAsia="Times New Roman" w:hAnsi="Times New Roman"/>
          <w:sz w:val="17"/>
          <w:szCs w:val="17"/>
          <w:color w:val="auto"/>
        </w:rPr>
        <w:t>In accordance with the fair value hierarchy described in Note 11, “Fair Value Measurements,” the following tables show the fair value of the total assets of the Pension Plans for each major category as of February 1, 2026 and February 2, 2025:</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gridSpan w:val="6"/>
          </w:tcPr>
          <w:p>
            <w:pPr>
              <w:jc w:val="center"/>
              <w:ind w:left="973"/>
              <w:spacing w:after="0"/>
              <w:rPr>
                <w:sz w:val="20"/>
                <w:szCs w:val="20"/>
                <w:color w:val="auto"/>
              </w:rPr>
            </w:pPr>
            <w:r>
              <w:rPr>
                <w:rFonts w:ascii="Times New Roman" w:cs="Times New Roman" w:eastAsia="Times New Roman" w:hAnsi="Times New Roman"/>
                <w:sz w:val="17"/>
                <w:szCs w:val="17"/>
                <w:color w:val="auto"/>
              </w:rPr>
              <w:t>Fair Value Measurements as of</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100"/>
              <w:spacing w:after="0" w:line="235" w:lineRule="exact"/>
              <w:rPr>
                <w:sz w:val="20"/>
                <w:szCs w:val="20"/>
                <w:color w:val="auto"/>
              </w:rPr>
            </w:pPr>
            <w:r>
              <w:rPr>
                <w:rFonts w:ascii="Times New Roman" w:cs="Times New Roman" w:eastAsia="Times New Roman" w:hAnsi="Times New Roman"/>
                <w:sz w:val="17"/>
                <w:szCs w:val="17"/>
                <w:color w:val="auto"/>
                <w:w w:val="98"/>
              </w:rPr>
              <w:t>February 1, 2026</w:t>
            </w:r>
            <w:r>
              <w:rPr>
                <w:rFonts w:ascii="Times New Roman" w:cs="Times New Roman" w:eastAsia="Times New Roman" w:hAnsi="Times New Roman"/>
                <w:sz w:val="22"/>
                <w:szCs w:val="22"/>
                <w:color w:val="auto"/>
                <w:w w:val="98"/>
                <w:vertAlign w:val="superscript"/>
              </w:rPr>
              <w:t>(1)</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ind w:right="133"/>
              <w:spacing w:after="0" w:line="163" w:lineRule="exact"/>
              <w:rPr>
                <w:sz w:val="20"/>
                <w:szCs w:val="20"/>
                <w:color w:val="auto"/>
              </w:rPr>
            </w:pPr>
            <w:r>
              <w:rPr>
                <w:rFonts w:ascii="Times New Roman" w:cs="Times New Roman" w:eastAsia="Times New Roman" w:hAnsi="Times New Roman"/>
                <w:sz w:val="17"/>
                <w:szCs w:val="17"/>
                <w:color w:val="auto"/>
              </w:rPr>
              <w:t>Quoted Prices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center"/>
              <w:ind w:right="113"/>
              <w:spacing w:after="0" w:line="176" w:lineRule="exact"/>
              <w:rPr>
                <w:sz w:val="20"/>
                <w:szCs w:val="20"/>
                <w:color w:val="auto"/>
              </w:rPr>
            </w:pPr>
            <w:r>
              <w:rPr>
                <w:rFonts w:ascii="Times New Roman" w:cs="Times New Roman" w:eastAsia="Times New Roman" w:hAnsi="Times New Roman"/>
                <w:sz w:val="17"/>
                <w:szCs w:val="17"/>
                <w:color w:val="auto"/>
              </w:rPr>
              <w:t>In Active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center"/>
              <w:ind w:right="113"/>
              <w:spacing w:after="0" w:line="175" w:lineRule="exact"/>
              <w:rPr>
                <w:sz w:val="20"/>
                <w:szCs w:val="20"/>
                <w:color w:val="auto"/>
              </w:rPr>
            </w:pPr>
            <w:r>
              <w:rPr>
                <w:rFonts w:ascii="Times New Roman" w:cs="Times New Roman" w:eastAsia="Times New Roman" w:hAnsi="Times New Roman"/>
                <w:sz w:val="17"/>
                <w:szCs w:val="17"/>
                <w:color w:val="auto"/>
              </w:rPr>
              <w:t>Markets for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80"/>
              <w:spacing w:after="0" w:line="175" w:lineRule="exact"/>
              <w:rPr>
                <w:sz w:val="20"/>
                <w:szCs w:val="20"/>
                <w:color w:val="auto"/>
              </w:rPr>
            </w:pPr>
            <w:r>
              <w:rPr>
                <w:rFonts w:ascii="Times New Roman" w:cs="Times New Roman" w:eastAsia="Times New Roman" w:hAnsi="Times New Roman"/>
                <w:sz w:val="17"/>
                <w:szCs w:val="17"/>
                <w:color w:val="auto"/>
              </w:rPr>
              <w:t>Observable</w:t>
            </w:r>
          </w:p>
        </w:tc>
        <w:tc>
          <w:tcPr>
            <w:tcW w:w="300" w:type="dxa"/>
            <w:vAlign w:val="bottom"/>
          </w:tcPr>
          <w:p>
            <w:pPr>
              <w:spacing w:after="0"/>
              <w:rPr>
                <w:sz w:val="15"/>
                <w:szCs w:val="15"/>
                <w:color w:val="auto"/>
              </w:rPr>
            </w:pPr>
          </w:p>
        </w:tc>
        <w:tc>
          <w:tcPr>
            <w:tcW w:w="1260" w:type="dxa"/>
            <w:vAlign w:val="bottom"/>
          </w:tcPr>
          <w:p>
            <w:pPr>
              <w:jc w:val="center"/>
              <w:ind w:right="213"/>
              <w:spacing w:after="0" w:line="175" w:lineRule="exact"/>
              <w:rPr>
                <w:sz w:val="20"/>
                <w:szCs w:val="20"/>
                <w:color w:val="auto"/>
              </w:rPr>
            </w:pPr>
            <w:r>
              <w:rPr>
                <w:rFonts w:ascii="Times New Roman" w:cs="Times New Roman" w:eastAsia="Times New Roman" w:hAnsi="Times New Roman"/>
                <w:sz w:val="17"/>
                <w:szCs w:val="17"/>
                <w:color w:val="auto"/>
              </w:rPr>
              <w:t>Unobservable</w:t>
            </w: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ind w:right="133"/>
              <w:spacing w:after="0" w:line="169" w:lineRule="exact"/>
              <w:rPr>
                <w:sz w:val="20"/>
                <w:szCs w:val="20"/>
                <w:color w:val="auto"/>
              </w:rPr>
            </w:pPr>
            <w:r>
              <w:rPr>
                <w:rFonts w:ascii="Times New Roman" w:cs="Times New Roman" w:eastAsia="Times New Roman" w:hAnsi="Times New Roman"/>
                <w:sz w:val="17"/>
                <w:szCs w:val="17"/>
                <w:color w:val="auto"/>
              </w:rPr>
              <w:t>Identical Assets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7"/>
                <w:szCs w:val="17"/>
                <w:color w:val="auto"/>
                <w:w w:val="98"/>
              </w:rPr>
              <w:t>Inputs</w:t>
            </w:r>
          </w:p>
        </w:tc>
        <w:tc>
          <w:tcPr>
            <w:tcW w:w="300" w:type="dxa"/>
            <w:vAlign w:val="bottom"/>
          </w:tcPr>
          <w:p>
            <w:pPr>
              <w:spacing w:after="0"/>
              <w:rPr>
                <w:sz w:val="14"/>
                <w:szCs w:val="14"/>
                <w:color w:val="auto"/>
              </w:rPr>
            </w:pPr>
          </w:p>
        </w:tc>
        <w:tc>
          <w:tcPr>
            <w:tcW w:w="1260" w:type="dxa"/>
            <w:vAlign w:val="bottom"/>
          </w:tcPr>
          <w:p>
            <w:pPr>
              <w:jc w:val="center"/>
              <w:ind w:right="193"/>
              <w:spacing w:after="0" w:line="169" w:lineRule="exact"/>
              <w:rPr>
                <w:sz w:val="20"/>
                <w:szCs w:val="20"/>
                <w:color w:val="auto"/>
              </w:rPr>
            </w:pPr>
            <w:r>
              <w:rPr>
                <w:rFonts w:ascii="Times New Roman" w:cs="Times New Roman" w:eastAsia="Times New Roman" w:hAnsi="Times New Roman"/>
                <w:sz w:val="17"/>
                <w:szCs w:val="17"/>
                <w:color w:val="auto"/>
                <w:w w:val="98"/>
              </w:rPr>
              <w:t>Inputs</w:t>
            </w:r>
          </w:p>
        </w:tc>
        <w:tc>
          <w:tcPr>
            <w:tcW w:w="0" w:type="dxa"/>
            <w:vAlign w:val="bottom"/>
          </w:tcPr>
          <w:p>
            <w:pPr>
              <w:spacing w:after="0"/>
              <w:rPr>
                <w:sz w:val="1"/>
                <w:szCs w:val="1"/>
                <w:color w:val="auto"/>
              </w:rPr>
            </w:pPr>
          </w:p>
        </w:tc>
      </w:tr>
      <w:tr>
        <w:trPr>
          <w:trHeight w:val="234"/>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Category</w:t>
            </w:r>
          </w:p>
        </w:tc>
        <w:tc>
          <w:tcPr>
            <w:tcW w:w="280" w:type="dxa"/>
            <w:vAlign w:val="bottom"/>
          </w:tcPr>
          <w:p>
            <w:pPr>
              <w:spacing w:after="0"/>
              <w:rPr>
                <w:sz w:val="20"/>
                <w:szCs w:val="20"/>
                <w:color w:val="auto"/>
              </w:rPr>
            </w:pPr>
          </w:p>
        </w:tc>
        <w:tc>
          <w:tcPr>
            <w:tcW w:w="9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(Level 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(Level 2)</w:t>
            </w:r>
          </w:p>
        </w:tc>
        <w:tc>
          <w:tcPr>
            <w:tcW w:w="300" w:type="dxa"/>
            <w:vAlign w:val="bottom"/>
          </w:tcPr>
          <w:p>
            <w:pPr>
              <w:spacing w:after="0"/>
              <w:rPr>
                <w:sz w:val="20"/>
                <w:szCs w:val="20"/>
                <w:color w:val="auto"/>
              </w:rPr>
            </w:pPr>
          </w:p>
        </w:tc>
        <w:tc>
          <w:tcPr>
            <w:tcW w:w="126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4"/>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income securities: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180"/>
              <w:spacing w:after="0" w:line="221" w:lineRule="exact"/>
              <w:rPr>
                <w:sz w:val="20"/>
                <w:szCs w:val="20"/>
                <w:color w:val="auto"/>
              </w:rPr>
            </w:pPr>
            <w:r>
              <w:rPr>
                <w:rFonts w:ascii="Times New Roman" w:cs="Times New Roman" w:eastAsia="Times New Roman" w:hAnsi="Times New Roman"/>
                <w:sz w:val="17"/>
                <w:szCs w:val="17"/>
                <w:color w:val="auto"/>
              </w:rPr>
              <w:t>Fixed income funds</w:t>
            </w:r>
            <w:r>
              <w:rPr>
                <w:rFonts w:ascii="Times New Roman" w:cs="Times New Roman" w:eastAsia="Times New Roman" w:hAnsi="Times New Roman"/>
                <w:sz w:val="22"/>
                <w:szCs w:val="22"/>
                <w:color w:val="auto"/>
                <w:vertAlign w:val="superscript"/>
              </w:rPr>
              <w:t>(2)</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w:t>
            </w:r>
          </w:p>
        </w:tc>
        <w:tc>
          <w:tcPr>
            <w:tcW w:w="3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160"/>
              <w:spacing w:after="0" w:line="221" w:lineRule="exact"/>
              <w:rPr>
                <w:sz w:val="20"/>
                <w:szCs w:val="20"/>
                <w:color w:val="auto"/>
              </w:rPr>
            </w:pPr>
            <w:r>
              <w:rPr>
                <w:rFonts w:ascii="Times New Roman" w:cs="Times New Roman" w:eastAsia="Times New Roman" w:hAnsi="Times New Roman"/>
                <w:sz w:val="17"/>
                <w:szCs w:val="17"/>
                <w:color w:val="auto"/>
              </w:rPr>
              <w:t>Global equity fund</w:t>
            </w:r>
            <w:r>
              <w:rPr>
                <w:rFonts w:ascii="Times New Roman" w:cs="Times New Roman" w:eastAsia="Times New Roman" w:hAnsi="Times New Roman"/>
                <w:sz w:val="22"/>
                <w:szCs w:val="22"/>
                <w:color w:val="auto"/>
                <w:vertAlign w:val="superscript"/>
              </w:rPr>
              <w:t>(2)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040" w:type="dxa"/>
            <w:vAlign w:val="bottom"/>
          </w:tcPr>
          <w:p>
            <w:pPr>
              <w:ind w:left="160"/>
              <w:spacing w:after="0" w:line="221" w:lineRule="exact"/>
              <w:rPr>
                <w:sz w:val="20"/>
                <w:szCs w:val="20"/>
                <w:color w:val="auto"/>
              </w:rPr>
            </w:pPr>
            <w:r>
              <w:rPr>
                <w:rFonts w:ascii="Times New Roman" w:cs="Times New Roman" w:eastAsia="Times New Roman" w:hAnsi="Times New Roman"/>
                <w:sz w:val="17"/>
                <w:szCs w:val="17"/>
                <w:color w:val="auto"/>
              </w:rPr>
              <w:t>Infrastructure equity fund</w:t>
            </w:r>
            <w:r>
              <w:rPr>
                <w:rFonts w:ascii="Times New Roman" w:cs="Times New Roman" w:eastAsia="Times New Roman" w:hAnsi="Times New Roman"/>
                <w:sz w:val="22"/>
                <w:szCs w:val="22"/>
                <w:color w:val="auto"/>
                <w:vertAlign w:val="superscript"/>
              </w:rPr>
              <w:t>(2)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Real estate fund </w:t>
            </w:r>
            <w:r>
              <w:rPr>
                <w:rFonts w:ascii="Times New Roman" w:cs="Times New Roman" w:eastAsia="Times New Roman" w:hAnsi="Times New Roman"/>
                <w:sz w:val="22"/>
                <w:szCs w:val="22"/>
                <w:color w:val="auto"/>
                <w:vertAlign w:val="superscript"/>
              </w:rPr>
              <w:t>(2)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040" w:type="dxa"/>
            <w:vAlign w:val="bottom"/>
            <w:tcBorders>
              <w:bottom w:val="single" w:sz="8" w:color="CCEEFF"/>
            </w:tcBorders>
          </w:tcPr>
          <w:p>
            <w:pPr>
              <w:ind w:left="20"/>
              <w:spacing w:after="0" w:line="221" w:lineRule="exact"/>
              <w:rPr>
                <w:sz w:val="20"/>
                <w:szCs w:val="20"/>
                <w:color w:val="auto"/>
              </w:rPr>
            </w:pPr>
            <w:r>
              <w:rPr>
                <w:rFonts w:ascii="Times New Roman" w:cs="Times New Roman" w:eastAsia="Times New Roman" w:hAnsi="Times New Roman"/>
                <w:sz w:val="17"/>
                <w:szCs w:val="17"/>
                <w:color w:val="auto"/>
              </w:rPr>
              <w:t>Short-term funds</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040" w:type="dxa"/>
            <w:vAlign w:val="bottom"/>
            <w:tcBorders>
              <w:bottom w:val="single" w:sz="8" w:color="CCEEFF"/>
            </w:tcBorders>
          </w:tcPr>
          <w:p>
            <w:pPr>
              <w:ind w:left="20"/>
              <w:spacing w:after="0" w:line="221" w:lineRule="exact"/>
              <w:rPr>
                <w:sz w:val="20"/>
                <w:szCs w:val="20"/>
                <w:color w:val="auto"/>
              </w:rPr>
            </w:pPr>
            <w:r>
              <w:rPr>
                <w:rFonts w:ascii="Times New Roman" w:cs="Times New Roman" w:eastAsia="Times New Roman" w:hAnsi="Times New Roman"/>
                <w:sz w:val="17"/>
                <w:szCs w:val="17"/>
                <w:color w:val="auto"/>
              </w:rPr>
              <w:t>Other assets and liabilities</w:t>
            </w:r>
            <w:r>
              <w:rPr>
                <w:rFonts w:ascii="Times New Roman" w:cs="Times New Roman" w:eastAsia="Times New Roman" w:hAnsi="Times New Roman"/>
                <w:sz w:val="22"/>
                <w:szCs w:val="22"/>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gridSpan w:val="6"/>
            <w:vMerge w:val="restart"/>
          </w:tcPr>
          <w:p>
            <w:pPr>
              <w:jc w:val="center"/>
              <w:ind w:left="973"/>
              <w:spacing w:after="0"/>
              <w:rPr>
                <w:sz w:val="20"/>
                <w:szCs w:val="20"/>
                <w:color w:val="auto"/>
              </w:rPr>
            </w:pPr>
            <w:r>
              <w:rPr>
                <w:rFonts w:ascii="Times New Roman" w:cs="Times New Roman" w:eastAsia="Times New Roman" w:hAnsi="Times New Roman"/>
                <w:sz w:val="17"/>
                <w:szCs w:val="17"/>
                <w:color w:val="auto"/>
              </w:rPr>
              <w:t>Fair Value Measurements as of</w:t>
            </w: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40" w:type="dxa"/>
            <w:vAlign w:val="bottom"/>
            <w:gridSpan w:val="6"/>
            <w:vMerge w:val="continue"/>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100"/>
              <w:spacing w:after="0" w:line="235" w:lineRule="exact"/>
              <w:rPr>
                <w:sz w:val="20"/>
                <w:szCs w:val="20"/>
                <w:color w:val="auto"/>
              </w:rPr>
            </w:pPr>
            <w:r>
              <w:rPr>
                <w:rFonts w:ascii="Times New Roman" w:cs="Times New Roman" w:eastAsia="Times New Roman" w:hAnsi="Times New Roman"/>
                <w:sz w:val="17"/>
                <w:szCs w:val="17"/>
                <w:color w:val="auto"/>
                <w:w w:val="98"/>
              </w:rPr>
              <w:t>February 2, 2025</w:t>
            </w:r>
            <w:r>
              <w:rPr>
                <w:rFonts w:ascii="Times New Roman" w:cs="Times New Roman" w:eastAsia="Times New Roman" w:hAnsi="Times New Roman"/>
                <w:sz w:val="22"/>
                <w:szCs w:val="22"/>
                <w:color w:val="auto"/>
                <w:w w:val="98"/>
                <w:vertAlign w:val="superscript"/>
              </w:rPr>
              <w:t>(1)</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ind w:right="133"/>
              <w:spacing w:after="0" w:line="163" w:lineRule="exact"/>
              <w:rPr>
                <w:sz w:val="20"/>
                <w:szCs w:val="20"/>
                <w:color w:val="auto"/>
              </w:rPr>
            </w:pPr>
            <w:r>
              <w:rPr>
                <w:rFonts w:ascii="Times New Roman" w:cs="Times New Roman" w:eastAsia="Times New Roman" w:hAnsi="Times New Roman"/>
                <w:sz w:val="17"/>
                <w:szCs w:val="17"/>
                <w:color w:val="auto"/>
              </w:rPr>
              <w:t>Quoted Prices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ind w:right="113"/>
              <w:spacing w:after="0" w:line="169" w:lineRule="exact"/>
              <w:rPr>
                <w:sz w:val="20"/>
                <w:szCs w:val="20"/>
                <w:color w:val="auto"/>
              </w:rPr>
            </w:pPr>
            <w:r>
              <w:rPr>
                <w:rFonts w:ascii="Times New Roman" w:cs="Times New Roman" w:eastAsia="Times New Roman" w:hAnsi="Times New Roman"/>
                <w:sz w:val="17"/>
                <w:szCs w:val="17"/>
                <w:color w:val="auto"/>
              </w:rPr>
              <w:t>In Active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center"/>
              <w:ind w:right="113"/>
              <w:spacing w:after="0" w:line="182" w:lineRule="exact"/>
              <w:rPr>
                <w:sz w:val="20"/>
                <w:szCs w:val="20"/>
                <w:color w:val="auto"/>
              </w:rPr>
            </w:pPr>
            <w:r>
              <w:rPr>
                <w:rFonts w:ascii="Times New Roman" w:cs="Times New Roman" w:eastAsia="Times New Roman" w:hAnsi="Times New Roman"/>
                <w:sz w:val="17"/>
                <w:szCs w:val="17"/>
                <w:color w:val="auto"/>
              </w:rPr>
              <w:t>Markets for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7"/>
                <w:szCs w:val="17"/>
                <w:color w:val="auto"/>
              </w:rPr>
              <w:t>Observable</w:t>
            </w:r>
          </w:p>
        </w:tc>
        <w:tc>
          <w:tcPr>
            <w:tcW w:w="300" w:type="dxa"/>
            <w:vAlign w:val="bottom"/>
          </w:tcPr>
          <w:p>
            <w:pPr>
              <w:spacing w:after="0"/>
              <w:rPr>
                <w:sz w:val="15"/>
                <w:szCs w:val="15"/>
                <w:color w:val="auto"/>
              </w:rPr>
            </w:pPr>
          </w:p>
        </w:tc>
        <w:tc>
          <w:tcPr>
            <w:tcW w:w="1260" w:type="dxa"/>
            <w:vAlign w:val="bottom"/>
          </w:tcPr>
          <w:p>
            <w:pPr>
              <w:jc w:val="center"/>
              <w:ind w:right="213"/>
              <w:spacing w:after="0" w:line="182" w:lineRule="exact"/>
              <w:rPr>
                <w:sz w:val="20"/>
                <w:szCs w:val="20"/>
                <w:color w:val="auto"/>
              </w:rPr>
            </w:pPr>
            <w:r>
              <w:rPr>
                <w:rFonts w:ascii="Times New Roman" w:cs="Times New Roman" w:eastAsia="Times New Roman" w:hAnsi="Times New Roman"/>
                <w:sz w:val="17"/>
                <w:szCs w:val="17"/>
                <w:color w:val="auto"/>
              </w:rPr>
              <w:t>Unobservable</w:t>
            </w:r>
          </w:p>
        </w:tc>
        <w:tc>
          <w:tcPr>
            <w:tcW w:w="0" w:type="dxa"/>
            <w:vAlign w:val="bottom"/>
          </w:tcPr>
          <w:p>
            <w:pPr>
              <w:spacing w:after="0"/>
              <w:rPr>
                <w:sz w:val="1"/>
                <w:szCs w:val="1"/>
                <w:color w:val="auto"/>
              </w:rPr>
            </w:pPr>
          </w:p>
        </w:tc>
      </w:tr>
      <w:tr>
        <w:trPr>
          <w:trHeight w:val="169"/>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center"/>
              <w:ind w:right="133"/>
              <w:spacing w:after="0" w:line="169" w:lineRule="exact"/>
              <w:rPr>
                <w:sz w:val="20"/>
                <w:szCs w:val="20"/>
                <w:color w:val="auto"/>
              </w:rPr>
            </w:pPr>
            <w:r>
              <w:rPr>
                <w:rFonts w:ascii="Times New Roman" w:cs="Times New Roman" w:eastAsia="Times New Roman" w:hAnsi="Times New Roman"/>
                <w:sz w:val="17"/>
                <w:szCs w:val="17"/>
                <w:color w:val="auto"/>
              </w:rPr>
              <w:t>Identical Assets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7"/>
                <w:szCs w:val="17"/>
                <w:color w:val="auto"/>
                <w:w w:val="98"/>
              </w:rPr>
              <w:t>Inputs</w:t>
            </w:r>
          </w:p>
        </w:tc>
        <w:tc>
          <w:tcPr>
            <w:tcW w:w="300" w:type="dxa"/>
            <w:vAlign w:val="bottom"/>
          </w:tcPr>
          <w:p>
            <w:pPr>
              <w:spacing w:after="0"/>
              <w:rPr>
                <w:sz w:val="14"/>
                <w:szCs w:val="14"/>
                <w:color w:val="auto"/>
              </w:rPr>
            </w:pPr>
          </w:p>
        </w:tc>
        <w:tc>
          <w:tcPr>
            <w:tcW w:w="1260" w:type="dxa"/>
            <w:vAlign w:val="bottom"/>
          </w:tcPr>
          <w:p>
            <w:pPr>
              <w:jc w:val="center"/>
              <w:ind w:right="193"/>
              <w:spacing w:after="0" w:line="169" w:lineRule="exact"/>
              <w:rPr>
                <w:sz w:val="20"/>
                <w:szCs w:val="20"/>
                <w:color w:val="auto"/>
              </w:rPr>
            </w:pPr>
            <w:r>
              <w:rPr>
                <w:rFonts w:ascii="Times New Roman" w:cs="Times New Roman" w:eastAsia="Times New Roman" w:hAnsi="Times New Roman"/>
                <w:sz w:val="17"/>
                <w:szCs w:val="17"/>
                <w:color w:val="auto"/>
                <w:w w:val="98"/>
              </w:rPr>
              <w:t>Inputs</w:t>
            </w:r>
          </w:p>
        </w:tc>
        <w:tc>
          <w:tcPr>
            <w:tcW w:w="0" w:type="dxa"/>
            <w:vAlign w:val="bottom"/>
          </w:tcPr>
          <w:p>
            <w:pPr>
              <w:spacing w:after="0"/>
              <w:rPr>
                <w:sz w:val="1"/>
                <w:szCs w:val="1"/>
                <w:color w:val="auto"/>
              </w:rPr>
            </w:pPr>
          </w:p>
        </w:tc>
      </w:tr>
      <w:tr>
        <w:trPr>
          <w:trHeight w:val="234"/>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 Category</w:t>
            </w:r>
          </w:p>
        </w:tc>
        <w:tc>
          <w:tcPr>
            <w:tcW w:w="280" w:type="dxa"/>
            <w:vAlign w:val="bottom"/>
          </w:tcPr>
          <w:p>
            <w:pPr>
              <w:spacing w:after="0"/>
              <w:rPr>
                <w:sz w:val="20"/>
                <w:szCs w:val="20"/>
                <w:color w:val="auto"/>
              </w:rPr>
            </w:pPr>
          </w:p>
        </w:tc>
        <w:tc>
          <w:tcPr>
            <w:tcW w:w="96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(Level 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(Level 2)</w:t>
            </w:r>
          </w:p>
        </w:tc>
        <w:tc>
          <w:tcPr>
            <w:tcW w:w="300" w:type="dxa"/>
            <w:vAlign w:val="bottom"/>
          </w:tcPr>
          <w:p>
            <w:pPr>
              <w:spacing w:after="0"/>
              <w:rPr>
                <w:sz w:val="20"/>
                <w:szCs w:val="20"/>
                <w:color w:val="auto"/>
              </w:rPr>
            </w:pPr>
          </w:p>
        </w:tc>
        <w:tc>
          <w:tcPr>
            <w:tcW w:w="126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4"/>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income securities: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180"/>
              <w:spacing w:after="0" w:line="221" w:lineRule="exact"/>
              <w:rPr>
                <w:sz w:val="20"/>
                <w:szCs w:val="20"/>
                <w:color w:val="auto"/>
              </w:rPr>
            </w:pPr>
            <w:r>
              <w:rPr>
                <w:rFonts w:ascii="Times New Roman" w:cs="Times New Roman" w:eastAsia="Times New Roman" w:hAnsi="Times New Roman"/>
                <w:sz w:val="17"/>
                <w:szCs w:val="17"/>
                <w:color w:val="auto"/>
              </w:rPr>
              <w:t>U.S. Treasury Securities fund</w:t>
            </w:r>
            <w:r>
              <w:rPr>
                <w:rFonts w:ascii="Times New Roman" w:cs="Times New Roman" w:eastAsia="Times New Roman" w:hAnsi="Times New Roman"/>
                <w:sz w:val="22"/>
                <w:szCs w:val="22"/>
                <w:color w:val="auto"/>
                <w:vertAlign w:val="superscript"/>
              </w:rPr>
              <w:t>(2)</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209.8</w:t>
            </w:r>
          </w:p>
        </w:tc>
        <w:tc>
          <w:tcPr>
            <w:tcW w:w="3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040" w:type="dxa"/>
            <w:vAlign w:val="bottom"/>
          </w:tcPr>
          <w:p>
            <w:pPr>
              <w:ind w:left="180"/>
              <w:spacing w:after="0" w:line="221" w:lineRule="exact"/>
              <w:rPr>
                <w:sz w:val="20"/>
                <w:szCs w:val="20"/>
                <w:color w:val="auto"/>
              </w:rPr>
            </w:pPr>
            <w:r>
              <w:rPr>
                <w:rFonts w:ascii="Times New Roman" w:cs="Times New Roman" w:eastAsia="Times New Roman" w:hAnsi="Times New Roman"/>
                <w:sz w:val="17"/>
                <w:szCs w:val="17"/>
                <w:color w:val="auto"/>
              </w:rPr>
              <w:t>Government securities</w:t>
            </w:r>
            <w:r>
              <w:rPr>
                <w:rFonts w:ascii="Times New Roman" w:cs="Times New Roman" w:eastAsia="Times New Roman" w:hAnsi="Times New Roman"/>
                <w:sz w:val="22"/>
                <w:szCs w:val="22"/>
                <w:color w:val="auto"/>
                <w:vertAlign w:val="superscript"/>
              </w:rPr>
              <w:t>(5)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160"/>
              <w:spacing w:after="0" w:line="221" w:lineRule="exact"/>
              <w:rPr>
                <w:sz w:val="20"/>
                <w:szCs w:val="20"/>
                <w:color w:val="auto"/>
              </w:rPr>
            </w:pPr>
            <w:r>
              <w:rPr>
                <w:rFonts w:ascii="Times New Roman" w:cs="Times New Roman" w:eastAsia="Times New Roman" w:hAnsi="Times New Roman"/>
                <w:sz w:val="17"/>
                <w:szCs w:val="17"/>
                <w:color w:val="auto"/>
              </w:rPr>
              <w:t>Corporate securities</w:t>
            </w:r>
            <w:r>
              <w:rPr>
                <w:rFonts w:ascii="Times New Roman" w:cs="Times New Roman" w:eastAsia="Times New Roman" w:hAnsi="Times New Roman"/>
                <w:sz w:val="22"/>
                <w:szCs w:val="22"/>
                <w:color w:val="auto"/>
                <w:vertAlign w:val="superscript"/>
              </w:rPr>
              <w:t>(5)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180"/>
              <w:spacing w:after="0" w:line="221" w:lineRule="exact"/>
              <w:rPr>
                <w:sz w:val="20"/>
                <w:szCs w:val="20"/>
                <w:color w:val="auto"/>
              </w:rPr>
            </w:pPr>
            <w:r>
              <w:rPr>
                <w:rFonts w:ascii="Times New Roman" w:cs="Times New Roman" w:eastAsia="Times New Roman" w:hAnsi="Times New Roman"/>
                <w:sz w:val="17"/>
                <w:szCs w:val="17"/>
                <w:color w:val="auto"/>
              </w:rPr>
              <w:t>United States equities</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040" w:type="dxa"/>
            <w:vAlign w:val="bottom"/>
          </w:tcPr>
          <w:p>
            <w:pPr>
              <w:ind w:left="180"/>
              <w:spacing w:after="0" w:line="221" w:lineRule="exact"/>
              <w:rPr>
                <w:sz w:val="20"/>
                <w:szCs w:val="20"/>
                <w:color w:val="auto"/>
              </w:rPr>
            </w:pPr>
            <w:r>
              <w:rPr>
                <w:rFonts w:ascii="Times New Roman" w:cs="Times New Roman" w:eastAsia="Times New Roman" w:hAnsi="Times New Roman"/>
                <w:sz w:val="17"/>
                <w:szCs w:val="17"/>
                <w:color w:val="auto"/>
              </w:rPr>
              <w:t>United States equity fund</w:t>
            </w:r>
            <w:r>
              <w:rPr>
                <w:rFonts w:ascii="Times New Roman" w:cs="Times New Roman" w:eastAsia="Times New Roman" w:hAnsi="Times New Roman"/>
                <w:sz w:val="22"/>
                <w:szCs w:val="22"/>
                <w:color w:val="auto"/>
                <w:vertAlign w:val="superscript"/>
              </w:rPr>
              <w:t>(2)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040" w:type="dxa"/>
            <w:vAlign w:val="bottom"/>
            <w:shd w:val="clear" w:color="auto" w:fill="CCEEFF"/>
          </w:tcPr>
          <w:p>
            <w:pPr>
              <w:ind w:left="180"/>
              <w:spacing w:after="0" w:line="221" w:lineRule="exact"/>
              <w:rPr>
                <w:sz w:val="20"/>
                <w:szCs w:val="20"/>
                <w:color w:val="auto"/>
              </w:rPr>
            </w:pPr>
            <w:r>
              <w:rPr>
                <w:rFonts w:ascii="Times New Roman" w:cs="Times New Roman" w:eastAsia="Times New Roman" w:hAnsi="Times New Roman"/>
                <w:sz w:val="17"/>
                <w:szCs w:val="17"/>
                <w:color w:val="auto"/>
              </w:rPr>
              <w:t>International equity funds</w:t>
            </w:r>
            <w:r>
              <w:rPr>
                <w:rFonts w:ascii="Times New Roman" w:cs="Times New Roman" w:eastAsia="Times New Roman" w:hAnsi="Times New Roman"/>
                <w:sz w:val="22"/>
                <w:szCs w:val="22"/>
                <w:color w:val="auto"/>
                <w:vertAlign w:val="superscript"/>
              </w:rPr>
              <w:t>(4)</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040" w:type="dxa"/>
            <w:vAlign w:val="bottom"/>
            <w:tcBorders>
              <w:bottom w:val="single" w:sz="8" w:color="CCEEFF"/>
            </w:tcBorders>
          </w:tcPr>
          <w:p>
            <w:pPr>
              <w:ind w:left="20"/>
              <w:spacing w:after="0" w:line="221" w:lineRule="exact"/>
              <w:rPr>
                <w:sz w:val="20"/>
                <w:szCs w:val="20"/>
                <w:color w:val="auto"/>
              </w:rPr>
            </w:pPr>
            <w:r>
              <w:rPr>
                <w:rFonts w:ascii="Times New Roman" w:cs="Times New Roman" w:eastAsia="Times New Roman" w:hAnsi="Times New Roman"/>
                <w:sz w:val="17"/>
                <w:szCs w:val="17"/>
                <w:color w:val="auto"/>
              </w:rPr>
              <w:t>Short-term investment funds</w:t>
            </w:r>
            <w:r>
              <w:rPr>
                <w:rFonts w:ascii="Times New Roman" w:cs="Times New Roman" w:eastAsia="Times New Roman" w:hAnsi="Times New Roman"/>
                <w:sz w:val="22"/>
                <w:szCs w:val="22"/>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040" w:type="dxa"/>
            <w:vAlign w:val="bottom"/>
            <w:tcBorders>
              <w:bottom w:val="single" w:sz="8" w:color="CCEEFF"/>
            </w:tcBorders>
          </w:tcPr>
          <w:p>
            <w:pPr>
              <w:ind w:left="20"/>
              <w:spacing w:after="0" w:line="221" w:lineRule="exact"/>
              <w:rPr>
                <w:sz w:val="20"/>
                <w:szCs w:val="20"/>
                <w:color w:val="auto"/>
              </w:rPr>
            </w:pPr>
            <w:r>
              <w:rPr>
                <w:rFonts w:ascii="Times New Roman" w:cs="Times New Roman" w:eastAsia="Times New Roman" w:hAnsi="Times New Roman"/>
                <w:sz w:val="17"/>
                <w:szCs w:val="17"/>
                <w:color w:val="auto"/>
              </w:rPr>
              <w:t>Other assets and liabilities</w:t>
            </w:r>
            <w:r>
              <w:rPr>
                <w:rFonts w:ascii="Times New Roman" w:cs="Times New Roman" w:eastAsia="Times New Roman" w:hAnsi="Times New Roman"/>
                <w:sz w:val="22"/>
                <w:szCs w:val="22"/>
                <w:color w:val="auto"/>
                <w:vertAlign w:val="superscript"/>
              </w:rPr>
              <w:t>(6)</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ind w:left="320" w:right="20" w:hanging="316"/>
        <w:spacing w:after="0" w:line="235" w:lineRule="auto"/>
        <w:tabs>
          <w:tab w:leader="none" w:pos="308"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The Company uses third party pricing services to determine the fair values of the financial instruments held by the pension plans. The Company obtains an understanding of the pricing services’ valuation methodologies and related inputs and validates a sample of prices provided by the pricing services by reviewing prices from other pricing sources. The Company has not adjusted any prices received from the third party pricing services.</w:t>
      </w:r>
    </w:p>
    <w:p>
      <w:pPr>
        <w:spacing w:after="0" w:line="86" w:lineRule="exact"/>
        <w:rPr>
          <w:rFonts w:ascii="Times New Roman" w:cs="Times New Roman" w:eastAsia="Times New Roman" w:hAnsi="Times New Roman"/>
          <w:sz w:val="23"/>
          <w:szCs w:val="23"/>
          <w:color w:val="auto"/>
          <w:vertAlign w:val="superscript"/>
        </w:rPr>
      </w:pPr>
    </w:p>
    <w:p>
      <w:pPr>
        <w:ind w:left="320" w:right="60" w:hanging="316"/>
        <w:spacing w:after="0" w:line="226" w:lineRule="auto"/>
        <w:tabs>
          <w:tab w:leader="none" w:pos="308"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Valued at the net asset value of the fund as determined by the fund administrator. The Company has the ability to redeem this investment at net asset value within the near term and therefore classifies this investment within Level 2.</w:t>
      </w:r>
    </w:p>
    <w:p>
      <w:pPr>
        <w:spacing w:after="0" w:line="49" w:lineRule="exact"/>
        <w:rPr>
          <w:rFonts w:ascii="Times New Roman" w:cs="Times New Roman" w:eastAsia="Times New Roman" w:hAnsi="Times New Roman"/>
          <w:sz w:val="23"/>
          <w:szCs w:val="23"/>
          <w:color w:val="auto"/>
          <w:vertAlign w:val="superscript"/>
        </w:rPr>
      </w:pPr>
    </w:p>
    <w:p>
      <w:pPr>
        <w:ind w:left="300" w:hanging="296"/>
        <w:spacing w:after="0"/>
        <w:tabs>
          <w:tab w:leader="none" w:pos="30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Valued at the closing price or unadjusted quoted price in the active market in which the individual securities are traded.</w:t>
      </w:r>
    </w:p>
    <w:p>
      <w:pPr>
        <w:spacing w:after="0" w:line="85" w:lineRule="exact"/>
        <w:rPr>
          <w:rFonts w:ascii="Times New Roman" w:cs="Times New Roman" w:eastAsia="Times New Roman" w:hAnsi="Times New Roman"/>
          <w:sz w:val="23"/>
          <w:szCs w:val="23"/>
          <w:color w:val="auto"/>
          <w:vertAlign w:val="superscript"/>
        </w:rPr>
      </w:pPr>
    </w:p>
    <w:p>
      <w:pPr>
        <w:ind w:left="320" w:right="60" w:hanging="316"/>
        <w:spacing w:after="0" w:line="226" w:lineRule="auto"/>
        <w:tabs>
          <w:tab w:leader="none" w:pos="308"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Valued at the net asset value of the fund, either as determined by the closing price in the active market in which the individual fund is traded and classified within Level 1, or as determined by a pricing vendor or the fund administrator and classified within Level 2.</w:t>
      </w:r>
    </w:p>
    <w:p>
      <w:pPr>
        <w:spacing w:after="0" w:line="200" w:lineRule="exact"/>
        <w:rPr>
          <w:sz w:val="20"/>
          <w:szCs w:val="20"/>
          <w:color w:val="auto"/>
        </w:rPr>
      </w:pPr>
    </w:p>
    <w:p>
      <w:pPr>
        <w:spacing w:after="0" w:line="3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80"/>
          </w:cols>
          <w:pgMar w:left="320" w:top="1024" w:right="499" w:bottom="1440" w:gutter="0" w:footer="0" w:header="0"/>
        </w:sectPr>
      </w:pPr>
    </w:p>
    <w:bookmarkStart w:id="108" w:name="page109"/>
    <w:bookmarkEnd w:id="108"/>
    <w:p>
      <w:pPr>
        <w:ind w:left="320" w:right="320" w:hanging="316"/>
        <w:spacing w:after="0" w:line="226" w:lineRule="auto"/>
        <w:tabs>
          <w:tab w:leader="none" w:pos="308"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Valued with bid evaluation pricing where the inputs are based on actual trades in active markets, when available, as well as observable market inputs that include actual and comparable trade data, market benchmarks, broker quotes, trading spreads and/or other applicable data.</w:t>
      </w:r>
    </w:p>
    <w:p>
      <w:pPr>
        <w:spacing w:after="0" w:line="87" w:lineRule="exact"/>
        <w:rPr>
          <w:rFonts w:ascii="Times New Roman" w:cs="Times New Roman" w:eastAsia="Times New Roman" w:hAnsi="Times New Roman"/>
          <w:sz w:val="23"/>
          <w:szCs w:val="23"/>
          <w:color w:val="auto"/>
          <w:vertAlign w:val="superscript"/>
        </w:rPr>
      </w:pPr>
    </w:p>
    <w:p>
      <w:pPr>
        <w:jc w:val="both"/>
        <w:ind w:left="320" w:right="240" w:hanging="316"/>
        <w:spacing w:after="0" w:line="235" w:lineRule="auto"/>
        <w:tabs>
          <w:tab w:leader="none" w:pos="308"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This category includes pending purchases of $137.5 million and $1.7 million and pending sales of $133.8 million and $1.1 million as of February 1, 2026 and February 2, 2025, respectively. This category also includes accrued income of $1.2 million as February 2, 2025 (accrued income was immaterial as of February 1, 2026).</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believes that there are no significant concentrations of risk within the plan assets as of February 1, 2026.</w:t>
      </w:r>
    </w:p>
    <w:p>
      <w:pPr>
        <w:spacing w:after="0" w:line="247" w:lineRule="exact"/>
        <w:rPr>
          <w:sz w:val="20"/>
          <w:szCs w:val="20"/>
          <w:color w:val="auto"/>
        </w:rPr>
      </w:pPr>
    </w:p>
    <w:p>
      <w:pPr>
        <w:ind w:right="120" w:firstLine="390"/>
        <w:spacing w:after="0" w:line="267" w:lineRule="auto"/>
        <w:rPr>
          <w:sz w:val="20"/>
          <w:szCs w:val="20"/>
          <w:color w:val="auto"/>
        </w:rPr>
      </w:pPr>
      <w:r>
        <w:rPr>
          <w:rFonts w:ascii="Times New Roman" w:cs="Times New Roman" w:eastAsia="Times New Roman" w:hAnsi="Times New Roman"/>
          <w:sz w:val="17"/>
          <w:szCs w:val="17"/>
          <w:color w:val="auto"/>
        </w:rPr>
        <w:t>Currently, the Company does not expect to make material contributions to the Pension Plans in 2026. The Company’s actual contributions may differ from planned contributions due to many factors, including changes in tax and other laws, as well as significant differences between expected and actual pension asset performance or interest rates. The expected benefit payments associated with the Pension Plans and SERP Plans, and expected benefit payments, net of retiree contributions, associated with the Postretirement Plans are as follows: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6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Fiscal Year</w:t>
            </w:r>
          </w:p>
        </w:tc>
        <w:tc>
          <w:tcPr>
            <w:tcW w:w="300" w:type="dxa"/>
            <w:vAlign w:val="bottom"/>
          </w:tcPr>
          <w:p>
            <w:pPr>
              <w:spacing w:after="0"/>
              <w:rPr>
                <w:sz w:val="19"/>
                <w:szCs w:val="19"/>
                <w:color w:val="auto"/>
              </w:rPr>
            </w:pP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Pension Plans</w:t>
            </w:r>
          </w:p>
        </w:tc>
        <w:tc>
          <w:tcPr>
            <w:tcW w:w="340" w:type="dxa"/>
            <w:vAlign w:val="bottom"/>
          </w:tcPr>
          <w:p>
            <w:pPr>
              <w:spacing w:after="0"/>
              <w:rPr>
                <w:sz w:val="19"/>
                <w:szCs w:val="19"/>
                <w:color w:val="auto"/>
              </w:rPr>
            </w:pP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SERP Plans</w:t>
            </w:r>
          </w:p>
        </w:tc>
        <w:tc>
          <w:tcPr>
            <w:tcW w:w="180" w:type="dxa"/>
            <w:vAlign w:val="bottom"/>
          </w:tcPr>
          <w:p>
            <w:pPr>
              <w:spacing w:after="0"/>
              <w:rPr>
                <w:sz w:val="19"/>
                <w:szCs w:val="19"/>
                <w:color w:val="auto"/>
              </w:rPr>
            </w:pPr>
          </w:p>
        </w:tc>
        <w:tc>
          <w:tcPr>
            <w:tcW w:w="17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Postretirement Plans</w:t>
            </w:r>
          </w:p>
        </w:tc>
      </w:tr>
      <w:tr>
        <w:trPr>
          <w:trHeight w:val="214"/>
        </w:trPr>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21"/>
        </w:trPr>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1"/>
        </w:trPr>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1"/>
        </w:trPr>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1"/>
        </w:trPr>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27"/>
        </w:trPr>
        <w:tc>
          <w:tcPr>
            <w:tcW w:w="2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2031-2035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r>
    </w:tbl>
    <w:p>
      <w:pPr>
        <w:spacing w:after="0" w:line="301" w:lineRule="exact"/>
        <w:rPr>
          <w:sz w:val="20"/>
          <w:szCs w:val="20"/>
          <w:color w:val="auto"/>
        </w:rPr>
      </w:pPr>
    </w:p>
    <w:p>
      <w:pPr>
        <w:ind w:right="20" w:firstLine="390"/>
        <w:spacing w:after="0" w:line="261" w:lineRule="auto"/>
        <w:rPr>
          <w:sz w:val="20"/>
          <w:szCs w:val="20"/>
          <w:color w:val="auto"/>
        </w:rPr>
      </w:pPr>
      <w:r>
        <w:rPr>
          <w:rFonts w:ascii="Times New Roman" w:cs="Times New Roman" w:eastAsia="Times New Roman" w:hAnsi="Times New Roman"/>
          <w:sz w:val="17"/>
          <w:szCs w:val="17"/>
          <w:color w:val="auto"/>
        </w:rPr>
        <w:t>The Company has savings and retirement plans and a supplemental savings plan for the benefit of its eligible employees in the United States. The Company matches a portion of employee contributions to the plans. The Company began making on January 1, 2022 an additional contribution to these plans for employees in the United States hired on or after that date in lieu of their participation in the Pension Plan. In addition, subsequent to the June 30, 2024 freeze of the Pension Plans and supplemental pension plan, the Company began making an additional contribution to these plans for employees in the United States that were hired prior to January 1, 2022. The Company also has defined contribution plans for certain employees in certain international locations, whereby the Company pays a percentage of the contribution for the employee. The Company’s contributions to these plans were $59.7 million, $47.1 million and $41.7 million in 2025, 2024 and 2023, respectively.</w:t>
      </w:r>
    </w:p>
    <w:p>
      <w:pPr>
        <w:spacing w:after="0" w:line="203" w:lineRule="exact"/>
        <w:rPr>
          <w:sz w:val="20"/>
          <w:szCs w:val="20"/>
          <w:color w:val="auto"/>
        </w:rPr>
      </w:pPr>
    </w:p>
    <w:p>
      <w:pPr>
        <w:ind w:right="40" w:firstLine="390"/>
        <w:spacing w:after="0" w:line="274" w:lineRule="auto"/>
        <w:rPr>
          <w:sz w:val="20"/>
          <w:szCs w:val="20"/>
          <w:color w:val="auto"/>
        </w:rPr>
      </w:pPr>
      <w:r>
        <w:rPr>
          <w:rFonts w:ascii="Times New Roman" w:cs="Times New Roman" w:eastAsia="Times New Roman" w:hAnsi="Times New Roman"/>
          <w:sz w:val="17"/>
          <w:szCs w:val="17"/>
          <w:color w:val="auto"/>
        </w:rPr>
        <w:t>The Company’s supplemental savings plan allows participants to choose from a broad variety of investment options. The Company established a rabbi trust whereby the trust holds investments that generally mirror the participants’ investment elections in the supplemental savings plan. See Note 11, “Fair Value Measurements,” for further discussion.</w:t>
      </w:r>
    </w:p>
    <w:p>
      <w:pPr>
        <w:spacing w:after="0" w:line="18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13.</w:t>
        <w:tab/>
        <w:t>STOCK-BASED COMPENSATION</w:t>
      </w:r>
    </w:p>
    <w:p>
      <w:pPr>
        <w:spacing w:after="0" w:line="249" w:lineRule="exact"/>
        <w:rPr>
          <w:sz w:val="20"/>
          <w:szCs w:val="20"/>
          <w:color w:val="auto"/>
        </w:rPr>
      </w:pPr>
    </w:p>
    <w:p>
      <w:pPr>
        <w:ind w:firstLine="390"/>
        <w:spacing w:after="0" w:line="260" w:lineRule="auto"/>
        <w:rPr>
          <w:sz w:val="20"/>
          <w:szCs w:val="20"/>
          <w:color w:val="auto"/>
        </w:rPr>
      </w:pPr>
      <w:r>
        <w:rPr>
          <w:rFonts w:ascii="Times New Roman" w:cs="Times New Roman" w:eastAsia="Times New Roman" w:hAnsi="Times New Roman"/>
          <w:sz w:val="17"/>
          <w:szCs w:val="17"/>
          <w:color w:val="auto"/>
        </w:rPr>
        <w:t>The Company grants stock-based awards under its Stock Incentive Plan (the “Plan”). Awards that may be granted under the Plan include, but are not limited to (i) service-based restricted stock units (“RSUs”); (ii) contingently issuable performance share units (“PSUs”); and (iii) service-based non-qualified stock options (“stock options”). Each award granted under the Plan is subject to an award agreement that incorporates, as applicable, the exercise price, the term of the award, the periods of restriction, the number of shares to which the award pertains, performance periods and performance measures, and such other terms and conditions as the plan committee determines. Awards granted under the Plan are classified as equity awards, which are recorded in stockholders’ equity in the Company’s Consolidated Balance Sheets. When estimating the grant date fair value of stock-based awards, the Company considers whether an adjustment is required to the closing price or the expected volatility of its common stock on the date of grant when the Company is in possession of material nonpublic information. No such adjustments were made to the grant date fair value of awards granted in any period presented. Shares issued as a result of stock-based compensation transactions generally have been funded with the issuance of new shares of the Company’s common stock.</w:t>
      </w:r>
    </w:p>
    <w:p>
      <w:pPr>
        <w:spacing w:after="0" w:line="202" w:lineRule="exact"/>
        <w:rPr>
          <w:sz w:val="20"/>
          <w:szCs w:val="20"/>
          <w:color w:val="auto"/>
        </w:rPr>
      </w:pPr>
    </w:p>
    <w:p>
      <w:pPr>
        <w:ind w:right="80" w:firstLine="390"/>
        <w:spacing w:after="0" w:line="274" w:lineRule="auto"/>
        <w:rPr>
          <w:sz w:val="20"/>
          <w:szCs w:val="20"/>
          <w:color w:val="auto"/>
        </w:rPr>
      </w:pPr>
      <w:r>
        <w:rPr>
          <w:rFonts w:ascii="Times New Roman" w:cs="Times New Roman" w:eastAsia="Times New Roman" w:hAnsi="Times New Roman"/>
          <w:sz w:val="17"/>
          <w:szCs w:val="17"/>
          <w:color w:val="auto"/>
        </w:rPr>
        <w:t>According to the terms of the Plan, for purposes of determining the number of shares available for grant, each share underlying a stock option award reduces the number available by one share and each share underlying an RSU or PSU award reduces the number available by two shares for awards made before June 22, 2023 and by 1.6 shares for awards made on or after June 22, 2023. Total shares available for grant at February 1, 2026 amounted to 3.2 million shares.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109" w:name="page110"/>
    <w:bookmarkEnd w:id="109"/>
    <w:p>
      <w:pPr>
        <w:ind w:right="500" w:firstLine="390"/>
        <w:spacing w:after="0" w:line="293" w:lineRule="auto"/>
        <w:rPr>
          <w:sz w:val="20"/>
          <w:szCs w:val="20"/>
          <w:color w:val="auto"/>
        </w:rPr>
      </w:pPr>
      <w:r>
        <w:rPr>
          <w:rFonts w:ascii="Times New Roman" w:cs="Times New Roman" w:eastAsia="Times New Roman" w:hAnsi="Times New Roman"/>
          <w:sz w:val="17"/>
          <w:szCs w:val="17"/>
          <w:color w:val="auto"/>
        </w:rPr>
        <w:t>Net income for 2025, 2024 and 2023 included $44.1 million, $54.0 million and $51.9 million, respectively, of pre-tax expense related to stock-based compensation, with related recognized income tax benefits of $6.1 million, $6.4 million and $6.3 million, respectively.</w:t>
      </w:r>
    </w:p>
    <w:p>
      <w:pPr>
        <w:spacing w:after="0" w:line="173" w:lineRule="exact"/>
        <w:rPr>
          <w:sz w:val="20"/>
          <w:szCs w:val="20"/>
          <w:color w:val="auto"/>
        </w:rPr>
      </w:pPr>
    </w:p>
    <w:p>
      <w:pPr>
        <w:ind w:right="180" w:firstLine="390"/>
        <w:spacing w:after="0" w:line="268" w:lineRule="auto"/>
        <w:rPr>
          <w:sz w:val="20"/>
          <w:szCs w:val="20"/>
          <w:color w:val="auto"/>
        </w:rPr>
      </w:pPr>
      <w:r>
        <w:rPr>
          <w:rFonts w:ascii="Times New Roman" w:cs="Times New Roman" w:eastAsia="Times New Roman" w:hAnsi="Times New Roman"/>
          <w:sz w:val="17"/>
          <w:szCs w:val="17"/>
          <w:color w:val="auto"/>
        </w:rPr>
        <w:t>The Company receives a tax deduction for certain transactions associated with its stock-based awards. The actual income tax benefits realized from these transactions in 2025, 2024 and 2023 were $4.5 million, $7.8 million and $8.0 million, respectively. The tax benefits realized included discrete net excess tax (deficiencies) benefits of $(1.4) million, $1.2 million and $(1.0) million recognized in the Company’s provision for income taxes during 2025, 2024 and 2023,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RSUs</w:t>
      </w:r>
    </w:p>
    <w:p>
      <w:pPr>
        <w:spacing w:after="0" w:line="221" w:lineRule="exact"/>
        <w:rPr>
          <w:sz w:val="20"/>
          <w:szCs w:val="20"/>
          <w:color w:val="auto"/>
        </w:rPr>
      </w:pPr>
    </w:p>
    <w:p>
      <w:pPr>
        <w:ind w:firstLine="390"/>
        <w:spacing w:after="0" w:line="265" w:lineRule="auto"/>
        <w:rPr>
          <w:sz w:val="20"/>
          <w:szCs w:val="20"/>
          <w:color w:val="auto"/>
        </w:rPr>
      </w:pPr>
      <w:r>
        <w:rPr>
          <w:rFonts w:ascii="Times New Roman" w:cs="Times New Roman" w:eastAsia="Times New Roman" w:hAnsi="Times New Roman"/>
          <w:sz w:val="17"/>
          <w:szCs w:val="17"/>
          <w:color w:val="auto"/>
        </w:rPr>
        <w:t>RSUs granted to employees generally vest in four equal annual installments commencing one year after the date of grant, although the Company does make from time to time, and currently has outstanding, RSUs with different vesting schedules. Service-based RSUs granted to non-employee directors vest in full the earlier of one year after the date of grant or the date of the Annual Meeting of Stockholders following the year of grant. The underlying RSU award agreements for employees generally provide for accelerated vesting upon the award recipient’s retirement (as defined in the Plan). The fair value of RSUs is equal to the closing price of the Company’s common stock on the date of grant and is expensed over the RSUs’ requisite service periods.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RSU activity for the year was as follows:</w:t>
            </w:r>
          </w:p>
        </w:tc>
        <w:tc>
          <w:tcPr>
            <w:tcW w:w="1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195"/>
        </w:trPr>
        <w:tc>
          <w:tcPr>
            <w:tcW w:w="3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center"/>
              <w:ind w:right="153"/>
              <w:spacing w:after="0"/>
              <w:rPr>
                <w:sz w:val="20"/>
                <w:szCs w:val="20"/>
                <w:color w:val="auto"/>
              </w:rPr>
            </w:pPr>
            <w:r>
              <w:rPr>
                <w:rFonts w:ascii="Times New Roman" w:cs="Times New Roman" w:eastAsia="Times New Roman" w:hAnsi="Times New Roman"/>
                <w:sz w:val="17"/>
                <w:szCs w:val="17"/>
                <w:color w:val="auto"/>
              </w:rPr>
              <w:t>Weighted Average</w:t>
            </w:r>
          </w:p>
        </w:tc>
      </w:tr>
      <w:tr>
        <w:trPr>
          <w:trHeight w:val="177"/>
        </w:trPr>
        <w:tc>
          <w:tcPr>
            <w:tcW w:w="35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jc w:val="center"/>
              <w:ind w:right="133"/>
              <w:spacing w:after="0" w:line="176" w:lineRule="exact"/>
              <w:rPr>
                <w:sz w:val="20"/>
                <w:szCs w:val="20"/>
                <w:color w:val="auto"/>
              </w:rPr>
            </w:pPr>
            <w:r>
              <w:rPr>
                <w:rFonts w:ascii="Times New Roman" w:cs="Times New Roman" w:eastAsia="Times New Roman" w:hAnsi="Times New Roman"/>
                <w:sz w:val="17"/>
                <w:szCs w:val="17"/>
                <w:color w:val="auto"/>
              </w:rPr>
              <w:t>Grant Date</w:t>
            </w:r>
          </w:p>
        </w:tc>
      </w:tr>
      <w:tr>
        <w:trPr>
          <w:trHeight w:val="227"/>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 except per RSU data)</w:t>
            </w:r>
          </w:p>
        </w:tc>
        <w:tc>
          <w:tcPr>
            <w:tcW w:w="222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rPr>
              <w:t>RSUs</w:t>
            </w:r>
          </w:p>
        </w:tc>
        <w:tc>
          <w:tcPr>
            <w:tcW w:w="220" w:type="dxa"/>
            <w:vAlign w:val="bottom"/>
          </w:tcPr>
          <w:p>
            <w:pPr>
              <w:spacing w:after="0"/>
              <w:rPr>
                <w:sz w:val="19"/>
                <w:szCs w:val="19"/>
                <w:color w:val="auto"/>
              </w:rPr>
            </w:pPr>
          </w:p>
        </w:tc>
        <w:tc>
          <w:tcPr>
            <w:tcW w:w="1800" w:type="dxa"/>
            <w:vAlign w:val="bottom"/>
          </w:tcPr>
          <w:p>
            <w:pPr>
              <w:jc w:val="center"/>
              <w:ind w:right="133"/>
              <w:spacing w:after="0"/>
              <w:rPr>
                <w:sz w:val="20"/>
                <w:szCs w:val="20"/>
                <w:color w:val="auto"/>
              </w:rPr>
            </w:pPr>
            <w:r>
              <w:rPr>
                <w:rFonts w:ascii="Times New Roman" w:cs="Times New Roman" w:eastAsia="Times New Roman" w:hAnsi="Times New Roman"/>
                <w:sz w:val="17"/>
                <w:szCs w:val="17"/>
                <w:color w:val="auto"/>
              </w:rPr>
              <w:t>Fair Value Per RSU</w:t>
            </w:r>
          </w:p>
        </w:tc>
      </w:tr>
      <w:tr>
        <w:trPr>
          <w:trHeight w:val="214"/>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February 2, 2025</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93.45</w:t>
            </w:r>
          </w:p>
        </w:tc>
      </w:tr>
      <w:tr>
        <w:trPr>
          <w:trHeight w:val="221"/>
        </w:trPr>
        <w:tc>
          <w:tcPr>
            <w:tcW w:w="3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69.30</w:t>
            </w:r>
          </w:p>
        </w:tc>
      </w:tr>
      <w:tr>
        <w:trPr>
          <w:trHeight w:val="221"/>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Vested</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90.98</w:t>
            </w:r>
          </w:p>
        </w:tc>
      </w:tr>
      <w:tr>
        <w:trPr>
          <w:trHeight w:val="221"/>
        </w:trPr>
        <w:tc>
          <w:tcPr>
            <w:tcW w:w="3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83.89</w:t>
            </w:r>
          </w:p>
        </w:tc>
      </w:tr>
      <w:tr>
        <w:trPr>
          <w:trHeight w:val="239"/>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February 1, 2026</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79.52</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320" w:firstLine="390"/>
        <w:spacing w:after="0" w:line="293" w:lineRule="auto"/>
        <w:rPr>
          <w:sz w:val="20"/>
          <w:szCs w:val="20"/>
          <w:color w:val="auto"/>
        </w:rPr>
      </w:pPr>
      <w:r>
        <w:rPr>
          <w:rFonts w:ascii="Times New Roman" w:cs="Times New Roman" w:eastAsia="Times New Roman" w:hAnsi="Times New Roman"/>
          <w:sz w:val="17"/>
          <w:szCs w:val="17"/>
          <w:color w:val="auto"/>
        </w:rPr>
        <w:t>The aggregate grant date fair value of RSUs granted during 2025, 2024 and 2023 was $60.7 million, $56.8 million and $54.9 million, respectively. The aggregate grant date fair value of RSUs vested during 2025, 2024 and 2023 was $38.7 million, $35.4 million and $43.4 million, respectively.</w:t>
      </w:r>
    </w:p>
    <w:p>
      <w:pPr>
        <w:spacing w:after="0" w:line="173" w:lineRule="exact"/>
        <w:rPr>
          <w:sz w:val="20"/>
          <w:szCs w:val="20"/>
          <w:color w:val="auto"/>
        </w:rPr>
      </w:pPr>
    </w:p>
    <w:p>
      <w:pPr>
        <w:ind w:right="700" w:firstLine="390"/>
        <w:spacing w:after="0" w:line="293" w:lineRule="auto"/>
        <w:rPr>
          <w:sz w:val="20"/>
          <w:szCs w:val="20"/>
          <w:color w:val="auto"/>
        </w:rPr>
      </w:pPr>
      <w:r>
        <w:rPr>
          <w:rFonts w:ascii="Times New Roman" w:cs="Times New Roman" w:eastAsia="Times New Roman" w:hAnsi="Times New Roman"/>
          <w:sz w:val="17"/>
          <w:szCs w:val="17"/>
          <w:color w:val="auto"/>
        </w:rPr>
        <w:t>At February 1, 2026, there was $68.0 million of unrecognized pre-tax compensation expense related to non-vested RSUs, which is expected to be recognized over a weighted average period of 1.7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PSUs</w:t>
      </w:r>
    </w:p>
    <w:p>
      <w:pPr>
        <w:spacing w:after="0" w:line="247" w:lineRule="exact"/>
        <w:rPr>
          <w:sz w:val="20"/>
          <w:szCs w:val="20"/>
          <w:color w:val="auto"/>
        </w:rPr>
      </w:pPr>
    </w:p>
    <w:p>
      <w:pPr>
        <w:ind w:right="440" w:firstLine="390"/>
        <w:spacing w:after="0" w:line="293" w:lineRule="auto"/>
        <w:rPr>
          <w:sz w:val="20"/>
          <w:szCs w:val="20"/>
          <w:color w:val="auto"/>
        </w:rPr>
      </w:pPr>
      <w:r>
        <w:rPr>
          <w:rFonts w:ascii="Times New Roman" w:cs="Times New Roman" w:eastAsia="Times New Roman" w:hAnsi="Times New Roman"/>
          <w:sz w:val="17"/>
          <w:szCs w:val="17"/>
          <w:color w:val="auto"/>
        </w:rPr>
        <w:t>PSU awards granted to employees have a three-year service period. Each award is subject to various performance and/or market conditions. The final number of shares to be earned, if any, is contingent upon the Company’s achievement of goals for the applicable performance period.</w:t>
      </w:r>
    </w:p>
    <w:p>
      <w:pPr>
        <w:spacing w:after="0" w:line="173" w:lineRule="exact"/>
        <w:rPr>
          <w:sz w:val="20"/>
          <w:szCs w:val="20"/>
          <w:color w:val="auto"/>
        </w:rPr>
      </w:pPr>
    </w:p>
    <w:p>
      <w:pPr>
        <w:ind w:right="40" w:firstLine="390"/>
        <w:spacing w:after="0" w:line="265" w:lineRule="auto"/>
        <w:rPr>
          <w:sz w:val="20"/>
          <w:szCs w:val="20"/>
          <w:color w:val="auto"/>
        </w:rPr>
      </w:pPr>
      <w:r>
        <w:rPr>
          <w:rFonts w:ascii="Times New Roman" w:cs="Times New Roman" w:eastAsia="Times New Roman" w:hAnsi="Times New Roman"/>
          <w:sz w:val="17"/>
          <w:szCs w:val="17"/>
          <w:color w:val="auto"/>
        </w:rPr>
        <w:t>For awards granted in 2022, 50% of the award was based on the Company’s total shareholder return (“TSR”) relative to a pre-established group of industry peers during a three-year period from the grant date, for which the Company achieved performance between the target and maximum levels. The other 50% of the award was based on the Company’s cumulative earnings before interest and taxes (“EBIT”) during the fiscal three-year performance period, for which the performance condition was not achieved. The holders of the awards earned an aggregate of 42,000 shares upon vesting of the award during the first quarter of 2025.</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06" w:right="379" w:bottom="1440" w:gutter="0" w:footer="0" w:header="0"/>
        </w:sectPr>
      </w:pPr>
    </w:p>
    <w:bookmarkStart w:id="110" w:name="page111"/>
    <w:bookmarkEnd w:id="110"/>
    <w:p>
      <w:pPr>
        <w:ind w:right="80" w:firstLine="390"/>
        <w:spacing w:after="0" w:line="274" w:lineRule="auto"/>
        <w:rPr>
          <w:sz w:val="20"/>
          <w:szCs w:val="20"/>
          <w:color w:val="auto"/>
        </w:rPr>
      </w:pPr>
      <w:r>
        <w:rPr>
          <w:rFonts w:ascii="Times New Roman" w:cs="Times New Roman" w:eastAsia="Times New Roman" w:hAnsi="Times New Roman"/>
          <w:sz w:val="17"/>
          <w:szCs w:val="17"/>
          <w:color w:val="auto"/>
        </w:rPr>
        <w:t>For awards granted in 2023, 2024, and 2025, 50% of the award is based on the Company’s TSR relative to a pre-established group of industry peers during a three-year period from the grant date and 50% is based on the Company’s average return on invested capital (“ROIC”) during a fiscal three-year performance period.</w:t>
      </w:r>
    </w:p>
    <w:p>
      <w:pPr>
        <w:spacing w:after="0" w:line="189" w:lineRule="exact"/>
        <w:rPr>
          <w:sz w:val="20"/>
          <w:szCs w:val="20"/>
          <w:color w:val="auto"/>
        </w:rPr>
      </w:pPr>
    </w:p>
    <w:p>
      <w:pPr>
        <w:ind w:right="20" w:firstLine="390"/>
        <w:spacing w:after="0" w:line="268" w:lineRule="auto"/>
        <w:rPr>
          <w:sz w:val="20"/>
          <w:szCs w:val="20"/>
          <w:color w:val="auto"/>
        </w:rPr>
      </w:pPr>
      <w:r>
        <w:rPr>
          <w:rFonts w:ascii="Times New Roman" w:cs="Times New Roman" w:eastAsia="Times New Roman" w:hAnsi="Times New Roman"/>
          <w:sz w:val="17"/>
          <w:szCs w:val="17"/>
          <w:color w:val="auto"/>
        </w:rPr>
        <w:t>The Company records expense ratably over the three-year service period, with expense determined as follows: (i) TSR-based portion of the awards is based on the grant date fair value regardless of whether the market condition is satisfied because the awards are subject to market conditions and (ii) EBIT- and ROIC-based portion of the awards are based on the grant date fair value per share and the Company’s current expectations of the probable number of shares that will ultimately be issued.</w:t>
      </w:r>
    </w:p>
    <w:p>
      <w:pPr>
        <w:spacing w:after="0" w:line="194" w:lineRule="exact"/>
        <w:rPr>
          <w:sz w:val="20"/>
          <w:szCs w:val="20"/>
          <w:color w:val="auto"/>
        </w:rPr>
      </w:pPr>
    </w:p>
    <w:p>
      <w:pPr>
        <w:ind w:firstLine="390"/>
        <w:spacing w:after="0" w:line="274" w:lineRule="auto"/>
        <w:rPr>
          <w:sz w:val="20"/>
          <w:szCs w:val="20"/>
          <w:color w:val="auto"/>
        </w:rPr>
      </w:pPr>
      <w:r>
        <w:rPr>
          <w:rFonts w:ascii="Times New Roman" w:cs="Times New Roman" w:eastAsia="Times New Roman" w:hAnsi="Times New Roman"/>
          <w:sz w:val="17"/>
          <w:szCs w:val="17"/>
          <w:color w:val="auto"/>
        </w:rPr>
        <w:t>The grant date fair value of the awards is established as follows: (i) TSR-based portion of the awards uses a Monte Carlo simulation model and (ii) EBIT-and ROIC-based portion of the awards are based on the closing price of the Company’s common stock reduced for the present value of any dividends expected to be paid on such common stock during the three-year service period, as these contingently issuable PSUs do not accrue dividends.</w:t>
      </w:r>
    </w:p>
    <w:p>
      <w:pPr>
        <w:spacing w:after="0" w:line="189" w:lineRule="exact"/>
        <w:rPr>
          <w:sz w:val="20"/>
          <w:szCs w:val="20"/>
          <w:color w:val="auto"/>
        </w:rPr>
      </w:pPr>
    </w:p>
    <w:p>
      <w:pPr>
        <w:ind w:right="220" w:firstLine="390"/>
        <w:spacing w:after="0" w:line="279" w:lineRule="auto"/>
        <w:rPr>
          <w:sz w:val="20"/>
          <w:szCs w:val="20"/>
          <w:color w:val="auto"/>
        </w:rPr>
      </w:pPr>
      <w:r>
        <w:rPr>
          <w:rFonts w:ascii="Times New Roman" w:cs="Times New Roman" w:eastAsia="Times New Roman" w:hAnsi="Times New Roman"/>
          <w:sz w:val="17"/>
          <w:szCs w:val="17"/>
          <w:color w:val="auto"/>
        </w:rPr>
        <w:t>The following summarizes the assumptions used to estimate the fair value of PSUs subject to market conditions that were granted during 2025, 2024 and 2023 and the resulting weighted average grant date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9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2023</w:t>
            </w:r>
          </w:p>
        </w:tc>
      </w:tr>
      <w:tr>
        <w:trPr>
          <w:trHeight w:val="21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risk-free interest rate</w:t>
            </w: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3.56 %</w:t>
            </w:r>
          </w:p>
        </w:tc>
      </w:tr>
      <w:tr>
        <w:trPr>
          <w:trHeight w:val="221"/>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Company volatility</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58.21 %</w:t>
            </w:r>
          </w:p>
        </w:tc>
      </w:tr>
      <w:tr>
        <w:trPr>
          <w:trHeight w:val="22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annual dividends per share</w:t>
            </w:r>
          </w:p>
        </w:tc>
        <w:tc>
          <w:tcPr>
            <w:tcW w:w="4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0.15</w:t>
            </w:r>
          </w:p>
        </w:tc>
      </w:tr>
      <w:tr>
        <w:trPr>
          <w:trHeight w:val="227"/>
        </w:trPr>
        <w:tc>
          <w:tcPr>
            <w:tcW w:w="3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grant date fair value per PSU</w:t>
            </w:r>
          </w:p>
        </w:tc>
        <w:tc>
          <w:tcPr>
            <w:tcW w:w="4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102.81</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138.12</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120.42</w:t>
            </w:r>
          </w:p>
        </w:tc>
      </w:tr>
    </w:tbl>
    <w:p>
      <w:pPr>
        <w:spacing w:after="0" w:line="275" w:lineRule="exact"/>
        <w:rPr>
          <w:sz w:val="20"/>
          <w:szCs w:val="20"/>
          <w:color w:val="auto"/>
        </w:rPr>
      </w:pPr>
    </w:p>
    <w:p>
      <w:pPr>
        <w:ind w:right="220" w:firstLine="390"/>
        <w:spacing w:after="0" w:line="274" w:lineRule="auto"/>
        <w:rPr>
          <w:sz w:val="20"/>
          <w:szCs w:val="20"/>
          <w:color w:val="auto"/>
        </w:rPr>
      </w:pPr>
      <w:r>
        <w:rPr>
          <w:rFonts w:ascii="Times New Roman" w:cs="Times New Roman" w:eastAsia="Times New Roman" w:hAnsi="Times New Roman"/>
          <w:sz w:val="17"/>
          <w:szCs w:val="17"/>
          <w:color w:val="auto"/>
        </w:rPr>
        <w:t>The risk-free interest rate is based on United States Treasury yields in effect at the date of grant for the term corresponding to the three-year performance period. Company volatility is based on the historical volatility of the Company’s common stock over a period of time corresponding to the three-year performance period. Expected dividends are based on the anticipated common stock cash dividend rate for the Company at the time of grant.</w:t>
      </w:r>
    </w:p>
    <w:p>
      <w:pPr>
        <w:spacing w:after="0" w:line="189" w:lineRule="exact"/>
        <w:rPr>
          <w:sz w:val="20"/>
          <w:szCs w:val="20"/>
          <w:color w:val="auto"/>
        </w:rPr>
      </w:pPr>
    </w:p>
    <w:p>
      <w:pPr>
        <w:jc w:val="both"/>
        <w:ind w:right="220" w:firstLine="390"/>
        <w:spacing w:after="0" w:line="274" w:lineRule="auto"/>
        <w:rPr>
          <w:sz w:val="20"/>
          <w:szCs w:val="20"/>
          <w:color w:val="auto"/>
        </w:rPr>
      </w:pPr>
      <w:r>
        <w:rPr>
          <w:rFonts w:ascii="Times New Roman" w:cs="Times New Roman" w:eastAsia="Times New Roman" w:hAnsi="Times New Roman"/>
          <w:sz w:val="17"/>
          <w:szCs w:val="17"/>
          <w:color w:val="auto"/>
        </w:rPr>
        <w:t>For certain of the awards granted, the after-tax portion of the award is subject to a holding period of one year after the vesting date. For these awards, the grant date fair value was discounted 4.50%, 4.40% and 7.40% in 2025, 2024 and 2023, respectively, for the restriction of liquidity, which was calculated using the Finnerty model.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9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Total PSU activity for the year was as follows: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195"/>
        </w:trPr>
        <w:tc>
          <w:tcPr>
            <w:tcW w:w="59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jc w:val="center"/>
              <w:ind w:right="113"/>
              <w:spacing w:after="0"/>
              <w:rPr>
                <w:sz w:val="20"/>
                <w:szCs w:val="20"/>
                <w:color w:val="auto"/>
              </w:rPr>
            </w:pPr>
            <w:r>
              <w:rPr>
                <w:rFonts w:ascii="Times New Roman" w:cs="Times New Roman" w:eastAsia="Times New Roman" w:hAnsi="Times New Roman"/>
                <w:sz w:val="17"/>
                <w:szCs w:val="17"/>
                <w:color w:val="auto"/>
              </w:rPr>
              <w:t>Weighted Average</w:t>
            </w:r>
          </w:p>
        </w:tc>
      </w:tr>
      <w:tr>
        <w:trPr>
          <w:trHeight w:val="169"/>
        </w:trPr>
        <w:tc>
          <w:tcPr>
            <w:tcW w:w="5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jc w:val="center"/>
              <w:ind w:right="113"/>
              <w:spacing w:after="0" w:line="169" w:lineRule="exact"/>
              <w:rPr>
                <w:sz w:val="20"/>
                <w:szCs w:val="20"/>
                <w:color w:val="auto"/>
              </w:rPr>
            </w:pPr>
            <w:r>
              <w:rPr>
                <w:rFonts w:ascii="Times New Roman" w:cs="Times New Roman" w:eastAsia="Times New Roman" w:hAnsi="Times New Roman"/>
                <w:sz w:val="17"/>
                <w:szCs w:val="17"/>
                <w:color w:val="auto"/>
              </w:rPr>
              <w:t>Grant Date</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 except per PSU data)</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PSUs</w:t>
            </w:r>
          </w:p>
        </w:tc>
        <w:tc>
          <w:tcPr>
            <w:tcW w:w="200" w:type="dxa"/>
            <w:vAlign w:val="bottom"/>
          </w:tcPr>
          <w:p>
            <w:pPr>
              <w:spacing w:after="0"/>
              <w:rPr>
                <w:sz w:val="20"/>
                <w:szCs w:val="20"/>
                <w:color w:val="auto"/>
              </w:rPr>
            </w:pPr>
          </w:p>
        </w:tc>
        <w:tc>
          <w:tcPr>
            <w:tcW w:w="1720" w:type="dxa"/>
            <w:vAlign w:val="bottom"/>
          </w:tcPr>
          <w:p>
            <w:pPr>
              <w:jc w:val="center"/>
              <w:ind w:right="93"/>
              <w:spacing w:after="0"/>
              <w:rPr>
                <w:sz w:val="20"/>
                <w:szCs w:val="20"/>
                <w:color w:val="auto"/>
              </w:rPr>
            </w:pPr>
            <w:r>
              <w:rPr>
                <w:rFonts w:ascii="Times New Roman" w:cs="Times New Roman" w:eastAsia="Times New Roman" w:hAnsi="Times New Roman"/>
                <w:sz w:val="17"/>
                <w:szCs w:val="17"/>
                <w:color w:val="auto"/>
                <w:w w:val="99"/>
              </w:rPr>
              <w:t>Fair Value Per PSU</w:t>
            </w:r>
          </w:p>
        </w:tc>
      </w:tr>
      <w:tr>
        <w:trPr>
          <w:trHeight w:val="214"/>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February 2, 2025</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110.64</w:t>
            </w:r>
          </w:p>
        </w:tc>
      </w:tr>
      <w:tr>
        <w:trPr>
          <w:trHeight w:val="221"/>
        </w:trPr>
        <w:tc>
          <w:tcPr>
            <w:tcW w:w="5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85.12</w:t>
            </w:r>
          </w:p>
        </w:tc>
      </w:tr>
      <w:tr>
        <w:trPr>
          <w:trHeight w:val="221"/>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Increase due to market conditions achieved above target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102.88</w:t>
            </w:r>
          </w:p>
        </w:tc>
      </w:tr>
      <w:tr>
        <w:trPr>
          <w:trHeight w:val="221"/>
        </w:trPr>
        <w:tc>
          <w:tcPr>
            <w:tcW w:w="59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Vested</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102.88</w:t>
            </w:r>
          </w:p>
        </w:tc>
      </w:tr>
      <w:tr>
        <w:trPr>
          <w:trHeight w:val="22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102.97</w:t>
            </w:r>
          </w:p>
        </w:tc>
      </w:tr>
      <w:tr>
        <w:trPr>
          <w:trHeight w:val="214"/>
        </w:trPr>
        <w:tc>
          <w:tcPr>
            <w:tcW w:w="5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Non-vested at February 1, 2026</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98.86</w:t>
            </w:r>
          </w:p>
        </w:tc>
      </w:tr>
      <w:tr>
        <w:trPr>
          <w:trHeight w:val="20"/>
        </w:trPr>
        <w:tc>
          <w:tcPr>
            <w:tcW w:w="59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20" w:firstLine="390"/>
        <w:spacing w:after="0" w:line="268" w:lineRule="auto"/>
        <w:rPr>
          <w:sz w:val="20"/>
          <w:szCs w:val="20"/>
          <w:color w:val="auto"/>
        </w:rPr>
      </w:pPr>
      <w:r>
        <w:rPr>
          <w:rFonts w:ascii="Times New Roman" w:cs="Times New Roman" w:eastAsia="Times New Roman" w:hAnsi="Times New Roman"/>
          <w:sz w:val="17"/>
          <w:szCs w:val="17"/>
          <w:color w:val="auto"/>
        </w:rPr>
        <w:t>The aggregate grant date fair value of PSUs granted during 2025, 2024 and 2023 was $16.3 million, $15.6 million and $12.3 million, respectively. The aggregate grant date fair value of PSUs vested during 2025, 2024 and 2023 was $4.3 million, $6.8 million and $8.6 million, respectively. PSUs in the above table that remain subject to market conditions are reflected at the target level, which is consistent with how expense will be recorded, regardless of the numbers of shares that are expected to be earned.</w:t>
      </w:r>
    </w:p>
    <w:p>
      <w:pPr>
        <w:spacing w:after="0" w:line="194" w:lineRule="exact"/>
        <w:rPr>
          <w:sz w:val="20"/>
          <w:szCs w:val="20"/>
          <w:color w:val="auto"/>
        </w:rPr>
      </w:pPr>
    </w:p>
    <w:p>
      <w:pPr>
        <w:ind w:right="760" w:firstLine="390"/>
        <w:spacing w:after="0" w:line="293" w:lineRule="auto"/>
        <w:rPr>
          <w:sz w:val="20"/>
          <w:szCs w:val="20"/>
          <w:color w:val="auto"/>
        </w:rPr>
      </w:pPr>
      <w:r>
        <w:rPr>
          <w:rFonts w:ascii="Times New Roman" w:cs="Times New Roman" w:eastAsia="Times New Roman" w:hAnsi="Times New Roman"/>
          <w:sz w:val="17"/>
          <w:szCs w:val="17"/>
          <w:color w:val="auto"/>
        </w:rPr>
        <w:t>At February 1, 2026, there was $11.2 million of unrecognized pre-tax compensation expense related to non-vested PSUs, which is expected to be recognized over a weighted average period of 1.8 years.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auto"/>
        </w:rPr>
        <w:t>Stock Options</w:t>
      </w:r>
    </w:p>
    <w:p>
      <w:pPr>
        <w:spacing w:after="0" w:line="247" w:lineRule="exact"/>
        <w:rPr>
          <w:sz w:val="20"/>
          <w:szCs w:val="20"/>
          <w:color w:val="auto"/>
        </w:rPr>
      </w:pPr>
    </w:p>
    <w:p>
      <w:pPr>
        <w:ind w:right="20" w:firstLine="390"/>
        <w:spacing w:after="0" w:line="266" w:lineRule="auto"/>
        <w:rPr>
          <w:sz w:val="20"/>
          <w:szCs w:val="20"/>
          <w:color w:val="auto"/>
        </w:rPr>
      </w:pPr>
      <w:r>
        <w:rPr>
          <w:rFonts w:ascii="Times New Roman" w:cs="Times New Roman" w:eastAsia="Times New Roman" w:hAnsi="Times New Roman"/>
          <w:sz w:val="17"/>
          <w:szCs w:val="17"/>
          <w:color w:val="auto"/>
        </w:rPr>
        <w:t>Stock options granted to employees are generally exercisable in four equal annual installments commencing one year after the date of grant. The underlying stock option award agreements generally provide for accelerated vesting upon the award</w:t>
      </w:r>
    </w:p>
    <w:p>
      <w:pPr>
        <w:spacing w:after="0" w:line="1" w:lineRule="exact"/>
        <w:rPr>
          <w:sz w:val="20"/>
          <w:szCs w:val="20"/>
          <w:color w:val="auto"/>
        </w:rPr>
      </w:pPr>
    </w:p>
    <w:p>
      <w:pPr>
        <w:ind w:right="2660"/>
        <w:spacing w:after="0" w:line="271" w:lineRule="auto"/>
        <w:rPr>
          <w:sz w:val="20"/>
          <w:szCs w:val="20"/>
          <w:color w:val="auto"/>
        </w:rPr>
      </w:pPr>
      <w:r>
        <w:rPr>
          <w:rFonts w:ascii="Times New Roman" w:cs="Times New Roman" w:eastAsia="Times New Roman" w:hAnsi="Times New Roman"/>
          <w:sz w:val="17"/>
          <w:szCs w:val="17"/>
          <w:color w:val="auto"/>
        </w:rPr>
        <w:t>recipient’s retirement (as defined in the Plan). Such stock options are granted with a 10-year term and the per share exercise price cannot be less than the closing price of the common stock on the date of grant.</w:t>
      </w:r>
    </w:p>
    <w:p>
      <w:pPr>
        <w:spacing w:after="0" w:line="191" w:lineRule="exact"/>
        <w:rPr>
          <w:sz w:val="20"/>
          <w:szCs w:val="20"/>
          <w:color w:val="auto"/>
        </w:rPr>
      </w:pPr>
    </w:p>
    <w:p>
      <w:pPr>
        <w:ind w:right="340" w:firstLine="390"/>
        <w:spacing w:after="0" w:line="293" w:lineRule="auto"/>
        <w:rPr>
          <w:sz w:val="20"/>
          <w:szCs w:val="20"/>
          <w:color w:val="auto"/>
        </w:rPr>
      </w:pPr>
      <w:r>
        <w:rPr>
          <w:rFonts w:ascii="Times New Roman" w:cs="Times New Roman" w:eastAsia="Times New Roman" w:hAnsi="Times New Roman"/>
          <w:sz w:val="17"/>
          <w:szCs w:val="17"/>
          <w:color w:val="auto"/>
        </w:rPr>
        <w:t>The Company estimates the fair value of stock options at the date of grant using the Black-Scholes-Merton model. The estimated fair value of the stock options granted is expensed over the stock options’ requisite service periods. There were no stock options granted during 2025.</w:t>
      </w:r>
    </w:p>
    <w:p>
      <w:pPr>
        <w:spacing w:after="0" w:line="173" w:lineRule="exact"/>
        <w:rPr>
          <w:sz w:val="20"/>
          <w:szCs w:val="20"/>
          <w:color w:val="auto"/>
        </w:rPr>
      </w:pPr>
    </w:p>
    <w:p>
      <w:pPr>
        <w:ind w:right="560" w:firstLine="390"/>
        <w:spacing w:after="0" w:line="279" w:lineRule="auto"/>
        <w:rPr>
          <w:sz w:val="20"/>
          <w:szCs w:val="20"/>
          <w:color w:val="auto"/>
        </w:rPr>
      </w:pPr>
      <w:r>
        <w:rPr>
          <w:rFonts w:ascii="Times New Roman" w:cs="Times New Roman" w:eastAsia="Times New Roman" w:hAnsi="Times New Roman"/>
          <w:sz w:val="17"/>
          <w:szCs w:val="17"/>
          <w:color w:val="auto"/>
        </w:rPr>
        <w:t>The following summarizes the assumptions used to estimate the fair value of stock options granted during 2024 and 2023 and the resulting weighted average grant date fair value per stock option: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color w:val="auto"/>
              </w:rPr>
              <w:t>2023</w:t>
            </w:r>
          </w:p>
        </w:tc>
      </w:tr>
      <w:tr>
        <w:trPr>
          <w:trHeight w:val="21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risk-free interest rate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3.33 %</w:t>
            </w:r>
          </w:p>
        </w:tc>
      </w:tr>
      <w:tr>
        <w:trPr>
          <w:trHeight w:val="221"/>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expected stock option term (in years)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w:t>
            </w:r>
          </w:p>
        </w:tc>
      </w:tr>
      <w:tr>
        <w:trPr>
          <w:trHeight w:val="22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Company volatility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50.60 %</w:t>
            </w:r>
          </w:p>
        </w:tc>
      </w:tr>
      <w:tr>
        <w:trPr>
          <w:trHeight w:val="221"/>
        </w:trPr>
        <w:tc>
          <w:tcPr>
            <w:tcW w:w="7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annual dividends per share</w:t>
            </w: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0.15</w:t>
            </w:r>
          </w:p>
        </w:tc>
      </w:tr>
      <w:tr>
        <w:trPr>
          <w:trHeight w:val="22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grant date fair value per stock option</w:t>
            </w: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60.96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43.47</w:t>
            </w:r>
          </w:p>
        </w:tc>
      </w:tr>
    </w:tbl>
    <w:p>
      <w:pPr>
        <w:spacing w:after="0" w:line="307" w:lineRule="exact"/>
        <w:rPr>
          <w:sz w:val="20"/>
          <w:szCs w:val="20"/>
          <w:color w:val="auto"/>
        </w:rPr>
      </w:pPr>
    </w:p>
    <w:p>
      <w:pPr>
        <w:ind w:firstLine="390"/>
        <w:spacing w:after="0" w:line="265" w:lineRule="auto"/>
        <w:rPr>
          <w:sz w:val="20"/>
          <w:szCs w:val="20"/>
          <w:color w:val="auto"/>
        </w:rPr>
      </w:pPr>
      <w:r>
        <w:rPr>
          <w:rFonts w:ascii="Times New Roman" w:cs="Times New Roman" w:eastAsia="Times New Roman" w:hAnsi="Times New Roman"/>
          <w:sz w:val="17"/>
          <w:szCs w:val="17"/>
          <w:color w:val="auto"/>
        </w:rPr>
        <w:t>The risk-free interest rate was based on United States Treasury yields in effect at the date of grant for periods corresponding to the expected stock option term. The expected stock option term represents the weighted average period of time that stock options granted were expected to be outstanding, based on vesting schedules and the contractual term of the stock options. Company volatility was based on the historical volatility of the Company’s common stock over a period of time corresponding to the expected stock option term. Expected dividends were based on the anticipated common stock cash dividend rate for the Company at the time of grant.</w:t>
      </w:r>
    </w:p>
    <w:p>
      <w:pPr>
        <w:spacing w:after="0" w:line="196" w:lineRule="exact"/>
        <w:rPr>
          <w:sz w:val="20"/>
          <w:szCs w:val="20"/>
          <w:color w:val="auto"/>
        </w:rPr>
      </w:pPr>
    </w:p>
    <w:p>
      <w:pPr>
        <w:ind w:right="80" w:firstLine="390"/>
        <w:spacing w:after="0" w:line="293" w:lineRule="auto"/>
        <w:rPr>
          <w:sz w:val="20"/>
          <w:szCs w:val="20"/>
          <w:color w:val="auto"/>
        </w:rPr>
      </w:pPr>
      <w:r>
        <w:rPr>
          <w:rFonts w:ascii="Times New Roman" w:cs="Times New Roman" w:eastAsia="Times New Roman" w:hAnsi="Times New Roman"/>
          <w:sz w:val="17"/>
          <w:szCs w:val="17"/>
          <w:color w:val="auto"/>
        </w:rPr>
        <w:t>The Company used the simplified method to estimate the expected term for its “plain vanilla” stock options granted due to a lack of relevant historical data resulting, in part, from changes in the pool of employees receiving stock option grants.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Stock option activity for the year was as follows: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color w:val="auto"/>
              </w:rPr>
              <w:t>Weighted Average</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Weighted Average</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7"/>
                <w:szCs w:val="17"/>
                <w:color w:val="auto"/>
              </w:rPr>
              <w:t>Exercise</w:t>
            </w:r>
          </w:p>
        </w:tc>
        <w:tc>
          <w:tcPr>
            <w:tcW w:w="160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7"/>
                <w:szCs w:val="17"/>
                <w:color w:val="auto"/>
              </w:rPr>
              <w:t>Remaining</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Aggregate Intrinsic</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7"/>
                <w:szCs w:val="17"/>
                <w:color w:val="auto"/>
              </w:rPr>
              <w:t>Price Per Stock</w:t>
            </w:r>
          </w:p>
        </w:tc>
        <w:tc>
          <w:tcPr>
            <w:tcW w:w="1600" w:type="dxa"/>
            <w:vAlign w:val="bottom"/>
            <w:gridSpan w:val="2"/>
          </w:tcPr>
          <w:p>
            <w:pPr>
              <w:jc w:val="center"/>
              <w:ind w:right="140"/>
              <w:spacing w:after="0" w:line="169" w:lineRule="exact"/>
              <w:rPr>
                <w:sz w:val="20"/>
                <w:szCs w:val="20"/>
                <w:color w:val="auto"/>
              </w:rPr>
            </w:pPr>
            <w:r>
              <w:rPr>
                <w:rFonts w:ascii="Times New Roman" w:cs="Times New Roman" w:eastAsia="Times New Roman" w:hAnsi="Times New Roman"/>
                <w:sz w:val="17"/>
                <w:szCs w:val="17"/>
                <w:color w:val="auto"/>
              </w:rPr>
              <w:t>Contractual Life</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 except per stock option data)</w:t>
            </w: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Stock Options</w:t>
            </w:r>
          </w:p>
        </w:tc>
        <w:tc>
          <w:tcPr>
            <w:tcW w:w="12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Option</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8"/>
              </w:rPr>
              <w:t>(Years)</w:t>
            </w:r>
          </w:p>
        </w:tc>
        <w:tc>
          <w:tcPr>
            <w:tcW w:w="320" w:type="dxa"/>
            <w:vAlign w:val="bottom"/>
          </w:tcPr>
          <w:p>
            <w:pPr>
              <w:spacing w:after="0"/>
              <w:rPr>
                <w:sz w:val="20"/>
                <w:szCs w:val="20"/>
                <w:color w:val="auto"/>
              </w:rPr>
            </w:pPr>
          </w:p>
        </w:tc>
        <w:tc>
          <w:tcPr>
            <w:tcW w:w="112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4"/>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February 2,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92.31</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5,158</w:t>
            </w:r>
          </w:p>
        </w:tc>
        <w:tc>
          <w:tcPr>
            <w:tcW w:w="0" w:type="dxa"/>
            <w:vAlign w:val="bottom"/>
          </w:tcPr>
          <w:p>
            <w:pPr>
              <w:spacing w:after="0"/>
              <w:rPr>
                <w:sz w:val="1"/>
                <w:szCs w:val="1"/>
                <w:color w:val="auto"/>
              </w:rPr>
            </w:pPr>
          </w:p>
        </w:tc>
      </w:tr>
      <w:tr>
        <w:trPr>
          <w:trHeight w:val="221"/>
        </w:trPr>
        <w:tc>
          <w:tcPr>
            <w:tcW w:w="4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Exercised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68.84</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Forfeited / Expired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93.19</w:t>
            </w:r>
          </w:p>
        </w:tc>
        <w:tc>
          <w:tcPr>
            <w:tcW w:w="16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February 1, 2026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93.27</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2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Exercisable at February 1, 2026</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347</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93.40</w:t>
            </w:r>
          </w:p>
        </w:tc>
        <w:tc>
          <w:tcPr>
            <w:tcW w:w="160" w:type="dxa"/>
            <w:vAlign w:val="bottom"/>
          </w:tcPr>
          <w:p>
            <w:pPr>
              <w:spacing w:after="0"/>
              <w:rPr>
                <w:sz w:val="16"/>
                <w:szCs w:val="16"/>
                <w:color w:val="auto"/>
              </w:rPr>
            </w:pPr>
          </w:p>
        </w:tc>
        <w:tc>
          <w:tcPr>
            <w:tcW w:w="14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4.0</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1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829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aggregate grant date fair value of stock options granted during 2024 and 2023 was $3.6 million and $3.7 million, respectively.</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aggregate grant date fair value of stock options that vested during 2025, 2024 and 2023 was $3.1 million, $2.8 million and $2.6 million, respectively.</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aggregate intrinsic value of stock options exercised during 2025, 2024 and 2023 was $0.3 million, $0.7 million and $3.1 million, respectively.</w:t>
      </w:r>
    </w:p>
    <w:p>
      <w:pPr>
        <w:spacing w:after="0" w:line="247" w:lineRule="exact"/>
        <w:rPr>
          <w:sz w:val="20"/>
          <w:szCs w:val="20"/>
          <w:color w:val="auto"/>
        </w:rPr>
      </w:pPr>
    </w:p>
    <w:p>
      <w:pPr>
        <w:ind w:right="320" w:firstLine="390"/>
        <w:spacing w:after="0" w:line="293" w:lineRule="auto"/>
        <w:rPr>
          <w:sz w:val="20"/>
          <w:szCs w:val="20"/>
          <w:color w:val="auto"/>
        </w:rPr>
      </w:pPr>
      <w:r>
        <w:rPr>
          <w:rFonts w:ascii="Times New Roman" w:cs="Times New Roman" w:eastAsia="Times New Roman" w:hAnsi="Times New Roman"/>
          <w:sz w:val="17"/>
          <w:szCs w:val="17"/>
          <w:color w:val="auto"/>
        </w:rPr>
        <w:t>At February 1, 2026, there was $1.9 million of unrecognized pre-tax compensation expense related to non-vested stock options, which is expected to be recognized over a weighted average period of 1.3 years.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12" w:name="page113"/>
    <w:bookmarkEnd w:id="112"/>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14.</w:t>
        <w:tab/>
        <w:t>STOCKHOLDERS’ EQUITY</w:t>
      </w:r>
    </w:p>
    <w:p>
      <w:pPr>
        <w:spacing w:after="0" w:line="249" w:lineRule="exact"/>
        <w:rPr>
          <w:sz w:val="20"/>
          <w:szCs w:val="20"/>
          <w:color w:val="auto"/>
        </w:rPr>
      </w:pPr>
    </w:p>
    <w:p>
      <w:pPr>
        <w:ind w:right="20" w:firstLine="390"/>
        <w:spacing w:after="0" w:line="261" w:lineRule="auto"/>
        <w:rPr>
          <w:sz w:val="20"/>
          <w:szCs w:val="20"/>
          <w:color w:val="auto"/>
        </w:rPr>
      </w:pPr>
      <w:r>
        <w:rPr>
          <w:rFonts w:ascii="Times New Roman" w:cs="Times New Roman" w:eastAsia="Times New Roman" w:hAnsi="Times New Roman"/>
          <w:sz w:val="17"/>
          <w:szCs w:val="17"/>
          <w:color w:val="auto"/>
        </w:rPr>
        <w:t>The Company’s Board of Directors has authorized over time beginning in 2015 an aggregate $5.0 billion stock repurchase program through July 30, 2028. Repurchases under the program may be made from time to time over the period through open market purchases, accelerated share repurchase programs, privately negotiated transactions or other methods, as the Company deems appropriate. Purchases are made based on a variety of factors, such as price, corporate requirements and overall market conditions, applicable legal requirements and limitations, trading restrictions under the Company’s insider trading policy and other relevant factors. The program may be modified by the Board of Directors, including to increase or decrease the repurchase limitation or extend, suspend or terminate the program at any time, without prior notice. The Company’s share repurchases in excess of issuances are subject to a 1% excise tax enacted by the Inflation Reduction Act of 2022.</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On April 1, 2025, the Company entered into accelerated share repurchase (“ASR”) agreements with financial institutions to repurchase an aggregate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$500.0 million of the Company’s shares of common stock under the Company’s existing $5.0 billion stock repurchase authorization. The Company paid $500.0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to the financial institutions and received initial deliveries of an aggregate of approximately 4.6 million shares of the Company’s common stock at a price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$76.43 per share, the closing share price of the Company’s common stock on April 1, 2025. The value of the initial shares delivered represented approximately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70% of the aggregate purchase price. The ASR agreements were funded with cash on hand and $115.0 million of short-term borrowings. During the third quarter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2025, the ASR agreements were settled, and the Company received an aggregate of approximately 2.3 million of additional shares of the Company’s common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The total number of shares purchased by the Company under the ASR agreements was approximately 6.9 million shares at a price paid per share of $72.44,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was based on the daily volume-weighted average price of the Company’s common stock over the term of the ASR agreements, less a discount, and subject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customary adjustments pursuant to the terms and conditions of the ASR agreements. The ASR agreements were accounted for as a share purchase transaction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forward stock purchase agreement indexed to the Company’s common stock.</w:t>
      </w:r>
    </w:p>
    <w:p>
      <w:pPr>
        <w:spacing w:after="0" w:line="228" w:lineRule="exact"/>
        <w:rPr>
          <w:sz w:val="20"/>
          <w:szCs w:val="20"/>
          <w:color w:val="auto"/>
        </w:rPr>
      </w:pPr>
    </w:p>
    <w:p>
      <w:pPr>
        <w:ind w:firstLine="390"/>
        <w:spacing w:after="0" w:line="263" w:lineRule="auto"/>
        <w:rPr>
          <w:sz w:val="20"/>
          <w:szCs w:val="20"/>
          <w:color w:val="auto"/>
        </w:rPr>
      </w:pPr>
      <w:r>
        <w:rPr>
          <w:rFonts w:ascii="Times New Roman" w:cs="Times New Roman" w:eastAsia="Times New Roman" w:hAnsi="Times New Roman"/>
          <w:sz w:val="17"/>
          <w:szCs w:val="17"/>
          <w:color w:val="auto"/>
        </w:rPr>
        <w:t>During 2025, the Company additionally purchased 0.8 million shares (all prior to the execution of the ASR agreements) and during 2024 and 2023, the Company purchased 4.7 million shares and 5.7 million shares, respectively, of its common stock under the program in open market transactions for $60.8 million, $501.1 million and $549.8 million, respectively. Excise taxes of $5.8 million, $4.6 million and $4.9 million were excluded from the share repurchases for 2025, 2024 and 2023, respectively, including in respect of the shares repurchased under the ASR agreements. As of February 1, 2026, the repurchased shares were held as treasury stock and $1.212 billion of the authorization remained available for future share repurchases, excluding excise taxes, as the excise taxes do not reduce the authorized amount remaining.</w:t>
      </w:r>
    </w:p>
    <w:p>
      <w:pPr>
        <w:spacing w:after="0" w:line="198" w:lineRule="exact"/>
        <w:rPr>
          <w:sz w:val="20"/>
          <w:szCs w:val="20"/>
          <w:color w:val="auto"/>
        </w:rPr>
      </w:pPr>
    </w:p>
    <w:p>
      <w:pPr>
        <w:ind w:right="940" w:firstLine="390"/>
        <w:spacing w:after="0" w:line="293" w:lineRule="auto"/>
        <w:rPr>
          <w:sz w:val="20"/>
          <w:szCs w:val="20"/>
          <w:color w:val="auto"/>
        </w:rPr>
      </w:pPr>
      <w:r>
        <w:rPr>
          <w:rFonts w:ascii="Times New Roman" w:cs="Times New Roman" w:eastAsia="Times New Roman" w:hAnsi="Times New Roman"/>
          <w:sz w:val="17"/>
          <w:szCs w:val="17"/>
          <w:color w:val="auto"/>
        </w:rPr>
        <w:t>Treasury stock activity also includes shares that were withheld in conjunction with the settlement of RSUs and PSUs to satisfy tax withholding requirements.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13" w:name="page114"/>
    <w:bookmarkEnd w:id="113"/>
    <w:p>
      <w:pPr>
        <w:ind w:left="380" w:hanging="376"/>
        <w:spacing w:after="0"/>
        <w:tabs>
          <w:tab w:leader="none" w:pos="38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ACCUMULATED OTHER COMPREHENSIVE LOSS</w:t>
      </w:r>
    </w:p>
    <w:p>
      <w:pPr>
        <w:spacing w:after="0" w:line="248" w:lineRule="exact"/>
        <w:rPr>
          <w:rFonts w:ascii="Times New Roman" w:cs="Times New Roman" w:eastAsia="Times New Roman" w:hAnsi="Times New Roman"/>
          <w:sz w:val="17"/>
          <w:szCs w:val="17"/>
          <w:b w:val="1"/>
          <w:bCs w:val="1"/>
          <w:color w:val="auto"/>
        </w:rPr>
      </w:pPr>
    </w:p>
    <w:p>
      <w:pPr>
        <w:ind w:left="4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presents the changes in AOCL, net of related taxes, by component: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vMerge w:val="restart"/>
          </w:tcPr>
          <w:p>
            <w:pPr>
              <w:jc w:val="right"/>
              <w:ind w:right="193"/>
              <w:spacing w:after="0"/>
              <w:rPr>
                <w:sz w:val="20"/>
                <w:szCs w:val="20"/>
                <w:color w:val="auto"/>
              </w:rPr>
            </w:pPr>
            <w:r>
              <w:rPr>
                <w:rFonts w:ascii="Times New Roman" w:cs="Times New Roman" w:eastAsia="Times New Roman" w:hAnsi="Times New Roman"/>
                <w:sz w:val="17"/>
                <w:szCs w:val="17"/>
                <w:color w:val="auto"/>
              </w:rPr>
              <w:t>Foreign currency</w:t>
            </w:r>
          </w:p>
        </w:tc>
        <w:tc>
          <w:tcPr>
            <w:tcW w:w="580" w:type="dxa"/>
            <w:vAlign w:val="bottom"/>
          </w:tcPr>
          <w:p>
            <w:pPr>
              <w:spacing w:after="0"/>
              <w:rPr>
                <w:sz w:val="17"/>
                <w:szCs w:val="17"/>
                <w:color w:val="auto"/>
              </w:rPr>
            </w:pPr>
          </w:p>
        </w:tc>
        <w:tc>
          <w:tcPr>
            <w:tcW w:w="24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rPr>
              <w:t>Net unrealized and realized</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420" w:type="dxa"/>
            <w:vAlign w:val="bottom"/>
            <w:gridSpan w:val="3"/>
          </w:tcPr>
          <w:p>
            <w:pPr>
              <w:jc w:val="center"/>
              <w:ind w:right="320"/>
              <w:spacing w:after="0" w:line="169" w:lineRule="exact"/>
              <w:rPr>
                <w:sz w:val="20"/>
                <w:szCs w:val="20"/>
                <w:color w:val="auto"/>
              </w:rPr>
            </w:pPr>
            <w:r>
              <w:rPr>
                <w:rFonts w:ascii="Times New Roman" w:cs="Times New Roman" w:eastAsia="Times New Roman" w:hAnsi="Times New Roman"/>
                <w:sz w:val="17"/>
                <w:szCs w:val="17"/>
                <w:color w:val="auto"/>
              </w:rPr>
              <w:t>(loss) gain on effective cash</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translation adjustments</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4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flow hedges</w:t>
            </w:r>
          </w:p>
        </w:tc>
        <w:tc>
          <w:tcPr>
            <w:tcW w:w="360" w:type="dxa"/>
            <w:vAlign w:val="bottom"/>
          </w:tcPr>
          <w:p>
            <w:pPr>
              <w:spacing w:after="0"/>
              <w:rPr>
                <w:sz w:val="20"/>
                <w:szCs w:val="20"/>
                <w:color w:val="auto"/>
              </w:rPr>
            </w:pPr>
          </w:p>
        </w:tc>
        <w:tc>
          <w:tcPr>
            <w:tcW w:w="1180" w:type="dxa"/>
            <w:vAlign w:val="bottom"/>
          </w:tcPr>
          <w:p>
            <w:pPr>
              <w:jc w:val="right"/>
              <w:ind w:right="493"/>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4"/>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29, 2023</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(710.1)</w:t>
            </w:r>
          </w:p>
        </w:tc>
        <w:tc>
          <w:tcPr>
            <w:tcW w:w="5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(713.1)</w:t>
            </w:r>
          </w:p>
        </w:tc>
        <w:tc>
          <w:tcPr>
            <w:tcW w:w="0" w:type="dxa"/>
            <w:vAlign w:val="bottom"/>
          </w:tcPr>
          <w:p>
            <w:pPr>
              <w:spacing w:after="0"/>
              <w:rPr>
                <w:sz w:val="1"/>
                <w:szCs w:val="1"/>
                <w:color w:val="auto"/>
              </w:rPr>
            </w:pPr>
          </w:p>
        </w:tc>
      </w:tr>
      <w:tr>
        <w:trPr>
          <w:trHeight w:val="214"/>
        </w:trPr>
        <w:tc>
          <w:tcPr>
            <w:tcW w:w="4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(loss) income before reclassifications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58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(1)(2)</w:t>
            </w:r>
          </w:p>
        </w:tc>
        <w:tc>
          <w:tcPr>
            <w:tcW w:w="3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0" w:type="dxa"/>
            <w:vAlign w:val="bottom"/>
          </w:tcPr>
          <w:p>
            <w:pPr>
              <w:spacing w:after="0"/>
              <w:rPr>
                <w:sz w:val="1"/>
                <w:szCs w:val="1"/>
                <w:color w:val="auto"/>
              </w:rPr>
            </w:pPr>
          </w:p>
        </w:tc>
      </w:tr>
      <w:tr>
        <w:trPr>
          <w:trHeight w:val="221"/>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Amounts reclassified from AOCL</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5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3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14"/>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5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0" w:type="dxa"/>
            <w:vAlign w:val="bottom"/>
          </w:tcPr>
          <w:p>
            <w:pPr>
              <w:spacing w:after="0"/>
              <w:rPr>
                <w:sz w:val="1"/>
                <w:szCs w:val="1"/>
                <w:color w:val="auto"/>
              </w:rPr>
            </w:pPr>
          </w:p>
        </w:tc>
      </w:tr>
      <w:tr>
        <w:trPr>
          <w:trHeight w:val="214"/>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February 4, 2024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(768.7)</w:t>
            </w:r>
          </w:p>
        </w:tc>
        <w:tc>
          <w:tcPr>
            <w:tcW w:w="5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(753.6)</w:t>
            </w:r>
          </w:p>
        </w:tc>
        <w:tc>
          <w:tcPr>
            <w:tcW w:w="0" w:type="dxa"/>
            <w:vAlign w:val="bottom"/>
          </w:tcPr>
          <w:p>
            <w:pPr>
              <w:spacing w:after="0"/>
              <w:rPr>
                <w:sz w:val="1"/>
                <w:szCs w:val="1"/>
                <w:color w:val="auto"/>
              </w:rPr>
            </w:pPr>
          </w:p>
        </w:tc>
      </w:tr>
      <w:tr>
        <w:trPr>
          <w:trHeight w:val="214"/>
        </w:trPr>
        <w:tc>
          <w:tcPr>
            <w:tcW w:w="4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(loss) income before reclassifications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58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(1)(3)</w:t>
            </w:r>
          </w:p>
        </w:tc>
        <w:tc>
          <w:tcPr>
            <w:tcW w:w="3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0" w:type="dxa"/>
            <w:vAlign w:val="bottom"/>
          </w:tcPr>
          <w:p>
            <w:pPr>
              <w:spacing w:after="0"/>
              <w:rPr>
                <w:sz w:val="1"/>
                <w:szCs w:val="1"/>
                <w:color w:val="auto"/>
              </w:rPr>
            </w:pPr>
          </w:p>
        </w:tc>
      </w:tr>
      <w:tr>
        <w:trPr>
          <w:trHeight w:val="221"/>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Amounts reclassified from AOCL</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5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3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0" w:type="dxa"/>
            <w:vAlign w:val="bottom"/>
          </w:tcPr>
          <w:p>
            <w:pPr>
              <w:spacing w:after="0"/>
              <w:rPr>
                <w:sz w:val="1"/>
                <w:szCs w:val="1"/>
                <w:color w:val="auto"/>
              </w:rPr>
            </w:pPr>
          </w:p>
        </w:tc>
      </w:tr>
      <w:tr>
        <w:trPr>
          <w:trHeight w:val="214"/>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comprehensive (loss) income</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5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(103.2)</w:t>
            </w:r>
          </w:p>
        </w:tc>
        <w:tc>
          <w:tcPr>
            <w:tcW w:w="0" w:type="dxa"/>
            <w:vAlign w:val="bottom"/>
          </w:tcPr>
          <w:p>
            <w:pPr>
              <w:spacing w:after="0"/>
              <w:rPr>
                <w:sz w:val="1"/>
                <w:szCs w:val="1"/>
                <w:color w:val="auto"/>
              </w:rPr>
            </w:pPr>
          </w:p>
        </w:tc>
      </w:tr>
      <w:tr>
        <w:trPr>
          <w:trHeight w:val="214"/>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February 2,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(890.8)</w:t>
            </w:r>
          </w:p>
        </w:tc>
        <w:tc>
          <w:tcPr>
            <w:tcW w:w="5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3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(856.8)</w:t>
            </w:r>
          </w:p>
        </w:tc>
        <w:tc>
          <w:tcPr>
            <w:tcW w:w="0" w:type="dxa"/>
            <w:vAlign w:val="bottom"/>
          </w:tcPr>
          <w:p>
            <w:pPr>
              <w:spacing w:after="0"/>
              <w:rPr>
                <w:sz w:val="1"/>
                <w:szCs w:val="1"/>
                <w:color w:val="auto"/>
              </w:rPr>
            </w:pPr>
          </w:p>
        </w:tc>
      </w:tr>
      <w:tr>
        <w:trPr>
          <w:trHeight w:val="214"/>
        </w:trPr>
        <w:tc>
          <w:tcPr>
            <w:tcW w:w="4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234.1</w:t>
            </w:r>
          </w:p>
        </w:tc>
        <w:tc>
          <w:tcPr>
            <w:tcW w:w="580" w:type="dxa"/>
            <w:vAlign w:val="bottom"/>
          </w:tcPr>
          <w:p>
            <w:pPr>
              <w:jc w:val="right"/>
              <w:ind w:right="244"/>
              <w:spacing w:after="0"/>
              <w:rPr>
                <w:sz w:val="20"/>
                <w:szCs w:val="20"/>
                <w:color w:val="auto"/>
              </w:rPr>
            </w:pPr>
            <w:r>
              <w:rPr>
                <w:rFonts w:ascii="Times New Roman" w:cs="Times New Roman" w:eastAsia="Times New Roman" w:hAnsi="Times New Roman"/>
                <w:sz w:val="11"/>
                <w:szCs w:val="11"/>
                <w:color w:val="auto"/>
              </w:rPr>
              <w:t>(1)(4)</w:t>
            </w:r>
          </w:p>
        </w:tc>
        <w:tc>
          <w:tcPr>
            <w:tcW w:w="3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183.2</w:t>
            </w:r>
          </w:p>
        </w:tc>
        <w:tc>
          <w:tcPr>
            <w:tcW w:w="0" w:type="dxa"/>
            <w:vAlign w:val="bottom"/>
          </w:tcPr>
          <w:p>
            <w:pPr>
              <w:spacing w:after="0"/>
              <w:rPr>
                <w:sz w:val="1"/>
                <w:szCs w:val="1"/>
                <w:color w:val="auto"/>
              </w:rPr>
            </w:pPr>
          </w:p>
        </w:tc>
      </w:tr>
      <w:tr>
        <w:trPr>
          <w:trHeight w:val="221"/>
        </w:trPr>
        <w:tc>
          <w:tcPr>
            <w:tcW w:w="4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Amounts reclassified from AOCL</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5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3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14"/>
        </w:trPr>
        <w:tc>
          <w:tcPr>
            <w:tcW w:w="4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228.3</w:t>
            </w:r>
          </w:p>
        </w:tc>
        <w:tc>
          <w:tcPr>
            <w:tcW w:w="5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168.0</w:t>
            </w:r>
          </w:p>
        </w:tc>
        <w:tc>
          <w:tcPr>
            <w:tcW w:w="0" w:type="dxa"/>
            <w:vAlign w:val="bottom"/>
          </w:tcPr>
          <w:p>
            <w:pPr>
              <w:spacing w:after="0"/>
              <w:rPr>
                <w:sz w:val="1"/>
                <w:szCs w:val="1"/>
                <w:color w:val="auto"/>
              </w:rPr>
            </w:pPr>
          </w:p>
        </w:tc>
      </w:tr>
      <w:tr>
        <w:trPr>
          <w:trHeight w:val="239"/>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February 1, 2026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(662.5)</w:t>
            </w:r>
          </w:p>
        </w:tc>
        <w:tc>
          <w:tcPr>
            <w:tcW w:w="5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3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(688.8)</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620" w:right="280" w:hanging="304"/>
        <w:spacing w:after="0" w:line="226" w:lineRule="auto"/>
        <w:tabs>
          <w:tab w:leader="none" w:pos="608"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Foreign currency translation adjustments included a net (loss) gain on net investment hedges of $(169.1) million, $55.8 million and $12.7 million in 2025, 2024 and 2023, respectively.</w:t>
      </w:r>
    </w:p>
    <w:p>
      <w:pPr>
        <w:spacing w:after="0" w:line="87" w:lineRule="exact"/>
        <w:rPr>
          <w:rFonts w:ascii="Times New Roman" w:cs="Times New Roman" w:eastAsia="Times New Roman" w:hAnsi="Times New Roman"/>
          <w:sz w:val="23"/>
          <w:szCs w:val="23"/>
          <w:color w:val="auto"/>
          <w:vertAlign w:val="superscript"/>
        </w:rPr>
      </w:pPr>
    </w:p>
    <w:p>
      <w:pPr>
        <w:ind w:left="620" w:hanging="304"/>
        <w:spacing w:after="0" w:line="226" w:lineRule="auto"/>
        <w:tabs>
          <w:tab w:leader="none" w:pos="608"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Unfavorable foreign currency translation adjustments were principally driven by a strengthening of the United States dollar against certain currencies in the Asia-Pacific region (primarily the Chinese yuan and the Australian dollar) and the euro.</w:t>
      </w:r>
    </w:p>
    <w:p>
      <w:pPr>
        <w:spacing w:after="0" w:line="87" w:lineRule="exact"/>
        <w:rPr>
          <w:rFonts w:ascii="Times New Roman" w:cs="Times New Roman" w:eastAsia="Times New Roman" w:hAnsi="Times New Roman"/>
          <w:sz w:val="23"/>
          <w:szCs w:val="23"/>
          <w:color w:val="auto"/>
          <w:vertAlign w:val="superscript"/>
        </w:rPr>
      </w:pPr>
    </w:p>
    <w:p>
      <w:pPr>
        <w:ind w:left="620" w:right="280" w:hanging="304"/>
        <w:spacing w:after="0" w:line="226" w:lineRule="auto"/>
        <w:tabs>
          <w:tab w:leader="none" w:pos="608"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Unfavorable foreign currency translation adjustments were principally driven by a strengthening of the United States dollar against the euro, certain currencies in the Asia-Pacific region (primarily the Australian dollar and the Korean won), the Mexican peso and the Brazilian real.</w:t>
      </w:r>
    </w:p>
    <w:p>
      <w:pPr>
        <w:spacing w:after="0" w:line="49" w:lineRule="exact"/>
        <w:rPr>
          <w:rFonts w:ascii="Times New Roman" w:cs="Times New Roman" w:eastAsia="Times New Roman" w:hAnsi="Times New Roman"/>
          <w:sz w:val="23"/>
          <w:szCs w:val="23"/>
          <w:color w:val="auto"/>
          <w:vertAlign w:val="superscript"/>
        </w:rPr>
      </w:pPr>
    </w:p>
    <w:p>
      <w:pPr>
        <w:ind w:left="620" w:hanging="304"/>
        <w:spacing w:after="0"/>
        <w:tabs>
          <w:tab w:leader="none" w:pos="620" w:val="left"/>
        </w:tabs>
        <w:numPr>
          <w:ilvl w:val="0"/>
          <w:numId w:val="5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Favorable foreign currency translation adjustments were principally driven by a weakening of the United States dollar against the euro.</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1238" w:right="419" w:bottom="1440" w:gutter="0" w:footer="0" w:header="0"/>
        </w:sectPr>
      </w:pPr>
    </w:p>
    <w:bookmarkStart w:id="114" w:name="page115"/>
    <w:bookmarkEnd w:id="114"/>
    <w:p>
      <w:pPr>
        <w:ind w:left="400"/>
        <w:spacing w:after="0"/>
        <w:rPr>
          <w:sz w:val="20"/>
          <w:szCs w:val="20"/>
          <w:color w:val="auto"/>
        </w:rPr>
      </w:pPr>
      <w:r>
        <w:rPr>
          <w:rFonts w:ascii="Times New Roman" w:cs="Times New Roman" w:eastAsia="Times New Roman" w:hAnsi="Times New Roman"/>
          <w:sz w:val="17"/>
          <w:szCs w:val="17"/>
          <w:color w:val="auto"/>
        </w:rPr>
        <w:t>The following table presents reclassifications from AOCL to earnings:</w:t>
      </w:r>
    </w:p>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4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Affected Line Item in the Company’s</w:t>
            </w:r>
          </w:p>
        </w:tc>
      </w:tr>
      <w:tr>
        <w:trPr>
          <w:trHeight w:val="234"/>
        </w:trPr>
        <w:tc>
          <w:tcPr>
            <w:tcW w:w="4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right"/>
              <w:ind w:right="573"/>
              <w:spacing w:after="0"/>
              <w:rPr>
                <w:sz w:val="20"/>
                <w:szCs w:val="20"/>
                <w:color w:val="auto"/>
              </w:rPr>
            </w:pPr>
            <w:r>
              <w:rPr>
                <w:rFonts w:ascii="Times New Roman" w:cs="Times New Roman" w:eastAsia="Times New Roman" w:hAnsi="Times New Roman"/>
                <w:sz w:val="17"/>
                <w:szCs w:val="17"/>
                <w:color w:val="auto"/>
              </w:rPr>
              <w:t>Amount Reclassified from AOCL</w:t>
            </w:r>
          </w:p>
        </w:tc>
        <w:tc>
          <w:tcPr>
            <w:tcW w:w="320" w:type="dxa"/>
            <w:vAlign w:val="bottom"/>
          </w:tcPr>
          <w:p>
            <w:pPr>
              <w:spacing w:after="0"/>
              <w:rPr>
                <w:sz w:val="20"/>
                <w:szCs w:val="20"/>
                <w:color w:val="auto"/>
              </w:rPr>
            </w:pPr>
          </w:p>
        </w:tc>
        <w:tc>
          <w:tcPr>
            <w:tcW w:w="2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Consolidated Statements of Operations</w:t>
            </w:r>
          </w:p>
        </w:tc>
      </w:tr>
      <w:tr>
        <w:trPr>
          <w:trHeight w:val="21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Borders>
              <w:bottom w:val="single" w:sz="8" w:color="CCEEFF"/>
            </w:tcBorders>
          </w:tcPr>
          <w:p>
            <w:pPr>
              <w:spacing w:after="0"/>
              <w:rPr>
                <w:sz w:val="18"/>
                <w:szCs w:val="18"/>
                <w:color w:val="auto"/>
              </w:rPr>
            </w:pPr>
          </w:p>
        </w:tc>
        <w:tc>
          <w:tcPr>
            <w:tcW w:w="2820" w:type="dxa"/>
            <w:vAlign w:val="bottom"/>
            <w:tcBorders>
              <w:bottom w:val="single" w:sz="8" w:color="CCEEFF"/>
            </w:tcBorders>
          </w:tcPr>
          <w:p>
            <w:pPr>
              <w:spacing w:after="0"/>
              <w:rPr>
                <w:sz w:val="18"/>
                <w:szCs w:val="18"/>
                <w:color w:val="auto"/>
              </w:rPr>
            </w:pPr>
          </w:p>
        </w:tc>
      </w:tr>
      <w:tr>
        <w:trPr>
          <w:trHeight w:val="20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Realized gain on effective cash flow hedges: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r>
      <w:tr>
        <w:trPr>
          <w:trHeight w:val="221"/>
        </w:trPr>
        <w:tc>
          <w:tcPr>
            <w:tcW w:w="4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currency forward contracts (inventory purchases)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28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34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3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goods sold</w:t>
            </w:r>
          </w:p>
        </w:tc>
      </w:tr>
      <w:tr>
        <w:trPr>
          <w:trHeight w:val="221"/>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Tax effect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320" w:type="dxa"/>
            <w:vAlign w:val="bottom"/>
            <w:shd w:val="clear" w:color="auto" w:fill="CCEEFF"/>
          </w:tcPr>
          <w:p>
            <w:pPr>
              <w:spacing w:after="0"/>
              <w:rPr>
                <w:sz w:val="19"/>
                <w:szCs w:val="19"/>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r>
      <w:tr>
        <w:trPr>
          <w:trHeight w:val="214"/>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net of tax</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3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320" w:type="dxa"/>
            <w:vAlign w:val="bottom"/>
            <w:tcBorders>
              <w:bottom w:val="single" w:sz="8" w:color="CCEEFF"/>
            </w:tcBorders>
          </w:tcPr>
          <w:p>
            <w:pPr>
              <w:spacing w:after="0"/>
              <w:rPr>
                <w:sz w:val="18"/>
                <w:szCs w:val="18"/>
                <w:color w:val="auto"/>
              </w:rPr>
            </w:pPr>
          </w:p>
        </w:tc>
        <w:tc>
          <w:tcPr>
            <w:tcW w:w="2820" w:type="dxa"/>
            <w:vAlign w:val="bottom"/>
            <w:tcBorders>
              <w:bottom w:val="single" w:sz="8" w:color="CCEEFF"/>
            </w:tcBorders>
          </w:tcPr>
          <w:p>
            <w:pPr>
              <w:spacing w:after="0"/>
              <w:rPr>
                <w:sz w:val="18"/>
                <w:szCs w:val="18"/>
                <w:color w:val="auto"/>
              </w:rPr>
            </w:pPr>
          </w:p>
        </w:tc>
      </w:tr>
      <w:tr>
        <w:trPr>
          <w:trHeight w:val="240"/>
        </w:trPr>
        <w:tc>
          <w:tcPr>
            <w:tcW w:w="4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r>
      <w:tr>
        <w:trPr>
          <w:trHeight w:val="221"/>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2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Cross-currency swap contracts (net investment hedges)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320" w:type="dxa"/>
            <w:vAlign w:val="bottom"/>
            <w:shd w:val="clear" w:color="auto" w:fill="CCEEFF"/>
          </w:tcPr>
          <w:p>
            <w:pPr>
              <w:spacing w:after="0"/>
              <w:rPr>
                <w:sz w:val="19"/>
                <w:szCs w:val="19"/>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r>
      <w:tr>
        <w:trPr>
          <w:trHeight w:val="221"/>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Less: Tax effect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320" w:type="dxa"/>
            <w:vAlign w:val="bottom"/>
            <w:tcBorders>
              <w:bottom w:val="single" w:sz="8" w:color="CCEEFF"/>
            </w:tcBorders>
          </w:tcPr>
          <w:p>
            <w:pPr>
              <w:spacing w:after="0"/>
              <w:rPr>
                <w:sz w:val="19"/>
                <w:szCs w:val="19"/>
                <w:color w:val="auto"/>
              </w:rPr>
            </w:pPr>
          </w:p>
        </w:tc>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r>
      <w:tr>
        <w:trPr>
          <w:trHeight w:val="21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of tax</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3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r>
    </w:tbl>
    <w:p>
      <w:pPr>
        <w:spacing w:after="0" w:line="292" w:lineRule="exact"/>
        <w:rPr>
          <w:sz w:val="20"/>
          <w:szCs w:val="20"/>
          <w:color w:val="auto"/>
        </w:rPr>
      </w:pPr>
    </w:p>
    <w:p>
      <w:pPr>
        <w:ind w:left="400" w:hanging="396"/>
        <w:spacing w:after="0"/>
        <w:tabs>
          <w:tab w:leader="none" w:pos="40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48" w:lineRule="exact"/>
        <w:rPr>
          <w:rFonts w:ascii="Times New Roman" w:cs="Times New Roman" w:eastAsia="Times New Roman" w:hAnsi="Times New Roman"/>
          <w:sz w:val="17"/>
          <w:szCs w:val="17"/>
          <w:b w:val="1"/>
          <w:bCs w:val="1"/>
          <w:color w:val="auto"/>
        </w:rPr>
      </w:pPr>
    </w:p>
    <w:p>
      <w:pPr>
        <w:ind w:left="4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components of the net lease cost were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20" w:type="dxa"/>
            <w:vAlign w:val="bottom"/>
          </w:tcPr>
          <w:p>
            <w:pPr>
              <w:spacing w:after="0"/>
              <w:rPr>
                <w:sz w:val="17"/>
                <w:szCs w:val="17"/>
                <w:color w:val="auto"/>
              </w:rPr>
            </w:pPr>
          </w:p>
        </w:tc>
        <w:tc>
          <w:tcPr>
            <w:tcW w:w="4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Line Item in the Company’s Consolidated Statements of</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45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Operations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2025</w:t>
            </w:r>
          </w:p>
        </w:tc>
        <w:tc>
          <w:tcPr>
            <w:tcW w:w="1180" w:type="dxa"/>
            <w:vAlign w:val="bottom"/>
            <w:gridSpan w:val="5"/>
          </w:tcPr>
          <w:p>
            <w:pPr>
              <w:jc w:val="right"/>
              <w:ind w:right="253"/>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201"/>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cost:</w:t>
            </w:r>
          </w:p>
        </w:tc>
        <w:tc>
          <w:tcPr>
            <w:tcW w:w="4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right-of-use-assets</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SG&amp;A expenses (depreciation and amortization)</w:t>
            </w:r>
          </w:p>
        </w:tc>
        <w:tc>
          <w:tcPr>
            <w:tcW w:w="32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600" w:type="dxa"/>
            <w:vAlign w:val="bottom"/>
            <w:gridSpan w:val="3"/>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21"/>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4"/>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finance lease cost</w:t>
            </w:r>
          </w:p>
        </w:tc>
        <w:tc>
          <w:tcPr>
            <w:tcW w:w="4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SG&amp;A expenses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388.3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402.3</w:t>
            </w:r>
          </w:p>
        </w:tc>
        <w:tc>
          <w:tcPr>
            <w:tcW w:w="0" w:type="dxa"/>
            <w:vAlign w:val="bottom"/>
          </w:tcPr>
          <w:p>
            <w:pPr>
              <w:spacing w:after="0"/>
              <w:rPr>
                <w:sz w:val="1"/>
                <w:szCs w:val="1"/>
                <w:color w:val="auto"/>
              </w:rPr>
            </w:pPr>
          </w:p>
        </w:tc>
      </w:tr>
      <w:tr>
        <w:trPr>
          <w:trHeight w:val="221"/>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SG&amp;A expenses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0" w:type="dxa"/>
            <w:vAlign w:val="bottom"/>
          </w:tcPr>
          <w:p>
            <w:pPr>
              <w:spacing w:after="0"/>
              <w:rPr>
                <w:sz w:val="1"/>
                <w:szCs w:val="1"/>
                <w:color w:val="auto"/>
              </w:rPr>
            </w:pPr>
          </w:p>
        </w:tc>
      </w:tr>
      <w:tr>
        <w:trPr>
          <w:trHeight w:val="22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SG&amp;A expenses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138.2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0" w:type="dxa"/>
            <w:vAlign w:val="bottom"/>
          </w:tcPr>
          <w:p>
            <w:pPr>
              <w:spacing w:after="0"/>
              <w:rPr>
                <w:sz w:val="1"/>
                <w:szCs w:val="1"/>
                <w:color w:val="auto"/>
              </w:rPr>
            </w:pPr>
          </w:p>
        </w:tc>
      </w:tr>
      <w:tr>
        <w:trPr>
          <w:trHeight w:val="221"/>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sublease income</w:t>
            </w:r>
          </w:p>
        </w:tc>
        <w:tc>
          <w:tcPr>
            <w:tcW w:w="4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SG&amp;A expenses</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39"/>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net lease cost</w:t>
            </w:r>
          </w:p>
        </w:tc>
        <w:tc>
          <w:tcPr>
            <w:tcW w:w="44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590.3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gridSpan w:val="3"/>
            <w:vMerge w:val="restart"/>
          </w:tcPr>
          <w:p>
            <w:pPr>
              <w:ind w:left="400"/>
              <w:spacing w:after="0"/>
              <w:rPr>
                <w:sz w:val="20"/>
                <w:szCs w:val="20"/>
                <w:color w:val="auto"/>
              </w:rPr>
            </w:pPr>
            <w:r>
              <w:rPr>
                <w:rFonts w:ascii="Times New Roman" w:cs="Times New Roman" w:eastAsia="Times New Roman" w:hAnsi="Times New Roman"/>
                <w:sz w:val="17"/>
                <w:szCs w:val="17"/>
                <w:color w:val="auto"/>
              </w:rPr>
              <w:t>Supplemental balance sheet information related to leases was as follows:</w:t>
            </w: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794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45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rPr>
              <w:t>Line Item in the Company’s Consolidated Balance Sheets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513"/>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201"/>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44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2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7"/>
              </w:rPr>
              <w:t>1,861.9</w:t>
            </w:r>
          </w:p>
        </w:tc>
        <w:tc>
          <w:tcPr>
            <w:tcW w:w="8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1,157.5</w:t>
            </w:r>
          </w:p>
        </w:tc>
        <w:tc>
          <w:tcPr>
            <w:tcW w:w="0" w:type="dxa"/>
            <w:vAlign w:val="bottom"/>
          </w:tcPr>
          <w:p>
            <w:pPr>
              <w:spacing w:after="0"/>
              <w:rPr>
                <w:sz w:val="1"/>
                <w:szCs w:val="1"/>
                <w:color w:val="auto"/>
              </w:rPr>
            </w:pPr>
          </w:p>
        </w:tc>
      </w:tr>
      <w:tr>
        <w:trPr>
          <w:trHeight w:val="221"/>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w:t>
            </w:r>
          </w:p>
        </w:tc>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14"/>
        </w:trPr>
        <w:tc>
          <w:tcPr>
            <w:tcW w:w="34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7"/>
              </w:rPr>
              <w:t>1,864.3</w:t>
            </w:r>
          </w:p>
        </w:tc>
        <w:tc>
          <w:tcPr>
            <w:tcW w:w="8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1,162.9</w:t>
            </w:r>
          </w:p>
        </w:tc>
        <w:tc>
          <w:tcPr>
            <w:tcW w:w="0" w:type="dxa"/>
            <w:vAlign w:val="bottom"/>
          </w:tcPr>
          <w:p>
            <w:pPr>
              <w:spacing w:after="0"/>
              <w:rPr>
                <w:sz w:val="1"/>
                <w:szCs w:val="1"/>
                <w:color w:val="auto"/>
              </w:rPr>
            </w:pPr>
          </w:p>
        </w:tc>
      </w:tr>
      <w:tr>
        <w:trPr>
          <w:trHeight w:val="22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lease liabilities:</w:t>
            </w:r>
          </w:p>
        </w:tc>
        <w:tc>
          <w:tcPr>
            <w:tcW w:w="4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portion of operating lease liabilities</w:t>
            </w:r>
          </w:p>
        </w:tc>
        <w:tc>
          <w:tcPr>
            <w:tcW w:w="32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346.6</w:t>
            </w:r>
          </w:p>
        </w:tc>
        <w:tc>
          <w:tcPr>
            <w:tcW w:w="8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289.1</w:t>
            </w:r>
          </w:p>
        </w:tc>
        <w:tc>
          <w:tcPr>
            <w:tcW w:w="0" w:type="dxa"/>
            <w:vAlign w:val="bottom"/>
          </w:tcPr>
          <w:p>
            <w:pPr>
              <w:spacing w:after="0"/>
              <w:rPr>
                <w:sz w:val="1"/>
                <w:szCs w:val="1"/>
                <w:color w:val="auto"/>
              </w:rPr>
            </w:pPr>
          </w:p>
        </w:tc>
      </w:tr>
      <w:tr>
        <w:trPr>
          <w:trHeight w:val="221"/>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w:t>
            </w:r>
          </w:p>
        </w:tc>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14"/>
        </w:trPr>
        <w:tc>
          <w:tcPr>
            <w:tcW w:w="34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348.6</w:t>
            </w:r>
          </w:p>
        </w:tc>
        <w:tc>
          <w:tcPr>
            <w:tcW w:w="8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292.3</w:t>
            </w:r>
          </w:p>
        </w:tc>
        <w:tc>
          <w:tcPr>
            <w:tcW w:w="0" w:type="dxa"/>
            <w:vAlign w:val="bottom"/>
          </w:tcPr>
          <w:p>
            <w:pPr>
              <w:spacing w:after="0"/>
              <w:rPr>
                <w:sz w:val="1"/>
                <w:szCs w:val="1"/>
                <w:color w:val="auto"/>
              </w:rPr>
            </w:pPr>
          </w:p>
        </w:tc>
      </w:tr>
      <w:tr>
        <w:trPr>
          <w:trHeight w:val="22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lease liabilities:</w:t>
            </w:r>
          </w:p>
        </w:tc>
        <w:tc>
          <w:tcPr>
            <w:tcW w:w="4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Long-term portion of operating lease liabilities</w:t>
            </w:r>
          </w:p>
        </w:tc>
        <w:tc>
          <w:tcPr>
            <w:tcW w:w="32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7"/>
              </w:rPr>
              <w:t>1,647.8</w:t>
            </w:r>
          </w:p>
        </w:tc>
        <w:tc>
          <w:tcPr>
            <w:tcW w:w="8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1,011.3</w:t>
            </w:r>
          </w:p>
        </w:tc>
        <w:tc>
          <w:tcPr>
            <w:tcW w:w="0" w:type="dxa"/>
            <w:vAlign w:val="bottom"/>
          </w:tcPr>
          <w:p>
            <w:pPr>
              <w:spacing w:after="0"/>
              <w:rPr>
                <w:sz w:val="1"/>
                <w:szCs w:val="1"/>
                <w:color w:val="auto"/>
              </w:rPr>
            </w:pPr>
          </w:p>
        </w:tc>
      </w:tr>
      <w:tr>
        <w:trPr>
          <w:trHeight w:val="221"/>
        </w:trPr>
        <w:tc>
          <w:tcPr>
            <w:tcW w:w="3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w:t>
            </w:r>
          </w:p>
        </w:tc>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0"/>
        </w:trPr>
        <w:tc>
          <w:tcPr>
            <w:tcW w:w="34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7"/>
              </w:rPr>
              <w:t>1,648.5</w:t>
            </w:r>
          </w:p>
        </w:tc>
        <w:tc>
          <w:tcPr>
            <w:tcW w:w="8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27"/>
        </w:trPr>
        <w:tc>
          <w:tcPr>
            <w:tcW w:w="79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Supplemental cash flow information related to leases was as follows: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7"/>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rPr>
              <w:t>2023</w:t>
            </w:r>
          </w:p>
        </w:tc>
      </w:tr>
      <w:tr>
        <w:trPr>
          <w:trHeight w:val="20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1"/>
        </w:trPr>
        <w:tc>
          <w:tcPr>
            <w:tcW w:w="7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441.9</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392.0</w:t>
            </w:r>
          </w:p>
        </w:tc>
        <w:tc>
          <w:tcPr>
            <w:tcW w:w="8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446.2</w:t>
            </w:r>
          </w:p>
        </w:tc>
      </w:tr>
      <w:tr>
        <w:trPr>
          <w:trHeight w:val="22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cash flows from finance leases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r>
      <w:tr>
        <w:trPr>
          <w:trHeight w:val="221"/>
        </w:trPr>
        <w:tc>
          <w:tcPr>
            <w:tcW w:w="7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Financing cash flows from finance leases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transactions: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1"/>
        </w:trPr>
        <w:tc>
          <w:tcPr>
            <w:tcW w:w="7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Right-of-use assets obtained in exchange for new operating lease liabilities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946.2</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300.2</w:t>
            </w:r>
          </w:p>
        </w:tc>
        <w:tc>
          <w:tcPr>
            <w:tcW w:w="8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278.4</w:t>
            </w:r>
          </w:p>
        </w:tc>
      </w:tr>
      <w:tr>
        <w:trPr>
          <w:trHeight w:val="22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Right-of-use assets obtained in exchange for new finance lease liabilities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bl>
    <w:p>
      <w:pPr>
        <w:spacing w:after="0" w:line="307" w:lineRule="exact"/>
        <w:rPr>
          <w:sz w:val="20"/>
          <w:szCs w:val="20"/>
          <w:color w:val="auto"/>
        </w:rPr>
      </w:pPr>
    </w:p>
    <w:p>
      <w:pPr>
        <w:ind w:right="200" w:firstLine="390"/>
        <w:spacing w:after="0" w:line="274" w:lineRule="auto"/>
        <w:rPr>
          <w:sz w:val="20"/>
          <w:szCs w:val="20"/>
          <w:color w:val="auto"/>
        </w:rPr>
      </w:pPr>
      <w:r>
        <w:rPr>
          <w:rFonts w:ascii="Times New Roman" w:cs="Times New Roman" w:eastAsia="Times New Roman" w:hAnsi="Times New Roman"/>
          <w:sz w:val="17"/>
          <w:szCs w:val="17"/>
          <w:color w:val="auto"/>
        </w:rPr>
        <w:t>The increase in operating lease right-of-use assets obtained in exchange for new operating lease liabilities in 2025 was primarily due to the execution of lease extensions, generally for a term of 10 years, with certain retail outlet store landlords covering a significant portion of the Company’s North America store portfolio.</w:t>
      </w:r>
    </w:p>
    <w:p>
      <w:pPr>
        <w:spacing w:after="0" w:line="189" w:lineRule="exact"/>
        <w:rPr>
          <w:sz w:val="20"/>
          <w:szCs w:val="20"/>
          <w:color w:val="auto"/>
        </w:rPr>
      </w:pPr>
    </w:p>
    <w:p>
      <w:pPr>
        <w:ind w:right="260" w:firstLine="390"/>
        <w:spacing w:after="0" w:line="279" w:lineRule="auto"/>
        <w:rPr>
          <w:sz w:val="20"/>
          <w:szCs w:val="20"/>
          <w:color w:val="auto"/>
        </w:rPr>
      </w:pPr>
      <w:r>
        <w:rPr>
          <w:rFonts w:ascii="Times New Roman" w:cs="Times New Roman" w:eastAsia="Times New Roman" w:hAnsi="Times New Roman"/>
          <w:sz w:val="17"/>
          <w:szCs w:val="17"/>
          <w:color w:val="auto"/>
        </w:rPr>
        <w:t>The following summarizes the weighted average remaining lease terms and weighted average discount rates related to the Company’s right-of-use assets and lease liabilities recorded on the balance sheet: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80" w:type="dxa"/>
            <w:vAlign w:val="bottom"/>
            <w:gridSpan w:val="2"/>
          </w:tcPr>
          <w:p>
            <w:pPr>
              <w:ind w:left="8440"/>
              <w:spacing w:after="0"/>
              <w:rPr>
                <w:sz w:val="20"/>
                <w:szCs w:val="20"/>
                <w:color w:val="auto"/>
              </w:rPr>
            </w:pPr>
            <w:r>
              <w:rPr>
                <w:rFonts w:ascii="Times New Roman" w:cs="Times New Roman" w:eastAsia="Times New Roman" w:hAnsi="Times New Roman"/>
                <w:sz w:val="17"/>
                <w:szCs w:val="17"/>
                <w:color w:val="auto"/>
              </w:rPr>
              <w:t>2025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rPr>
              <w:t>2024</w:t>
            </w:r>
          </w:p>
        </w:tc>
      </w:tr>
      <w:tr>
        <w:trPr>
          <w:trHeight w:val="201"/>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1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21"/>
        </w:trPr>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w:t>
            </w:r>
          </w:p>
        </w:tc>
      </w:tr>
      <w:tr>
        <w:trPr>
          <w:trHeight w:val="221"/>
        </w:trPr>
        <w:tc>
          <w:tcPr>
            <w:tcW w:w="8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21"/>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1"/>
        </w:trPr>
        <w:tc>
          <w:tcPr>
            <w:tcW w:w="8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4.68 %</w:t>
            </w:r>
          </w:p>
        </w:tc>
      </w:tr>
      <w:tr>
        <w:trPr>
          <w:trHeight w:val="227"/>
        </w:trPr>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2.11 %</w:t>
            </w:r>
          </w:p>
        </w:tc>
      </w:tr>
    </w:tbl>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At February 1, 2026, the maturities of the Company’s lease liabilities were as follows:</w:t>
      </w:r>
    </w:p>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Finance</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Operating</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7"/>
        </w:trPr>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Leases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9"/>
              </w:rPr>
              <w:t>Leases</w:t>
            </w:r>
          </w:p>
        </w:tc>
        <w:tc>
          <w:tcPr>
            <w:tcW w:w="340" w:type="dxa"/>
            <w:vAlign w:val="bottom"/>
          </w:tcPr>
          <w:p>
            <w:pPr>
              <w:spacing w:after="0"/>
              <w:rPr>
                <w:sz w:val="19"/>
                <w:szCs w:val="19"/>
                <w:color w:val="auto"/>
              </w:rPr>
            </w:pPr>
          </w:p>
        </w:tc>
        <w:tc>
          <w:tcPr>
            <w:tcW w:w="1220" w:type="dxa"/>
            <w:vAlign w:val="bottom"/>
          </w:tcPr>
          <w:p>
            <w:pPr>
              <w:jc w:val="right"/>
              <w:ind w:right="533"/>
              <w:spacing w:after="0"/>
              <w:rPr>
                <w:sz w:val="20"/>
                <w:szCs w:val="20"/>
                <w:color w:val="auto"/>
              </w:rPr>
            </w:pPr>
            <w:r>
              <w:rPr>
                <w:rFonts w:ascii="Times New Roman" w:cs="Times New Roman" w:eastAsia="Times New Roman" w:hAnsi="Times New Roman"/>
                <w:sz w:val="17"/>
                <w:szCs w:val="17"/>
                <w:color w:val="auto"/>
              </w:rPr>
              <w:t>Total</w:t>
            </w:r>
          </w:p>
        </w:tc>
      </w:tr>
      <w:tr>
        <w:trPr>
          <w:trHeight w:val="214"/>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120" w:type="dxa"/>
            <w:vAlign w:val="bottom"/>
            <w:tcBorders>
              <w:top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441.0</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443.1</w:t>
            </w:r>
          </w:p>
        </w:tc>
      </w:tr>
      <w:tr>
        <w:trPr>
          <w:trHeight w:val="221"/>
        </w:trPr>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397.1</w:t>
            </w:r>
          </w:p>
        </w:tc>
      </w:tr>
      <w:tr>
        <w:trPr>
          <w:trHeight w:val="221"/>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333.8</w:t>
            </w:r>
          </w:p>
        </w:tc>
      </w:tr>
      <w:tr>
        <w:trPr>
          <w:trHeight w:val="221"/>
        </w:trPr>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1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270.2</w:t>
            </w:r>
          </w:p>
        </w:tc>
      </w:tr>
      <w:tr>
        <w:trPr>
          <w:trHeight w:val="221"/>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1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228.9</w:t>
            </w:r>
          </w:p>
        </w:tc>
      </w:tr>
      <w:tr>
        <w:trPr>
          <w:trHeight w:val="221"/>
        </w:trPr>
        <w:tc>
          <w:tcPr>
            <w:tcW w:w="622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1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741.2</w:t>
            </w:r>
          </w:p>
        </w:tc>
      </w:tr>
      <w:tr>
        <w:trPr>
          <w:trHeight w:val="214"/>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1120" w:type="dxa"/>
            <w:vAlign w:val="bottom"/>
            <w:tcBorders>
              <w:top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2,411.5</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2,414.3</w:t>
            </w:r>
          </w:p>
        </w:tc>
      </w:tr>
      <w:tr>
        <w:trPr>
          <w:trHeight w:val="221"/>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Interest</w:t>
            </w: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(417.2)</w:t>
            </w:r>
          </w:p>
        </w:tc>
      </w:tr>
      <w:tr>
        <w:trPr>
          <w:trHeight w:val="239"/>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liabilities</w:t>
            </w: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1,994.4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1,997.1</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17.</w:t>
        <w:tab/>
        <w:t>EXIT ACTIVITY COSTS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Growth Driver 5 Actions</w:t>
      </w:r>
    </w:p>
    <w:p>
      <w:pPr>
        <w:spacing w:after="0" w:line="247" w:lineRule="exact"/>
        <w:rPr>
          <w:sz w:val="20"/>
          <w:szCs w:val="20"/>
          <w:color w:val="auto"/>
        </w:rPr>
      </w:pPr>
    </w:p>
    <w:p>
      <w:pPr>
        <w:ind w:right="60" w:firstLine="390"/>
        <w:spacing w:after="0" w:line="265" w:lineRule="auto"/>
        <w:rPr>
          <w:sz w:val="20"/>
          <w:szCs w:val="20"/>
          <w:color w:val="auto"/>
        </w:rPr>
      </w:pPr>
      <w:r>
        <w:rPr>
          <w:rFonts w:ascii="Times New Roman" w:cs="Times New Roman" w:eastAsia="Times New Roman" w:hAnsi="Times New Roman"/>
          <w:sz w:val="17"/>
          <w:szCs w:val="17"/>
          <w:color w:val="auto"/>
        </w:rPr>
        <w:t>In line with the fifth growth driver of the PVH+ Plan – drive efficiencies and invest in growth – the Company embarked on a multiyear initiative beginning in the second quarter of 2024 to simplify its operating model by centralizing certain processes and improving systems and automation to drive more efficient and cost-effective ways of working across the organization, through four main pillars: (i) delivering a single global technology stack, (ii) redesigning the Company’s global distribution network, (iii) reengineering the operating model in Europe, and (iv) streamlining and optimizing the Company’s support functions globally (referred to as “Growth Driver 5 Actions”).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16" w:name="page117"/>
    <w:bookmarkEnd w:id="116"/>
    <w:p>
      <w:pPr>
        <w:ind w:right="80" w:firstLine="390"/>
        <w:spacing w:after="0" w:line="249" w:lineRule="auto"/>
        <w:rPr>
          <w:sz w:val="20"/>
          <w:szCs w:val="20"/>
          <w:color w:val="auto"/>
        </w:rPr>
      </w:pPr>
      <w:r>
        <w:rPr>
          <w:rFonts w:ascii="Times New Roman" w:cs="Times New Roman" w:eastAsia="Times New Roman" w:hAnsi="Times New Roman"/>
          <w:sz w:val="17"/>
          <w:szCs w:val="17"/>
          <w:color w:val="auto"/>
        </w:rPr>
        <w:t>In connection with this initiative, the Company recorded pre-tax net costs during 2024 and 2025 as shown in the following table. While the actions to support this initiative were largely completed by the end of 2025, there are certain actions to be completed and additional actions that the Company plans to take under this initiative, on a limited basis, during 2026. Such actions include the completion of the expected sale of the Company’s owned warehouse and distribution center located in Jonesville, NC, as further discussed in Note 3, “Assets Held For Sale.” The net impact of these remaining actions cannot be quantified at this time.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Costs Incurred</w:t>
            </w:r>
          </w:p>
        </w:tc>
        <w:tc>
          <w:tcPr>
            <w:tcW w:w="16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Costs Incurred</w:t>
            </w:r>
          </w:p>
        </w:tc>
        <w:tc>
          <w:tcPr>
            <w:tcW w:w="16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Cumulative Net</w:t>
            </w: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16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During 2024</w:t>
            </w:r>
          </w:p>
        </w:tc>
        <w:tc>
          <w:tcPr>
            <w:tcW w:w="16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During 2025</w:t>
            </w:r>
          </w:p>
        </w:tc>
        <w:tc>
          <w:tcPr>
            <w:tcW w:w="160" w:type="dxa"/>
            <w:vAlign w:val="bottom"/>
          </w:tcPr>
          <w:p>
            <w:pPr>
              <w:spacing w:after="0"/>
              <w:rPr>
                <w:sz w:val="20"/>
                <w:szCs w:val="20"/>
                <w:color w:val="auto"/>
              </w:rPr>
            </w:pPr>
          </w:p>
        </w:tc>
        <w:tc>
          <w:tcPr>
            <w:tcW w:w="1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Costs Incurred</w:t>
            </w:r>
          </w:p>
        </w:tc>
      </w:tr>
      <w:tr>
        <w:trPr>
          <w:trHeight w:val="214"/>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termination benefits and other employee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r>
      <w:tr>
        <w:trPr>
          <w:trHeight w:val="221"/>
        </w:trPr>
        <w:tc>
          <w:tcPr>
            <w:tcW w:w="566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Accelerated depreciation </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1"/>
        </w:trPr>
        <w:tc>
          <w:tcPr>
            <w:tcW w:w="566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Long-lived asset impairments and disposals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21"/>
        </w:trPr>
        <w:tc>
          <w:tcPr>
            <w:tcW w:w="566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Gain on sale of warehouse and distribution center </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239"/>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ind w:left="160" w:right="120" w:hanging="156"/>
        <w:spacing w:after="0" w:line="232" w:lineRule="auto"/>
        <w:tabs>
          <w:tab w:leader="none" w:pos="178" w:val="left"/>
        </w:tabs>
        <w:numPr>
          <w:ilvl w:val="0"/>
          <w:numId w:val="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 recorded accelerated depreciation expense and long-lived asset impairments and disposals during 2025, which were primarily related to legacy technology assets that will be or have been decommissioned as the Company moves to a single global technology stack.</w:t>
      </w:r>
    </w:p>
    <w:p>
      <w:pPr>
        <w:spacing w:after="0" w:line="216" w:lineRule="exact"/>
        <w:rPr>
          <w:rFonts w:ascii="Times New Roman" w:cs="Times New Roman" w:eastAsia="Times New Roman" w:hAnsi="Times New Roman"/>
          <w:sz w:val="22"/>
          <w:szCs w:val="22"/>
          <w:color w:val="auto"/>
          <w:vertAlign w:val="superscript"/>
        </w:rPr>
      </w:pPr>
    </w:p>
    <w:p>
      <w:pPr>
        <w:ind w:left="160" w:hanging="156"/>
        <w:spacing w:after="0" w:line="239" w:lineRule="auto"/>
        <w:tabs>
          <w:tab w:leader="none" w:pos="178" w:val="left"/>
        </w:tabs>
        <w:numPr>
          <w:ilvl w:val="0"/>
          <w:numId w:val="6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 sold a warehouse and distribution center during the third quarter of 2024, resulting in a pre-tax gain of $9.5 million that was recorded during 2024. Such amount represents the consideration received, less costs to sell. The warehouse and distribution center assets had no remaining carrying value at the time of the sale.</w:t>
      </w:r>
    </w:p>
    <w:p>
      <w:pPr>
        <w:spacing w:after="0" w:line="217" w:lineRule="exact"/>
        <w:rPr>
          <w:sz w:val="20"/>
          <w:szCs w:val="20"/>
          <w:color w:val="auto"/>
        </w:rPr>
      </w:pPr>
    </w:p>
    <w:p>
      <w:pPr>
        <w:ind w:right="80" w:firstLine="390"/>
        <w:spacing w:after="0" w:line="274" w:lineRule="auto"/>
        <w:rPr>
          <w:sz w:val="20"/>
          <w:szCs w:val="20"/>
          <w:color w:val="auto"/>
        </w:rPr>
      </w:pPr>
      <w:r>
        <w:rPr>
          <w:rFonts w:ascii="Times New Roman" w:cs="Times New Roman" w:eastAsia="Times New Roman" w:hAnsi="Times New Roman"/>
          <w:sz w:val="17"/>
          <w:szCs w:val="17"/>
          <w:color w:val="auto"/>
        </w:rPr>
        <w:t>The severance, termination benefits and other employee costs, accelerated depreciation expense and long-lived asset impairments and disposals were recorded in SG&amp;A expenses and the gain on the sale of warehouse and distribution center was included in other gain in the Company’s Consolidated Statements of Operations for the respective periods. These pre-tax net costs are included in restructuring and other items for segment data reporting purposes.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liabilities related to these costs were principally recorded in accrued expenses in the Company’s Consolidated Balance Sheet and were as follows:</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Costs Paid During</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27"/>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40" w:type="dxa"/>
            <w:vAlign w:val="bottom"/>
          </w:tcPr>
          <w:p>
            <w:pPr>
              <w:spacing w:after="0"/>
              <w:rPr>
                <w:sz w:val="19"/>
                <w:szCs w:val="19"/>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Liability at 2/2/25</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Costs Incurred During 2025</w:t>
            </w:r>
          </w:p>
        </w:tc>
        <w:tc>
          <w:tcPr>
            <w:tcW w:w="140" w:type="dxa"/>
            <w:vAlign w:val="bottom"/>
          </w:tcPr>
          <w:p>
            <w:pPr>
              <w:spacing w:after="0"/>
              <w:rPr>
                <w:sz w:val="19"/>
                <w:szCs w:val="19"/>
                <w:color w:val="auto"/>
              </w:rPr>
            </w:pPr>
          </w:p>
        </w:tc>
        <w:tc>
          <w:tcPr>
            <w:tcW w:w="154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rPr>
              <w:t>2025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Liability at 2/1/26</w:t>
            </w:r>
          </w:p>
        </w:tc>
      </w:tr>
      <w:tr>
        <w:trPr>
          <w:trHeight w:val="157"/>
        </w:trPr>
        <w:tc>
          <w:tcPr>
            <w:tcW w:w="3880" w:type="dxa"/>
            <w:vAlign w:val="bottom"/>
          </w:tcPr>
          <w:p>
            <w:pPr>
              <w:spacing w:after="0" w:line="157" w:lineRule="exact"/>
              <w:rPr>
                <w:sz w:val="20"/>
                <w:szCs w:val="20"/>
                <w:color w:val="auto"/>
              </w:rPr>
            </w:pPr>
            <w:r>
              <w:rPr>
                <w:rFonts w:ascii="Times New Roman" w:cs="Times New Roman" w:eastAsia="Times New Roman" w:hAnsi="Times New Roman"/>
                <w:sz w:val="17"/>
                <w:szCs w:val="17"/>
                <w:color w:val="auto"/>
              </w:rPr>
              <w:t>Severance, termination benefits and other employee</w:t>
            </w: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r>
      <w:tr>
        <w:trPr>
          <w:trHeight w:val="227"/>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2022 Cost Savings Initiative</w:t>
      </w:r>
    </w:p>
    <w:p>
      <w:pPr>
        <w:spacing w:after="0" w:line="247" w:lineRule="exact"/>
        <w:rPr>
          <w:sz w:val="20"/>
          <w:szCs w:val="20"/>
          <w:color w:val="auto"/>
        </w:rPr>
      </w:pPr>
    </w:p>
    <w:p>
      <w:pPr>
        <w:ind w:right="40" w:firstLine="390"/>
        <w:spacing w:after="0" w:line="264" w:lineRule="auto"/>
        <w:rPr>
          <w:sz w:val="20"/>
          <w:szCs w:val="20"/>
          <w:color w:val="auto"/>
        </w:rPr>
      </w:pPr>
      <w:r>
        <w:rPr>
          <w:rFonts w:ascii="Times New Roman" w:cs="Times New Roman" w:eastAsia="Times New Roman" w:hAnsi="Times New Roman"/>
          <w:sz w:val="17"/>
          <w:szCs w:val="17"/>
          <w:color w:val="auto"/>
        </w:rPr>
        <w:t>The Company announced in August 2022 it would be taking steps to streamline its organization and simplify its ways of working. Included in this was a planned reduction in people costs in its global offices by approximately 10% by the end of 2023 to drive efficiencies and enable continued strategic investments to fuel growth, including in digital, supply chain and consumer engagement, which was completed. These reductions have resulted in annual cost savings of over $100 million, net of continued strategic people investments. In connection with this initiative, the Company recorded pre-tax severance, termination benefits and other employee costs of $81.5 million, of which $61.3 million was incurred during 2023. All expected costs related to this initiative were incurred by the end of 2023.</w:t>
      </w: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severance, termination benefits and other employee costs were recorded in SG&amp;A expenses in the Company’s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pre-tax net costs are included in restructuring and other items for segment data reporting purposes.</w:t>
      </w: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liabilities related to these costs were substantially paid as of February 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93" w:right="3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29"/>
        </w:trPr>
        <w:tc>
          <w:tcPr>
            <w:tcW w:w="7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18.  NET INCOME PER COMMON SHARE</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442"/>
        </w:trPr>
        <w:tc>
          <w:tcPr>
            <w:tcW w:w="78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Company computed its basic and diluted net income per common share as follows: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8"/>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millions, except per share data)</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2023</w:t>
            </w:r>
          </w:p>
        </w:tc>
      </w:tr>
      <w:tr>
        <w:trPr>
          <w:trHeight w:val="21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663.6</w:t>
            </w:r>
          </w:p>
        </w:tc>
      </w:tr>
      <w:tr>
        <w:trPr>
          <w:trHeight w:val="325"/>
        </w:trPr>
        <w:tc>
          <w:tcPr>
            <w:tcW w:w="78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Weighted average common shares outstanding for basic net income per common share</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r>
      <w:tr>
        <w:trPr>
          <w:trHeight w:val="221"/>
        </w:trPr>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Weighted average impact of dilutive securities</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14"/>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shares for diluted net income per common share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61.7</w:t>
            </w: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0"/>
        </w:trPr>
        <w:tc>
          <w:tcPr>
            <w:tcW w:w="7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r>
      <w:tr>
        <w:trPr>
          <w:trHeight w:val="246"/>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common share</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net income per common share</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0.52</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10.56</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10.76</w:t>
            </w: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Potentially dilutive securities excluded from the calculation of diluted net income per common share as the effect would be anti-dilutive were as follows: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2023</w:t>
            </w:r>
          </w:p>
        </w:tc>
      </w:tr>
      <w:tr>
        <w:trPr>
          <w:trHeight w:val="220"/>
        </w:trPr>
        <w:tc>
          <w:tcPr>
            <w:tcW w:w="782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potentially dilutive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w:t>
            </w:r>
          </w:p>
        </w:tc>
      </w:tr>
    </w:tbl>
    <w:p>
      <w:pPr>
        <w:spacing w:after="0" w:line="301" w:lineRule="exact"/>
        <w:rPr>
          <w:sz w:val="20"/>
          <w:szCs w:val="20"/>
          <w:color w:val="auto"/>
        </w:rPr>
      </w:pPr>
    </w:p>
    <w:p>
      <w:pPr>
        <w:ind w:right="120" w:firstLine="390"/>
        <w:spacing w:after="0" w:line="263" w:lineRule="auto"/>
        <w:rPr>
          <w:sz w:val="20"/>
          <w:szCs w:val="20"/>
          <w:color w:val="auto"/>
        </w:rPr>
      </w:pPr>
      <w:r>
        <w:rPr>
          <w:rFonts w:ascii="Times New Roman" w:cs="Times New Roman" w:eastAsia="Times New Roman" w:hAnsi="Times New Roman"/>
          <w:sz w:val="17"/>
          <w:szCs w:val="17"/>
          <w:color w:val="auto"/>
        </w:rPr>
        <w:t>Shares underlying contingently issuable awards that have not met the necessary conditions as of the end of a reporting period are not included in the calculation of diluted net income per common share for that period. The Company had contingently issuable PSU awards outstanding that did not meet the performance conditions as of February 1, 2026, February 2, 2025 and February 4, 2024 and, therefore, were excluded from the calculation of diluted net income per common share for each applicable year. The maximum number of potentially dilutive shares that could be issued upon vesting for such awards was 0.6 million, 0.2 million and 0.1 million as of February 1, 2026, February 2, 2025 and February 4, 2024, respectively. These amounts were also excluded from the computation of weighted average potentially dilutive securities in the table above.</w:t>
      </w:r>
    </w:p>
    <w:p>
      <w:pPr>
        <w:spacing w:after="0" w:line="19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19.</w:t>
        <w:tab/>
        <w:t>SUPPLEMENTAL CASH FLOW INFORMATION</w:t>
      </w:r>
    </w:p>
    <w:p>
      <w:pPr>
        <w:spacing w:after="0" w:line="249" w:lineRule="exact"/>
        <w:rPr>
          <w:sz w:val="20"/>
          <w:szCs w:val="20"/>
          <w:color w:val="auto"/>
        </w:rPr>
      </w:pPr>
    </w:p>
    <w:p>
      <w:pPr>
        <w:ind w:firstLine="390"/>
        <w:spacing w:after="0" w:line="293" w:lineRule="auto"/>
        <w:rPr>
          <w:sz w:val="20"/>
          <w:szCs w:val="20"/>
          <w:color w:val="auto"/>
        </w:rPr>
      </w:pPr>
      <w:r>
        <w:rPr>
          <w:rFonts w:ascii="Times New Roman" w:cs="Times New Roman" w:eastAsia="Times New Roman" w:hAnsi="Times New Roman"/>
          <w:sz w:val="17"/>
          <w:szCs w:val="17"/>
          <w:color w:val="auto"/>
        </w:rPr>
        <w:t>Omitted from purchases of property, plant and equipment in the Company’s Consolidated Statements of Cash Flows for 2025, 2024 and 2023, were accruals for capital expenditures of $29.1 million, $17.4 million and $27.7 million, respectively.</w:t>
      </w:r>
    </w:p>
    <w:p>
      <w:pPr>
        <w:spacing w:after="0" w:line="173" w:lineRule="exact"/>
        <w:rPr>
          <w:sz w:val="20"/>
          <w:szCs w:val="20"/>
          <w:color w:val="auto"/>
        </w:rPr>
      </w:pPr>
    </w:p>
    <w:p>
      <w:pPr>
        <w:ind w:right="220" w:firstLine="390"/>
        <w:spacing w:after="0" w:line="274" w:lineRule="auto"/>
        <w:rPr>
          <w:sz w:val="20"/>
          <w:szCs w:val="20"/>
          <w:color w:val="auto"/>
        </w:rPr>
      </w:pPr>
      <w:r>
        <w:rPr>
          <w:rFonts w:ascii="Times New Roman" w:cs="Times New Roman" w:eastAsia="Times New Roman" w:hAnsi="Times New Roman"/>
          <w:sz w:val="17"/>
          <w:szCs w:val="17"/>
          <w:color w:val="auto"/>
        </w:rPr>
        <w:t>Omitted from acquisition of treasury shares in the Company’s Consolidated Statements of Cash Flows were (i) for 2024 and 2023, $4.0 million and 2.1 million, respectively, of shares repurchased under the stock repurchase program for which the trades occurred but remained unsettled as of the end of the respective periods and (ii) for 2025, 2024 and 2023, $5.8 million, $4.6 million and $4.9 million, respectively, of accruals for excise taxes on share repurchases.</w:t>
      </w:r>
    </w:p>
    <w:p>
      <w:pPr>
        <w:spacing w:after="0" w:line="18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20.</w:t>
        <w:tab/>
        <w:t>SEGMENT DATA</w:t>
      </w:r>
    </w:p>
    <w:p>
      <w:pPr>
        <w:spacing w:after="0" w:line="249" w:lineRule="exact"/>
        <w:rPr>
          <w:sz w:val="20"/>
          <w:szCs w:val="20"/>
          <w:color w:val="auto"/>
        </w:rPr>
      </w:pPr>
    </w:p>
    <w:p>
      <w:pPr>
        <w:ind w:right="20" w:firstLine="390"/>
        <w:spacing w:after="0" w:line="260" w:lineRule="auto"/>
        <w:rPr>
          <w:sz w:val="20"/>
          <w:szCs w:val="20"/>
          <w:color w:val="auto"/>
        </w:rPr>
      </w:pPr>
      <w:r>
        <w:rPr>
          <w:rFonts w:ascii="Times New Roman" w:cs="Times New Roman" w:eastAsia="Times New Roman" w:hAnsi="Times New Roman"/>
          <w:sz w:val="17"/>
          <w:szCs w:val="17"/>
          <w:color w:val="auto"/>
        </w:rPr>
        <w:t xml:space="preserve">Effective February 3, 2025, the first day of 2025, the Company changed its reportable segments to be region-focused to align with changes in its business and organizational structure. These changes included the reorganization of the executive leadership structure directly reporting to the Company’s Chief Executive Officer, who is the CODM. The Company’s new organizational structure provides for the pairing of the Company’s global brands with commercial execution in geographic regions, underpinned by a demand- and data-driven operating model, making steady progress against the PVH+ Plan, the Company’s multiyear, strategic plan to build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into the most desirable lifestyle brands in the world and make PVH the leading brand building group in its sector. The Company’s new reportable segments are: (i) Europe, the Middle East and Africa (“EMEA”), (ii) Americas, (iii) Asia-Pacific (“APAC”), and (iv) Licensing. The new reportable segments reflect the way the Company is currently being managed and for which separate financial information is available and evaluated regularly by the CODM in deciding how to allocate resources and assess performance. In the tables below, the Company has recast historical segment reporting to reflect the new organizational structure.</w:t>
      </w:r>
    </w:p>
    <w:p>
      <w:pPr>
        <w:spacing w:after="0" w:line="200" w:lineRule="exact"/>
        <w:rPr>
          <w:sz w:val="20"/>
          <w:szCs w:val="20"/>
          <w:color w:val="auto"/>
        </w:rPr>
      </w:pPr>
    </w:p>
    <w:p>
      <w:pPr>
        <w:ind w:firstLine="390"/>
        <w:spacing w:after="0" w:line="269" w:lineRule="auto"/>
        <w:rPr>
          <w:sz w:val="20"/>
          <w:szCs w:val="20"/>
          <w:color w:val="auto"/>
        </w:rPr>
      </w:pPr>
      <w:r>
        <w:rPr>
          <w:rFonts w:ascii="Times New Roman" w:cs="Times New Roman" w:eastAsia="Times New Roman" w:hAnsi="Times New Roman"/>
          <w:sz w:val="17"/>
          <w:szCs w:val="17"/>
          <w:color w:val="auto"/>
        </w:rPr>
        <w:t xml:space="preserve">The EMEA, Americas, and APAC segments derive revenue principally from the sale of </w:t>
      </w:r>
      <w:r>
        <w:rPr>
          <w:rFonts w:ascii="Times New Roman" w:cs="Times New Roman" w:eastAsia="Times New Roman" w:hAnsi="Times New Roman"/>
          <w:sz w:val="17"/>
          <w:szCs w:val="17"/>
          <w:i w:val="1"/>
          <w:iCs w:val="1"/>
          <w:color w:val="auto"/>
        </w:rPr>
        <w:t>TOMMY HILFIGER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Calvin Klein</w:t>
      </w:r>
      <w:r>
        <w:rPr>
          <w:rFonts w:ascii="Times New Roman" w:cs="Times New Roman" w:eastAsia="Times New Roman" w:hAnsi="Times New Roman"/>
          <w:sz w:val="17"/>
          <w:szCs w:val="17"/>
          <w:color w:val="auto"/>
        </w:rPr>
        <w:t xml:space="preserve"> branded apparel, accessories and related products. These segments encompass the marketing of these products at wholesale primarily to department and specialty stores (including their digital commerce operations), pure play digital commerce retailers, distributors and franchisees (primarily for EMEA and APAC), and warehouse clubs and off-price retailers (primarily for Americas). Within these segments the Company also operates retail stores (which, for Americas, are primarily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118" w:name="page119"/>
    <w:bookmarkEnd w:id="118"/>
    <w:p>
      <w:pPr>
        <w:spacing w:after="0" w:line="274" w:lineRule="auto"/>
        <w:rPr>
          <w:sz w:val="20"/>
          <w:szCs w:val="20"/>
          <w:color w:val="auto"/>
        </w:rPr>
      </w:pPr>
      <w:r>
        <w:rPr>
          <w:rFonts w:ascii="Times New Roman" w:cs="Times New Roman" w:eastAsia="Times New Roman" w:hAnsi="Times New Roman"/>
          <w:sz w:val="17"/>
          <w:szCs w:val="17"/>
          <w:color w:val="auto"/>
        </w:rPr>
        <w:t>located in premium outlet centers and, to a lesser extent, in full price and other channels), concession locations (for EMEA and APAC), and digital commerce sites, which sell these products. These segments also include the Company’s proportionate share of the net income or loss of its investments in its unconsolidated affiliates that operate in such regions.</w:t>
      </w:r>
    </w:p>
    <w:p>
      <w:pPr>
        <w:spacing w:after="0" w:line="189" w:lineRule="exact"/>
        <w:rPr>
          <w:sz w:val="20"/>
          <w:szCs w:val="20"/>
          <w:color w:val="auto"/>
        </w:rPr>
      </w:pPr>
    </w:p>
    <w:p>
      <w:pPr>
        <w:ind w:right="420" w:firstLine="390"/>
        <w:spacing w:after="0" w:line="293" w:lineRule="auto"/>
        <w:rPr>
          <w:sz w:val="20"/>
          <w:szCs w:val="20"/>
          <w:color w:val="auto"/>
        </w:rPr>
      </w:pPr>
      <w:r>
        <w:rPr>
          <w:rFonts w:ascii="Times New Roman" w:cs="Times New Roman" w:eastAsia="Times New Roman" w:hAnsi="Times New Roman"/>
          <w:sz w:val="17"/>
          <w:szCs w:val="17"/>
          <w:color w:val="auto"/>
        </w:rPr>
        <w:t xml:space="preserve">The Company derives revenue in the Licensing segment principally from licensing and similar arrangements relating to the use by third parties of the </w:t>
      </w:r>
      <w:r>
        <w:rPr>
          <w:rFonts w:ascii="Times New Roman" w:cs="Times New Roman" w:eastAsia="Times New Roman" w:hAnsi="Times New Roman"/>
          <w:sz w:val="17"/>
          <w:szCs w:val="17"/>
          <w:i w:val="1"/>
          <w:iCs w:val="1"/>
          <w:color w:val="auto"/>
        </w:rPr>
        <w:t xml:space="preserve">TOMMY HILFIGER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Calvin Klein </w:t>
      </w:r>
      <w:r>
        <w:rPr>
          <w:rFonts w:ascii="Times New Roman" w:cs="Times New Roman" w:eastAsia="Times New Roman" w:hAnsi="Times New Roman"/>
          <w:sz w:val="17"/>
          <w:szCs w:val="17"/>
          <w:color w:val="auto"/>
        </w:rPr>
        <w:t>brand names for a broad range of product categories, as well as for certain territories.</w:t>
      </w:r>
    </w:p>
    <w:p>
      <w:pPr>
        <w:spacing w:after="0" w:line="173" w:lineRule="exact"/>
        <w:rPr>
          <w:sz w:val="20"/>
          <w:szCs w:val="20"/>
          <w:color w:val="auto"/>
        </w:rPr>
      </w:pPr>
    </w:p>
    <w:p>
      <w:pPr>
        <w:ind w:right="440" w:firstLine="390"/>
        <w:spacing w:after="0" w:line="293" w:lineRule="auto"/>
        <w:rPr>
          <w:sz w:val="20"/>
          <w:szCs w:val="20"/>
          <w:color w:val="auto"/>
        </w:rPr>
      </w:pPr>
      <w:r>
        <w:rPr>
          <w:rFonts w:ascii="Times New Roman" w:cs="Times New Roman" w:eastAsia="Times New Roman" w:hAnsi="Times New Roman"/>
          <w:sz w:val="17"/>
          <w:szCs w:val="17"/>
          <w:color w:val="auto"/>
        </w:rPr>
        <w:t>The CODM uses segment income (loss) before interest and taxes as the profit measure to evaluate segment performance and allocate resources to the segments. The CODM considers variances of actual and forecasted performance to prior year when making decisions.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Segment Data</w:t>
      </w:r>
    </w:p>
    <w:p>
      <w:pPr>
        <w:spacing w:after="0" w:line="247" w:lineRule="exact"/>
        <w:rPr>
          <w:sz w:val="20"/>
          <w:szCs w:val="20"/>
          <w:color w:val="auto"/>
        </w:rPr>
      </w:pPr>
    </w:p>
    <w:p>
      <w:pPr>
        <w:ind w:right="140" w:firstLine="390"/>
        <w:spacing w:after="0" w:line="279" w:lineRule="auto"/>
        <w:rPr>
          <w:sz w:val="20"/>
          <w:szCs w:val="20"/>
          <w:color w:val="auto"/>
        </w:rPr>
      </w:pPr>
      <w:r>
        <w:rPr>
          <w:rFonts w:ascii="Times New Roman" w:cs="Times New Roman" w:eastAsia="Times New Roman" w:hAnsi="Times New Roman"/>
          <w:sz w:val="17"/>
          <w:szCs w:val="17"/>
          <w:color w:val="auto"/>
        </w:rPr>
        <w:t>The Company’s revenue, significant expenses, and income before interest and taxes by segment, which include the impact of changes in foreign currency exchanges rates,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7"/>
                <w:szCs w:val="17"/>
                <w:color w:val="auto"/>
                <w:w w:val="99"/>
              </w:rPr>
              <w:t>2025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EMEA</w:t>
            </w: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Americas</w:t>
            </w:r>
          </w:p>
        </w:tc>
        <w:tc>
          <w:tcPr>
            <w:tcW w:w="2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6"/>
              </w:rPr>
              <w:t>APAC</w:t>
            </w:r>
          </w:p>
        </w:tc>
        <w:tc>
          <w:tcPr>
            <w:tcW w:w="18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Licensing</w:t>
            </w:r>
          </w:p>
        </w:tc>
        <w:tc>
          <w:tcPr>
            <w:tcW w:w="28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8,950.2</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0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Cost of goods sold </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(3,801.6)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Marketing expenses (excluding an additional $173.0</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34"/>
        </w:trPr>
        <w:tc>
          <w:tcPr>
            <w:tcW w:w="430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included in Corporate and other)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(322.6)</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00" w:type="dxa"/>
            <w:vAlign w:val="bottom"/>
            <w:tcBorders>
              <w:bottom w:val="single" w:sz="8" w:color="CCEEFF"/>
            </w:tcBorders>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(3,176.2)</w:t>
            </w:r>
          </w:p>
        </w:tc>
        <w:tc>
          <w:tcPr>
            <w:tcW w:w="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income before interest and taxes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30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auto"/>
              </w:rPr>
              <w:t>Corporate and other (including $173.0 of marketing</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34"/>
        </w:trPr>
        <w:tc>
          <w:tcPr>
            <w:tcW w:w="4300" w:type="dxa"/>
            <w:vAlign w:val="bottom"/>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expenses) </w:t>
            </w:r>
            <w:r>
              <w:rPr>
                <w:rFonts w:ascii="Times New Roman" w:cs="Times New Roman" w:eastAsia="Times New Roman" w:hAnsi="Times New Roman"/>
                <w:sz w:val="22"/>
                <w:szCs w:val="22"/>
                <w:color w:val="auto"/>
                <w:vertAlign w:val="superscript"/>
              </w:rPr>
              <w:t>(4)</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(859.3)</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0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Restructuring and other items </w:t>
            </w:r>
            <w:r>
              <w:rPr>
                <w:rFonts w:ascii="Times New Roman" w:cs="Times New Roman" w:eastAsia="Times New Roman" w:hAnsi="Times New Roman"/>
                <w:sz w:val="22"/>
                <w:szCs w:val="22"/>
                <w:color w:val="auto"/>
                <w:vertAlign w:val="superscript"/>
              </w:rPr>
              <w:t>(5)</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(559.9)</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interest and taxes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vMerge w:val="restart"/>
          </w:tcPr>
          <w:p>
            <w:pPr>
              <w:jc w:val="center"/>
              <w:ind w:right="133"/>
              <w:spacing w:after="0"/>
              <w:rPr>
                <w:sz w:val="20"/>
                <w:szCs w:val="20"/>
                <w:color w:val="auto"/>
              </w:rPr>
            </w:pPr>
            <w:r>
              <w:rPr>
                <w:rFonts w:ascii="Times New Roman" w:cs="Times New Roman" w:eastAsia="Times New Roman" w:hAnsi="Times New Roman"/>
                <w:sz w:val="17"/>
                <w:szCs w:val="17"/>
                <w:color w:val="auto"/>
                <w:w w:val="99"/>
              </w:rPr>
              <w:t>2024</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4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EMEA</w:t>
            </w: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Americas</w:t>
            </w:r>
          </w:p>
        </w:tc>
        <w:tc>
          <w:tcPr>
            <w:tcW w:w="24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6"/>
              </w:rPr>
              <w:t>APAC</w:t>
            </w:r>
          </w:p>
        </w:tc>
        <w:tc>
          <w:tcPr>
            <w:tcW w:w="18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Licensing</w:t>
            </w:r>
          </w:p>
        </w:tc>
        <w:tc>
          <w:tcPr>
            <w:tcW w:w="28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4,063.5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2,586.2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8,652.9</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0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Cost of goods sold </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(3,510.4)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Marketing expenses (excluding an additional $173.6</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34"/>
        </w:trPr>
        <w:tc>
          <w:tcPr>
            <w:tcW w:w="430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included in Corporate and other)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(306.4)</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00" w:type="dxa"/>
            <w:vAlign w:val="bottom"/>
            <w:tcBorders>
              <w:bottom w:val="single" w:sz="8" w:color="CCEEFF"/>
            </w:tcBorders>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(3,118.4)</w:t>
            </w:r>
          </w:p>
        </w:tc>
        <w:tc>
          <w:tcPr>
            <w:tcW w:w="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income before interest and taxes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30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auto"/>
              </w:rPr>
              <w:t>Corporate and other (including $173.6 of marketing</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34"/>
        </w:trPr>
        <w:tc>
          <w:tcPr>
            <w:tcW w:w="4300" w:type="dxa"/>
            <w:vAlign w:val="bottom"/>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expenses) </w:t>
            </w:r>
            <w:r>
              <w:rPr>
                <w:rFonts w:ascii="Times New Roman" w:cs="Times New Roman" w:eastAsia="Times New Roman" w:hAnsi="Times New Roman"/>
                <w:sz w:val="22"/>
                <w:szCs w:val="22"/>
                <w:color w:val="auto"/>
                <w:vertAlign w:val="superscript"/>
              </w:rPr>
              <w:t>(4)</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0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Restructuring and other items </w:t>
            </w:r>
            <w:r>
              <w:rPr>
                <w:rFonts w:ascii="Times New Roman" w:cs="Times New Roman" w:eastAsia="Times New Roman" w:hAnsi="Times New Roman"/>
                <w:sz w:val="22"/>
                <w:szCs w:val="22"/>
                <w:color w:val="auto"/>
                <w:vertAlign w:val="superscript"/>
              </w:rPr>
              <w:t>(6)</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interest and taxes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772.3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006" w:right="39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27"/>
        </w:trPr>
        <w:tc>
          <w:tcPr>
            <w:tcW w:w="4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r>
      <w:tr>
        <w:trPr>
          <w:trHeight w:val="214"/>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EMEA</w:t>
            </w: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Americas</w:t>
            </w:r>
          </w:p>
        </w:tc>
        <w:tc>
          <w:tcPr>
            <w:tcW w:w="24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APAC</w:t>
            </w:r>
          </w:p>
        </w:tc>
        <w:tc>
          <w:tcPr>
            <w:tcW w:w="18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Licensing</w:t>
            </w:r>
          </w:p>
        </w:tc>
        <w:tc>
          <w:tcPr>
            <w:tcW w:w="24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Pr>
          <w:p>
            <w:pPr>
              <w:spacing w:after="0"/>
              <w:rPr>
                <w:sz w:val="18"/>
                <w:szCs w:val="18"/>
                <w:color w:val="auto"/>
              </w:rPr>
            </w:pPr>
          </w:p>
        </w:tc>
      </w:tr>
      <w:tr>
        <w:trPr>
          <w:trHeight w:val="214"/>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2,855.7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9,217.7</w:t>
            </w:r>
          </w:p>
        </w:tc>
        <w:tc>
          <w:tcPr>
            <w:tcW w:w="320" w:type="dxa"/>
            <w:vAlign w:val="bottom"/>
            <w:tcBorders>
              <w:top w:val="single" w:sz="8" w:color="CCEEFF"/>
            </w:tcBorders>
            <w:shd w:val="clear" w:color="auto" w:fill="CCEEFF"/>
          </w:tcPr>
          <w:p>
            <w:pPr>
              <w:spacing w:after="0"/>
              <w:rPr>
                <w:sz w:val="18"/>
                <w:szCs w:val="18"/>
                <w:color w:val="auto"/>
              </w:rPr>
            </w:pPr>
          </w:p>
        </w:tc>
      </w:tr>
      <w:tr>
        <w:trPr>
          <w:trHeight w:val="221"/>
        </w:trPr>
        <w:tc>
          <w:tcPr>
            <w:tcW w:w="418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Cost of goods sold </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(3,854.5)</w:t>
            </w:r>
          </w:p>
        </w:tc>
        <w:tc>
          <w:tcPr>
            <w:tcW w:w="320" w:type="dxa"/>
            <w:vAlign w:val="bottom"/>
          </w:tcPr>
          <w:p>
            <w:pPr>
              <w:spacing w:after="0"/>
              <w:rPr>
                <w:sz w:val="19"/>
                <w:szCs w:val="19"/>
                <w:color w:val="auto"/>
              </w:rPr>
            </w:pPr>
          </w:p>
        </w:tc>
      </w:tr>
      <w:tr>
        <w:trPr>
          <w:trHeight w:val="169"/>
        </w:trPr>
        <w:tc>
          <w:tcPr>
            <w:tcW w:w="41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Marketing expenses (excluding an additional $175.9</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(2)</w:t>
            </w:r>
          </w:p>
        </w:tc>
      </w:tr>
      <w:tr>
        <w:trPr>
          <w:trHeight w:val="234"/>
        </w:trPr>
        <w:tc>
          <w:tcPr>
            <w:tcW w:w="418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included in Corporate and other)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w:t>
            </w:r>
          </w:p>
        </w:tc>
        <w:tc>
          <w:tcPr>
            <w:tcW w:w="320" w:type="dxa"/>
            <w:vAlign w:val="bottom"/>
            <w:shd w:val="clear" w:color="auto" w:fill="CCEEFF"/>
          </w:tcPr>
          <w:p>
            <w:pPr>
              <w:spacing w:after="0"/>
              <w:rPr>
                <w:sz w:val="20"/>
                <w:szCs w:val="20"/>
                <w:color w:val="auto"/>
              </w:rPr>
            </w:pPr>
          </w:p>
        </w:tc>
      </w:tr>
      <w:tr>
        <w:trPr>
          <w:trHeight w:val="221"/>
        </w:trPr>
        <w:tc>
          <w:tcPr>
            <w:tcW w:w="4180" w:type="dxa"/>
            <w:vAlign w:val="bottom"/>
            <w:tcBorders>
              <w:bottom w:val="single" w:sz="8" w:color="CCEEFF"/>
            </w:tcBorders>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(3,223.0)</w:t>
            </w:r>
          </w:p>
        </w:tc>
        <w:tc>
          <w:tcPr>
            <w:tcW w:w="320" w:type="dxa"/>
            <w:vAlign w:val="bottom"/>
            <w:tcBorders>
              <w:bottom w:val="single" w:sz="8" w:color="CCEEFF"/>
            </w:tcBorders>
          </w:tcPr>
          <w:p>
            <w:pPr>
              <w:spacing w:after="0"/>
              <w:rPr>
                <w:sz w:val="19"/>
                <w:szCs w:val="19"/>
                <w:color w:val="auto"/>
              </w:rPr>
            </w:pPr>
          </w:p>
        </w:tc>
      </w:tr>
      <w:tr>
        <w:trPr>
          <w:trHeight w:val="214"/>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income before interest and taxes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1,782.2</w:t>
            </w:r>
          </w:p>
        </w:tc>
        <w:tc>
          <w:tcPr>
            <w:tcW w:w="320" w:type="dxa"/>
            <w:vAlign w:val="bottom"/>
            <w:shd w:val="clear" w:color="auto" w:fill="CCEEFF"/>
          </w:tcPr>
          <w:p>
            <w:pPr>
              <w:spacing w:after="0"/>
              <w:rPr>
                <w:sz w:val="18"/>
                <w:szCs w:val="18"/>
                <w:color w:val="auto"/>
              </w:rPr>
            </w:pPr>
          </w:p>
        </w:tc>
      </w:tr>
      <w:tr>
        <w:trPr>
          <w:trHeight w:val="169"/>
        </w:trPr>
        <w:tc>
          <w:tcPr>
            <w:tcW w:w="418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auto"/>
              </w:rPr>
              <w:t>Corporate and other (including $175.9 of marketing</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w:t>
            </w:r>
          </w:p>
        </w:tc>
      </w:tr>
      <w:tr>
        <w:trPr>
          <w:trHeight w:val="234"/>
        </w:trPr>
        <w:tc>
          <w:tcPr>
            <w:tcW w:w="4180" w:type="dxa"/>
            <w:vAlign w:val="bottom"/>
          </w:tcPr>
          <w:p>
            <w:pPr>
              <w:ind w:left="20"/>
              <w:spacing w:after="0" w:line="235" w:lineRule="exact"/>
              <w:rPr>
                <w:sz w:val="20"/>
                <w:szCs w:val="20"/>
                <w:color w:val="auto"/>
              </w:rPr>
            </w:pPr>
            <w:r>
              <w:rPr>
                <w:rFonts w:ascii="Times New Roman" w:cs="Times New Roman" w:eastAsia="Times New Roman" w:hAnsi="Times New Roman"/>
                <w:sz w:val="17"/>
                <w:szCs w:val="17"/>
                <w:color w:val="auto"/>
              </w:rPr>
              <w:t xml:space="preserve">expenses) </w:t>
            </w:r>
            <w:r>
              <w:rPr>
                <w:rFonts w:ascii="Times New Roman" w:cs="Times New Roman" w:eastAsia="Times New Roman" w:hAnsi="Times New Roman"/>
                <w:sz w:val="22"/>
                <w:szCs w:val="22"/>
                <w:color w:val="auto"/>
                <w:vertAlign w:val="superscript"/>
              </w:rPr>
              <w:t>(4)</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(851.1)</w:t>
            </w:r>
          </w:p>
        </w:tc>
        <w:tc>
          <w:tcPr>
            <w:tcW w:w="320" w:type="dxa"/>
            <w:vAlign w:val="bottom"/>
          </w:tcPr>
          <w:p>
            <w:pPr>
              <w:spacing w:after="0"/>
              <w:rPr>
                <w:sz w:val="20"/>
                <w:szCs w:val="20"/>
                <w:color w:val="auto"/>
              </w:rPr>
            </w:pPr>
          </w:p>
        </w:tc>
      </w:tr>
      <w:tr>
        <w:trPr>
          <w:trHeight w:val="221"/>
        </w:trPr>
        <w:tc>
          <w:tcPr>
            <w:tcW w:w="418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 xml:space="preserve">Restructuring and other items </w:t>
            </w:r>
            <w:r>
              <w:rPr>
                <w:rFonts w:ascii="Times New Roman" w:cs="Times New Roman" w:eastAsia="Times New Roman" w:hAnsi="Times New Roman"/>
                <w:sz w:val="22"/>
                <w:szCs w:val="22"/>
                <w:color w:val="auto"/>
                <w:vertAlign w:val="superscript"/>
              </w:rPr>
              <w:t>(7)</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320" w:type="dxa"/>
            <w:vAlign w:val="bottom"/>
            <w:shd w:val="clear" w:color="auto" w:fill="CCEEFF"/>
          </w:tcPr>
          <w:p>
            <w:pPr>
              <w:spacing w:after="0"/>
              <w:rPr>
                <w:sz w:val="19"/>
                <w:szCs w:val="19"/>
                <w:color w:val="auto"/>
              </w:rPr>
            </w:pPr>
          </w:p>
        </w:tc>
      </w:tr>
      <w:tr>
        <w:trPr>
          <w:trHeight w:val="214"/>
        </w:trPr>
        <w:tc>
          <w:tcPr>
            <w:tcW w:w="4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interest and taxes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928.8</w:t>
            </w:r>
          </w:p>
        </w:tc>
        <w:tc>
          <w:tcPr>
            <w:tcW w:w="320" w:type="dxa"/>
            <w:vAlign w:val="bottom"/>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69" w:lineRule="exact"/>
        <w:rPr>
          <w:sz w:val="20"/>
          <w:szCs w:val="20"/>
          <w:color w:val="auto"/>
        </w:rPr>
      </w:pPr>
    </w:p>
    <w:p>
      <w:pPr>
        <w:ind w:left="240" w:hanging="236"/>
        <w:spacing w:after="0"/>
        <w:tabs>
          <w:tab w:leader="none" w:pos="240"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The significant expense categories and amounts align with the segment-level information that is regularly provided to the CODM.</w:t>
      </w:r>
    </w:p>
    <w:p>
      <w:pPr>
        <w:spacing w:after="0" w:line="215" w:lineRule="exact"/>
        <w:rPr>
          <w:rFonts w:ascii="Times New Roman" w:cs="Times New Roman" w:eastAsia="Times New Roman" w:hAnsi="Times New Roman"/>
          <w:sz w:val="23"/>
          <w:szCs w:val="23"/>
          <w:color w:val="auto"/>
          <w:vertAlign w:val="superscript"/>
        </w:rPr>
      </w:pPr>
    </w:p>
    <w:p>
      <w:pPr>
        <w:ind w:left="240" w:right="20" w:hanging="236"/>
        <w:spacing w:after="0"/>
        <w:tabs>
          <w:tab w:leader="none" w:pos="250"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addition to the marketing expenses incurred by the Company’s reportable segments, there was $173.0 million, $173.6 million and $175.9 million of global brand marketing expense, including marketing expenses benefiting the Company’s licensees, recorded in Corporate and other in 2025, 2024 and 2023, respectively. Total marketing expenses incurred by the Company in 2025, 2024 and 2023 were $495.6 million, $480.0 million and $533.9 million, respectively.</w:t>
      </w:r>
    </w:p>
    <w:p>
      <w:pPr>
        <w:spacing w:after="0" w:line="200" w:lineRule="exact"/>
        <w:rPr>
          <w:rFonts w:ascii="Times New Roman" w:cs="Times New Roman" w:eastAsia="Times New Roman" w:hAnsi="Times New Roman"/>
          <w:sz w:val="23"/>
          <w:szCs w:val="23"/>
          <w:color w:val="auto"/>
          <w:vertAlign w:val="superscript"/>
        </w:rPr>
      </w:pPr>
    </w:p>
    <w:p>
      <w:pPr>
        <w:spacing w:after="0" w:line="211" w:lineRule="exact"/>
        <w:rPr>
          <w:rFonts w:ascii="Times New Roman" w:cs="Times New Roman" w:eastAsia="Times New Roman" w:hAnsi="Times New Roman"/>
          <w:sz w:val="23"/>
          <w:szCs w:val="23"/>
          <w:color w:val="auto"/>
          <w:vertAlign w:val="superscript"/>
        </w:rPr>
      </w:pPr>
    </w:p>
    <w:p>
      <w:pPr>
        <w:jc w:val="both"/>
        <w:ind w:left="240" w:right="20" w:hanging="236"/>
        <w:spacing w:after="0" w:line="235" w:lineRule="auto"/>
        <w:tabs>
          <w:tab w:leader="none" w:pos="250"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Other segment items include (i) all other segment SG&amp;A expenses other than marketing expense, including direct and indirect costs to operate the segment’s retail store, digital commerce, licensing and wholesale businesses, warehousing and distribution costs, depreciation and amortization, and other costs, and (ii) equity in net income of unconsolidated affiliates.</w:t>
      </w:r>
    </w:p>
    <w:p>
      <w:pPr>
        <w:spacing w:after="0" w:line="216" w:lineRule="exact"/>
        <w:rPr>
          <w:rFonts w:ascii="Times New Roman" w:cs="Times New Roman" w:eastAsia="Times New Roman" w:hAnsi="Times New Roman"/>
          <w:sz w:val="23"/>
          <w:szCs w:val="23"/>
          <w:color w:val="auto"/>
          <w:vertAlign w:val="superscript"/>
        </w:rPr>
      </w:pPr>
    </w:p>
    <w:p>
      <w:pPr>
        <w:jc w:val="both"/>
        <w:ind w:left="240" w:right="380" w:hanging="236"/>
        <w:spacing w:after="0"/>
        <w:tabs>
          <w:tab w:leader="none" w:pos="250"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Corporate and other includes costs that are not specific to any particular segment, primarily consisting of (i) global brand costs, which include centrally managed marketing, design, and merchandising costs; (ii) corporate expenses, which include centrally managed information technology costs, including network, infrastructure and global systems; expenses for senior corporate management; and expenses for corporate support functions including finance, human resources, legal and information security; and (iii) intangible asset amortization.</w:t>
      </w:r>
    </w:p>
    <w:p>
      <w:pPr>
        <w:spacing w:after="0" w:line="215" w:lineRule="exact"/>
        <w:rPr>
          <w:rFonts w:ascii="Times New Roman" w:cs="Times New Roman" w:eastAsia="Times New Roman" w:hAnsi="Times New Roman"/>
          <w:sz w:val="23"/>
          <w:szCs w:val="23"/>
          <w:color w:val="auto"/>
          <w:vertAlign w:val="superscript"/>
        </w:rPr>
      </w:pPr>
    </w:p>
    <w:p>
      <w:pPr>
        <w:ind w:left="240" w:right="180" w:hanging="236"/>
        <w:spacing w:after="0"/>
        <w:tabs>
          <w:tab w:leader="none" w:pos="250"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Restructuring and other items for 2025 included (i) noncash impairment charges of $479.5 million related to goodwill and other intangible assets discussed further in Note 7, “Goodwill and Other Intangible Assets,” (ii) costs of $93.1 million incurred related to the Growth Driver 5 Actions described in Note 17, “Exit Activity Costs,” consisting principally of severance and (iii) the actuarial gain of $12.7 million on the Company’s Pension Plans, SERP Plans and Postretirement Plans described in Note 12, “Retirement and Benefit Plans.”</w:t>
      </w:r>
    </w:p>
    <w:p>
      <w:pPr>
        <w:spacing w:after="0" w:line="215" w:lineRule="exact"/>
        <w:rPr>
          <w:rFonts w:ascii="Times New Roman" w:cs="Times New Roman" w:eastAsia="Times New Roman" w:hAnsi="Times New Roman"/>
          <w:sz w:val="23"/>
          <w:szCs w:val="23"/>
          <w:color w:val="auto"/>
          <w:vertAlign w:val="superscript"/>
        </w:rPr>
      </w:pPr>
    </w:p>
    <w:p>
      <w:pPr>
        <w:ind w:left="240" w:hanging="236"/>
        <w:spacing w:after="0" w:line="245" w:lineRule="auto"/>
        <w:tabs>
          <w:tab w:leader="none" w:pos="250"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Restructuring and other items for 2024 included (i) costs of $50.7 million incurred in connection with an amendment to Mr. Tommy Hilfiger’s employment agreement pursuant to which the Company made a cash buyout of a portion of the future payment obligations, (ii) the actuarial loss of $28.2 million on the Company’s Pension Plans, SERP Plans and Postretirement Plans described in Note 12, “Retirement and Benefit Plans,” (iii) net costs of $24.0 million incurred related to the Growth Driver 5 Actions described in Note 17, “Exit Activity Costs,” consisting principally of severance and a gain in connection with the sale of a warehouse and distribution center and (iv) a gain of $10.0 million in connection with the Heritage Brands intimates transaction discussed further in Note 4, “Divestitures.”</w:t>
      </w:r>
    </w:p>
    <w:p>
      <w:pPr>
        <w:spacing w:after="0" w:line="215" w:lineRule="exact"/>
        <w:rPr>
          <w:rFonts w:ascii="Times New Roman" w:cs="Times New Roman" w:eastAsia="Times New Roman" w:hAnsi="Times New Roman"/>
          <w:sz w:val="23"/>
          <w:szCs w:val="23"/>
          <w:color w:val="auto"/>
          <w:vertAlign w:val="superscript"/>
        </w:rPr>
      </w:pPr>
    </w:p>
    <w:p>
      <w:pPr>
        <w:ind w:left="240" w:right="160" w:hanging="236"/>
        <w:spacing w:after="0" w:line="243" w:lineRule="auto"/>
        <w:tabs>
          <w:tab w:leader="none" w:pos="250"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Restructuring and other items for 2023 included (i) net costs of $61.3 million related to the 2022 cost savings initiative described in Note 17, “Exit Activity Costs,” consisting principally of severance, (ii) the actuarial gain of $45.5 million on the Company’s Pension Plans, SERP Plans and Postretirement Plans described Note 12, “Retirement and Benefit Plans” and (iii) an aggregate net gain of $13.5 million in connection with the Heritage Brands intimates transaction, consisting of a $15.3 million gain, including a gain on the sale, less costs to sell described in Note 4, “Divestitures,” partially offset by $1.8 million of severance and other termination benefits.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045" w:right="399" w:bottom="1440" w:gutter="0" w:footer="0" w:header="0"/>
        </w:sectPr>
      </w:pPr>
    </w:p>
    <w:bookmarkStart w:id="120" w:name="page121"/>
    <w:bookmarkEnd w:id="120"/>
    <w:p>
      <w:pPr>
        <w:ind w:left="400"/>
        <w:spacing w:after="0"/>
        <w:rPr>
          <w:sz w:val="20"/>
          <w:szCs w:val="20"/>
          <w:color w:val="auto"/>
        </w:rPr>
      </w:pPr>
      <w:r>
        <w:rPr>
          <w:rFonts w:ascii="Times New Roman" w:cs="Times New Roman" w:eastAsia="Times New Roman" w:hAnsi="Times New Roman"/>
          <w:sz w:val="17"/>
          <w:szCs w:val="17"/>
          <w:color w:val="auto"/>
        </w:rPr>
        <w:t>Additional reportable segment information for the Company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color w:val="auto"/>
              </w:rPr>
              <w:t>2025</w:t>
            </w:r>
          </w:p>
        </w:tc>
        <w:tc>
          <w:tcPr>
            <w:tcW w:w="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color w:val="auto"/>
              </w:rPr>
              <w:t>2024</w:t>
            </w:r>
          </w:p>
        </w:tc>
        <w:tc>
          <w:tcPr>
            <w:tcW w:w="2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color w:val="auto"/>
              </w:rPr>
              <w:t>2023</w:t>
            </w:r>
          </w:p>
        </w:tc>
      </w:tr>
      <w:tr>
        <w:trPr>
          <w:trHeight w:val="201"/>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14"/>
        </w:trPr>
        <w:tc>
          <w:tcPr>
            <w:tcW w:w="46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EMEA</w:t>
            </w:r>
          </w:p>
        </w:tc>
        <w:tc>
          <w:tcPr>
            <w:tcW w:w="140" w:type="dxa"/>
            <w:vAlign w:val="bottom"/>
          </w:tcPr>
          <w:p>
            <w:pPr>
              <w:spacing w:after="0"/>
              <w:rPr>
                <w:sz w:val="18"/>
                <w:szCs w:val="18"/>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800" w:type="dxa"/>
            <w:vAlign w:val="bottom"/>
            <w:gridSpan w:val="2"/>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123.2</w:t>
            </w:r>
          </w:p>
        </w:tc>
        <w:tc>
          <w:tcPr>
            <w:tcW w:w="280" w:type="dxa"/>
            <w:vAlign w:val="bottom"/>
          </w:tcPr>
          <w:p>
            <w:pPr>
              <w:spacing w:after="0"/>
              <w:rPr>
                <w:sz w:val="18"/>
                <w:szCs w:val="18"/>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w:t>
            </w:r>
          </w:p>
        </w:tc>
      </w:tr>
      <w:tr>
        <w:trPr>
          <w:trHeight w:val="221"/>
        </w:trPr>
        <w:tc>
          <w:tcPr>
            <w:tcW w:w="4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Americas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r>
      <w:tr>
        <w:trPr>
          <w:trHeight w:val="221"/>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APAC</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w:t>
            </w:r>
          </w:p>
        </w:tc>
      </w:tr>
      <w:tr>
        <w:trPr>
          <w:trHeight w:val="221"/>
        </w:trPr>
        <w:tc>
          <w:tcPr>
            <w:tcW w:w="4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 and other</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w:t>
            </w: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r>
      <w:tr>
        <w:trPr>
          <w:trHeight w:val="221"/>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Restructuring and other items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340" w:type="dxa"/>
            <w:vAlign w:val="bottom"/>
          </w:tcPr>
          <w:p>
            <w:pPr>
              <w:jc w:val="right"/>
              <w:ind w:right="28"/>
              <w:spacing w:after="0"/>
              <w:rPr>
                <w:sz w:val="20"/>
                <w:szCs w:val="20"/>
                <w:color w:val="auto"/>
              </w:rPr>
            </w:pPr>
            <w:r>
              <w:rPr>
                <w:rFonts w:ascii="Times New Roman" w:cs="Times New Roman" w:eastAsia="Times New Roman" w:hAnsi="Times New Roman"/>
                <w:sz w:val="11"/>
                <w:szCs w:val="11"/>
                <w:color w:val="auto"/>
              </w:rPr>
              <w:t>(1)</w:t>
            </w:r>
          </w:p>
        </w:tc>
        <w:tc>
          <w:tcPr>
            <w:tcW w:w="46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47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46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272.3</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282.2</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40" w:hanging="236"/>
        <w:spacing w:after="0"/>
        <w:tabs>
          <w:tab w:leader="none" w:pos="24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Restructuring and other items for 2025 included accelerated depreciation related to the Growth Driver 5 Actions described in Note 17, “Exit Activity Costs.”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Pr>
          <w:p>
            <w:pPr>
              <w:spacing w:after="0"/>
              <w:rPr>
                <w:sz w:val="19"/>
                <w:szCs w:val="19"/>
                <w:color w:val="auto"/>
              </w:rPr>
            </w:pPr>
          </w:p>
        </w:tc>
      </w:tr>
      <w:tr>
        <w:trPr>
          <w:trHeight w:val="201"/>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net income of unconsolidated affiliates</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14"/>
        </w:trPr>
        <w:tc>
          <w:tcPr>
            <w:tcW w:w="47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Americas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240" w:type="dxa"/>
            <w:vAlign w:val="bottom"/>
          </w:tcPr>
          <w:p>
            <w:pPr>
              <w:spacing w:after="0"/>
              <w:rPr>
                <w:sz w:val="18"/>
                <w:szCs w:val="18"/>
                <w:color w:val="auto"/>
              </w:rPr>
            </w:pPr>
          </w:p>
        </w:tc>
      </w:tr>
      <w:tr>
        <w:trPr>
          <w:trHeight w:val="221"/>
        </w:trPr>
        <w:tc>
          <w:tcPr>
            <w:tcW w:w="4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APAC</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40" w:type="dxa"/>
            <w:vAlign w:val="bottom"/>
          </w:tcPr>
          <w:p>
            <w:pPr>
              <w:spacing w:after="0"/>
              <w:rPr>
                <w:sz w:val="19"/>
                <w:szCs w:val="19"/>
                <w:color w:val="auto"/>
              </w:rPr>
            </w:pPr>
          </w:p>
        </w:tc>
      </w:tr>
      <w:tr>
        <w:trPr>
          <w:trHeight w:val="214"/>
        </w:trPr>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2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24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34"/>
        </w:trPr>
        <w:tc>
          <w:tcPr>
            <w:tcW w:w="4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Borders>
              <w:bottom w:val="single" w:sz="8" w:color="auto"/>
            </w:tcBorders>
          </w:tcPr>
          <w:p>
            <w:pPr>
              <w:spacing w:after="0"/>
              <w:rPr>
                <w:sz w:val="24"/>
                <w:szCs w:val="24"/>
                <w:color w:val="auto"/>
              </w:rPr>
            </w:pPr>
          </w:p>
        </w:tc>
      </w:tr>
      <w:tr>
        <w:trPr>
          <w:trHeight w:val="201"/>
        </w:trPr>
        <w:tc>
          <w:tcPr>
            <w:tcW w:w="4840" w:type="dxa"/>
            <w:vAlign w:val="bottom"/>
            <w:gridSpan w:val="3"/>
            <w:shd w:val="clear" w:color="auto" w:fill="CCEEFF"/>
          </w:tcPr>
          <w:p>
            <w:pPr>
              <w:ind w:left="20"/>
              <w:spacing w:after="0" w:line="201" w:lineRule="exact"/>
              <w:rPr>
                <w:sz w:val="20"/>
                <w:szCs w:val="20"/>
                <w:color w:val="auto"/>
              </w:rPr>
            </w:pPr>
            <w:r>
              <w:rPr>
                <w:rFonts w:ascii="Times New Roman" w:cs="Times New Roman" w:eastAsia="Times New Roman" w:hAnsi="Times New Roman"/>
                <w:sz w:val="17"/>
                <w:szCs w:val="17"/>
                <w:color w:val="auto"/>
              </w:rPr>
              <w:t xml:space="preserve">Inventories, net </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4"/>
        </w:trPr>
        <w:tc>
          <w:tcPr>
            <w:tcW w:w="48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EMEA</w:t>
            </w:r>
          </w:p>
        </w:tc>
        <w:tc>
          <w:tcPr>
            <w:tcW w:w="40" w:type="dxa"/>
            <w:vAlign w:val="bottom"/>
          </w:tcPr>
          <w:p>
            <w:pPr>
              <w:spacing w:after="0"/>
              <w:rPr>
                <w:sz w:val="18"/>
                <w:szCs w:val="18"/>
                <w:color w:val="auto"/>
              </w:rPr>
            </w:pPr>
          </w:p>
        </w:tc>
        <w:tc>
          <w:tcPr>
            <w:tcW w:w="520" w:type="dxa"/>
            <w:vAlign w:val="bottom"/>
            <w:gridSpan w:val="2"/>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826.4</w:t>
            </w:r>
          </w:p>
        </w:tc>
        <w:tc>
          <w:tcPr>
            <w:tcW w:w="520" w:type="dxa"/>
            <w:vAlign w:val="bottom"/>
            <w:gridSpan w:val="2"/>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783.7</w:t>
            </w:r>
          </w:p>
        </w:tc>
        <w:tc>
          <w:tcPr>
            <w:tcW w:w="560" w:type="dxa"/>
            <w:vAlign w:val="bottom"/>
            <w:gridSpan w:val="3"/>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745.8</w:t>
            </w:r>
          </w:p>
        </w:tc>
      </w:tr>
      <w:tr>
        <w:trPr>
          <w:trHeight w:val="221"/>
        </w:trPr>
        <w:tc>
          <w:tcPr>
            <w:tcW w:w="48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Americas</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492.7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475.1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410.8</w:t>
            </w:r>
          </w:p>
        </w:tc>
      </w:tr>
      <w:tr>
        <w:trPr>
          <w:trHeight w:val="221"/>
        </w:trPr>
        <w:tc>
          <w:tcPr>
            <w:tcW w:w="484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7"/>
                <w:szCs w:val="17"/>
                <w:color w:val="auto"/>
              </w:rPr>
              <w:t>APAC</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264.4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249.9</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263.1</w:t>
            </w:r>
          </w:p>
        </w:tc>
      </w:tr>
      <w:tr>
        <w:trPr>
          <w:trHeight w:val="214"/>
        </w:trPr>
        <w:tc>
          <w:tcPr>
            <w:tcW w:w="4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inventories, net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1,583.5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1,508.7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1,419.7</w:t>
            </w:r>
          </w:p>
        </w:tc>
      </w:tr>
      <w:tr>
        <w:trPr>
          <w:trHeight w:val="221"/>
        </w:trPr>
        <w:tc>
          <w:tcPr>
            <w:tcW w:w="4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All other assets</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10,097.5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9,524.5</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9,753.2</w:t>
            </w:r>
          </w:p>
        </w:tc>
      </w:tr>
      <w:tr>
        <w:trPr>
          <w:trHeight w:val="239"/>
        </w:trPr>
        <w:tc>
          <w:tcPr>
            <w:tcW w:w="4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11,681.0</w:t>
            </w: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11,033.2</w:t>
            </w: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11,172.9</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400" w:right="4280" w:hanging="396"/>
        <w:spacing w:after="0" w:line="336" w:lineRule="auto"/>
        <w:tabs>
          <w:tab w:leader="none" w:pos="253"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Inventories, net includes the impact of changes in foreign currency exchange rates. Intersegment transactions, which primarily consist of transfers of inventory, were not material.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Revenue by Brand</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Company’s revenue by brand was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420" w:type="dxa"/>
            <w:vAlign w:val="bottom"/>
          </w:tcPr>
          <w:p>
            <w:pPr>
              <w:spacing w:after="0"/>
              <w:rPr>
                <w:sz w:val="12"/>
                <w:szCs w:val="12"/>
                <w:color w:val="auto"/>
              </w:rPr>
            </w:pPr>
          </w:p>
        </w:tc>
        <w:tc>
          <w:tcPr>
            <w:tcW w:w="140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auto"/>
              </w:rPr>
              <w:t>2025</w:t>
            </w:r>
          </w:p>
        </w:tc>
        <w:tc>
          <w:tcPr>
            <w:tcW w:w="3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w:t>
            </w:r>
          </w:p>
        </w:tc>
        <w:tc>
          <w:tcPr>
            <w:tcW w:w="400" w:type="dxa"/>
            <w:vAlign w:val="bottom"/>
          </w:tcPr>
          <w:p>
            <w:pPr>
              <w:spacing w:after="0"/>
              <w:rPr>
                <w:sz w:val="12"/>
                <w:szCs w:val="12"/>
                <w:color w:val="auto"/>
              </w:rPr>
            </w:pPr>
          </w:p>
        </w:tc>
        <w:tc>
          <w:tcPr>
            <w:tcW w:w="140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w:t>
            </w:r>
          </w:p>
        </w:tc>
        <w:tc>
          <w:tcPr>
            <w:tcW w:w="4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09"/>
        </w:trPr>
        <w:tc>
          <w:tcPr>
            <w:tcW w:w="4800" w:type="dxa"/>
            <w:vAlign w:val="bottom"/>
            <w:tcBorders>
              <w:bottom w:val="single" w:sz="8" w:color="CCEEFF"/>
            </w:tcBorders>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Tommy Hilfiger</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4,770.9</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4,589.7</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4,824.6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Calvin Klein</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3,964.0</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3,856.7</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3,914.5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Heritage Brands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215.3</w:t>
            </w:r>
          </w:p>
        </w:tc>
        <w:tc>
          <w:tcPr>
            <w:tcW w:w="3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w:t>
            </w:r>
          </w:p>
        </w:tc>
        <w:tc>
          <w:tcPr>
            <w:tcW w:w="3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478.6</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8,950.2</w:t>
            </w:r>
          </w:p>
        </w:tc>
        <w:tc>
          <w:tcPr>
            <w:tcW w:w="34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8,652.9</w:t>
            </w:r>
          </w:p>
        </w:tc>
        <w:tc>
          <w:tcPr>
            <w:tcW w:w="34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9,217.7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240" w:hanging="236"/>
        <w:spacing w:after="0"/>
        <w:tabs>
          <w:tab w:leader="none" w:pos="24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Revenue was impacted by fluctuations of the United States dollar against foreign currencies in which the Company transacts significant levels of business.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58" w:lineRule="exact"/>
        <w:rPr>
          <w:rFonts w:ascii="Times New Roman" w:cs="Times New Roman" w:eastAsia="Times New Roman" w:hAnsi="Times New Roman"/>
          <w:sz w:val="23"/>
          <w:szCs w:val="23"/>
          <w:color w:val="auto"/>
          <w:vertAlign w:val="superscript"/>
        </w:rPr>
      </w:pPr>
    </w:p>
    <w:p>
      <w:pPr>
        <w:ind w:left="54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auto"/>
        </w:rPr>
        <w:t>Revenue by Distribution Channel</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Company’s revenue by distribution channel was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420" w:type="dxa"/>
            <w:vAlign w:val="bottom"/>
          </w:tcPr>
          <w:p>
            <w:pPr>
              <w:spacing w:after="0"/>
              <w:rPr>
                <w:sz w:val="12"/>
                <w:szCs w:val="12"/>
                <w:color w:val="auto"/>
              </w:rPr>
            </w:pPr>
          </w:p>
        </w:tc>
        <w:tc>
          <w:tcPr>
            <w:tcW w:w="136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auto"/>
              </w:rPr>
              <w:t>2025</w:t>
            </w:r>
          </w:p>
        </w:tc>
        <w:tc>
          <w:tcPr>
            <w:tcW w:w="3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640" w:type="dxa"/>
            <w:vAlign w:val="bottom"/>
          </w:tcPr>
          <w:p>
            <w:pPr>
              <w:spacing w:after="0"/>
              <w:rPr>
                <w:sz w:val="12"/>
                <w:szCs w:val="12"/>
                <w:color w:val="auto"/>
              </w:rPr>
            </w:pPr>
          </w:p>
        </w:tc>
        <w:tc>
          <w:tcPr>
            <w:tcW w:w="34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rPr>
              <w:t>(1)</w:t>
            </w:r>
          </w:p>
        </w:tc>
        <w:tc>
          <w:tcPr>
            <w:tcW w:w="4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09"/>
        </w:trPr>
        <w:tc>
          <w:tcPr>
            <w:tcW w:w="4880" w:type="dxa"/>
            <w:vAlign w:val="bottom"/>
            <w:tcBorders>
              <w:bottom w:val="single" w:sz="8" w:color="CCEEFF"/>
            </w:tcBorders>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Wholesale revenue</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4,406.8</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4,130.9</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4,577.7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48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Owned and operated retail stores</w:t>
            </w: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3,350.5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3,348.9</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3,399.8</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Owned and operated digital commerce sites</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771.7</w:t>
            </w:r>
          </w:p>
        </w:tc>
        <w:tc>
          <w:tcPr>
            <w:tcW w:w="3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745.4</w:t>
            </w:r>
          </w:p>
        </w:tc>
        <w:tc>
          <w:tcPr>
            <w:tcW w:w="3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797.3</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 revenue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4,122.2</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4,094.3</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4,197.1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4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Licensing revenue</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421.2</w:t>
            </w:r>
          </w:p>
        </w:tc>
        <w:tc>
          <w:tcPr>
            <w:tcW w:w="3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427.7</w:t>
            </w:r>
          </w:p>
        </w:tc>
        <w:tc>
          <w:tcPr>
            <w:tcW w:w="3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442.9</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80" w:type="dxa"/>
            <w:vAlign w:val="bottom"/>
          </w:tcPr>
          <w:p>
            <w:pPr>
              <w:ind w:left="180"/>
              <w:spacing w:after="0" w:line="214" w:lineRule="exact"/>
              <w:rPr>
                <w:sz w:val="20"/>
                <w:szCs w:val="20"/>
                <w:color w:val="auto"/>
              </w:rPr>
            </w:pPr>
            <w:r>
              <w:rPr>
                <w:rFonts w:ascii="Times New Roman" w:cs="Times New Roman" w:eastAsia="Times New Roman" w:hAnsi="Times New Roman"/>
                <w:sz w:val="17"/>
                <w:szCs w:val="17"/>
                <w:color w:val="auto"/>
              </w:rPr>
              <w:t xml:space="preserve">Total </w:t>
            </w:r>
            <w:r>
              <w:rPr>
                <w:rFonts w:ascii="Times New Roman" w:cs="Times New Roman" w:eastAsia="Times New Roman" w:hAnsi="Times New Roman"/>
                <w:sz w:val="22"/>
                <w:szCs w:val="22"/>
                <w:color w:val="auto"/>
                <w:vertAlign w:val="superscript"/>
              </w:rPr>
              <w:t>(2)</w:t>
            </w: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8,950.2</w:t>
            </w:r>
          </w:p>
        </w:tc>
        <w:tc>
          <w:tcPr>
            <w:tcW w:w="340" w:type="dxa"/>
            <w:vAlign w:val="bottom"/>
          </w:tcPr>
          <w:p>
            <w:pPr>
              <w:spacing w:after="0"/>
              <w:rPr>
                <w:sz w:val="18"/>
                <w:szCs w:val="18"/>
                <w:color w:val="auto"/>
              </w:rPr>
            </w:pP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8,652.9</w:t>
            </w:r>
          </w:p>
        </w:tc>
        <w:tc>
          <w:tcPr>
            <w:tcW w:w="34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9,217.7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240" w:hanging="236"/>
        <w:spacing w:after="0"/>
        <w:tabs>
          <w:tab w:leader="none" w:pos="24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Revenue was impacted by fluctuations of the United States dollar against foreign currencies in which the Company transacts significant levels of business.</w:t>
      </w:r>
    </w:p>
    <w:p>
      <w:pPr>
        <w:spacing w:after="0" w:line="67" w:lineRule="exact"/>
        <w:rPr>
          <w:rFonts w:ascii="Times New Roman" w:cs="Times New Roman" w:eastAsia="Times New Roman" w:hAnsi="Times New Roman"/>
          <w:sz w:val="23"/>
          <w:szCs w:val="23"/>
          <w:color w:val="auto"/>
          <w:vertAlign w:val="superscript"/>
        </w:rPr>
      </w:pPr>
    </w:p>
    <w:p>
      <w:pPr>
        <w:ind w:left="240" w:hanging="236"/>
        <w:spacing w:after="0" w:line="210" w:lineRule="auto"/>
        <w:tabs>
          <w:tab w:leader="none" w:pos="24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No single customer accounted for more than 5% of the Company’s revenue in 2025, 2024 or 2023.</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has not disclosed revenue by product category as it is impracticable to do so.</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Geographic Region Data</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Property, plant and equipment, net based on the location where such assets are held, was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120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auto"/>
              </w:rPr>
              <w:t>2025</w:t>
            </w:r>
          </w:p>
        </w:tc>
        <w:tc>
          <w:tcPr>
            <w:tcW w:w="580" w:type="dxa"/>
            <w:vAlign w:val="bottom"/>
          </w:tcPr>
          <w:p>
            <w:pPr>
              <w:spacing w:after="0"/>
              <w:rPr>
                <w:sz w:val="12"/>
                <w:szCs w:val="12"/>
                <w:color w:val="auto"/>
              </w:rPr>
            </w:pPr>
          </w:p>
        </w:tc>
        <w:tc>
          <w:tcPr>
            <w:tcW w:w="3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(1)</w:t>
            </w:r>
          </w:p>
        </w:tc>
        <w:tc>
          <w:tcPr>
            <w:tcW w:w="120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auto"/>
              </w:rPr>
              <w:t>2024</w:t>
            </w:r>
          </w:p>
        </w:tc>
        <w:tc>
          <w:tcPr>
            <w:tcW w:w="580" w:type="dxa"/>
            <w:vAlign w:val="bottom"/>
          </w:tcPr>
          <w:p>
            <w:pPr>
              <w:spacing w:after="0"/>
              <w:rPr>
                <w:sz w:val="12"/>
                <w:szCs w:val="12"/>
                <w:color w:val="auto"/>
              </w:rPr>
            </w:pPr>
          </w:p>
        </w:tc>
        <w:tc>
          <w:tcPr>
            <w:tcW w:w="34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(1)</w:t>
            </w:r>
          </w:p>
        </w:tc>
        <w:tc>
          <w:tcPr>
            <w:tcW w:w="420" w:type="dxa"/>
            <w:vAlign w:val="bottom"/>
          </w:tcPr>
          <w:p>
            <w:pPr>
              <w:spacing w:after="0"/>
              <w:rPr>
                <w:sz w:val="12"/>
                <w:szCs w:val="12"/>
                <w:color w:val="auto"/>
              </w:rPr>
            </w:pPr>
          </w:p>
        </w:tc>
        <w:tc>
          <w:tcPr>
            <w:tcW w:w="78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color w:val="auto"/>
              </w:rPr>
              <w:t>2023</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96"/>
        </w:trPr>
        <w:tc>
          <w:tcPr>
            <w:tcW w:w="4880" w:type="dxa"/>
            <w:vAlign w:val="bottom"/>
            <w:tcBorders>
              <w:bottom w:val="single" w:sz="8" w:color="CCEEFF"/>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4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EMEA</w:t>
            </w:r>
          </w:p>
        </w:tc>
        <w:tc>
          <w:tcPr>
            <w:tcW w:w="120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351.3</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80" w:type="dxa"/>
            <w:vAlign w:val="bottom"/>
          </w:tcPr>
          <w:p>
            <w:pPr>
              <w:ind w:left="460"/>
              <w:spacing w:after="0" w:line="221" w:lineRule="exact"/>
              <w:rPr>
                <w:sz w:val="20"/>
                <w:szCs w:val="20"/>
                <w:color w:val="auto"/>
              </w:rPr>
            </w:pPr>
            <w:r>
              <w:rPr>
                <w:rFonts w:ascii="Times New Roman" w:cs="Times New Roman" w:eastAsia="Times New Roman" w:hAnsi="Times New Roman"/>
                <w:sz w:val="17"/>
                <w:szCs w:val="17"/>
                <w:color w:val="auto"/>
              </w:rPr>
              <w:t xml:space="preserve">Americas </w:t>
            </w:r>
            <w:r>
              <w:rPr>
                <w:rFonts w:ascii="Times New Roman" w:cs="Times New Roman" w:eastAsia="Times New Roman" w:hAnsi="Times New Roman"/>
                <w:sz w:val="22"/>
                <w:szCs w:val="22"/>
                <w:color w:val="auto"/>
                <w:vertAlign w:val="superscript"/>
              </w:rPr>
              <w:t>(2)</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296.2</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343.9</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APAC</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w:t>
            </w:r>
          </w:p>
        </w:tc>
        <w:tc>
          <w:tcPr>
            <w:tcW w:w="34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3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w:t>
            </w:r>
          </w:p>
        </w:tc>
        <w:tc>
          <w:tcPr>
            <w:tcW w:w="120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673.3</w:t>
            </w:r>
          </w:p>
        </w:tc>
        <w:tc>
          <w:tcPr>
            <w:tcW w:w="340" w:type="dxa"/>
            <w:vAlign w:val="bottom"/>
          </w:tcPr>
          <w:p>
            <w:pPr>
              <w:spacing w:after="0"/>
              <w:rPr>
                <w:sz w:val="18"/>
                <w:szCs w:val="18"/>
                <w:color w:val="auto"/>
              </w:rPr>
            </w:pPr>
          </w:p>
        </w:tc>
        <w:tc>
          <w:tcPr>
            <w:tcW w:w="120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741.0</w:t>
            </w:r>
          </w:p>
        </w:tc>
        <w:tc>
          <w:tcPr>
            <w:tcW w:w="34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240" w:hanging="236"/>
        <w:spacing w:after="0"/>
        <w:tabs>
          <w:tab w:leader="none" w:pos="240"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Property, plant and equipment, net included the impact of changes in foreign currency exchange rates.</w:t>
      </w:r>
    </w:p>
    <w:p>
      <w:pPr>
        <w:spacing w:after="0" w:line="67" w:lineRule="exact"/>
        <w:rPr>
          <w:rFonts w:ascii="Times New Roman" w:cs="Times New Roman" w:eastAsia="Times New Roman" w:hAnsi="Times New Roman"/>
          <w:sz w:val="23"/>
          <w:szCs w:val="23"/>
          <w:color w:val="auto"/>
          <w:vertAlign w:val="superscript"/>
        </w:rPr>
      </w:pPr>
    </w:p>
    <w:p>
      <w:pPr>
        <w:ind w:left="240" w:hanging="236"/>
        <w:spacing w:after="0" w:line="198" w:lineRule="auto"/>
        <w:tabs>
          <w:tab w:leader="none" w:pos="240"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domestic property, plant and equipment, net of $253.9 million, $287.7 million and $333.6 million in 2025, 2024 and 2023, respectively.</w:t>
      </w:r>
    </w:p>
    <w:p>
      <w:pPr>
        <w:spacing w:after="0" w:line="3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Revenue, based on location of origin, was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420" w:type="dxa"/>
            <w:vAlign w:val="bottom"/>
          </w:tcPr>
          <w:p>
            <w:pPr>
              <w:spacing w:after="0"/>
              <w:rPr>
                <w:sz w:val="12"/>
                <w:szCs w:val="12"/>
                <w:color w:val="auto"/>
              </w:rPr>
            </w:pPr>
          </w:p>
        </w:tc>
        <w:tc>
          <w:tcPr>
            <w:tcW w:w="138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w w:val="93"/>
              </w:rPr>
              <w:t>(1)</w:t>
            </w:r>
          </w:p>
        </w:tc>
        <w:tc>
          <w:tcPr>
            <w:tcW w:w="420" w:type="dxa"/>
            <w:vAlign w:val="bottom"/>
          </w:tcPr>
          <w:p>
            <w:pPr>
              <w:spacing w:after="0"/>
              <w:rPr>
                <w:sz w:val="12"/>
                <w:szCs w:val="12"/>
                <w:color w:val="auto"/>
              </w:rPr>
            </w:pPr>
          </w:p>
        </w:tc>
        <w:tc>
          <w:tcPr>
            <w:tcW w:w="138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93"/>
              </w:rPr>
              <w:t>(1)</w:t>
            </w:r>
          </w:p>
        </w:tc>
        <w:tc>
          <w:tcPr>
            <w:tcW w:w="4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09"/>
        </w:trPr>
        <w:tc>
          <w:tcPr>
            <w:tcW w:w="4860" w:type="dxa"/>
            <w:vAlign w:val="bottom"/>
            <w:tcBorders>
              <w:bottom w:val="single" w:sz="8" w:color="CCEEFF"/>
            </w:tcBorders>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32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4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EMEA</w:t>
            </w: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4,342.5</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4,124.8</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4,378.6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60" w:type="dxa"/>
            <w:vAlign w:val="bottom"/>
          </w:tcPr>
          <w:p>
            <w:pPr>
              <w:ind w:left="460"/>
              <w:spacing w:after="0" w:line="221" w:lineRule="exact"/>
              <w:rPr>
                <w:sz w:val="20"/>
                <w:szCs w:val="20"/>
                <w:color w:val="auto"/>
              </w:rPr>
            </w:pPr>
            <w:r>
              <w:rPr>
                <w:rFonts w:ascii="Times New Roman" w:cs="Times New Roman" w:eastAsia="Times New Roman" w:hAnsi="Times New Roman"/>
                <w:sz w:val="17"/>
                <w:szCs w:val="17"/>
                <w:color w:val="auto"/>
              </w:rPr>
              <w:t xml:space="preserve">Americas </w:t>
            </w:r>
            <w:r>
              <w:rPr>
                <w:rFonts w:ascii="Times New Roman" w:cs="Times New Roman" w:eastAsia="Times New Roman" w:hAnsi="Times New Roman"/>
                <w:sz w:val="22"/>
                <w:szCs w:val="22"/>
                <w:color w:val="auto"/>
                <w:vertAlign w:val="superscript"/>
              </w:rPr>
              <w:t>(2)</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3,058.7</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2,910.6</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3,195.6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APAC</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1,549.0</w:t>
            </w:r>
          </w:p>
        </w:tc>
        <w:tc>
          <w:tcPr>
            <w:tcW w:w="3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1,617.5</w:t>
            </w:r>
          </w:p>
        </w:tc>
        <w:tc>
          <w:tcPr>
            <w:tcW w:w="3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1,643.5</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8,950.2</w:t>
            </w:r>
          </w:p>
        </w:tc>
        <w:tc>
          <w:tcPr>
            <w:tcW w:w="320" w:type="dxa"/>
            <w:vAlign w:val="bottom"/>
          </w:tcPr>
          <w:p>
            <w:pPr>
              <w:spacing w:after="0"/>
              <w:rPr>
                <w:sz w:val="18"/>
                <w:szCs w:val="18"/>
                <w:color w:val="auto"/>
              </w:rPr>
            </w:pP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8,652.9</w:t>
            </w:r>
          </w:p>
        </w:tc>
        <w:tc>
          <w:tcPr>
            <w:tcW w:w="34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9,217.7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240" w:hanging="236"/>
        <w:spacing w:after="0"/>
        <w:tabs>
          <w:tab w:leader="none" w:pos="240"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Revenue was impacted by fluctuations of the United States dollar against foreign currencies in which the Company transacts significant levels of business.</w:t>
      </w:r>
    </w:p>
    <w:p>
      <w:pPr>
        <w:spacing w:after="0" w:line="72" w:lineRule="exact"/>
        <w:rPr>
          <w:rFonts w:ascii="Times New Roman" w:cs="Times New Roman" w:eastAsia="Times New Roman" w:hAnsi="Times New Roman"/>
          <w:sz w:val="23"/>
          <w:szCs w:val="23"/>
          <w:color w:val="auto"/>
          <w:vertAlign w:val="superscript"/>
        </w:rPr>
      </w:pPr>
    </w:p>
    <w:p>
      <w:pPr>
        <w:ind w:left="240" w:right="20" w:hanging="236"/>
        <w:spacing w:after="0" w:line="226" w:lineRule="auto"/>
        <w:tabs>
          <w:tab w:leader="none" w:pos="250"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domestic revenue of $2,580.9 million, $2,473.7 million and $2,715.1 million in 2025, 2024 and 2023, respectively. Domestic revenue was negatively impacted following the completion of the Heritage Brands intimates transaction in the fourth quarter of 2023.</w:t>
      </w:r>
    </w:p>
    <w:p>
      <w:pPr>
        <w:spacing w:after="0" w:line="31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21.</w:t>
        <w:tab/>
        <w:t>GUARANTEES</w:t>
      </w:r>
    </w:p>
    <w:p>
      <w:pPr>
        <w:spacing w:after="0" w:line="249" w:lineRule="exact"/>
        <w:rPr>
          <w:sz w:val="20"/>
          <w:szCs w:val="20"/>
          <w:color w:val="auto"/>
        </w:rPr>
      </w:pPr>
    </w:p>
    <w:p>
      <w:pPr>
        <w:jc w:val="both"/>
        <w:ind w:firstLine="390"/>
        <w:spacing w:after="0" w:line="274" w:lineRule="auto"/>
        <w:rPr>
          <w:sz w:val="20"/>
          <w:szCs w:val="20"/>
          <w:color w:val="auto"/>
        </w:rPr>
      </w:pPr>
      <w:r>
        <w:rPr>
          <w:rFonts w:ascii="Times New Roman" w:cs="Times New Roman" w:eastAsia="Times New Roman" w:hAnsi="Times New Roman"/>
          <w:sz w:val="17"/>
          <w:szCs w:val="17"/>
          <w:color w:val="auto"/>
        </w:rPr>
        <w:t xml:space="preserve">The Company has guaranteed a portion of the debt of its joint venture in India. The maximum amount guaranteed as of February 1, 2026 was approximately $5.4 million based on exchange rates in effect on that date. </w:t>
      </w:r>
      <w:r>
        <w:rPr>
          <w:rFonts w:ascii="Times New Roman" w:cs="Times New Roman" w:eastAsia="Times New Roman" w:hAnsi="Times New Roman"/>
          <w:sz w:val="17"/>
          <w:szCs w:val="17"/>
          <w:color w:val="010202"/>
        </w:rPr>
        <w:t>The guarantee is in effect for the entire term of the debt. The liability for this guarantee obligation was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10202"/>
        </w:rPr>
        <w:t xml:space="preserve">immaterial as of </w:t>
      </w:r>
      <w:r>
        <w:rPr>
          <w:rFonts w:ascii="Times New Roman" w:cs="Times New Roman" w:eastAsia="Times New Roman" w:hAnsi="Times New Roman"/>
          <w:sz w:val="17"/>
          <w:szCs w:val="17"/>
          <w:color w:val="000000"/>
        </w:rPr>
        <w:t>February 1, 2026</w:t>
      </w:r>
      <w:r>
        <w:rPr>
          <w:rFonts w:ascii="Times New Roman" w:cs="Times New Roman" w:eastAsia="Times New Roman" w:hAnsi="Times New Roman"/>
          <w:sz w:val="17"/>
          <w:szCs w:val="17"/>
          <w:color w:val="010202"/>
        </w:rPr>
        <w:t xml:space="preserve"> and </w:t>
      </w:r>
      <w:r>
        <w:rPr>
          <w:rFonts w:ascii="Times New Roman" w:cs="Times New Roman" w:eastAsia="Times New Roman" w:hAnsi="Times New Roman"/>
          <w:sz w:val="17"/>
          <w:szCs w:val="17"/>
          <w:color w:val="000000"/>
        </w:rPr>
        <w:t>February 2, 2025</w:t>
      </w:r>
      <w:r>
        <w:rPr>
          <w:rFonts w:ascii="Times New Roman" w:cs="Times New Roman" w:eastAsia="Times New Roman" w:hAnsi="Times New Roman"/>
          <w:sz w:val="17"/>
          <w:szCs w:val="17"/>
          <w:color w:val="010202"/>
        </w:rPr>
        <w: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122" w:name="page123"/>
    <w:bookmarkEnd w:id="122"/>
    <w:p>
      <w:pPr>
        <w:ind w:right="240" w:firstLine="390"/>
        <w:spacing w:after="0" w:line="268" w:lineRule="auto"/>
        <w:rPr>
          <w:sz w:val="20"/>
          <w:szCs w:val="20"/>
          <w:color w:val="auto"/>
        </w:rPr>
      </w:pPr>
      <w:r>
        <w:rPr>
          <w:rFonts w:ascii="Times New Roman" w:cs="Times New Roman" w:eastAsia="Times New Roman" w:hAnsi="Times New Roman"/>
          <w:sz w:val="17"/>
          <w:szCs w:val="17"/>
          <w:color w:val="auto"/>
        </w:rPr>
        <w:t>The Company has guaranteed to a financial institution the repayment of store security deposits in Japan paid to landlords on behalf of the Company. The amount guaranteed as of February 1, 2026 was approximately $5.3 million based on exchange rates in effect on that date. The Company has the right to seek recourse from the landlords for the full amount. The guarantees expire in 2026 and are renewable through between 2027 and 2031. The liability for these guarantee obligations was immaterial as of February 1, 2026 and February 2, 2025.</w:t>
      </w:r>
    </w:p>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has guaranteed the payment of amounts on behalf of certain other parties, none of which are material individually or in the aggregate.</w:t>
      </w:r>
    </w:p>
    <w:p>
      <w:pPr>
        <w:spacing w:after="0" w:line="24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22.</w:t>
        <w:tab/>
        <w:t>OTHER COMMENTS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Investigation by China’s Ministry of Commerce</w:t>
      </w:r>
    </w:p>
    <w:p>
      <w:pPr>
        <w:spacing w:after="0" w:line="247" w:lineRule="exact"/>
        <w:rPr>
          <w:sz w:val="20"/>
          <w:szCs w:val="20"/>
          <w:color w:val="auto"/>
        </w:rPr>
      </w:pPr>
    </w:p>
    <w:p>
      <w:pPr>
        <w:ind w:right="120" w:firstLine="390"/>
        <w:spacing w:after="0" w:line="263" w:lineRule="auto"/>
        <w:rPr>
          <w:sz w:val="20"/>
          <w:szCs w:val="20"/>
          <w:color w:val="auto"/>
        </w:rPr>
      </w:pPr>
      <w:r>
        <w:rPr>
          <w:rFonts w:ascii="Times New Roman" w:cs="Times New Roman" w:eastAsia="Times New Roman" w:hAnsi="Times New Roman"/>
          <w:sz w:val="17"/>
          <w:szCs w:val="17"/>
          <w:color w:val="auto"/>
        </w:rPr>
        <w:t>In September 2024, MOFCOM announced that it had initiated an investigation into the Company’s business under the Provisions of the List of Unreliable Entities (“UEL Provisions”) upon the suspicion that the Company (i) suspended normal transactions with Chinese entities or individuals, (ii) adopted discriminatory measures against products produced in or made from raw materials or component parts from China’s Xinjiang Uyghur Autonomous Region, and</w:t>
      </w:r>
    </w:p>
    <w:p>
      <w:pPr>
        <w:ind w:right="80" w:firstLine="4"/>
        <w:spacing w:after="0" w:line="257" w:lineRule="auto"/>
        <w:tabs>
          <w:tab w:leader="none" w:pos="303"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violated normal market trading principles. In October 2024, the Company submitted a written response to MOFCOM and, in December 2024, the Company submitted a supplemental response. </w:t>
      </w:r>
      <w:r>
        <w:rPr>
          <w:rFonts w:ascii="Times New Roman" w:cs="Times New Roman" w:eastAsia="Times New Roman" w:hAnsi="Times New Roman"/>
          <w:sz w:val="17"/>
          <w:szCs w:val="17"/>
          <w:color w:val="212121"/>
        </w:rPr>
        <w:t>In January 2025, MOFCOM issued a preliminary finding that PVH Corp. had violated normal market trading principles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121"/>
        </w:rPr>
        <w:t xml:space="preserve">in February 2025, it announced its determination and placed PVH Corp. on the UEL. The Company does not know if or when MOFCOM will implement any measures as a result of the listing or what they will be if any are imposed. </w:t>
      </w:r>
      <w:r>
        <w:rPr>
          <w:rFonts w:ascii="Times New Roman" w:cs="Times New Roman" w:eastAsia="Times New Roman" w:hAnsi="Times New Roman"/>
          <w:sz w:val="17"/>
          <w:szCs w:val="17"/>
          <w:color w:val="000000"/>
        </w:rPr>
        <w:t>According to the UEL Provisions, potential measures could include monetary fines,</w:t>
      </w:r>
      <w:r>
        <w:rPr>
          <w:rFonts w:ascii="Times New Roman" w:cs="Times New Roman" w:eastAsia="Times New Roman" w:hAnsi="Times New Roman"/>
          <w:sz w:val="17"/>
          <w:szCs w:val="17"/>
          <w:color w:val="212121"/>
        </w:rPr>
        <w:t xml:space="preserve"> </w:t>
      </w:r>
      <w:r>
        <w:rPr>
          <w:rFonts w:ascii="Times New Roman" w:cs="Times New Roman" w:eastAsia="Times New Roman" w:hAnsi="Times New Roman"/>
          <w:sz w:val="17"/>
          <w:szCs w:val="17"/>
          <w:color w:val="000000"/>
        </w:rPr>
        <w:t>restrictions or prohibitions on engaging in import and export activities related to China or making investments in China, entry denial of the Company’s relevant personnel into China, restrictions or revocation of work permits, stay or residence status of the Company’s relevant personnel in China, or other measures. No measures have been imposed on the Company at this time. The practical impact of any such restrictions or prohibitions could include the Company’s inability to produce goods in China for sale elsewhere, the Company’s inability to sell goods on a wholesale or retail basis in China, or the Company’s inability to make investments in China.</w:t>
      </w:r>
    </w:p>
    <w:p>
      <w:pPr>
        <w:spacing w:after="0" w:line="205" w:lineRule="exact"/>
        <w:rPr>
          <w:sz w:val="20"/>
          <w:szCs w:val="20"/>
          <w:color w:val="auto"/>
        </w:rPr>
      </w:pPr>
    </w:p>
    <w:p>
      <w:pPr>
        <w:ind w:right="20" w:firstLine="390"/>
        <w:spacing w:after="0" w:line="263" w:lineRule="auto"/>
        <w:rPr>
          <w:sz w:val="20"/>
          <w:szCs w:val="20"/>
          <w:color w:val="auto"/>
        </w:rPr>
      </w:pPr>
      <w:r>
        <w:rPr>
          <w:rFonts w:ascii="Times New Roman" w:cs="Times New Roman" w:eastAsia="Times New Roman" w:hAnsi="Times New Roman"/>
          <w:sz w:val="17"/>
          <w:szCs w:val="17"/>
          <w:color w:val="auto"/>
        </w:rPr>
        <w:t>The Company cannot currently predict the duration or impact of any measures that may ultimately be imposed. The imposition and enforcement of measures against the Company could have a material adverse effect on its revenue and results of operations. Furthermore, if, as a result of any such measures, it is necessary for the Company to cease certain or all operations in China, it may result in charges related to excess inventory and difficulty collecting trade receivables, among other things. The Company may also incur material non-cash impairment charges if it is unable to recover the carrying value of its indefinite-lived intangible assets and long-lived assets. Additionally, if the production of the Company’s products in China ceases, its business could be impacted more broadly and the Company may need or decide to shift production to other jurisdictions.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Litigation</w:t>
      </w:r>
    </w:p>
    <w:p>
      <w:pPr>
        <w:spacing w:after="0" w:line="247" w:lineRule="exact"/>
        <w:rPr>
          <w:sz w:val="20"/>
          <w:szCs w:val="20"/>
          <w:color w:val="auto"/>
        </w:rPr>
      </w:pPr>
    </w:p>
    <w:p>
      <w:pPr>
        <w:ind w:right="260" w:firstLine="390"/>
        <w:spacing w:after="0" w:line="293" w:lineRule="auto"/>
        <w:rPr>
          <w:sz w:val="20"/>
          <w:szCs w:val="20"/>
          <w:color w:val="auto"/>
        </w:rPr>
      </w:pPr>
      <w:r>
        <w:rPr>
          <w:rFonts w:ascii="Times New Roman" w:cs="Times New Roman" w:eastAsia="Times New Roman" w:hAnsi="Times New Roman"/>
          <w:sz w:val="17"/>
          <w:szCs w:val="17"/>
          <w:color w:val="auto"/>
        </w:rPr>
        <w:t>The Company is a party to certain litigations which, in management’s judgment, based, in part, on the opinions of legal counsel, will not have a material adverse effect on the Company’s financial position.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Asset Retirement Liabilities</w:t>
      </w:r>
    </w:p>
    <w:p>
      <w:pPr>
        <w:spacing w:after="0" w:line="247" w:lineRule="exact"/>
        <w:rPr>
          <w:sz w:val="20"/>
          <w:szCs w:val="20"/>
          <w:color w:val="auto"/>
        </w:rPr>
      </w:pPr>
    </w:p>
    <w:p>
      <w:pPr>
        <w:ind w:firstLine="390"/>
        <w:spacing w:after="0" w:line="260" w:lineRule="auto"/>
        <w:rPr>
          <w:sz w:val="20"/>
          <w:szCs w:val="20"/>
          <w:color w:val="auto"/>
        </w:rPr>
      </w:pPr>
      <w:r>
        <w:rPr>
          <w:rFonts w:ascii="Times New Roman" w:cs="Times New Roman" w:eastAsia="Times New Roman" w:hAnsi="Times New Roman"/>
          <w:sz w:val="17"/>
          <w:szCs w:val="17"/>
          <w:color w:val="auto"/>
        </w:rPr>
        <w:t>The Company’s asset retirement liabilities are included in accrued expenses and other liabilities in the Company’s Consolidated Balance Sheets and relate to the Company’s obligation to dismantle or remove leasehold improvements from leased office, retail store or warehouse locations at the end of a lease term in order to restore a facility to a condition specified in the lease agreement. The Company records the fair value of the liability for asset retirement obligations in the period in which it is legally or contractually incurred. Upon initial recognition of the asset retirement liability, an asset retirement cost is capitalized by increasing the carrying amount of the asset by the same amount as the liability. In periods subsequent to initial measurement, the asset retirement cost is recognized as expense through depreciation over the asset’s useful life. Changes in the liability for the asset retirement obligations are recognized for the passage of time and revisions to either the timing or the amount of estimated cash flows. Accretion expense is recognized in SG&amp;A expenses for the impacts of increasing the discounted fair value to its estimated settlement value.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123" w:name="page124"/>
    <w:bookmarkEnd w:id="123"/>
    <w:p>
      <w:pPr>
        <w:ind w:left="400"/>
        <w:spacing w:after="0"/>
        <w:rPr>
          <w:sz w:val="20"/>
          <w:szCs w:val="20"/>
          <w:color w:val="auto"/>
        </w:rPr>
      </w:pPr>
      <w:r>
        <w:rPr>
          <w:rFonts w:ascii="Times New Roman" w:cs="Times New Roman" w:eastAsia="Times New Roman" w:hAnsi="Times New Roman"/>
          <w:sz w:val="17"/>
          <w:szCs w:val="17"/>
          <w:color w:val="auto"/>
        </w:rPr>
        <w:t>The following table presents the activity related to the Company’s asset retirement liabilities, included in accrued expenses and other liabilities in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Consolidated Balance Sheets, for the years ended February 1, 2026 and February 2,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2024</w:t>
            </w:r>
          </w:p>
        </w:tc>
      </w:tr>
      <w:tr>
        <w:trPr>
          <w:trHeight w:val="214"/>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r>
      <w:tr>
        <w:trPr>
          <w:trHeight w:val="221"/>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Liabilities incurred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21"/>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Liabilities settled (payments)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1"/>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Accretion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21"/>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Revisions in estimated cash flows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21"/>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Currency translation adjustment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r>
      <w:tr>
        <w:trPr>
          <w:trHeight w:val="239"/>
        </w:trPr>
        <w:tc>
          <w:tcPr>
            <w:tcW w:w="8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Balance at end of year</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Supply Chain Finance Program</w:t>
      </w:r>
    </w:p>
    <w:p>
      <w:pPr>
        <w:spacing w:after="0" w:line="247" w:lineRule="exact"/>
        <w:rPr>
          <w:sz w:val="20"/>
          <w:szCs w:val="20"/>
          <w:color w:val="auto"/>
        </w:rPr>
      </w:pPr>
    </w:p>
    <w:p>
      <w:pPr>
        <w:ind w:right="40" w:firstLine="390"/>
        <w:spacing w:after="0" w:line="265" w:lineRule="auto"/>
        <w:rPr>
          <w:sz w:val="20"/>
          <w:szCs w:val="20"/>
          <w:color w:val="auto"/>
        </w:rPr>
      </w:pPr>
      <w:r>
        <w:rPr>
          <w:rFonts w:ascii="Times New Roman" w:cs="Times New Roman" w:eastAsia="Times New Roman" w:hAnsi="Times New Roman"/>
          <w:sz w:val="17"/>
          <w:szCs w:val="17"/>
          <w:color w:val="auto"/>
        </w:rPr>
        <w:t>The Company has a voluntary supply chain finance program (the “SCF program”) administered through a third party platform that provides the Company’s inventory suppliers with the opportunity to sell their receivables due from the Company to participating financial institutions in advance of the invoice due date, at the sole discretion of both the suppliers and the financial institutions. The Company is not a party to the agreements between the suppliers and the financial institutions and has no economic interest in a supplier’s decision to sell a receivable. The Company’s payment obligations, including the amounts due and payment terms, which generally do not exceed 90 days, are not impacted by suppliers’ participation in the SCF program.</w:t>
      </w:r>
    </w:p>
    <w:p>
      <w:pPr>
        <w:spacing w:after="0" w:line="196" w:lineRule="exact"/>
        <w:rPr>
          <w:sz w:val="20"/>
          <w:szCs w:val="20"/>
          <w:color w:val="auto"/>
        </w:rPr>
      </w:pPr>
    </w:p>
    <w:p>
      <w:pPr>
        <w:ind w:right="140" w:firstLine="390"/>
        <w:spacing w:after="0" w:line="293" w:lineRule="auto"/>
        <w:rPr>
          <w:sz w:val="20"/>
          <w:szCs w:val="20"/>
          <w:color w:val="auto"/>
        </w:rPr>
      </w:pPr>
      <w:r>
        <w:rPr>
          <w:rFonts w:ascii="Times New Roman" w:cs="Times New Roman" w:eastAsia="Times New Roman" w:hAnsi="Times New Roman"/>
          <w:sz w:val="17"/>
          <w:szCs w:val="17"/>
          <w:color w:val="auto"/>
        </w:rPr>
        <w:t>Accordingly, amounts due to suppliers that elected to participate in the SCF program are included in accounts payable in the Company’s Consolidated Balance Sheets and the corresponding payments are reflected in cash flows from operating activities in the Company’s Consolidated Statements of Cash Flows.</w:t>
      </w:r>
    </w:p>
    <w:p>
      <w:pPr>
        <w:spacing w:after="0" w:line="173" w:lineRule="exact"/>
        <w:rPr>
          <w:sz w:val="20"/>
          <w:szCs w:val="20"/>
          <w:color w:val="auto"/>
        </w:rPr>
      </w:pPr>
    </w:p>
    <w:p>
      <w:pPr>
        <w:ind w:right="60" w:firstLine="390"/>
        <w:spacing w:after="0" w:line="279" w:lineRule="auto"/>
        <w:rPr>
          <w:sz w:val="20"/>
          <w:szCs w:val="20"/>
          <w:color w:val="auto"/>
        </w:rPr>
      </w:pPr>
      <w:r>
        <w:rPr>
          <w:rFonts w:ascii="Times New Roman" w:cs="Times New Roman" w:eastAsia="Times New Roman" w:hAnsi="Times New Roman"/>
          <w:sz w:val="17"/>
          <w:szCs w:val="17"/>
          <w:color w:val="auto"/>
        </w:rPr>
        <w:t>The following table presents the activity related to the Company’s outstanding obligations confirmed as valid under the SCF program, included in accounts payable in the Company’s Consolidated Balance Sheets, for the years ended February 1, 2026 and February 2,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rPr>
              <w:t>2024</w:t>
            </w:r>
          </w:p>
        </w:tc>
      </w:tr>
      <w:tr>
        <w:trPr>
          <w:trHeight w:val="214"/>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Confirmed obligations outstanding at beginning of year</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423.4</w:t>
            </w:r>
          </w:p>
        </w:tc>
      </w:tr>
      <w:tr>
        <w:trPr>
          <w:trHeight w:val="221"/>
        </w:trPr>
        <w:tc>
          <w:tcPr>
            <w:tcW w:w="8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Invoices confirmed during the year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1,816.7</w:t>
            </w:r>
          </w:p>
        </w:tc>
      </w:tr>
      <w:tr>
        <w:trPr>
          <w:trHeight w:val="221"/>
        </w:trPr>
        <w:tc>
          <w:tcPr>
            <w:tcW w:w="8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Confirmed invoices paid during the year</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(1,779.1)</w:t>
            </w:r>
          </w:p>
        </w:tc>
      </w:tr>
      <w:tr>
        <w:trPr>
          <w:trHeight w:val="221"/>
        </w:trPr>
        <w:tc>
          <w:tcPr>
            <w:tcW w:w="8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Currency translation adjustment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39"/>
        </w:trPr>
        <w:tc>
          <w:tcPr>
            <w:tcW w:w="8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Confirmed obligations outstanding at end of year</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457.9</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124" w:name="page125"/>
    <w:bookmarkEnd w:id="124"/>
    <w:p>
      <w:pPr>
        <w:ind w:left="26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PVH Corp.</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49" w:lineRule="exact"/>
        <w:rPr>
          <w:sz w:val="20"/>
          <w:szCs w:val="20"/>
          <w:color w:val="auto"/>
        </w:rPr>
      </w:pPr>
    </w:p>
    <w:p>
      <w:pPr>
        <w:ind w:firstLine="390"/>
        <w:spacing w:after="0" w:line="26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PVH Corp. (the Company) as of February 1, 2026 and February 2, 2025, the related consolidated statements of operations, comprehensive income, changes in stockholders’ equity and cash flows for each of the three years in the period ended February 1, 2026,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February 1, 2026 and February 2, 2025, and the results of its operations and its cash flows for each of the three years in the period ended February 1, 2026, in conformity with U.S. generally accepted accounting principles.</w:t>
      </w:r>
    </w:p>
    <w:p>
      <w:pPr>
        <w:spacing w:after="0" w:line="198" w:lineRule="exact"/>
        <w:rPr>
          <w:sz w:val="20"/>
          <w:szCs w:val="20"/>
          <w:color w:val="auto"/>
        </w:rPr>
      </w:pPr>
    </w:p>
    <w:p>
      <w:pPr>
        <w:ind w:right="120" w:firstLine="390"/>
        <w:spacing w:after="0" w:line="274"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February 1, 2026, based on criteria established in Internal Control-Integrated Framework issued by the Committee of Sponsoring Organizations of the Treadway Commission (2013 framework) and our report dated March 31, 2026 expressed an unqualified opinion thereon.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9" w:lineRule="exact"/>
        <w:rPr>
          <w:sz w:val="20"/>
          <w:szCs w:val="20"/>
          <w:color w:val="auto"/>
        </w:rPr>
      </w:pPr>
    </w:p>
    <w:p>
      <w:pPr>
        <w:ind w:right="160" w:firstLine="390"/>
        <w:spacing w:after="0" w:line="27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right="120" w:firstLine="390"/>
        <w:spacing w:after="0" w:line="263"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49" w:lineRule="exact"/>
        <w:rPr>
          <w:sz w:val="20"/>
          <w:szCs w:val="20"/>
          <w:color w:val="auto"/>
        </w:rPr>
      </w:pPr>
    </w:p>
    <w:p>
      <w:pPr>
        <w:ind w:firstLine="390"/>
        <w:spacing w:after="0" w:line="265"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and risk management committee of the Company’s board of directors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90" w:right="359" w:bottom="1440" w:gutter="0" w:footer="0" w:header="0"/>
        </w:sectPr>
      </w:pPr>
    </w:p>
    <w:bookmarkStart w:id="125" w:name="page126"/>
    <w:bookmarkEnd w:id="125"/>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line="248"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r>
        <w:rPr>
          <w:sz w:val="20"/>
          <w:szCs w:val="20"/>
          <w:color w:val="auto"/>
        </w:rPr>
        <w:br w:type="column"/>
      </w:r>
    </w:p>
    <w:p>
      <w:pPr>
        <w:ind w:left="8"/>
        <w:spacing w:after="0"/>
        <w:rPr>
          <w:sz w:val="20"/>
          <w:szCs w:val="20"/>
          <w:color w:val="auto"/>
        </w:rPr>
      </w:pPr>
      <w:r>
        <w:rPr>
          <w:rFonts w:ascii="Times New Roman" w:cs="Times New Roman" w:eastAsia="Times New Roman" w:hAnsi="Times New Roman"/>
          <w:sz w:val="17"/>
          <w:szCs w:val="17"/>
          <w:b w:val="1"/>
          <w:bCs w:val="1"/>
          <w:i w:val="1"/>
          <w:iCs w:val="1"/>
          <w:color w:val="auto"/>
        </w:rPr>
        <w:t>Valuation of Goodwill and Indefinite-Lived Intangibles</w:t>
      </w:r>
    </w:p>
    <w:p>
      <w:pPr>
        <w:spacing w:after="0" w:line="355" w:lineRule="exact"/>
        <w:rPr>
          <w:sz w:val="20"/>
          <w:szCs w:val="20"/>
          <w:color w:val="auto"/>
        </w:rPr>
      </w:pPr>
    </w:p>
    <w:p>
      <w:pPr>
        <w:ind w:left="8"/>
        <w:spacing w:after="0" w:line="259" w:lineRule="auto"/>
        <w:rPr>
          <w:sz w:val="20"/>
          <w:szCs w:val="20"/>
          <w:color w:val="auto"/>
        </w:rPr>
      </w:pPr>
      <w:r>
        <w:rPr>
          <w:rFonts w:ascii="Times New Roman" w:cs="Times New Roman" w:eastAsia="Times New Roman" w:hAnsi="Times New Roman"/>
          <w:sz w:val="17"/>
          <w:szCs w:val="17"/>
          <w:color w:val="auto"/>
        </w:rPr>
        <w:t>At February 1, 2026, the Company’s goodwill and indefinite-lived intangible assets totaled $2.0 billion and $2.8 billion, respectively. As discussed in Note 1 of the consolidated financial statements, goodwill and indefinite-lived intangible assets are qualitatively tested and quantitatively tested, when necessary, for impairment at least annually. During the first quarter of 2025, the Company performed a quantitative interim goodwill impairment test for all reporting units and an interim quantitative test for the reacquired perpetual license rights in Australia. The fair value of the reporting units and indefinite-lived intangible assets was determined using an income approach. As described in Note 1, effective February 3, 2025, the first day of 2025, the Company changed its reportable segments to be region-focused to align with changes in its business and organizational structure. As a result of the change in reportable segments, the Company performed an impairment assessment immediately before and immediately after the segment change became effective, and no impairment of goodwill was identified. Additionally, the Company reallocated goodwill to its new reporting units using a relative fair value approach.</w:t>
      </w:r>
    </w:p>
    <w:p>
      <w:pPr>
        <w:spacing w:after="0" w:line="203" w:lineRule="exact"/>
        <w:rPr>
          <w:sz w:val="20"/>
          <w:szCs w:val="20"/>
          <w:color w:val="auto"/>
        </w:rPr>
      </w:pPr>
    </w:p>
    <w:p>
      <w:pPr>
        <w:ind w:left="8" w:right="60"/>
        <w:spacing w:after="0" w:line="263" w:lineRule="auto"/>
        <w:rPr>
          <w:sz w:val="20"/>
          <w:szCs w:val="20"/>
          <w:color w:val="auto"/>
        </w:rPr>
      </w:pPr>
      <w:r>
        <w:rPr>
          <w:rFonts w:ascii="Times New Roman" w:cs="Times New Roman" w:eastAsia="Times New Roman" w:hAnsi="Times New Roman"/>
          <w:sz w:val="17"/>
          <w:szCs w:val="17"/>
          <w:color w:val="auto"/>
        </w:rPr>
        <w:t>Auditing management’s interim goodwill and interim indefinite-lived intangible assets impairment tests and reallocation of goodwill using a relative fair value approach following the Company’s change in reportable segments was complex and judgmental due to the significant estimation required in determining (i) the fair value of the EMEA reporting unit,</w:t>
      </w:r>
    </w:p>
    <w:p>
      <w:pPr>
        <w:ind w:left="8" w:right="60" w:hanging="8"/>
        <w:spacing w:after="0" w:line="259" w:lineRule="auto"/>
        <w:tabs>
          <w:tab w:leader="none" w:pos="263"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the Australia indefinite-lived intangible asset and (iii) the fair value of certain components related to the EMEA and APAC reporting units for purposes of reallocating goodwill using the relative fair value approach. In particular, the fair value estimates were sensitive to significant assumptions such as the weighted average cost of capital, revenue growth rate, gross margin, operating expenses and earnings before interest, taxes, depreciation and amortization margin which are affected by expectations about future market or economic conditions.</w:t>
      </w:r>
    </w:p>
    <w:p>
      <w:pPr>
        <w:spacing w:after="0" w:line="111" w:lineRule="exact"/>
        <w:rPr>
          <w:sz w:val="20"/>
          <w:szCs w:val="20"/>
          <w:color w:val="auto"/>
        </w:rPr>
      </w:pPr>
    </w:p>
    <w:p>
      <w:pPr>
        <w:ind w:left="8" w:right="340"/>
        <w:spacing w:after="0" w:line="268"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 Company’s goodwill and indefinite-lived intangible assets impairment review process and their process to reallocate goodwill using the relative fair value approach following a change in reportable segments, including controls over management’s review of the significant assumptions described above.</w:t>
      </w:r>
    </w:p>
    <w:p>
      <w:pPr>
        <w:spacing w:after="0" w:line="168" w:lineRule="exact"/>
        <w:rPr>
          <w:sz w:val="20"/>
          <w:szCs w:val="20"/>
          <w:color w:val="auto"/>
        </w:rPr>
      </w:pPr>
    </w:p>
    <w:p>
      <w:pPr>
        <w:ind w:left="8" w:right="20"/>
        <w:spacing w:after="0" w:line="259" w:lineRule="auto"/>
        <w:rPr>
          <w:sz w:val="20"/>
          <w:szCs w:val="20"/>
          <w:color w:val="auto"/>
        </w:rPr>
      </w:pPr>
      <w:r>
        <w:rPr>
          <w:rFonts w:ascii="Times New Roman" w:cs="Times New Roman" w:eastAsia="Times New Roman" w:hAnsi="Times New Roman"/>
          <w:sz w:val="17"/>
          <w:szCs w:val="17"/>
          <w:color w:val="auto"/>
        </w:rPr>
        <w:t>To test the estimated (i) fair value of the EMEA reporting unit, (ii) fair value of the Australia indefinite-lived intangible asset and (iii) fair value of certain components related to EMEA and APAC reporting units for purposes of reallocating goodwill using a relative fair value approach, we performed audit procedures with the support of our specialists to assess the methodology used by management and to test the weighted average cost of capital used in the valuations. We also performed audit procedures to test the remaining significant assumptions discussed above and the underlying data used by the Company in its analyses. For example, we compared the significant assumptions used by management to current industry and economic trends, considering changes to the Company’s business, and other relevant factors. We also evaluated the historical accuracy of the projected financial information used in management’s estimates. In addition, related to the interim goodwill and indefinite-lived intangible assets impairment tests, we performed sensitivity analyses of significant assumptions to evaluate the changes in the fair value of the EMEA reporting unit and the Australia indefinite-lived intangible asset that would result from changes in the assumptions. We tested the reconciliation of the fair value of the reporting units to the market capitalization of the Company.</w:t>
      </w:r>
    </w:p>
    <w:p>
      <w:pPr>
        <w:spacing w:after="0" w:line="947" w:lineRule="exact"/>
        <w:rPr>
          <w:sz w:val="20"/>
          <w:szCs w:val="20"/>
          <w:color w:val="auto"/>
        </w:rPr>
      </w:pPr>
    </w:p>
    <w:p>
      <w:pPr>
        <w:sectPr>
          <w:pgSz w:w="11900" w:h="16838" w:orient="portrait"/>
          <w:cols w:equalWidth="0" w:num="2">
            <w:col w:w="2300" w:space="492"/>
            <w:col w:w="8408"/>
          </w:cols>
          <w:pgMar w:left="320" w:top="1002" w:right="379" w:bottom="1440" w:gutter="0" w:footer="0" w:header="0"/>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1938.</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02" w:right="37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229"/>
        </w:trPr>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w w:val="99"/>
              </w:rPr>
              <w:t>SCHEDULE II</w:t>
            </w:r>
          </w:p>
        </w:tc>
        <w:tc>
          <w:tcPr>
            <w:tcW w:w="0" w:type="dxa"/>
            <w:vAlign w:val="bottom"/>
          </w:tcPr>
          <w:p>
            <w:pPr>
              <w:spacing w:after="0"/>
              <w:rPr>
                <w:sz w:val="1"/>
                <w:szCs w:val="1"/>
                <w:color w:val="auto"/>
              </w:rPr>
            </w:pPr>
          </w:p>
        </w:tc>
      </w:tr>
      <w:tr>
        <w:trPr>
          <w:trHeight w:val="442"/>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60" w:type="dxa"/>
            <w:vAlign w:val="bottom"/>
            <w:gridSpan w:val="5"/>
          </w:tcPr>
          <w:p>
            <w:pPr>
              <w:jc w:val="center"/>
              <w:ind w:right="840"/>
              <w:spacing w:after="0"/>
              <w:rPr>
                <w:sz w:val="20"/>
                <w:szCs w:val="20"/>
                <w:color w:val="auto"/>
              </w:rPr>
            </w:pPr>
            <w:r>
              <w:rPr>
                <w:rFonts w:ascii="Times New Roman" w:cs="Times New Roman" w:eastAsia="Times New Roman" w:hAnsi="Times New Roman"/>
                <w:sz w:val="17"/>
                <w:szCs w:val="17"/>
                <w:b w:val="1"/>
                <w:bCs w:val="1"/>
                <w:color w:val="auto"/>
                <w:w w:val="99"/>
              </w:rPr>
              <w:t>PVH CORP.</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680" w:type="dxa"/>
            <w:vAlign w:val="bottom"/>
          </w:tcPr>
          <w:p>
            <w:pPr>
              <w:spacing w:after="0"/>
              <w:rPr>
                <w:sz w:val="24"/>
                <w:szCs w:val="24"/>
                <w:color w:val="auto"/>
              </w:rPr>
            </w:pPr>
          </w:p>
        </w:tc>
        <w:tc>
          <w:tcPr>
            <w:tcW w:w="4560" w:type="dxa"/>
            <w:vAlign w:val="bottom"/>
            <w:gridSpan w:val="12"/>
          </w:tcPr>
          <w:p>
            <w:pPr>
              <w:jc w:val="center"/>
              <w:ind w:right="920"/>
              <w:spacing w:after="0"/>
              <w:rPr>
                <w:sz w:val="20"/>
                <w:szCs w:val="20"/>
                <w:color w:val="auto"/>
              </w:rPr>
            </w:pPr>
            <w:r>
              <w:rPr>
                <w:rFonts w:ascii="Times New Roman" w:cs="Times New Roman" w:eastAsia="Times New Roman" w:hAnsi="Times New Roman"/>
                <w:sz w:val="17"/>
                <w:szCs w:val="17"/>
                <w:b w:val="1"/>
                <w:bCs w:val="1"/>
                <w:color w:val="auto"/>
              </w:rPr>
              <w:t>VALUATION AND QUALIFYING ACCOUNTS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60" w:type="dxa"/>
            <w:vAlign w:val="bottom"/>
            <w:gridSpan w:val="5"/>
          </w:tcPr>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6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7"/>
                <w:szCs w:val="17"/>
                <w:b w:val="1"/>
                <w:bCs w:val="1"/>
                <w:color w:val="auto"/>
              </w:rPr>
              <w:t>Column A</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Column B</w:t>
            </w:r>
          </w:p>
        </w:tc>
        <w:tc>
          <w:tcPr>
            <w:tcW w:w="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4"/>
          </w:tcPr>
          <w:p>
            <w:pPr>
              <w:ind w:left="860"/>
              <w:spacing w:after="0"/>
              <w:rPr>
                <w:sz w:val="20"/>
                <w:szCs w:val="20"/>
                <w:color w:val="auto"/>
              </w:rPr>
            </w:pPr>
            <w:r>
              <w:rPr>
                <w:rFonts w:ascii="Times New Roman" w:cs="Times New Roman" w:eastAsia="Times New Roman" w:hAnsi="Times New Roman"/>
                <w:sz w:val="17"/>
                <w:szCs w:val="17"/>
                <w:b w:val="1"/>
                <w:bCs w:val="1"/>
                <w:color w:val="auto"/>
              </w:rPr>
              <w:t>Column C</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Column D</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Column 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9"/>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rPr>
              <w:t>Balance at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Additions</w:t>
            </w:r>
          </w:p>
        </w:tc>
        <w:tc>
          <w:tcPr>
            <w:tcW w:w="140" w:type="dxa"/>
            <w:vAlign w:val="bottom"/>
          </w:tcPr>
          <w:p>
            <w:pPr>
              <w:spacing w:after="0"/>
              <w:rPr>
                <w:sz w:val="24"/>
                <w:szCs w:val="24"/>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Additions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480"/>
              <w:spacing w:after="0" w:line="169" w:lineRule="exact"/>
              <w:rPr>
                <w:sz w:val="20"/>
                <w:szCs w:val="20"/>
                <w:color w:val="auto"/>
              </w:rPr>
            </w:pPr>
            <w:r>
              <w:rPr>
                <w:rFonts w:ascii="Times New Roman" w:cs="Times New Roman" w:eastAsia="Times New Roman" w:hAnsi="Times New Roman"/>
                <w:sz w:val="17"/>
                <w:szCs w:val="17"/>
                <w:b w:val="1"/>
                <w:bCs w:val="1"/>
                <w:color w:val="auto"/>
              </w:rPr>
              <w:t>Charged to</w:t>
            </w:r>
          </w:p>
        </w:tc>
        <w:tc>
          <w:tcPr>
            <w:tcW w:w="140" w:type="dxa"/>
            <w:vAlign w:val="bottom"/>
          </w:tcPr>
          <w:p>
            <w:pPr>
              <w:spacing w:after="0"/>
              <w:rPr>
                <w:sz w:val="14"/>
                <w:szCs w:val="14"/>
                <w:color w:val="auto"/>
              </w:rPr>
            </w:pPr>
          </w:p>
        </w:tc>
        <w:tc>
          <w:tcPr>
            <w:tcW w:w="130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7"/>
                <w:szCs w:val="17"/>
                <w:b w:val="1"/>
                <w:bCs w:val="1"/>
                <w:color w:val="auto"/>
              </w:rPr>
              <w:t>Charged to</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73"/>
              <w:spacing w:after="0" w:line="182" w:lineRule="exact"/>
              <w:rPr>
                <w:sz w:val="20"/>
                <w:szCs w:val="20"/>
                <w:color w:val="auto"/>
              </w:rPr>
            </w:pPr>
            <w:r>
              <w:rPr>
                <w:rFonts w:ascii="Times New Roman" w:cs="Times New Roman" w:eastAsia="Times New Roman" w:hAnsi="Times New Roman"/>
                <w:sz w:val="17"/>
                <w:szCs w:val="17"/>
                <w:b w:val="1"/>
                <w:bCs w:val="1"/>
                <w:color w:val="auto"/>
              </w:rPr>
              <w:t>Beginning</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480"/>
              <w:spacing w:after="0" w:line="182" w:lineRule="exact"/>
              <w:rPr>
                <w:sz w:val="20"/>
                <w:szCs w:val="20"/>
                <w:color w:val="auto"/>
              </w:rPr>
            </w:pPr>
            <w:r>
              <w:rPr>
                <w:rFonts w:ascii="Times New Roman" w:cs="Times New Roman" w:eastAsia="Times New Roman" w:hAnsi="Times New Roman"/>
                <w:sz w:val="17"/>
                <w:szCs w:val="17"/>
                <w:b w:val="1"/>
                <w:bCs w:val="1"/>
                <w:color w:val="auto"/>
              </w:rPr>
              <w:t>Costs and</w:t>
            </w:r>
          </w:p>
        </w:tc>
        <w:tc>
          <w:tcPr>
            <w:tcW w:w="140" w:type="dxa"/>
            <w:vAlign w:val="bottom"/>
          </w:tcPr>
          <w:p>
            <w:pPr>
              <w:spacing w:after="0"/>
              <w:rPr>
                <w:sz w:val="15"/>
                <w:szCs w:val="15"/>
                <w:color w:val="auto"/>
              </w:rPr>
            </w:pPr>
          </w:p>
        </w:tc>
        <w:tc>
          <w:tcPr>
            <w:tcW w:w="1300" w:type="dxa"/>
            <w:vAlign w:val="bottom"/>
            <w:gridSpan w:val="2"/>
          </w:tcPr>
          <w:p>
            <w:pPr>
              <w:jc w:val="center"/>
              <w:ind w:right="340"/>
              <w:spacing w:after="0" w:line="182" w:lineRule="exact"/>
              <w:rPr>
                <w:sz w:val="20"/>
                <w:szCs w:val="20"/>
                <w:color w:val="auto"/>
              </w:rPr>
            </w:pPr>
            <w:r>
              <w:rPr>
                <w:rFonts w:ascii="Times New Roman" w:cs="Times New Roman" w:eastAsia="Times New Roman" w:hAnsi="Times New Roman"/>
                <w:sz w:val="17"/>
                <w:szCs w:val="17"/>
                <w:b w:val="1"/>
                <w:bCs w:val="1"/>
                <w:color w:val="auto"/>
              </w:rPr>
              <w:t>Other</w:t>
            </w:r>
          </w:p>
        </w:tc>
        <w:tc>
          <w:tcPr>
            <w:tcW w:w="140" w:type="dxa"/>
            <w:vAlign w:val="bottom"/>
          </w:tcPr>
          <w:p>
            <w:pPr>
              <w:spacing w:after="0"/>
              <w:rPr>
                <w:sz w:val="15"/>
                <w:szCs w:val="15"/>
                <w:color w:val="auto"/>
              </w:rPr>
            </w:pPr>
          </w:p>
        </w:tc>
        <w:tc>
          <w:tcPr>
            <w:tcW w:w="1100" w:type="dxa"/>
            <w:vAlign w:val="bottom"/>
            <w:vMerge w:val="restart"/>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Deductions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7"/>
                <w:szCs w:val="17"/>
                <w:b w:val="1"/>
                <w:bCs w:val="1"/>
                <w:color w:val="auto"/>
              </w:rPr>
              <w:t>at End</w:t>
            </w:r>
          </w:p>
        </w:tc>
        <w:tc>
          <w:tcPr>
            <w:tcW w:w="0" w:type="dxa"/>
            <w:vAlign w:val="bottom"/>
          </w:tcPr>
          <w:p>
            <w:pPr>
              <w:spacing w:after="0"/>
              <w:rPr>
                <w:sz w:val="1"/>
                <w:szCs w:val="1"/>
                <w:color w:val="auto"/>
              </w:rPr>
            </w:pPr>
          </w:p>
        </w:tc>
      </w:tr>
      <w:tr>
        <w:trPr>
          <w:trHeight w:val="221"/>
        </w:trPr>
        <w:tc>
          <w:tcPr>
            <w:tcW w:w="3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of Period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Accounts</w:t>
            </w: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of Period</w:t>
            </w:r>
          </w:p>
        </w:tc>
        <w:tc>
          <w:tcPr>
            <w:tcW w:w="0" w:type="dxa"/>
            <w:vAlign w:val="bottom"/>
          </w:tcPr>
          <w:p>
            <w:pPr>
              <w:spacing w:after="0"/>
              <w:rPr>
                <w:sz w:val="1"/>
                <w:szCs w:val="1"/>
                <w:color w:val="auto"/>
              </w:rPr>
            </w:pPr>
          </w:p>
        </w:tc>
      </w:tr>
      <w:tr>
        <w:trPr>
          <w:trHeight w:val="214"/>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February 1, 2026</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3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93"/>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680" w:type="dxa"/>
            <w:vAlign w:val="bottom"/>
          </w:tcPr>
          <w:p>
            <w:pPr>
              <w:ind w:left="120"/>
              <w:spacing w:after="0" w:line="169" w:lineRule="exact"/>
              <w:rPr>
                <w:sz w:val="20"/>
                <w:szCs w:val="20"/>
                <w:color w:val="auto"/>
              </w:rPr>
            </w:pPr>
            <w:r>
              <w:rPr>
                <w:rFonts w:ascii="Times New Roman" w:cs="Times New Roman" w:eastAsia="Times New Roman" w:hAnsi="Times New Roman"/>
                <w:sz w:val="17"/>
                <w:szCs w:val="17"/>
                <w:color w:val="auto"/>
              </w:rPr>
              <w:t>Allowance/accrual for operational chargebacks 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customer markdowns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226.6</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Valuation allowance for deferred income tax assets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February 2, 2025</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3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93"/>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680" w:type="dxa"/>
            <w:vAlign w:val="bottom"/>
          </w:tcPr>
          <w:p>
            <w:pPr>
              <w:ind w:left="120"/>
              <w:spacing w:after="0" w:line="169" w:lineRule="exact"/>
              <w:rPr>
                <w:sz w:val="20"/>
                <w:szCs w:val="20"/>
                <w:color w:val="auto"/>
              </w:rPr>
            </w:pPr>
            <w:r>
              <w:rPr>
                <w:rFonts w:ascii="Times New Roman" w:cs="Times New Roman" w:eastAsia="Times New Roman" w:hAnsi="Times New Roman"/>
                <w:sz w:val="17"/>
                <w:szCs w:val="17"/>
                <w:color w:val="auto"/>
              </w:rPr>
              <w:t>Allowance/accrual for operational chargebacks 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customer markdowns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Valuation allowance for deferred income tax assets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February 4, 2024</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3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93"/>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680" w:type="dxa"/>
            <w:vAlign w:val="bottom"/>
          </w:tcPr>
          <w:p>
            <w:pPr>
              <w:ind w:left="120"/>
              <w:spacing w:after="0" w:line="169" w:lineRule="exact"/>
              <w:rPr>
                <w:sz w:val="20"/>
                <w:szCs w:val="20"/>
                <w:color w:val="auto"/>
              </w:rPr>
            </w:pPr>
            <w:r>
              <w:rPr>
                <w:rFonts w:ascii="Times New Roman" w:cs="Times New Roman" w:eastAsia="Times New Roman" w:hAnsi="Times New Roman"/>
                <w:sz w:val="17"/>
                <w:szCs w:val="17"/>
                <w:color w:val="auto"/>
              </w:rPr>
              <w:t>Allowance/accrual for operational chargebacks and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customer markdowns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229.2</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Valuation allowance for deferred income tax assets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500" w:hanging="304"/>
        <w:spacing w:after="0"/>
        <w:tabs>
          <w:tab w:leader="none" w:pos="500"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Principally accounts written off as uncollectible and recoveries.</w:t>
      </w:r>
    </w:p>
    <w:p>
      <w:pPr>
        <w:spacing w:after="0" w:line="200" w:lineRule="exact"/>
        <w:rPr>
          <w:sz w:val="20"/>
          <w:szCs w:val="20"/>
          <w:color w:val="auto"/>
        </w:rPr>
      </w:pPr>
    </w:p>
    <w:p>
      <w:pPr>
        <w:spacing w:after="0" w:line="31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F-55</w:t>
      </w:r>
    </w:p>
    <w:p>
      <w:pPr>
        <w:sectPr>
          <w:pgSz w:w="11900" w:h="16838" w:orient="portrait"/>
          <w:cols w:equalWidth="0" w:num="1">
            <w:col w:w="11120"/>
          </w:cols>
          <w:pgMar w:left="440" w:top="1199"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1"/>
          <w:szCs w:val="21"/>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PVH CORP.</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STOCK INCENTIVE PLAN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RESTRICTED STOCK UNIT AWARD AGREEMENT</w:t>
      </w:r>
    </w:p>
    <w:p>
      <w:pPr>
        <w:spacing w:after="0" w:line="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color w:val="auto"/>
        </w:rPr>
        <w:t>(Employee)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NOTICE OF RESTRICTED STOCK UNIT AWARD</w:t>
      </w:r>
    </w:p>
    <w:p>
      <w:pPr>
        <w:spacing w:after="0" w:line="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PVH Corp. (“PVH” and, together with its affiliates and subsidiaries, the “Company”) grants to the Grantee named below, in accordance with the terms of the PVH Corp. Stock Incentive Plan, as amended (the “Plan”), and this restricted stock unit agreement (this “Agreement”), the number of restricted stock units (the “Restricted Stock Units” or the “Award”) provided as follows:</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GRANTEE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18"/>
          <w:szCs w:val="18"/>
          <w:color w:val="auto"/>
        </w:rPr>
        <w:t>/$ParticipantName$/</w:t>
      </w:r>
    </w:p>
    <w:p>
      <w:pPr>
        <w:spacing w:after="0" w:line="66" w:lineRule="exact"/>
        <w:rPr>
          <w:sz w:val="20"/>
          <w:szCs w:val="20"/>
          <w:color w:val="auto"/>
        </w:rPr>
      </w:pPr>
    </w:p>
    <w:p>
      <w:pPr>
        <w:sectPr>
          <w:pgSz w:w="11900" w:h="16838" w:orient="portrait"/>
          <w:cols w:equalWidth="0" w:num="2">
            <w:col w:w="4640" w:space="720"/>
            <w:col w:w="5880"/>
          </w:cols>
          <w:pgMar w:left="320" w:top="121" w:right="339" w:bottom="1440" w:gutter="0" w:footer="0" w:header="0"/>
          <w:type w:val="continuous"/>
        </w:sectPr>
      </w:pPr>
    </w:p>
    <w:p>
      <w:pPr>
        <w:ind w:left="20" w:right="1120" w:firstLine="48"/>
        <w:spacing w:after="0" w:line="273" w:lineRule="auto"/>
        <w:rPr>
          <w:sz w:val="20"/>
          <w:szCs w:val="20"/>
          <w:color w:val="auto"/>
        </w:rPr>
      </w:pPr>
      <w:r>
        <w:rPr>
          <w:rFonts w:ascii="Times New Roman" w:cs="Times New Roman" w:eastAsia="Times New Roman" w:hAnsi="Times New Roman"/>
          <w:sz w:val="19"/>
          <w:szCs w:val="19"/>
          <w:color w:val="auto"/>
        </w:rPr>
        <w:t>RESTRICTED STOCK UNITS GRANTED 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/$AwardsGranted$/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/$GrantDate$/</w:t>
      </w:r>
    </w:p>
    <w:p>
      <w:pPr>
        <w:spacing w:after="0" w:line="29" w:lineRule="exact"/>
        <w:rPr>
          <w:sz w:val="20"/>
          <w:szCs w:val="20"/>
          <w:color w:val="auto"/>
        </w:rPr>
      </w:pPr>
    </w:p>
    <w:p>
      <w:pPr>
        <w:sectPr>
          <w:pgSz w:w="11900" w:h="16838" w:orient="portrait"/>
          <w:cols w:equalWidth="0" w:num="2">
            <w:col w:w="4580" w:space="720"/>
            <w:col w:w="594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9"/>
          <w:szCs w:val="19"/>
          <w:color w:val="auto"/>
        </w:rPr>
        <w:t>VESTING SCHEDULE</w:t>
      </w:r>
    </w:p>
    <w:p>
      <w:pPr>
        <w:spacing w:after="0" w:line="20" w:lineRule="exact"/>
        <w:rPr>
          <w:sz w:val="20"/>
          <w:szCs w:val="20"/>
          <w:color w:val="auto"/>
        </w:rPr>
      </w:pPr>
      <w:r>
        <w:rPr>
          <w:sz w:val="20"/>
          <w:szCs w:val="20"/>
          <w:color w:val="auto"/>
        </w:rPr>
        <w:br w:type="column"/>
      </w:r>
    </w:p>
    <w:p>
      <w:pPr>
        <w:jc w:val="both"/>
        <w:ind w:right="640"/>
        <w:spacing w:after="0" w:line="231" w:lineRule="auto"/>
        <w:rPr>
          <w:sz w:val="20"/>
          <w:szCs w:val="20"/>
          <w:color w:val="auto"/>
        </w:rPr>
      </w:pPr>
      <w:r>
        <w:rPr>
          <w:rFonts w:ascii="Times New Roman" w:cs="Times New Roman" w:eastAsia="Times New Roman" w:hAnsi="Times New Roman"/>
          <w:sz w:val="17"/>
          <w:szCs w:val="17"/>
          <w:color w:val="auto"/>
        </w:rPr>
        <w:t>Restricted Stock Units will vest on four equal installments on the following dates, subject to the Grantee being employed by the Company on each such date:</w:t>
      </w:r>
    </w:p>
    <w:p>
      <w:pPr>
        <w:spacing w:after="0" w:line="4" w:lineRule="exact"/>
        <w:rPr>
          <w:sz w:val="20"/>
          <w:szCs w:val="20"/>
          <w:color w:val="auto"/>
        </w:rPr>
      </w:pPr>
    </w:p>
    <w:p>
      <w:pPr>
        <w:sectPr>
          <w:pgSz w:w="11900" w:h="16838" w:orient="portrait"/>
          <w:cols w:equalWidth="0" w:num="2">
            <w:col w:w="4640" w:space="720"/>
            <w:col w:w="5880"/>
          </w:cols>
          <w:pgMar w:left="320" w:top="121" w:right="339" w:bottom="1440" w:gutter="0" w:footer="0" w:header="0"/>
          <w:type w:val="continuous"/>
        </w:sectPr>
      </w:pPr>
    </w:p>
    <w:p>
      <w:pPr>
        <w:ind w:left="5360"/>
        <w:spacing w:after="0"/>
        <w:rPr>
          <w:sz w:val="20"/>
          <w:szCs w:val="20"/>
          <w:color w:val="auto"/>
        </w:rPr>
      </w:pPr>
      <w:r>
        <w:rPr>
          <w:rFonts w:ascii="Times New Roman" w:cs="Times New Roman" w:eastAsia="Times New Roman" w:hAnsi="Times New Roman"/>
          <w:sz w:val="18"/>
          <w:szCs w:val="18"/>
          <w:color w:val="auto"/>
        </w:rPr>
        <w:t>/$VestingSchedule$/</w:t>
      </w:r>
    </w:p>
    <w:p>
      <w:pPr>
        <w:sectPr>
          <w:pgSz w:w="11900" w:h="16838" w:orient="portrait"/>
          <w:cols w:equalWidth="0" w:num="1">
            <w:col w:w="11240"/>
          </w:cols>
          <w:pgMar w:left="320" w:top="121" w:right="339"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AGREEMENT</w:t>
      </w:r>
    </w:p>
    <w:p>
      <w:pPr>
        <w:spacing w:after="0" w:line="254" w:lineRule="exact"/>
        <w:rPr>
          <w:sz w:val="20"/>
          <w:szCs w:val="20"/>
          <w:color w:val="auto"/>
        </w:rPr>
      </w:pPr>
    </w:p>
    <w:p>
      <w:pPr>
        <w:jc w:val="both"/>
        <w:ind w:left="620" w:hanging="304"/>
        <w:spacing w:after="0" w:line="268"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Award</w:t>
      </w:r>
      <w:r>
        <w:rPr>
          <w:rFonts w:ascii="Times New Roman" w:cs="Times New Roman" w:eastAsia="Times New Roman" w:hAnsi="Times New Roman"/>
          <w:sz w:val="17"/>
          <w:szCs w:val="17"/>
          <w:color w:val="auto"/>
        </w:rPr>
        <w:t>. The Company hereby grants to the Grantee the Restricted Stock Units, subject to the terms, definitions and provisions of the Plan and this Agreement. All terms, provisions, and conditions applicable to the Restricted Stock Units set forth in the Plan and not set forth herein are incorporated by reference. To the extent any provision hereof is inconsistent with a provision of the Plan, the provision of the Plan will govern. All capitalized terms that are used in this Agreement and not otherwise defined herein shall have the meanings ascribed to them in the Plan.</w:t>
      </w:r>
    </w:p>
    <w:p>
      <w:pPr>
        <w:spacing w:after="0" w:line="193"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and Settlement of Award</w:t>
      </w: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left="1260" w:hanging="319"/>
        <w:spacing w:after="0" w:line="266" w:lineRule="auto"/>
        <w:tabs>
          <w:tab w:leader="none" w:pos="125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to Award</w:t>
      </w:r>
      <w:r>
        <w:rPr>
          <w:rFonts w:ascii="Times New Roman" w:cs="Times New Roman" w:eastAsia="Times New Roman" w:hAnsi="Times New Roman"/>
          <w:sz w:val="17"/>
          <w:szCs w:val="17"/>
          <w:color w:val="auto"/>
        </w:rPr>
        <w:t>. This Award shall vest in accordance with the vesting schedule set forth above (the “Vesting Schedule”) and with the applicable provisions of the Plan and this Agreement.</w:t>
      </w:r>
    </w:p>
    <w:p>
      <w:pPr>
        <w:spacing w:after="0" w:line="1" w:lineRule="exact"/>
        <w:rPr>
          <w:rFonts w:ascii="Times New Roman" w:cs="Times New Roman" w:eastAsia="Times New Roman" w:hAnsi="Times New Roman"/>
          <w:sz w:val="17"/>
          <w:szCs w:val="17"/>
          <w:color w:val="auto"/>
        </w:rPr>
      </w:pPr>
    </w:p>
    <w:p>
      <w:pPr>
        <w:jc w:val="both"/>
        <w:ind w:left="1260" w:hanging="319"/>
        <w:spacing w:after="0" w:line="247" w:lineRule="auto"/>
        <w:tabs>
          <w:tab w:leader="none" w:pos="126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of Award</w:t>
      </w:r>
      <w:r>
        <w:rPr>
          <w:rFonts w:ascii="Times New Roman" w:cs="Times New Roman" w:eastAsia="Times New Roman" w:hAnsi="Times New Roman"/>
          <w:sz w:val="17"/>
          <w:szCs w:val="17"/>
          <w:color w:val="auto"/>
        </w:rPr>
        <w:t xml:space="preserve">. The vested portion of this Award shall be settled as soon as practicable following the vesting date set forth in the Vesting Schedule, but in no event later than March 15 of the year following the year in which the Award vests;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Grantee shall be or become eligible for Retirement at any time following the date of grant (as set forth above) and prior to the vesting date(s) set forth in the Vesting Schedule, then upon the vesting of any portion of this Award, the vested portion shall be settled within five business days following the applicable vesting date in the Vesting Schedule or as soon as practicable after such fifth business day, but in no event later than December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of the calendar year in which such fifth business day occurs, provided that if such five business day period spans two calendar years, then the vested portion shall be settled no earlier than the first business day of the second calendar year. Notwithstanding anything in the foregoing to the contrary, the Award may vest and be payable upon termination of employment as provided in Paragraph 3.</w:t>
      </w:r>
    </w:p>
    <w:p>
      <w:pPr>
        <w:spacing w:after="0" w:line="212" w:lineRule="exact"/>
        <w:rPr>
          <w:rFonts w:ascii="Times New Roman" w:cs="Times New Roman" w:eastAsia="Times New Roman" w:hAnsi="Times New Roman"/>
          <w:sz w:val="17"/>
          <w:szCs w:val="17"/>
          <w:color w:val="auto"/>
        </w:rPr>
      </w:pPr>
    </w:p>
    <w:p>
      <w:pPr>
        <w:jc w:val="both"/>
        <w:ind w:left="126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require the Grantee to furnish or execute such documents as the Company shall reasonably deem necessary (i) to evidence such settlement and (ii) to comply with or satisfy the requirements of the Securities Act of 1933, as amended, the Exchange Act or any Applicable Laws.</w:t>
      </w:r>
    </w:p>
    <w:p>
      <w:pPr>
        <w:sectPr>
          <w:pgSz w:w="11900" w:h="16838" w:orient="portrait"/>
          <w:cols w:equalWidth="0" w:num="1">
            <w:col w:w="11240"/>
          </w:cols>
          <w:pgMar w:left="320" w:top="121" w:right="339" w:bottom="1440" w:gutter="0" w:footer="0" w:header="0"/>
          <w:type w:val="continuous"/>
        </w:sectPr>
      </w:pPr>
    </w:p>
    <w:bookmarkStart w:id="128" w:name="page129"/>
    <w:bookmarkEnd w:id="128"/>
    <w:p>
      <w:pPr>
        <w:spacing w:after="0" w:line="9" w:lineRule="exact"/>
        <w:rPr>
          <w:sz w:val="20"/>
          <w:szCs w:val="20"/>
          <w:color w:val="auto"/>
        </w:rPr>
      </w:pPr>
    </w:p>
    <w:p>
      <w:pPr>
        <w:jc w:val="both"/>
        <w:ind w:left="944" w:hanging="319"/>
        <w:spacing w:after="0" w:line="274" w:lineRule="auto"/>
        <w:tabs>
          <w:tab w:leader="none" w:pos="934"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Method of Settlement</w:t>
      </w:r>
      <w:r>
        <w:rPr>
          <w:rFonts w:ascii="Times New Roman" w:cs="Times New Roman" w:eastAsia="Times New Roman" w:hAnsi="Times New Roman"/>
          <w:sz w:val="17"/>
          <w:szCs w:val="17"/>
          <w:color w:val="auto"/>
        </w:rPr>
        <w:t>. The Company shall deliver to the Grantee one Share for each vested Restricted Stock Unit, less any Shares withheld in accordance with Paragraph 2(e) of this Agreement. Share certificates shall be issued in the name of the Grantee (or of the person or persons to whom such Restricted Stock Units were transferred in accordance with Paragraph 4 of this Agreement).</w:t>
      </w:r>
    </w:p>
    <w:p>
      <w:pPr>
        <w:spacing w:after="0" w:line="189" w:lineRule="exact"/>
        <w:rPr>
          <w:rFonts w:ascii="Times New Roman" w:cs="Times New Roman" w:eastAsia="Times New Roman" w:hAnsi="Times New Roman"/>
          <w:sz w:val="17"/>
          <w:szCs w:val="17"/>
          <w:color w:val="auto"/>
        </w:rPr>
      </w:pPr>
    </w:p>
    <w:p>
      <w:pPr>
        <w:jc w:val="both"/>
        <w:ind w:left="944" w:hanging="319"/>
        <w:spacing w:after="0" w:line="261" w:lineRule="auto"/>
        <w:tabs>
          <w:tab w:leader="none" w:pos="944"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 Equivalents</w:t>
      </w:r>
      <w:r>
        <w:rPr>
          <w:rFonts w:ascii="Times New Roman" w:cs="Times New Roman" w:eastAsia="Times New Roman" w:hAnsi="Times New Roman"/>
          <w:sz w:val="17"/>
          <w:szCs w:val="17"/>
          <w:color w:val="auto"/>
        </w:rPr>
        <w:t>. If a cash Dividend is declared on the Shares, the Grantee shall be credited with a Dividend Equivalent in an amount of cash equal to the number of Restricted Stock Units held by the Grantee as of the dividend record date, multiplied by the amount of the cash dividend paid per Share. Such Dividend Equivalent shall be paid if and when the underlying Restricted Stock Units are settled. If a Share Dividend is declared on the Shares, the Grantee shall be credited with a Dividend Equivalent in an amount of Shares equal to the number of Restricted Stock Units held by the Grantee as of the dividend record date, multiplied by the amount of the Share dividend distributed per Share. Such Dividend Equivalent shall be settled if and when the underlying Restricted Stock Units are settled, rounded down to the nearest whole share. Dividend Equivalents shall not accrue interest prior to the date of payment or settlement, as applicable.</w:t>
      </w:r>
    </w:p>
    <w:p>
      <w:pPr>
        <w:spacing w:after="0" w:line="203" w:lineRule="exact"/>
        <w:rPr>
          <w:rFonts w:ascii="Times New Roman" w:cs="Times New Roman" w:eastAsia="Times New Roman" w:hAnsi="Times New Roman"/>
          <w:sz w:val="17"/>
          <w:szCs w:val="17"/>
          <w:color w:val="auto"/>
        </w:rPr>
      </w:pPr>
    </w:p>
    <w:p>
      <w:pPr>
        <w:jc w:val="both"/>
        <w:ind w:left="944" w:hanging="319"/>
        <w:spacing w:after="0" w:line="261" w:lineRule="auto"/>
        <w:tabs>
          <w:tab w:leader="none" w:pos="934"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Pursuant to Section 14 of the Plan, the Company shall have the power and the right to deduct or withhold, or require the Grantee to remit to the Company, an amount sufficient to satisfy any applicable tax withholding requirements applicable to this Award. The Company may condition the delivery of Shares upon the Grantee’s satisfaction of such withholding obligations. To the extent permitted by the Committee, the Grantee may elect to satisfy all or part of such withholding requirement by tendering previously-owned Shares or by having the Company withhold Shares having a Fair Market Value equal to the minimum statutory tax withholding rate that could be imposed on the transaction (or such other rate that will not result in a negative accounting impact). Such election shall be irrevocable, made in writing, signed by the Grantee, and shall be subject to any restrictions or limitations that the Committee, in its sole discretion, deems appropriate.</w:t>
      </w:r>
    </w:p>
    <w:p>
      <w:pPr>
        <w:spacing w:after="0" w:line="203" w:lineRule="exact"/>
        <w:rPr>
          <w:rFonts w:ascii="Times New Roman" w:cs="Times New Roman" w:eastAsia="Times New Roman" w:hAnsi="Times New Roman"/>
          <w:sz w:val="17"/>
          <w:szCs w:val="17"/>
          <w:color w:val="auto"/>
        </w:rPr>
      </w:pPr>
    </w:p>
    <w:p>
      <w:pPr>
        <w:jc w:val="both"/>
        <w:ind w:left="304" w:hanging="304"/>
        <w:spacing w:after="0" w:line="235" w:lineRule="auto"/>
        <w:tabs>
          <w:tab w:leader="none" w:pos="30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w:t>
      </w:r>
      <w:r>
        <w:rPr>
          <w:rFonts w:ascii="Times New Roman" w:cs="Times New Roman" w:eastAsia="Times New Roman" w:hAnsi="Times New Roman"/>
          <w:sz w:val="17"/>
          <w:szCs w:val="17"/>
          <w:color w:val="auto"/>
        </w:rPr>
        <w:t>. In the event the Grantee’s employment with the Company is terminated prior to the vesting date(s) set forth in the Vesting Schedule due to the Grantee’s (i) Retirement, (ii) death, (iii) Disability (as defined below), or (iv) Qualifying Termination (as defined below) during the two year period following the occurrence of a Change in Control, the Award shall become 100% vested on the date of such termination of employment or death and shall be settled (x) within five business days after the Grantee’s separation from service by reason of a Qualifying Termination during the two year period following the occurrence of a Change in Control or Retirement or Disability, provided that if such five business day period spans two calendar years, then the vested portion shall be settled no earlier than the first business day of the second calendar year, or (y) on the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day following the date of the Grantee’s death, as the case may be, or as soon as practicable after such fifth business day or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day, as applicable, but in no event later than December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of the calendar year in which such fifth business day or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day occurs;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Award shall be forfeited immediately if the Grantee retires prior to December 31 of the year in which this Award was granted.</w:t>
      </w:r>
    </w:p>
    <w:p>
      <w:pPr>
        <w:spacing w:after="0" w:line="215" w:lineRule="exact"/>
        <w:rPr>
          <w:rFonts w:ascii="Times New Roman" w:cs="Times New Roman" w:eastAsia="Times New Roman" w:hAnsi="Times New Roman"/>
          <w:sz w:val="17"/>
          <w:szCs w:val="17"/>
          <w:color w:val="auto"/>
        </w:rPr>
      </w:pPr>
    </w:p>
    <w:p>
      <w:pPr>
        <w:jc w:val="both"/>
        <w:ind w:left="304"/>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Grantee’s employment with the Company terminates (except when due to Retirement, death, Disability or a Qualifying Termination during the two year period following the occurrence of a Change in Control), this Award shall be forfeited immediately with respect to the number of Restricted Stock Units for which the Award is not yet vested. If the Grantee dies after termination of employment, but before the settlement of the Award, all or part of this Award may be settled by payment to the personal representative of the Grantee or by any person who has acquired this Award directly from the Grantee but only to the extent that the Award was vested upon termination of the Grantee’s employment.</w:t>
      </w:r>
    </w:p>
    <w:p>
      <w:pPr>
        <w:spacing w:after="0" w:line="195" w:lineRule="exact"/>
        <w:rPr>
          <w:rFonts w:ascii="Times New Roman" w:cs="Times New Roman" w:eastAsia="Times New Roman" w:hAnsi="Times New Roman"/>
          <w:sz w:val="17"/>
          <w:szCs w:val="17"/>
          <w:color w:val="auto"/>
        </w:rPr>
      </w:pPr>
    </w:p>
    <w:p>
      <w:pPr>
        <w:ind w:left="304"/>
        <w:spacing w:after="0" w:line="29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the term “Disability” means the inability of the Grantee to perform each of the essential duties of the Grantee’s position by reason of a medically determinable physical or mental</w:t>
      </w:r>
    </w:p>
    <w:p>
      <w:pPr>
        <w:spacing w:after="0" w:line="200" w:lineRule="exact"/>
        <w:rPr>
          <w:sz w:val="20"/>
          <w:szCs w:val="20"/>
          <w:color w:val="auto"/>
        </w:rPr>
      </w:pPr>
    </w:p>
    <w:p>
      <w:pPr>
        <w:spacing w:after="0" w:line="324"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924"/>
          </w:cols>
          <w:pgMar w:left="636" w:top="1440" w:right="339" w:bottom="1440" w:gutter="0" w:footer="0" w:header="0"/>
        </w:sectPr>
      </w:pPr>
    </w:p>
    <w:bookmarkStart w:id="129" w:name="page130"/>
    <w:bookmarkEnd w:id="129"/>
    <w:p>
      <w:pPr>
        <w:jc w:val="both"/>
        <w:ind w:left="304"/>
        <w:spacing w:after="0" w:line="265" w:lineRule="auto"/>
        <w:rPr>
          <w:sz w:val="20"/>
          <w:szCs w:val="20"/>
          <w:color w:val="auto"/>
        </w:rPr>
      </w:pPr>
      <w:r>
        <w:rPr>
          <w:rFonts w:ascii="Times New Roman" w:cs="Times New Roman" w:eastAsia="Times New Roman" w:hAnsi="Times New Roman"/>
          <w:sz w:val="17"/>
          <w:szCs w:val="17"/>
          <w:color w:val="auto"/>
        </w:rPr>
        <w:t xml:space="preserve">impairment which is potentially permanent in character or which can be expected to last for a continuous period of not less than 12 months;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the Grantee has an employment agreement with the Company which has a definition of “Disability,” the definition contained therein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govern. For purposes of this Agreement, a “Qualifying Termination” means the Grantee’s termination of employment with the Company without Cause or, if the Grantee has an employment agreement with the Company which has a definition of “good reason,” for good reason (as defined in the Grantee’s employment agreement with the Company).</w:t>
      </w:r>
    </w:p>
    <w:p>
      <w:pPr>
        <w:spacing w:after="0" w:line="198" w:lineRule="exact"/>
        <w:rPr>
          <w:sz w:val="20"/>
          <w:szCs w:val="20"/>
          <w:color w:val="auto"/>
        </w:rPr>
      </w:pPr>
    </w:p>
    <w:p>
      <w:pPr>
        <w:ind w:left="304" w:hanging="304"/>
        <w:spacing w:after="0" w:line="293" w:lineRule="auto"/>
        <w:tabs>
          <w:tab w:leader="none" w:pos="304"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 of Award</w:t>
      </w:r>
      <w:r>
        <w:rPr>
          <w:rFonts w:ascii="Times New Roman" w:cs="Times New Roman" w:eastAsia="Times New Roman" w:hAnsi="Times New Roman"/>
          <w:sz w:val="17"/>
          <w:szCs w:val="17"/>
          <w:color w:val="auto"/>
        </w:rPr>
        <w:t>. Subject to any applicable law in any relevant jurisdiction (including any applicable law that may apply in respect of or upon the Grantee’s death), the Award may not be transferred, pledged, assigned, or otherwise disposed of, except following the Grantee’s death:</w:t>
      </w:r>
    </w:p>
    <w:p>
      <w:pPr>
        <w:spacing w:after="0" w:line="173" w:lineRule="exact"/>
        <w:rPr>
          <w:rFonts w:ascii="Times New Roman" w:cs="Times New Roman" w:eastAsia="Times New Roman" w:hAnsi="Times New Roman"/>
          <w:sz w:val="17"/>
          <w:szCs w:val="17"/>
          <w:color w:val="auto"/>
        </w:rPr>
      </w:pPr>
    </w:p>
    <w:p>
      <w:pPr>
        <w:ind w:left="924" w:hanging="299"/>
        <w:spacing w:after="0"/>
        <w:tabs>
          <w:tab w:leader="none" w:pos="924"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person permitted or required by will or the laws of descent and distribution (or their equivalent in any relevant jurisdiction); or</w:t>
      </w:r>
    </w:p>
    <w:p>
      <w:pPr>
        <w:spacing w:after="0" w:line="246" w:lineRule="exact"/>
        <w:rPr>
          <w:rFonts w:ascii="Times New Roman" w:cs="Times New Roman" w:eastAsia="Times New Roman" w:hAnsi="Times New Roman"/>
          <w:sz w:val="17"/>
          <w:szCs w:val="17"/>
          <w:color w:val="auto"/>
        </w:rPr>
      </w:pPr>
    </w:p>
    <w:p>
      <w:pPr>
        <w:ind w:left="944" w:hanging="319"/>
        <w:spacing w:after="0" w:line="293" w:lineRule="auto"/>
        <w:tabs>
          <w:tab w:leader="none" w:pos="944"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no consideration, subject to such rules and conditions as may be established by the Committee, to a member or members of the deceased Grantee’s Immediate Family.</w:t>
      </w:r>
    </w:p>
    <w:p>
      <w:pPr>
        <w:spacing w:after="0" w:line="173" w:lineRule="exact"/>
        <w:rPr>
          <w:sz w:val="20"/>
          <w:szCs w:val="20"/>
          <w:color w:val="auto"/>
        </w:rPr>
      </w:pPr>
    </w:p>
    <w:p>
      <w:pPr>
        <w:jc w:val="both"/>
        <w:ind w:left="304"/>
        <w:spacing w:after="0" w:line="274" w:lineRule="auto"/>
        <w:rPr>
          <w:sz w:val="20"/>
          <w:szCs w:val="20"/>
          <w:color w:val="auto"/>
        </w:rPr>
      </w:pPr>
      <w:r>
        <w:rPr>
          <w:rFonts w:ascii="Times New Roman" w:cs="Times New Roman" w:eastAsia="Times New Roman" w:hAnsi="Times New Roman"/>
          <w:sz w:val="17"/>
          <w:szCs w:val="17"/>
          <w:color w:val="auto"/>
        </w:rPr>
        <w:t>For purposes of this Agreement, the deceased Grantee’s “Immediate Family” means the Grantee’s children, stepchildren, grandchildren, parents, stepparents, grandparents, spouse, former spouse, siblings, nieces, nephews, mother-in-law, father-in-law, son-in-law, daughter-in-law, brother-in-law, or sister-in-law, including adoptive relationships or any person sharing the Grantee’s household (other than a tenant or employee).</w:t>
      </w:r>
    </w:p>
    <w:p>
      <w:pPr>
        <w:spacing w:after="0" w:line="189" w:lineRule="exact"/>
        <w:rPr>
          <w:sz w:val="20"/>
          <w:szCs w:val="20"/>
          <w:color w:val="auto"/>
        </w:rPr>
      </w:pPr>
    </w:p>
    <w:p>
      <w:pPr>
        <w:jc w:val="both"/>
        <w:ind w:left="304" w:hanging="304"/>
        <w:spacing w:after="0" w:line="274" w:lineRule="auto"/>
        <w:tabs>
          <w:tab w:leader="none" w:pos="30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Non-U.S. Grantee Information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attached hereto includes additional terms and conditions that govern the grant of Restricted Stock Units and subsequent issuance of Shares to a Grantee pursuant to Paragraph 2(b) and under the Plan if the Grantee resides or is otherwise subject to tax in one of the countries or jurisdictions listed therein.</w:t>
      </w:r>
    </w:p>
    <w:p>
      <w:pPr>
        <w:spacing w:after="0" w:line="189"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 Provisions</w:t>
      </w: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jc w:val="both"/>
        <w:ind w:left="944" w:hanging="319"/>
        <w:spacing w:after="0" w:line="274" w:lineRule="auto"/>
        <w:tabs>
          <w:tab w:leader="none" w:pos="934"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as a Stockholder</w:t>
      </w:r>
      <w:r>
        <w:rPr>
          <w:rFonts w:ascii="Times New Roman" w:cs="Times New Roman" w:eastAsia="Times New Roman" w:hAnsi="Times New Roman"/>
          <w:sz w:val="17"/>
          <w:szCs w:val="17"/>
          <w:color w:val="auto"/>
        </w:rPr>
        <w:t>. Neither the Grantee nor the Grantee’s representative shall have any rights as a stockholder with respect to any Shares subject to this Award, except as provided in Paragraph 2(d), until the Award has vested and Share certificates, if any, have been issued to the Grantee, transferee or representative, as the case may be.</w:t>
      </w:r>
    </w:p>
    <w:p>
      <w:pPr>
        <w:spacing w:after="0" w:line="189" w:lineRule="exact"/>
        <w:rPr>
          <w:rFonts w:ascii="Times New Roman" w:cs="Times New Roman" w:eastAsia="Times New Roman" w:hAnsi="Times New Roman"/>
          <w:sz w:val="17"/>
          <w:szCs w:val="17"/>
          <w:color w:val="auto"/>
        </w:rPr>
      </w:pPr>
    </w:p>
    <w:p>
      <w:pPr>
        <w:jc w:val="both"/>
        <w:ind w:left="944" w:hanging="319"/>
        <w:spacing w:after="0" w:line="260" w:lineRule="auto"/>
        <w:tabs>
          <w:tab w:leader="none" w:pos="944"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Compliance and Listing</w:t>
      </w:r>
      <w:r>
        <w:rPr>
          <w:rFonts w:ascii="Times New Roman" w:cs="Times New Roman" w:eastAsia="Times New Roman" w:hAnsi="Times New Roman"/>
          <w:sz w:val="17"/>
          <w:szCs w:val="17"/>
          <w:color w:val="auto"/>
        </w:rPr>
        <w:t>. The issuance or delivery of any certificates representing Shares issuable pursuant to this Agreement may be postponed by the Committee for such period as may be required to comply with any applicable requirements under the federal or state securities laws, any applicable listing requirements of the New York Stock Exchange, and any applicable requirements under any other Applicable Law, and the Company shall not be obligated to deliver any such Shares to the Grantee if either delivery thereof would constitute a violation of any provision of any law or of any regulation of any governmental authority or the New York Stock Exchange, or the Grantee shall not yet have complied fully with the provisions of Paragraph 2(e) hereof. The Company shall not be liable to the Grantee for any damages relating to any delays in issuing the certificates to the Grantee, any loss of the certificates, or any mistakes or errors in the issuance of the certificates or the certificates themselves.</w:t>
      </w:r>
    </w:p>
    <w:p>
      <w:pPr>
        <w:spacing w:after="0" w:line="205" w:lineRule="exact"/>
        <w:rPr>
          <w:rFonts w:ascii="Times New Roman" w:cs="Times New Roman" w:eastAsia="Times New Roman" w:hAnsi="Times New Roman"/>
          <w:sz w:val="17"/>
          <w:szCs w:val="17"/>
          <w:color w:val="auto"/>
        </w:rPr>
      </w:pPr>
    </w:p>
    <w:p>
      <w:pPr>
        <w:jc w:val="both"/>
        <w:ind w:left="944" w:hanging="319"/>
        <w:spacing w:after="0" w:line="274" w:lineRule="auto"/>
        <w:tabs>
          <w:tab w:leader="none" w:pos="934"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Choice of Law</w:t>
      </w:r>
      <w:r>
        <w:rPr>
          <w:rFonts w:ascii="Times New Roman" w:cs="Times New Roman" w:eastAsia="Times New Roman" w:hAnsi="Times New Roman"/>
          <w:sz w:val="17"/>
          <w:szCs w:val="17"/>
          <w:color w:val="auto"/>
        </w:rPr>
        <w:t>. This Agreement shall be governed by, and construed in accordance with, the laws of the State of New York, excluding any conflicts or choice of law rule or principle that might otherwise refer construction or interpretation of this Agreement to the substantive law of another jurisdiction.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924"/>
          </w:cols>
          <w:pgMar w:left="636" w:top="1212" w:right="339" w:bottom="1440" w:gutter="0" w:footer="0" w:header="0"/>
        </w:sectPr>
      </w:pPr>
    </w:p>
    <w:bookmarkStart w:id="130" w:name="page131"/>
    <w:bookmarkEnd w:id="130"/>
    <w:p>
      <w:pPr>
        <w:jc w:val="both"/>
        <w:ind w:left="319" w:hanging="319"/>
        <w:spacing w:after="0" w:line="286" w:lineRule="auto"/>
        <w:tabs>
          <w:tab w:leader="none" w:pos="31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Modification or Amendment</w:t>
      </w:r>
      <w:r>
        <w:rPr>
          <w:rFonts w:ascii="Times New Roman" w:cs="Times New Roman" w:eastAsia="Times New Roman" w:hAnsi="Times New Roman"/>
          <w:sz w:val="17"/>
          <w:szCs w:val="17"/>
          <w:color w:val="auto"/>
        </w:rPr>
        <w:t>. This Agreement may only be modified or amended by written agreement executed by the parties hereto; provided, however, that the adjustments permitted pursuant to Section 16 and Section 18(b) of the Plan may be made without such written agreement.</w:t>
      </w:r>
    </w:p>
    <w:p>
      <w:pPr>
        <w:spacing w:after="0" w:line="392" w:lineRule="exact"/>
        <w:rPr>
          <w:rFonts w:ascii="Times New Roman" w:cs="Times New Roman" w:eastAsia="Times New Roman" w:hAnsi="Times New Roman"/>
          <w:sz w:val="17"/>
          <w:szCs w:val="17"/>
          <w:color w:val="auto"/>
        </w:rPr>
      </w:pPr>
    </w:p>
    <w:p>
      <w:pPr>
        <w:jc w:val="both"/>
        <w:ind w:left="319" w:hanging="319"/>
        <w:spacing w:after="0" w:line="274" w:lineRule="auto"/>
        <w:tabs>
          <w:tab w:leader="none" w:pos="30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In the event any provision of this Agreement shall be held illegal or invalid for any reason, the illegality or invalidity shall not affect the remaining provisions of this Agreement, and this Agreement shall be construed and enforced as if such illegal or invalid provision had not been included.</w:t>
      </w:r>
    </w:p>
    <w:p>
      <w:pPr>
        <w:spacing w:after="0" w:line="189"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References to Plan</w:t>
      </w:r>
      <w:r>
        <w:rPr>
          <w:rFonts w:ascii="Times New Roman" w:cs="Times New Roman" w:eastAsia="Times New Roman" w:hAnsi="Times New Roman"/>
          <w:sz w:val="17"/>
          <w:szCs w:val="17"/>
          <w:color w:val="auto"/>
        </w:rPr>
        <w:t>. All references to the Plan shall be deemed references to the Plan as may be amended.</w:t>
      </w:r>
    </w:p>
    <w:p>
      <w:pPr>
        <w:spacing w:after="0" w:line="246" w:lineRule="exact"/>
        <w:rPr>
          <w:rFonts w:ascii="Times New Roman" w:cs="Times New Roman" w:eastAsia="Times New Roman" w:hAnsi="Times New Roman"/>
          <w:sz w:val="17"/>
          <w:szCs w:val="17"/>
          <w:color w:val="auto"/>
        </w:rPr>
      </w:pPr>
    </w:p>
    <w:p>
      <w:pPr>
        <w:ind w:left="319" w:hanging="319"/>
        <w:spacing w:after="0" w:line="293" w:lineRule="auto"/>
        <w:tabs>
          <w:tab w:leader="none" w:pos="31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captions used in this Agreement are inserted for convenience and shall not be deemed a part of this Award for construction or interpretation.</w:t>
      </w:r>
    </w:p>
    <w:p>
      <w:pPr>
        <w:spacing w:after="0" w:line="173" w:lineRule="exact"/>
        <w:rPr>
          <w:rFonts w:ascii="Times New Roman" w:cs="Times New Roman" w:eastAsia="Times New Roman" w:hAnsi="Times New Roman"/>
          <w:sz w:val="17"/>
          <w:szCs w:val="17"/>
          <w:color w:val="auto"/>
        </w:rPr>
      </w:pPr>
    </w:p>
    <w:p>
      <w:pPr>
        <w:jc w:val="both"/>
        <w:ind w:left="319" w:hanging="319"/>
        <w:spacing w:after="0" w:line="268" w:lineRule="auto"/>
        <w:tabs>
          <w:tab w:leader="none" w:pos="31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Any dispute regarding the interpretation of this Agreement shall be submitted by the Grantee or by the Company forthwith to the Board or the Committee, which shall review such dispute at its next regular meeting. The Grantee hereby agrees to accept as binding, conclusive and final all decisions or interpretations of the Board or the Committee upon any questions arising under the Plan or this Agreement, including, without limitation, the resolution of any disputes regarding the interpretation of this Agreement.</w:t>
      </w:r>
    </w:p>
    <w:p>
      <w:pPr>
        <w:spacing w:after="0" w:line="193" w:lineRule="exact"/>
        <w:rPr>
          <w:rFonts w:ascii="Times New Roman" w:cs="Times New Roman" w:eastAsia="Times New Roman" w:hAnsi="Times New Roman"/>
          <w:sz w:val="17"/>
          <w:szCs w:val="17"/>
          <w:color w:val="auto"/>
        </w:rPr>
      </w:pPr>
    </w:p>
    <w:p>
      <w:pPr>
        <w:jc w:val="both"/>
        <w:ind w:left="319" w:hanging="319"/>
        <w:spacing w:after="0" w:line="260" w:lineRule="auto"/>
        <w:tabs>
          <w:tab w:leader="none" w:pos="30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409A of the Code</w:t>
      </w:r>
      <w:r>
        <w:rPr>
          <w:rFonts w:ascii="Times New Roman" w:cs="Times New Roman" w:eastAsia="Times New Roman" w:hAnsi="Times New Roman"/>
          <w:sz w:val="17"/>
          <w:szCs w:val="17"/>
          <w:color w:val="auto"/>
        </w:rPr>
        <w:t>. The provisions of this Agreement and any payments made herein are intended to comply with, and should be interpreted consistent with, the requirements of Section 409A of the Code, and any related regulations or other effective guidance promulgated thereunder by the U.S. Department of the Treasury or the Internal Revenue Service. Notwithstanding the foregoing, in the event any settlement of the Award hereunder constitutes “deferred compensation” within the meaning of Section 409A of the Code, and the Grantee is a “specified employee” (as determined under the Company’s policy for identifying specified employees) on the date of the Grantee’s “separation from service” (within the meaning of Section 409A of the Code), the date for settlement shall be the earlier of (i) within 30 days following the date of the Grantee’s death or (ii) the later of (x) the date that settlement would otherwise be made hereunder or (y) the first business day following the end of the sixth-month period following the date of the Grantee’s separation from service.</w:t>
      </w:r>
    </w:p>
    <w:p>
      <w:pPr>
        <w:spacing w:after="0" w:line="205" w:lineRule="exact"/>
        <w:rPr>
          <w:rFonts w:ascii="Times New Roman" w:cs="Times New Roman" w:eastAsia="Times New Roman" w:hAnsi="Times New Roman"/>
          <w:sz w:val="17"/>
          <w:szCs w:val="17"/>
          <w:color w:val="auto"/>
        </w:rPr>
      </w:pPr>
    </w:p>
    <w:p>
      <w:pPr>
        <w:jc w:val="both"/>
        <w:ind w:left="319" w:hanging="319"/>
        <w:spacing w:after="0" w:line="263" w:lineRule="auto"/>
        <w:tabs>
          <w:tab w:leader="none" w:pos="30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Representations.</w:t>
      </w:r>
      <w:r>
        <w:rPr>
          <w:rFonts w:ascii="Times New Roman" w:cs="Times New Roman" w:eastAsia="Times New Roman" w:hAnsi="Times New Roman"/>
          <w:sz w:val="17"/>
          <w:szCs w:val="17"/>
          <w:color w:val="auto"/>
        </w:rPr>
        <w:t xml:space="preserve"> The Grantee represents that the Grantee is familiar with the terms and provisions hereof, and hereby accepts this Agreement subject to all of the terms and provisions hereof. The Grantee also represents that the Grantee is aware that the Award granted hereunder may be subject to mandatory repayment pursuant to Section 19 of the Plan, in particular under any Company “clawback” or recoupment policy, whether being in force as of the date of this Agreement or being adopted thereafter. The Grantee has reviewed the Plan and this Agreement in their entirety, has had an opportunity to obtain the advice of counsel prior to executing this Agreement and fully understands all provisions of this Agreement.</w:t>
      </w:r>
    </w:p>
    <w:p>
      <w:pPr>
        <w:spacing w:after="0" w:line="197" w:lineRule="exact"/>
        <w:rPr>
          <w:rFonts w:ascii="Times New Roman" w:cs="Times New Roman" w:eastAsia="Times New Roman" w:hAnsi="Times New Roman"/>
          <w:sz w:val="17"/>
          <w:szCs w:val="17"/>
          <w:color w:val="auto"/>
        </w:rPr>
      </w:pPr>
    </w:p>
    <w:p>
      <w:pPr>
        <w:jc w:val="both"/>
        <w:ind w:left="319" w:hanging="319"/>
        <w:spacing w:after="0" w:line="262" w:lineRule="auto"/>
        <w:tabs>
          <w:tab w:leader="none" w:pos="31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Acceptance; Consent to Electronic Delivery</w:t>
      </w:r>
      <w:r>
        <w:rPr>
          <w:rFonts w:ascii="Times New Roman" w:cs="Times New Roman" w:eastAsia="Times New Roman" w:hAnsi="Times New Roman"/>
          <w:sz w:val="17"/>
          <w:szCs w:val="17"/>
          <w:color w:val="auto"/>
        </w:rPr>
        <w:t>. The Grantee must accept this grant of Restricted Stock Units electronically pursuant to the online acceptance procedure established by the Company. By accepting this grant of Restricted Stock Units, the Grantee agrees to all of the terms and conditions described in this Agreement and in the Plan, a copy of which has been provided or made available to the Grantee. By accepting this grant of Restricted Stock Units, the Grantee consents to receive documents related to the Restricted Stock Units by electronic delivery (including e-mail or reference to a website or other URL) and, if requested, agrees to participate in the Plan through an on-line or electronic system established and maintained by the Company or another third party designated by the Company, and the Grantee’s consent shall remain in effect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63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299"/>
          </w:cols>
          <w:pgMar w:left="1261" w:top="1214" w:right="339" w:bottom="1440" w:gutter="0" w:footer="0" w:header="0"/>
        </w:sectPr>
      </w:pPr>
    </w:p>
    <w:bookmarkStart w:id="131" w:name="page132"/>
    <w:bookmarkEnd w:id="131"/>
    <w:p>
      <w:pPr>
        <w:ind w:left="140"/>
        <w:spacing w:after="0" w:line="293" w:lineRule="auto"/>
        <w:rPr>
          <w:sz w:val="20"/>
          <w:szCs w:val="20"/>
          <w:color w:val="auto"/>
        </w:rPr>
      </w:pPr>
      <w:r>
        <w:rPr>
          <w:rFonts w:ascii="Times New Roman" w:cs="Times New Roman" w:eastAsia="Times New Roman" w:hAnsi="Times New Roman"/>
          <w:sz w:val="17"/>
          <w:szCs w:val="17"/>
          <w:color w:val="auto"/>
        </w:rPr>
        <w:t>throughout the term of the Grantee’s employment with the Company and thereafter until the Grantee withdraws such consent in writing to the Company.</w:t>
      </w:r>
    </w:p>
    <w:p>
      <w:pPr>
        <w:spacing w:after="0" w:line="200" w:lineRule="exact"/>
        <w:rPr>
          <w:sz w:val="20"/>
          <w:szCs w:val="20"/>
          <w:color w:val="auto"/>
        </w:rPr>
      </w:pPr>
    </w:p>
    <w:p>
      <w:pPr>
        <w:spacing w:after="0" w:line="20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PVH CORP.</w:t>
      </w:r>
    </w:p>
    <w:p>
      <w:pPr>
        <w:spacing w:after="0" w:line="200" w:lineRule="exact"/>
        <w:rPr>
          <w:sz w:val="20"/>
          <w:szCs w:val="20"/>
          <w:color w:val="auto"/>
        </w:rPr>
      </w:pPr>
    </w:p>
    <w:p>
      <w:pPr>
        <w:spacing w:after="0" w:line="28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By: /s/ Mark D.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2253615</wp:posOffset>
            </wp:positionH>
            <wp:positionV relativeFrom="paragraph">
              <wp:posOffset>-4445</wp:posOffset>
            </wp:positionV>
            <wp:extent cx="1076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1076325" cy="8255"/>
                    </a:xfrm>
                    <a:prstGeom prst="rect">
                      <a:avLst/>
                    </a:prstGeom>
                    <a:noFill/>
                  </pic:spPr>
                </pic:pic>
              </a:graphicData>
            </a:graphic>
          </wp:anchor>
        </w:drawing>
      </w:r>
    </w:p>
    <w:p>
      <w:pPr>
        <w:spacing w:after="0" w:line="1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Name: Mark D. Fischer</w:t>
      </w:r>
    </w:p>
    <w:p>
      <w:pPr>
        <w:spacing w:after="0" w:line="13"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Title: Executive Vice President</w:t>
      </w:r>
    </w:p>
    <w:p>
      <w:pPr>
        <w:spacing w:after="0" w:line="200" w:lineRule="exact"/>
        <w:rPr>
          <w:sz w:val="20"/>
          <w:szCs w:val="20"/>
          <w:color w:val="auto"/>
        </w:rPr>
      </w:pPr>
    </w:p>
    <w:p>
      <w:pPr>
        <w:spacing w:after="0" w:line="3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120"/>
          </w:cols>
          <w:pgMar w:left="1440" w:top="1214"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1"/>
          <w:szCs w:val="21"/>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244" w:lineRule="exact"/>
        <w:rPr>
          <w:sz w:val="20"/>
          <w:szCs w:val="20"/>
          <w:color w:val="auto"/>
        </w:rPr>
      </w:pPr>
    </w:p>
    <w:p>
      <w:pPr>
        <w:ind w:firstLine="625"/>
        <w:spacing w:after="0" w:line="275" w:lineRule="auto"/>
        <w:rPr>
          <w:sz w:val="20"/>
          <w:szCs w:val="20"/>
          <w:color w:val="auto"/>
        </w:rPr>
      </w:pPr>
      <w:r>
        <w:rPr>
          <w:rFonts w:ascii="Times New Roman" w:cs="Times New Roman" w:eastAsia="Times New Roman" w:hAnsi="Times New Roman"/>
          <w:sz w:val="21"/>
          <w:szCs w:val="21"/>
          <w:color w:val="auto"/>
        </w:rPr>
        <w:t>EMPLOYMENT AGREEMENT ("Agreement"), effective as of November 1, 2019, between PVH CORP., a Delaware corporation ("PVH" and, together with its affiliates and subsidiaries, the "Company"), and MELISSA STONE (the "Executive").</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WITNESSETH:</w:t>
      </w:r>
    </w:p>
    <w:p>
      <w:pPr>
        <w:spacing w:after="0" w:line="253" w:lineRule="exact"/>
        <w:rPr>
          <w:sz w:val="20"/>
          <w:szCs w:val="20"/>
          <w:color w:val="auto"/>
        </w:rPr>
      </w:pPr>
    </w:p>
    <w:p>
      <w:pPr>
        <w:ind w:firstLine="625"/>
        <w:spacing w:after="0" w:line="275" w:lineRule="auto"/>
        <w:rPr>
          <w:sz w:val="20"/>
          <w:szCs w:val="20"/>
          <w:color w:val="auto"/>
        </w:rPr>
      </w:pPr>
      <w:r>
        <w:rPr>
          <w:rFonts w:ascii="Times New Roman" w:cs="Times New Roman" w:eastAsia="Times New Roman" w:hAnsi="Times New Roman"/>
          <w:sz w:val="21"/>
          <w:szCs w:val="21"/>
          <w:color w:val="auto"/>
        </w:rPr>
        <w:t>WHEREAS, the Executive has previously entered into an Offer Letter with PVH, as amended to the date hereof (the "Existing Agreement"); and</w:t>
      </w:r>
    </w:p>
    <w:p>
      <w:pPr>
        <w:spacing w:after="0" w:line="175" w:lineRule="exact"/>
        <w:rPr>
          <w:sz w:val="20"/>
          <w:szCs w:val="20"/>
          <w:color w:val="auto"/>
        </w:rPr>
      </w:pPr>
    </w:p>
    <w:p>
      <w:pPr>
        <w:ind w:firstLine="625"/>
        <w:spacing w:after="0" w:line="275" w:lineRule="auto"/>
        <w:rPr>
          <w:sz w:val="20"/>
          <w:szCs w:val="20"/>
          <w:color w:val="auto"/>
        </w:rPr>
      </w:pPr>
      <w:r>
        <w:rPr>
          <w:rFonts w:ascii="Times New Roman" w:cs="Times New Roman" w:eastAsia="Times New Roman" w:hAnsi="Times New Roman"/>
          <w:sz w:val="21"/>
          <w:szCs w:val="21"/>
          <w:color w:val="auto"/>
        </w:rPr>
        <w:t>WHEREAS, the Company desires to enter into a new employment agreement with the Executive to ensure that the Executive is retained on a full-time basis in accordance with the terms and conditions set forth herein.</w:t>
      </w:r>
    </w:p>
    <w:p>
      <w:pPr>
        <w:spacing w:after="0" w:line="175" w:lineRule="exact"/>
        <w:rPr>
          <w:sz w:val="20"/>
          <w:szCs w:val="20"/>
          <w:color w:val="auto"/>
        </w:rPr>
      </w:pPr>
    </w:p>
    <w:p>
      <w:pPr>
        <w:ind w:firstLine="625"/>
        <w:spacing w:after="0" w:line="275" w:lineRule="auto"/>
        <w:rPr>
          <w:sz w:val="20"/>
          <w:szCs w:val="20"/>
          <w:color w:val="auto"/>
        </w:rPr>
      </w:pPr>
      <w:r>
        <w:rPr>
          <w:rFonts w:ascii="Times New Roman" w:cs="Times New Roman" w:eastAsia="Times New Roman" w:hAnsi="Times New Roman"/>
          <w:sz w:val="21"/>
          <w:szCs w:val="21"/>
          <w:color w:val="auto"/>
        </w:rPr>
        <w:t>NOW, THEREFORE, in consideration of the foregoing and the mutual covenants herein contained, the parties hereto hereby agree as follows:</w:t>
      </w:r>
    </w:p>
    <w:p>
      <w:pPr>
        <w:spacing w:after="0" w:line="188" w:lineRule="exact"/>
        <w:rPr>
          <w:sz w:val="20"/>
          <w:szCs w:val="20"/>
          <w:color w:val="auto"/>
        </w:rPr>
      </w:pPr>
    </w:p>
    <w:p>
      <w:pPr>
        <w:ind w:left="1260" w:hanging="631"/>
        <w:spacing w:after="0"/>
        <w:tabs>
          <w:tab w:leader="none" w:pos="1260"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Employment.</w:t>
      </w:r>
    </w:p>
    <w:p>
      <w:pPr>
        <w:spacing w:after="0" w:line="239" w:lineRule="exact"/>
        <w:rPr>
          <w:rFonts w:ascii="Times New Roman" w:cs="Times New Roman" w:eastAsia="Times New Roman" w:hAnsi="Times New Roman"/>
          <w:sz w:val="21"/>
          <w:szCs w:val="21"/>
          <w:color w:val="auto"/>
        </w:rPr>
      </w:pPr>
    </w:p>
    <w:p>
      <w:pPr>
        <w:jc w:val="both"/>
        <w:ind w:firstLine="1253"/>
        <w:spacing w:after="0" w:line="254" w:lineRule="auto"/>
        <w:tabs>
          <w:tab w:leader="none" w:pos="1870" w:val="left"/>
        </w:tabs>
        <w:numPr>
          <w:ilvl w:val="2"/>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Period.</w:t>
      </w:r>
      <w:r>
        <w:rPr>
          <w:rFonts w:ascii="Times New Roman" w:cs="Times New Roman" w:eastAsia="Times New Roman" w:hAnsi="Times New Roman"/>
          <w:sz w:val="21"/>
          <w:szCs w:val="21"/>
          <w:color w:val="auto"/>
        </w:rPr>
        <w:t xml:space="preserve"> The Company agrees to employ the Executive, and the Executive agrees to be employed by the Company, in accordance with the terms and conditions hereof. The Executive shall be an employee at will and this Agreement shall not constitute a guarantee of employment. Each of the parties acknowledges and agrees that either party may terminate the Executive's employment at any time, for any reason, with or without Cause (as defined in Section 3(a)(i)). The period commencing on the date hereof and ending on the effective date of the termination of the Executive's employment is hereinafter referred to as the "Employment Period."</w:t>
      </w:r>
    </w:p>
    <w:p>
      <w:pPr>
        <w:spacing w:after="0" w:line="196" w:lineRule="exact"/>
        <w:rPr>
          <w:rFonts w:ascii="Times New Roman" w:cs="Times New Roman" w:eastAsia="Times New Roman" w:hAnsi="Times New Roman"/>
          <w:sz w:val="21"/>
          <w:szCs w:val="21"/>
          <w:color w:val="auto"/>
        </w:rPr>
      </w:pPr>
    </w:p>
    <w:p>
      <w:pPr>
        <w:jc w:val="both"/>
        <w:ind w:firstLine="1253"/>
        <w:spacing w:after="0" w:line="269" w:lineRule="auto"/>
        <w:tabs>
          <w:tab w:leader="none" w:pos="1869"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 and Duties.</w:t>
      </w:r>
      <w:r>
        <w:rPr>
          <w:rFonts w:ascii="Times New Roman" w:cs="Times New Roman" w:eastAsia="Times New Roman" w:hAnsi="Times New Roman"/>
          <w:sz w:val="20"/>
          <w:szCs w:val="20"/>
          <w:color w:val="auto"/>
        </w:rPr>
        <w:t xml:space="preserve"> During the Employment Period, the Executive shall serve as Assistant Corporate Controller of PVH (or in such other position or positions within the Company as the Company may designate from time to time). The Executive shall (i) perform such duties and services as shall from time to time be assigned to the Executive, (ii) devote all of the Executive's business time to the services required of the Executive hereunder, excluding any periods of vacation and sick leave to which the Executive is entitled, and (iii) use the Executive's best efforts, judgment, skill and energy to perform such duties and services. As used in this Section 1, "business time" shall be determined in accordance with the usual and customary standards of the Company.</w:t>
      </w:r>
    </w:p>
    <w:p>
      <w:pPr>
        <w:spacing w:after="0" w:line="183" w:lineRule="exact"/>
        <w:rPr>
          <w:rFonts w:ascii="Times New Roman" w:cs="Times New Roman" w:eastAsia="Times New Roman" w:hAnsi="Times New Roman"/>
          <w:sz w:val="20"/>
          <w:szCs w:val="20"/>
          <w:color w:val="auto"/>
        </w:rPr>
      </w:pPr>
    </w:p>
    <w:p>
      <w:pPr>
        <w:ind w:left="620" w:hanging="304"/>
        <w:spacing w:after="0"/>
        <w:tabs>
          <w:tab w:leader="none" w:pos="62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Compensation.</w:t>
      </w:r>
    </w:p>
    <w:p>
      <w:pPr>
        <w:spacing w:after="0" w:line="239" w:lineRule="exact"/>
        <w:rPr>
          <w:rFonts w:ascii="Times New Roman" w:cs="Times New Roman" w:eastAsia="Times New Roman" w:hAnsi="Times New Roman"/>
          <w:sz w:val="21"/>
          <w:szCs w:val="21"/>
          <w:color w:val="auto"/>
        </w:rPr>
      </w:pPr>
    </w:p>
    <w:p>
      <w:pPr>
        <w:jc w:val="both"/>
        <w:ind w:firstLine="1253"/>
        <w:spacing w:after="0" w:line="259" w:lineRule="auto"/>
        <w:tabs>
          <w:tab w:leader="none" w:pos="1870"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xml:space="preserve"> The Company shall pay the Executive a salary at the annual rate of $400,000 ("Base Salary"), payable in accordance with the normal payroll procedures of the Company in effect from time to time. The Executive's Base Salary shall be reviewed for increase in accordance with the Company's usual practices for similarly situated executives. The Company may from time to time, in its sole and absolute discretion, increase the Base Salary by</w:t>
      </w:r>
    </w:p>
    <w:p>
      <w:pPr>
        <w:sectPr>
          <w:pgSz w:w="11900" w:h="16838" w:orient="portrait"/>
          <w:cols w:equalWidth="0" w:num="1">
            <w:col w:w="11240"/>
          </w:cols>
          <w:pgMar w:left="320" w:top="96" w:right="339" w:bottom="1440" w:gutter="0" w:footer="0" w:header="0"/>
        </w:sectPr>
      </w:pPr>
    </w:p>
    <w:bookmarkStart w:id="133" w:name="page134"/>
    <w:bookmarkEnd w:id="133"/>
    <w:p>
      <w:pPr>
        <w:spacing w:after="0" w:line="275" w:lineRule="auto"/>
        <w:rPr>
          <w:sz w:val="20"/>
          <w:szCs w:val="20"/>
          <w:color w:val="auto"/>
        </w:rPr>
      </w:pPr>
      <w:r>
        <w:rPr>
          <w:rFonts w:ascii="Times New Roman" w:cs="Times New Roman" w:eastAsia="Times New Roman" w:hAnsi="Times New Roman"/>
          <w:sz w:val="21"/>
          <w:szCs w:val="21"/>
          <w:color w:val="auto"/>
        </w:rPr>
        <w:t>any amount it determines to be appropriate. Base Salary shall not be reduced after any increase. The term "Base Salary" as utilized in this Agreement shall refer to the Executive's annual base salary as then in effect.</w:t>
      </w:r>
    </w:p>
    <w:p>
      <w:pPr>
        <w:spacing w:after="0" w:line="175" w:lineRule="exact"/>
        <w:rPr>
          <w:sz w:val="20"/>
          <w:szCs w:val="20"/>
          <w:color w:val="auto"/>
        </w:rPr>
      </w:pPr>
    </w:p>
    <w:p>
      <w:pPr>
        <w:jc w:val="both"/>
        <w:ind w:firstLine="1253"/>
        <w:spacing w:after="0" w:line="250" w:lineRule="auto"/>
        <w:tabs>
          <w:tab w:leader="none" w:pos="1869" w:val="left"/>
        </w:tabs>
        <w:numPr>
          <w:ilvl w:val="0"/>
          <w:numId w:val="8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Incentive and Bonus Compensation.</w:t>
      </w:r>
      <w:r>
        <w:rPr>
          <w:rFonts w:ascii="Times New Roman" w:cs="Times New Roman" w:eastAsia="Times New Roman" w:hAnsi="Times New Roman"/>
          <w:sz w:val="21"/>
          <w:szCs w:val="21"/>
          <w:color w:val="auto"/>
        </w:rPr>
        <w:t xml:space="preserve"> The Executive shall be eligible to participate in the Company's existing and future bonus and stock plans and other incentive compensation programs for similarly situated executives (collectively, "Plans"), to the extent that the Executive is qualified to participate in any such Plan under the generally applicable provisions thereof in effect from time to time. Such eligibility is not a guarantee of participation in or of the receipt of any award, payment or other compensation under any Plan. To the extent the Executive does participate in a Plan and the Plan does not expressly provide otherwise, the Company, the Chief Executive Officer of PVH (the "Chief Executive Officer") or the Board of Directors of PVH (which, for purposes hereof includes any Committee thereof (the "Board"), as appropriate, may determine all terms of participation (including, without limitation, the type and size of any award, payment or other compensation and the timing and conditions of receipt thereof by the Executive) in their sole and absolute discretion. Nothing herein shall be deemed to prohibit the Company or the Board from amending or terminating any and all Plans in their sole and absolute discretion. The terms of each Plan, and any agreement issued thereunder, shall govern the Executive's rights and obligations in respect to the Plan and awards or benefits thereunder during the Executive's employment and upon the termination thereof. Without limiting the generality of the foregoing, the definition of "Cause" hereunder shall not supersede the definition of "cause" in any Plan (unless the Plan expressly defers to the definition of "cause" under an executive's employment agreement) and any rights of the Executive hereunder upon and subsequent to the termination of the Executive's employment shall be in addition to, and not in lieu of, any right of the Executive under any Plan then in effect upon or subsequent to a termination of employment.</w:t>
      </w:r>
    </w:p>
    <w:p>
      <w:pPr>
        <w:spacing w:after="0" w:line="203" w:lineRule="exact"/>
        <w:rPr>
          <w:rFonts w:ascii="Times New Roman" w:cs="Times New Roman" w:eastAsia="Times New Roman" w:hAnsi="Times New Roman"/>
          <w:sz w:val="21"/>
          <w:szCs w:val="21"/>
          <w:u w:val="single" w:color="auto"/>
          <w:color w:val="auto"/>
        </w:rPr>
      </w:pPr>
    </w:p>
    <w:p>
      <w:pPr>
        <w:jc w:val="both"/>
        <w:ind w:firstLine="1253"/>
        <w:spacing w:after="0" w:line="254" w:lineRule="auto"/>
        <w:tabs>
          <w:tab w:leader="none" w:pos="187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xml:space="preserve"> The Executive shall be eligible to participate in all employee benefit and insurance plans sponsored or maintained by the Company for similarly situated executives (including any savings, retirement, life, health and disability plans), to the extent that the Executive is qualified to participate in any such plan under the generally applicable provisions thereof in effect from time to time. Nothing herein shall be deemed to prohibit the Company or the Board from amending or terminating any such plan in its sole and absolute discretion. Except as otherwise provided herein, the terms of each such plan shall govern the Executive's rights and obligations thereunder during the Executive's employment and upon the termination thereof.</w:t>
      </w:r>
    </w:p>
    <w:p>
      <w:pPr>
        <w:spacing w:after="0" w:line="196" w:lineRule="exact"/>
        <w:rPr>
          <w:rFonts w:ascii="Times New Roman" w:cs="Times New Roman" w:eastAsia="Times New Roman" w:hAnsi="Times New Roman"/>
          <w:sz w:val="21"/>
          <w:szCs w:val="21"/>
          <w:color w:val="auto"/>
        </w:rPr>
      </w:pPr>
    </w:p>
    <w:p>
      <w:pPr>
        <w:jc w:val="both"/>
        <w:ind w:firstLine="1253"/>
        <w:spacing w:after="0" w:line="252" w:lineRule="auto"/>
        <w:tabs>
          <w:tab w:leader="none" w:pos="1869"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xml:space="preserve"> The Company shall pay or reimburse the Executive for reasonable expenses incurred or paid by the Executive in the performance of the Executive's duties hereunder in accordance with the generally applicable policies and procedures of the Company, as in effect from time to time and subject to the terms and conditions thereof. Such procedures include the reimbursement of approved expenses within 30 days after approval. Section 409A (as defined in Section 7(1)) prohibits reimbursement payments from being made any later than the end of the calendar year following the calendar year in which the applicable expense is incurred or paid. Also under Section 409A, (i) the amount of expenses eligible for reimbursement during any calendar year may not affect the amount of expenses eligible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127" w:right="339" w:bottom="1440" w:gutter="0" w:footer="0" w:header="0"/>
        </w:sectPr>
      </w:pPr>
    </w:p>
    <w:bookmarkStart w:id="134" w:name="page135"/>
    <w:bookmarkEnd w:id="134"/>
    <w:p>
      <w:pPr>
        <w:spacing w:after="0" w:line="275" w:lineRule="auto"/>
        <w:rPr>
          <w:sz w:val="20"/>
          <w:szCs w:val="20"/>
          <w:color w:val="auto"/>
        </w:rPr>
      </w:pPr>
      <w:r>
        <w:rPr>
          <w:rFonts w:ascii="Times New Roman" w:cs="Times New Roman" w:eastAsia="Times New Roman" w:hAnsi="Times New Roman"/>
          <w:sz w:val="21"/>
          <w:szCs w:val="21"/>
          <w:color w:val="auto"/>
        </w:rPr>
        <w:t>reimbursement in any other calendar year, and (ii) the right to reimbursement under this Section 2(d) cannot be subject to liquidation or exchange for another benefit.</w:t>
      </w:r>
    </w:p>
    <w:p>
      <w:pPr>
        <w:spacing w:after="0" w:line="175" w:lineRule="exact"/>
        <w:rPr>
          <w:sz w:val="20"/>
          <w:szCs w:val="20"/>
          <w:color w:val="auto"/>
        </w:rPr>
      </w:pPr>
    </w:p>
    <w:p>
      <w:pPr>
        <w:jc w:val="both"/>
        <w:ind w:firstLine="1253"/>
        <w:spacing w:after="0" w:line="267" w:lineRule="auto"/>
        <w:tabs>
          <w:tab w:leader="none" w:pos="1873"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xml:space="preserve"> The Executive's employment hereunder shall terminate, or shall be subject to termination at any time, as described in this Section 3. A termination of employment shall mean that the Executive has ceased to provide any services as an employee of the Company.</w:t>
      </w:r>
    </w:p>
    <w:p>
      <w:pPr>
        <w:spacing w:after="0" w:line="182" w:lineRule="exact"/>
        <w:rPr>
          <w:rFonts w:ascii="Times New Roman" w:cs="Times New Roman" w:eastAsia="Times New Roman" w:hAnsi="Times New Roman"/>
          <w:sz w:val="21"/>
          <w:szCs w:val="21"/>
          <w:color w:val="auto"/>
        </w:rPr>
      </w:pPr>
    </w:p>
    <w:p>
      <w:pPr>
        <w:jc w:val="both"/>
        <w:ind w:firstLine="1503"/>
        <w:spacing w:after="0" w:line="250" w:lineRule="auto"/>
        <w:tabs>
          <w:tab w:leader="none" w:pos="1873"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for Cause by the Company.</w:t>
      </w:r>
      <w:r>
        <w:rPr>
          <w:rFonts w:ascii="Times New Roman" w:cs="Times New Roman" w:eastAsia="Times New Roman" w:hAnsi="Times New Roman"/>
          <w:sz w:val="21"/>
          <w:szCs w:val="21"/>
          <w:color w:val="auto"/>
        </w:rPr>
        <w:t xml:space="preserve"> The Company may terminate the Executive's employment with the Company at any time for Cause. Upon such termination, the Company shall have no further obligation to the Executive hereunder except for the payment or provision, as applicable, of (w) the portion of the Base Salary for periods prior to the effective date of termination accrued but unpaid (if any), (x) any accrued but unused vacation time as of the effective date of termination, to the extent required by applicable law, (y) all unreimbursed expenses (if any), subject to Section 2(d), and (z) other payments, entitlements or benefits, if any, in accordance with terms of the applicable plans, programs, arrangements or other agreements of the Company (other than any severance plan or policy) as to which the Executive held rights to such payments, entitlements or benefits, whether as a participant, beneficiary or otherwise on the date of termination ("Other Benefits"). For the avoidance of doubt, the Executive shall have no right to receive any amounts under the Company's severance policy (as then in effect, if any) upon the Executive's termination for Cause.</w:t>
      </w:r>
    </w:p>
    <w:p>
      <w:pPr>
        <w:spacing w:after="0" w:line="216" w:lineRule="exact"/>
        <w:rPr>
          <w:rFonts w:ascii="Times New Roman" w:cs="Times New Roman" w:eastAsia="Times New Roman" w:hAnsi="Times New Roman"/>
          <w:sz w:val="21"/>
          <w:szCs w:val="21"/>
          <w:color w:val="auto"/>
        </w:rPr>
      </w:pPr>
    </w:p>
    <w:p>
      <w:pPr>
        <w:jc w:val="both"/>
        <w:ind w:firstLine="1877"/>
        <w:spacing w:after="0" w:line="249" w:lineRule="auto"/>
        <w:tabs>
          <w:tab w:leader="none" w:pos="2486" w:val="left"/>
        </w:tabs>
        <w:numPr>
          <w:ilvl w:val="2"/>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"Cause" shall be defined as: (A) gross negligence or willful misconduct, as the case may be, (1) in the performance of the material responsibilities of the Executive's office or position, which results in material economic harm to the Company or (2) that results in material reputational harm to the Company; (B) the willful and continued failure of the Executive to perform substantially the Executive's duties with the Company (other than any such failure resulting from incapacity due to physical or mental illness), after a written demand for substantial performance is delivered to the Executive by the Board or the Company that specifically identifies the manner in which the Board or the Company believes that the Executive has not substantially performed the Executive's duties, and the Executive has not cured such failure to the reasonable satisfaction of the Board or the Company within 20 days following the Executive's receipt of such written demand; (C) the Executive is convicted of, or pleads guilty or nolo contendere to, a felony within the meaning of U.S. Federal, state or local law (other than a traffic violation) or a crime of moral turpitude; (D) the Executive having willfully divulged, furnished or made accessible any Confidential Information (as hereinafter defined) to anyone other than the Company, its directors, officers, employees, auditors and legal advisors, as appropriate in the ordinary course of business; (E) any act or failure to act by the Executive, which, under the provisions of applicable law, disqualifies the Executive from acting in any or all capacities in which the Executive is then acting for the Company; or (F) any material breach of this Agreement, the Company's Code of Business Conduct and Ethics or any other material Company policy.</w:t>
      </w:r>
    </w:p>
    <w:p>
      <w:pPr>
        <w:spacing w:after="0" w:line="209" w:lineRule="exact"/>
        <w:rPr>
          <w:rFonts w:ascii="Times New Roman" w:cs="Times New Roman" w:eastAsia="Times New Roman" w:hAnsi="Times New Roman"/>
          <w:sz w:val="21"/>
          <w:szCs w:val="21"/>
          <w:color w:val="auto"/>
        </w:rPr>
      </w:pPr>
    </w:p>
    <w:p>
      <w:pPr>
        <w:jc w:val="both"/>
        <w:ind w:firstLine="1877"/>
        <w:spacing w:after="0" w:line="267" w:lineRule="auto"/>
        <w:tabs>
          <w:tab w:leader="none" w:pos="2492" w:val="left"/>
        </w:tabs>
        <w:numPr>
          <w:ilvl w:val="2"/>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provision, no act or failure to act, on the part of the Executive, shall be considered "willful" unless it is done, or omitted to be done, by the Executive in bad faith or without reasonable belief that the Executive's action or omission was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127" w:right="339" w:bottom="1440" w:gutter="0" w:footer="0" w:header="0"/>
        </w:sectPr>
      </w:pPr>
    </w:p>
    <w:bookmarkStart w:id="135" w:name="page136"/>
    <w:bookmarkEnd w:id="135"/>
    <w:p>
      <w:pPr>
        <w:jc w:val="both"/>
        <w:spacing w:after="0" w:line="255" w:lineRule="auto"/>
        <w:rPr>
          <w:sz w:val="20"/>
          <w:szCs w:val="20"/>
          <w:color w:val="auto"/>
        </w:rPr>
      </w:pPr>
      <w:r>
        <w:rPr>
          <w:rFonts w:ascii="Times New Roman" w:cs="Times New Roman" w:eastAsia="Times New Roman" w:hAnsi="Times New Roman"/>
          <w:sz w:val="21"/>
          <w:szCs w:val="21"/>
          <w:color w:val="auto"/>
        </w:rPr>
        <w:t>the best interests of the Company. Any act, or failure to act, based upon authority given pursuant to a resolution duly adopted by the Board or upon the instructions of the Board, the Chief Executive Officer, or PVH's President, Chief Financial Officer or Chief Operating Officer or based upon the advice of counsel for the Company shall be conclusively presumed to be done, or omitted to be done, by the Executive in good faith and in the best interests of the Company.</w:t>
      </w:r>
    </w:p>
    <w:p>
      <w:pPr>
        <w:spacing w:after="0" w:line="210" w:lineRule="exact"/>
        <w:rPr>
          <w:sz w:val="20"/>
          <w:szCs w:val="20"/>
          <w:color w:val="auto"/>
        </w:rPr>
      </w:pPr>
    </w:p>
    <w:p>
      <w:pPr>
        <w:jc w:val="both"/>
        <w:ind w:firstLine="1253"/>
        <w:spacing w:after="0" w:line="279" w:lineRule="auto"/>
        <w:tabs>
          <w:tab w:leader="none" w:pos="186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 xml:space="preserve">Termination without Cause by the Company or for Good Reason by the Executive Prior to a Change in Control. </w:t>
      </w:r>
      <w:r>
        <w:rPr>
          <w:rFonts w:ascii="Times New Roman" w:cs="Times New Roman" w:eastAsia="Times New Roman" w:hAnsi="Times New Roman"/>
          <w:sz w:val="20"/>
          <w:szCs w:val="20"/>
          <w:color w:val="auto"/>
        </w:rPr>
        <w:t>The Company may also terminate the Executive's employment with the Company at any time without Cause, and the Executive may terminate the Executive's employment with the Company at any time for Good Reason (as defined in Section 3(f)(i)(B)).</w:t>
      </w:r>
    </w:p>
    <w:p>
      <w:pPr>
        <w:spacing w:after="0" w:line="173" w:lineRule="exact"/>
        <w:rPr>
          <w:rFonts w:ascii="Times New Roman" w:cs="Times New Roman" w:eastAsia="Times New Roman" w:hAnsi="Times New Roman"/>
          <w:sz w:val="20"/>
          <w:szCs w:val="20"/>
          <w:color w:val="auto"/>
        </w:rPr>
      </w:pPr>
    </w:p>
    <w:p>
      <w:pPr>
        <w:jc w:val="both"/>
        <w:ind w:firstLine="1877"/>
        <w:spacing w:after="0" w:line="249" w:lineRule="auto"/>
        <w:tabs>
          <w:tab w:leader="none" w:pos="2486"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terminates the Executive's services without Cause or the Executive terminates the Executive's employment with the Company for Good Reason, other than during the two-year period following a Change in Control (as defined in Section 3(f)(i)(A)), the Executive shall be entitled to receive from the Company (A) the portion of the Executive's Base Salary for periods prior to the effective date of termination accrued but unpaid (if any); (B) any accrued but unused vacation time as of the effective date of termination; (C) all unreimbursed expenses (if any), subject to Section 2(d); (D) an aggregate amount (the "Severance Amount") equal to one times the sum of (1) the Base Salary plus (2) an amount equal to the bonus that would be payable if "target" level performance were achieved under the Company's annual bonus plan (if any) in respect of the fiscal year during which the termination occurs (or the prior fiscal year, if bonus levels have not yet been established for the year of termination); and (E) the payment or provision of any Other Benefits. The Severance Amount shall be paid in 24 semi-monthly substantially equal installment payments and on the same schedule that Base Salary was paid immediately prior to the Executive's date of termination, commencing on the first such scheduled payroll date that occurs on or following the date that is 30 days after the Executive's termination of employment, subject to the Executive's compliance with the requirement to deliver the release contemplated pursuant to Section 4(a). Each such installment payment shall be treated as a separate payment as defined under Treasury Regulation §l.409A-2(b)(2). If the Executive is a "specified employee" (as determined under the Company's policy for identifying specified employees) on the date of the Executive's "separation from service" (within the meaning of Section 409A) and if any portion of the Severance Amount would be considered "deferred compensation" under Section 409A, all payments of the Severance Amount (other than payments that satisfy the short-term deferral rule, as defined in Treasury Regulation §l.409A-l(b)(4), or that are treated as separation pay under Treasury Regulation §1.409A-l(b)(9)(iii) or §1.409A-l(b)(9)(v)) shall not be paid or commence to be paid on any date prior to the first business day after the date that is six months following the Executive's separation from service. The first payment that can be made shall include the cumulative amount of any amounts that could not be paid during such six-month period. In addition, interest will accrue at the IO-year T-bill rate (as in effect as of the first business day of the calendar year in which the separation from service occurs) on all payments not paid to the Executive prior to the first business day after the sixth month anniversary of the Executive's separation from service that otherwise would have been paid during such six-month period had this delay provision not applied to the Executive and shall be paid with the first payment after such six-month period. Notwithstanding the foregoing, payments delayed pursuant to this six-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127" w:right="339" w:bottom="1440" w:gutter="0" w:footer="0" w:header="0"/>
        </w:sectPr>
      </w:pPr>
    </w:p>
    <w:bookmarkStart w:id="136" w:name="page137"/>
    <w:bookmarkEnd w:id="136"/>
    <w:p>
      <w:pPr>
        <w:jc w:val="both"/>
        <w:spacing w:after="0" w:line="260" w:lineRule="auto"/>
        <w:rPr>
          <w:sz w:val="20"/>
          <w:szCs w:val="20"/>
          <w:color w:val="auto"/>
        </w:rPr>
      </w:pPr>
      <w:r>
        <w:rPr>
          <w:rFonts w:ascii="Times New Roman" w:cs="Times New Roman" w:eastAsia="Times New Roman" w:hAnsi="Times New Roman"/>
          <w:sz w:val="21"/>
          <w:szCs w:val="21"/>
          <w:color w:val="auto"/>
        </w:rPr>
        <w:t>month delay requirement shall commence earlier in the event of the Executive's death prior to the end of the six-month period. For purposes hereof, the Executive shall have a "separation from service" upon the Executive's death or other termination of employment for any reason.</w:t>
      </w:r>
    </w:p>
    <w:p>
      <w:pPr>
        <w:spacing w:after="0" w:line="191" w:lineRule="exact"/>
        <w:rPr>
          <w:sz w:val="20"/>
          <w:szCs w:val="20"/>
          <w:color w:val="auto"/>
        </w:rPr>
      </w:pPr>
    </w:p>
    <w:p>
      <w:pPr>
        <w:jc w:val="both"/>
        <w:ind w:firstLine="1877"/>
        <w:spacing w:after="0" w:line="250" w:lineRule="auto"/>
        <w:tabs>
          <w:tab w:leader="none" w:pos="2492"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terminates the Executive's employment with the Company without Cause or the Executive terminates the Executive's employment with the Company for Good Reason, then the Company shall also provide to the Executive, during the 12-month period following the Executive's date of termination, medical, dental and life insurance coverage for the Executive and the members of the Executive's family which is not less favorable to the Executive than the group medical, dental and life insurance coverage carried by the Company for the Executive and the members of the Executive's family immediately prior to such termination of employment, subject to the Executive's compliance with the requirement to deliver the release contemplated pursuant to Section 4(a); provided, however, that the obligations set forth in this sentence shall terminate to the extent the Executive obtains comparable medical, dental or life insurance coverage from any other employer during such period, but the Executive shall not have any obligation to seek or accept employment during such period, whether or not any such employment would provide comparable medical and dental insurance coverage; and provided further, however, that the Executive shall be obligated to pay an amount equal to the active employee contribution, if any, for each such coverage. Notwithstanding the foregoing, if at any time the Company determines that its partial subsidy of the Executive's premiums would result in a violation of the nondiscrimination rules of Section 105(h)(2) of the Internal Revenue Code of 1986, as amended (the "Code") or any other Code section, law or regulation of similar effect (including but not limited to the 2010 Patient Protection and Affordable Care Act, as amended by the 2010 Health Care and Education Reconciliation Act), then in lieu of subsidizing the premiums on the medical, dental and life insurance described in the preceding sentence, the Company shall pay (in addition to any amounts payable pursuant to clauses (A) through (E) of Section 3(b)(i)) a fully taxable monthly cash payment in an amount such that, after payment by the Executive of all taxes on such payment, the Executive retains an amount equal to the Company's portion of the applicable premiums for such month, with such monthly payment being made on the last day of each month for the remainder of the 12-month period.</w:t>
      </w:r>
    </w:p>
    <w:p>
      <w:pPr>
        <w:spacing w:after="0" w:line="203" w:lineRule="exact"/>
        <w:rPr>
          <w:rFonts w:ascii="Times New Roman" w:cs="Times New Roman" w:eastAsia="Times New Roman" w:hAnsi="Times New Roman"/>
          <w:sz w:val="21"/>
          <w:szCs w:val="21"/>
          <w:color w:val="auto"/>
        </w:rPr>
      </w:pPr>
    </w:p>
    <w:p>
      <w:pPr>
        <w:jc w:val="both"/>
        <w:ind w:firstLine="1877"/>
        <w:spacing w:after="0" w:line="260" w:lineRule="auto"/>
        <w:tabs>
          <w:tab w:leader="none" w:pos="2498"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avoidance of doubt, the payment of the Severance Amount shall be in lieu of any amounts payable under the Company's severance policy (as then in effect, if any) and the Executive hereby waives any and all rights thereunder.</w:t>
      </w:r>
    </w:p>
    <w:p>
      <w:pPr>
        <w:spacing w:after="0" w:line="190" w:lineRule="exact"/>
        <w:rPr>
          <w:rFonts w:ascii="Times New Roman" w:cs="Times New Roman" w:eastAsia="Times New Roman" w:hAnsi="Times New Roman"/>
          <w:sz w:val="21"/>
          <w:szCs w:val="21"/>
          <w:color w:val="auto"/>
        </w:rPr>
      </w:pPr>
    </w:p>
    <w:p>
      <w:pPr>
        <w:jc w:val="both"/>
        <w:ind w:firstLine="1253"/>
        <w:spacing w:after="0" w:line="253" w:lineRule="auto"/>
        <w:tabs>
          <w:tab w:leader="none" w:pos="187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Voluntary Resignation (without Good Reason) by the Executive.</w:t>
      </w:r>
      <w:r>
        <w:rPr>
          <w:rFonts w:ascii="Times New Roman" w:cs="Times New Roman" w:eastAsia="Times New Roman" w:hAnsi="Times New Roman"/>
          <w:sz w:val="21"/>
          <w:szCs w:val="21"/>
          <w:color w:val="auto"/>
        </w:rPr>
        <w:t xml:space="preserve"> The Executive may terminate the Executive's employment with the Company without Good Reason at any time by voluntary resignation. Upon such termination, the Company shall have no further obligation to the Executive hereunder except for the payment of (i) the portion of the Base Salary for periods prior to the effective date of termination accrued but unpaid (if any)(ii) any accrued but unused vacation time as of the effective date of termination, (iii) all unreimbursed expenses (if any), subject to Section 2(d), and (iv) the payment or provision of any Other Benefits. Notwithstanding the foregoing, the Executive shall provide no less than 90 days' prior written notice of the effective date of the Executive's resignation (other than for Good Reason). The Company shall continue to pay the Executive the Executive's Base Salary during such 90-day period. Notwithstanding the foregoing, the Company, in its sole and absolute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127" w:right="339" w:bottom="1440" w:gutter="0" w:footer="0" w:header="0"/>
        </w:sectPr>
      </w:pPr>
    </w:p>
    <w:bookmarkStart w:id="137" w:name="page138"/>
    <w:bookmarkEnd w:id="137"/>
    <w:p>
      <w:pPr>
        <w:jc w:val="both"/>
        <w:spacing w:after="0" w:line="260" w:lineRule="auto"/>
        <w:rPr>
          <w:sz w:val="20"/>
          <w:szCs w:val="20"/>
          <w:color w:val="auto"/>
        </w:rPr>
      </w:pPr>
      <w:r>
        <w:rPr>
          <w:rFonts w:ascii="Times New Roman" w:cs="Times New Roman" w:eastAsia="Times New Roman" w:hAnsi="Times New Roman"/>
          <w:sz w:val="21"/>
          <w:szCs w:val="21"/>
          <w:color w:val="auto"/>
        </w:rPr>
        <w:t>discretion, may waive the requirement for prior notice of the Executive's resignation or decrease the notice period, in which event the Company shall have no continuing obligation to pay the Executive's Base Salary or shall only have such obligation with respect to the shortened period, as the case may be.</w:t>
      </w:r>
    </w:p>
    <w:p>
      <w:pPr>
        <w:spacing w:after="0" w:line="191" w:lineRule="exact"/>
        <w:rPr>
          <w:sz w:val="20"/>
          <w:szCs w:val="20"/>
          <w:color w:val="auto"/>
        </w:rPr>
      </w:pPr>
    </w:p>
    <w:p>
      <w:pPr>
        <w:jc w:val="both"/>
        <w:ind w:firstLine="1253"/>
        <w:spacing w:after="0" w:line="252" w:lineRule="auto"/>
        <w:tabs>
          <w:tab w:leader="none" w:pos="1869"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xml:space="preserve"> The Executive's employment shall be terminable by the Company, subject to applicable law and the Company's short-term and long-term disability policies then in effect, if the Executive becomes physically or mentally disabled, whether totally or partially, such that the Executive is prevented from performing the Executive's usual duties and services hereunder for a period of 120 consecutive days or for shorter periods aggregating 120 days in any 12-month period (a "Disability"). If the Executive's employment is terminated by the Company due to the Executive's Disability, the Company shall have no further obligation to the Executive hereunder, except for the payment to the Executive or the Executive's legal guardian or representative, as appropriate, of (i) the portion of the Base Salary for periods prior to the effective date of termination accrued but unpaid (if any), (ii) any accrued but unused vacation time as of the effective date of termination, (iii) all unreimbursed expenses (if any), subject to Section 2(d), and(iv) the payment or provision of any Other Benefits.</w:t>
      </w:r>
    </w:p>
    <w:p>
      <w:pPr>
        <w:spacing w:after="0" w:line="202" w:lineRule="exact"/>
        <w:rPr>
          <w:rFonts w:ascii="Times New Roman" w:cs="Times New Roman" w:eastAsia="Times New Roman" w:hAnsi="Times New Roman"/>
          <w:sz w:val="21"/>
          <w:szCs w:val="21"/>
          <w:color w:val="auto"/>
        </w:rPr>
      </w:pPr>
    </w:p>
    <w:p>
      <w:pPr>
        <w:jc w:val="both"/>
        <w:ind w:firstLine="1253"/>
        <w:spacing w:after="0" w:line="266" w:lineRule="auto"/>
        <w:tabs>
          <w:tab w:leader="none" w:pos="187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w:t>
      </w:r>
      <w:r>
        <w:rPr>
          <w:rFonts w:ascii="Times New Roman" w:cs="Times New Roman" w:eastAsia="Times New Roman" w:hAnsi="Times New Roman"/>
          <w:sz w:val="20"/>
          <w:szCs w:val="20"/>
          <w:color w:val="auto"/>
        </w:rPr>
        <w:t xml:space="preserve"> If the Executive shall die during the Employment Period, this Agreement shall terminate on the date of the Executive's death and the Company shall have no further obligation to the Executive hereunder except for the payment to the Executive's estate of(i) the portion of the Base Salary for periods prior to the effective date of termination accrued but unpaid (if any),</w:t>
      </w:r>
    </w:p>
    <w:p>
      <w:pPr>
        <w:spacing w:after="0" w:line="1" w:lineRule="exact"/>
        <w:rPr>
          <w:rFonts w:ascii="Times New Roman" w:cs="Times New Roman" w:eastAsia="Times New Roman" w:hAnsi="Times New Roman"/>
          <w:sz w:val="20"/>
          <w:szCs w:val="20"/>
          <w:color w:val="auto"/>
        </w:rPr>
      </w:pPr>
    </w:p>
    <w:p>
      <w:pPr>
        <w:ind w:firstLine="4"/>
        <w:spacing w:after="0" w:line="264" w:lineRule="auto"/>
        <w:tabs>
          <w:tab w:leader="none" w:pos="327"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accrued but unused vacation time as of the effective date of termination,(iii) all unreimbursed expenses (if any), subject to Section 2(d), and (iv) the payment or provision of any Other Benefits.</w:t>
      </w:r>
    </w:p>
    <w:p>
      <w:pPr>
        <w:spacing w:after="0" w:line="185" w:lineRule="exact"/>
        <w:rPr>
          <w:rFonts w:ascii="Times New Roman" w:cs="Times New Roman" w:eastAsia="Times New Roman" w:hAnsi="Times New Roman"/>
          <w:sz w:val="21"/>
          <w:szCs w:val="21"/>
          <w:color w:val="auto"/>
        </w:rPr>
      </w:pPr>
    </w:p>
    <w:p>
      <w:pPr>
        <w:ind w:left="1880" w:hanging="627"/>
        <w:spacing w:after="0"/>
        <w:tabs>
          <w:tab w:leader="none" w:pos="1880"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by the Company without Cause or by the Executive for Good Reason Subsequent to a Change in</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Control.</w:t>
      </w:r>
    </w:p>
    <w:p>
      <w:pPr>
        <w:spacing w:after="0" w:line="215" w:lineRule="exact"/>
        <w:rPr>
          <w:rFonts w:ascii="Times New Roman" w:cs="Times New Roman" w:eastAsia="Times New Roman" w:hAnsi="Times New Roman"/>
          <w:sz w:val="21"/>
          <w:szCs w:val="21"/>
          <w:color w:val="auto"/>
        </w:rPr>
      </w:pPr>
    </w:p>
    <w:p>
      <w:pPr>
        <w:ind w:left="2500" w:hanging="623"/>
        <w:spacing w:after="0"/>
        <w:tabs>
          <w:tab w:leader="none" w:pos="2500" w:val="left"/>
        </w:tabs>
        <w:numPr>
          <w:ilvl w:val="2"/>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the following terms shall have the meanings set forth below:</w:t>
      </w:r>
    </w:p>
    <w:p>
      <w:pPr>
        <w:spacing w:after="0" w:line="249" w:lineRule="exact"/>
        <w:rPr>
          <w:sz w:val="20"/>
          <w:szCs w:val="20"/>
          <w:color w:val="auto"/>
        </w:rPr>
      </w:pPr>
    </w:p>
    <w:p>
      <w:pPr>
        <w:ind w:left="2340" w:hanging="463"/>
        <w:spacing w:after="0"/>
        <w:tabs>
          <w:tab w:leader="none" w:pos="234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"Change in Control" </w:t>
      </w:r>
      <w:r>
        <w:rPr>
          <w:rFonts w:ascii="Times New Roman" w:cs="Times New Roman" w:eastAsia="Times New Roman" w:hAnsi="Times New Roman"/>
          <w:sz w:val="21"/>
          <w:szCs w:val="21"/>
          <w:color w:val="auto"/>
        </w:rPr>
        <w:t>shall be deemed to occur upon the first to occur of the following events:</w:t>
      </w:r>
    </w:p>
    <w:p>
      <w:pPr>
        <w:spacing w:after="0" w:line="243" w:lineRule="exact"/>
        <w:rPr>
          <w:rFonts w:ascii="Times New Roman" w:cs="Times New Roman" w:eastAsia="Times New Roman" w:hAnsi="Times New Roman"/>
          <w:sz w:val="21"/>
          <w:szCs w:val="21"/>
          <w:color w:val="auto"/>
        </w:rPr>
      </w:pPr>
    </w:p>
    <w:p>
      <w:pPr>
        <w:jc w:val="both"/>
        <w:ind w:left="320" w:firstLine="2494"/>
        <w:spacing w:after="0" w:line="252" w:lineRule="auto"/>
        <w:tabs>
          <w:tab w:leader="none" w:pos="3130"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"person" (as such term is used in Sections 3(a)(9) and 13(d) of the Securities Exchange Act of 1934 (the "Exchange Act")) becomes a "beneficial owner," as such term is used in Rule 13d-3 of the Exchange Act, of 25% or more of the combined voting power of the then-outstanding voting securities of PVH entitled to vote generally in the election of directors (the "Outstanding Company Voting Securities");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for purposes of this Section 3(f)(i)(A)(l), the following acquisitions shall not constitute a Change in Control: (i) any acquisition directly from PVH, other than an acquisition by virtue of the exercise of a conversion privilege unless the security being so converted was itself acquired directly from PVH, (ii) any acquisition by PVH, (iii) any acquisition by any employee benefit plan (or related trust) sponsored or maintained by PVH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127" w:right="339" w:bottom="1440" w:gutter="0" w:footer="0" w:header="0"/>
        </w:sectPr>
      </w:pPr>
    </w:p>
    <w:bookmarkStart w:id="138" w:name="page139"/>
    <w:bookmarkEnd w:id="138"/>
    <w:p>
      <w:pPr>
        <w:ind w:left="320"/>
        <w:spacing w:after="0" w:line="275" w:lineRule="auto"/>
        <w:rPr>
          <w:sz w:val="20"/>
          <w:szCs w:val="20"/>
          <w:color w:val="auto"/>
        </w:rPr>
      </w:pPr>
      <w:r>
        <w:rPr>
          <w:rFonts w:ascii="Times New Roman" w:cs="Times New Roman" w:eastAsia="Times New Roman" w:hAnsi="Times New Roman"/>
          <w:sz w:val="21"/>
          <w:szCs w:val="21"/>
          <w:color w:val="auto"/>
        </w:rPr>
        <w:t>or any of its affiliates, or (iv) any acquisition pursuant to a transaction which complies with clauses (a), (b) and (c) of Section 3(f) (i)(A)(3) below;</w:t>
      </w:r>
    </w:p>
    <w:p>
      <w:pPr>
        <w:spacing w:after="0" w:line="175" w:lineRule="exact"/>
        <w:rPr>
          <w:sz w:val="20"/>
          <w:szCs w:val="20"/>
          <w:color w:val="auto"/>
        </w:rPr>
      </w:pPr>
    </w:p>
    <w:p>
      <w:pPr>
        <w:jc w:val="both"/>
        <w:ind w:left="320" w:firstLine="2494"/>
        <w:spacing w:after="0" w:line="251" w:lineRule="auto"/>
        <w:tabs>
          <w:tab w:leader="none" w:pos="313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Individuals who, as of the date hereof, constitute the Board (the "Incumbent Board") cease for any reason to constitute at least a majority of the Board;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any individual becoming a director subsequent to the date hereof whose election, or nomination for election by PVH's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(as such terms are used in Rule 14a-11 of Regulation 14A promulgated under the Exchange Act) with respect to the election or removal of directors or other actual or threatened solicitation of proxies or consents by or on behalf of a person other than the Board;</w:t>
      </w:r>
    </w:p>
    <w:p>
      <w:pPr>
        <w:spacing w:after="0" w:line="217" w:lineRule="exact"/>
        <w:rPr>
          <w:rFonts w:ascii="Times New Roman" w:cs="Times New Roman" w:eastAsia="Times New Roman" w:hAnsi="Times New Roman"/>
          <w:sz w:val="21"/>
          <w:szCs w:val="21"/>
          <w:color w:val="auto"/>
        </w:rPr>
      </w:pPr>
    </w:p>
    <w:p>
      <w:pPr>
        <w:jc w:val="both"/>
        <w:ind w:left="320" w:firstLine="2494"/>
        <w:spacing w:after="0" w:line="249" w:lineRule="auto"/>
        <w:tabs>
          <w:tab w:leader="none" w:pos="313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of a reorganization, merger, consolidation or a sale or other disposition of all or substantially all of the assets of PVH (each, a "Business Combination"), in each case unless, following such Business Combination, (a) all or substantially all of the individuals and entities that were the beneficial owners of the outstanding shares of common stock of PVH (the "Outstanding Company Common Stock") and the Outstanding Company Voting Securities, immediately prior to such Business Combination, beneficially own, directly or indirectly, more than 50% of the then-outstanding shares of common stock and more than 50% of the combined voting power of the then-outstanding voting securities entitled to vote generally in the election of directors, as the case may be, of the corporation resulting from such Business Combination (including, without limitation, a corporation that, as a result of such transaction, owns PVH or all or substantially all of PVH's assets either directly or through one or more subsidiaries) in substantially the same proportions as their ownership immediately prior to such Business Combination of the Outstanding Company Common Stock and the Outstanding Company Voting Securities, as the case may be, (b) no person (other than PVH, any employee benefit plan (or related trust) of PVH or such corporation resulting from such Business Combination) beneficially owns directly or indirectly, 20% or more of, respectively, the outstanding shares of common stock of the corporation resulting from such Business Combination or the outstanding voting securities of such corporation entitled to vote generally in the election of directors,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whichever occurs first; or</w:t>
      </w:r>
    </w:p>
    <w:p>
      <w:pPr>
        <w:spacing w:after="0" w:line="215" w:lineRule="exact"/>
        <w:rPr>
          <w:rFonts w:ascii="Times New Roman" w:cs="Times New Roman" w:eastAsia="Times New Roman" w:hAnsi="Times New Roman"/>
          <w:sz w:val="21"/>
          <w:szCs w:val="21"/>
          <w:color w:val="auto"/>
        </w:rPr>
      </w:pPr>
    </w:p>
    <w:p>
      <w:pPr>
        <w:ind w:left="3120" w:hanging="306"/>
        <w:spacing w:after="0"/>
        <w:tabs>
          <w:tab w:leader="none" w:pos="3120"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approval by the stockholders of PVH of a complete liquidation or dissolution of PVH.</w:t>
      </w:r>
    </w:p>
    <w:p>
      <w:pPr>
        <w:spacing w:after="0" w:line="235" w:lineRule="exact"/>
        <w:rPr>
          <w:rFonts w:ascii="Times New Roman" w:cs="Times New Roman" w:eastAsia="Times New Roman" w:hAnsi="Times New Roman"/>
          <w:sz w:val="21"/>
          <w:szCs w:val="21"/>
          <w:color w:val="auto"/>
        </w:rPr>
      </w:pPr>
    </w:p>
    <w:p>
      <w:pPr>
        <w:ind w:firstLine="1873"/>
        <w:spacing w:after="0" w:line="27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 </w:t>
      </w: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xml:space="preserve"> shall mean the occurrence of any of the following events or circumstances without the Executive's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127" w:right="339" w:bottom="1440" w:gutter="0" w:footer="0" w:header="0"/>
        </w:sectPr>
      </w:pPr>
    </w:p>
    <w:bookmarkStart w:id="139" w:name="page140"/>
    <w:bookmarkEnd w:id="139"/>
    <w:p>
      <w:pPr>
        <w:jc w:val="both"/>
        <w:ind w:left="320" w:firstLine="2494"/>
        <w:spacing w:after="0" w:line="251" w:lineRule="auto"/>
        <w:tabs>
          <w:tab w:leader="none" w:pos="313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assignment to the Executive without the Executive's consent of any duties inconsistent in any material respect with the Executive's position (including status and title), authority, duties or responsibilities as contemplated by Section 1(b) (or following a Change in Control, as in effect immediately prior to such Change in Control), or any other action by the Company that results in a material diminution in such position, authority, duties or responsibilities, excluding for this purpose an isolated, insubstantial and inadvertent action not taken in bad faith and that is remedied by the Company promptly after receipt of notice thereof given by the Executive and the assignment of additional or alternate duties or responsibilities to the Executive in connection with the Executive's professional development or the reallocation of some of the Executive's duties or responsibilities to other executives of the Company in connection with the evolution of the Executive's position;</w:t>
      </w:r>
    </w:p>
    <w:p>
      <w:pPr>
        <w:spacing w:after="0" w:line="204" w:lineRule="exact"/>
        <w:rPr>
          <w:rFonts w:ascii="Times New Roman" w:cs="Times New Roman" w:eastAsia="Times New Roman" w:hAnsi="Times New Roman"/>
          <w:sz w:val="21"/>
          <w:szCs w:val="21"/>
          <w:color w:val="auto"/>
        </w:rPr>
      </w:pPr>
    </w:p>
    <w:p>
      <w:pPr>
        <w:ind w:left="3120" w:hanging="306"/>
        <w:spacing w:after="0"/>
        <w:tabs>
          <w:tab w:leader="none" w:pos="312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of the Executive's Base Salary;</w:t>
      </w:r>
    </w:p>
    <w:p>
      <w:pPr>
        <w:spacing w:after="0" w:line="239" w:lineRule="exact"/>
        <w:rPr>
          <w:rFonts w:ascii="Times New Roman" w:cs="Times New Roman" w:eastAsia="Times New Roman" w:hAnsi="Times New Roman"/>
          <w:sz w:val="21"/>
          <w:szCs w:val="21"/>
          <w:color w:val="auto"/>
        </w:rPr>
      </w:pPr>
    </w:p>
    <w:p>
      <w:pPr>
        <w:jc w:val="both"/>
        <w:ind w:left="320" w:firstLine="2494"/>
        <w:spacing w:after="0" w:line="256" w:lineRule="auto"/>
        <w:tabs>
          <w:tab w:leader="none" w:pos="313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taking of any action by the Company that substantially diminishes (a) the aggregate value of the Executive's total compensation opportunity, and/or (b) the aggregate value of the employee benefits provided to the Executive relative to all other similarly situated senior executives pursuant to the Company's employee benefit and insurance plans as in effect on the effective date of this Agreement (or, following a Change in Control, as in effect immediately prior to such Change in Control);</w:t>
      </w:r>
    </w:p>
    <w:p>
      <w:pPr>
        <w:spacing w:after="0" w:line="195" w:lineRule="exact"/>
        <w:rPr>
          <w:rFonts w:ascii="Times New Roman" w:cs="Times New Roman" w:eastAsia="Times New Roman" w:hAnsi="Times New Roman"/>
          <w:sz w:val="21"/>
          <w:szCs w:val="21"/>
          <w:color w:val="auto"/>
        </w:rPr>
      </w:pPr>
    </w:p>
    <w:p>
      <w:pPr>
        <w:jc w:val="both"/>
        <w:ind w:left="320" w:firstLine="2494"/>
        <w:spacing w:after="0" w:line="259" w:lineRule="auto"/>
        <w:tabs>
          <w:tab w:leader="none" w:pos="313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requiring that the Executive's services be rendered primarily at allocation or locations more than 75 miles from the location of the Executive's principal office at which the Executive performs the Executive's duties hereunder, except for travel, and visits to Company offices and facilities worldwide, reasonably required to attend to the Company's business; or</w:t>
      </w:r>
    </w:p>
    <w:p>
      <w:pPr>
        <w:spacing w:after="0" w:line="193" w:lineRule="exact"/>
        <w:rPr>
          <w:rFonts w:ascii="Times New Roman" w:cs="Times New Roman" w:eastAsia="Times New Roman" w:hAnsi="Times New Roman"/>
          <w:sz w:val="21"/>
          <w:szCs w:val="21"/>
          <w:color w:val="auto"/>
        </w:rPr>
      </w:pPr>
    </w:p>
    <w:p>
      <w:pPr>
        <w:jc w:val="both"/>
        <w:ind w:left="320" w:firstLine="2494"/>
        <w:spacing w:after="0" w:line="259" w:lineRule="auto"/>
        <w:tabs>
          <w:tab w:leader="none" w:pos="313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of the Company to require any successor to the Company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193" w:lineRule="exact"/>
        <w:rPr>
          <w:sz w:val="20"/>
          <w:szCs w:val="20"/>
          <w:color w:val="auto"/>
        </w:rPr>
      </w:pPr>
    </w:p>
    <w:p>
      <w:pPr>
        <w:jc w:val="both"/>
        <w:ind w:left="620" w:firstLine="624"/>
        <w:spacing w:after="0" w:line="256" w:lineRule="auto"/>
        <w:rPr>
          <w:sz w:val="20"/>
          <w:szCs w:val="20"/>
          <w:color w:val="auto"/>
        </w:rPr>
      </w:pPr>
      <w:r>
        <w:rPr>
          <w:rFonts w:ascii="Times New Roman" w:cs="Times New Roman" w:eastAsia="Times New Roman" w:hAnsi="Times New Roman"/>
          <w:sz w:val="21"/>
          <w:szCs w:val="21"/>
          <w:color w:val="auto"/>
        </w:rPr>
        <w:t>In order for a termination of employment for Good Reason to be effective, (a) the Company must receive a Notice of Termination (as defined below) from the Executive within 60 days following the occurrence of the event claimed to give rise to the right to resign for Good Reason, (b) the Company must fail to cure the event constituting Good Reason within 30 days after receipt of the Notice of Termination, and (c) the Executive must terminate the Executive's employment in writing within 30 days following the expiration of such cure period.</w:t>
      </w:r>
    </w:p>
    <w:p>
      <w:pPr>
        <w:spacing w:after="0" w:line="195" w:lineRule="exact"/>
        <w:rPr>
          <w:sz w:val="20"/>
          <w:szCs w:val="20"/>
          <w:color w:val="auto"/>
        </w:rPr>
      </w:pPr>
    </w:p>
    <w:p>
      <w:pPr>
        <w:jc w:val="both"/>
        <w:ind w:firstLine="1877"/>
        <w:spacing w:after="0" w:line="260" w:lineRule="auto"/>
        <w:tabs>
          <w:tab w:leader="none" w:pos="2492"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within two years after the occurrence of a Change in Control, the Executive terminates the Executive's employment with the Company for Good Reason or the Company terminates the Executive's employment for any reason other than death, Disability or Cause, the Executive shall be entitled to receive from the Company, or the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127" w:right="339" w:bottom="1440" w:gutter="0" w:footer="0" w:header="0"/>
        </w:sectPr>
      </w:pPr>
    </w:p>
    <w:bookmarkStart w:id="140" w:name="page141"/>
    <w:bookmarkEnd w:id="140"/>
    <w:p>
      <w:pPr>
        <w:jc w:val="both"/>
        <w:spacing w:after="0" w:line="261" w:lineRule="auto"/>
        <w:rPr>
          <w:sz w:val="20"/>
          <w:szCs w:val="20"/>
          <w:color w:val="auto"/>
        </w:rPr>
      </w:pPr>
      <w:r>
        <w:rPr>
          <w:rFonts w:ascii="Times New Roman" w:cs="Times New Roman" w:eastAsia="Times New Roman" w:hAnsi="Times New Roman"/>
          <w:sz w:val="20"/>
          <w:szCs w:val="20"/>
          <w:color w:val="auto"/>
        </w:rPr>
        <w:t>surviving or transferee person in the event of a Change in Control pursuant to a consolidation, merger or sale of assets, (A) the portion of the Base Salary for periods prior to the effective date of termination accrued but unpaid (if any); (B) any accrued but unused vacation time as of the effective date of termination; (C) all umeimbursed expenses (if any), subject to Section 2(d); (D) an aggregate amount equal to one and one-half times the sum of (1) the Base Salary plus (2) an amount equal to the bonus that would be payable if the "target" level performance were achieved under the Company's annual bonus plan (if any) in respect of the fiscal year during which the termination occurs (or the prior fiscal year, if bonus levels have not yet been established for the year of termination); and (E) the payment or provision of any Other Benefits. The severance amount described in clause (D) of the immediately preceding sentence shall be paid (x) in a lump sum, if the Change in Control event constitutes a "change in the ownership" or a "change in the effective control" of PVH or a "change in the ownership of a substantial portion of a corporation's assets" (each within the meaning of Section 409A), or (y) in 36 semi-monthly substantially equal installment payments, if the Change in Control event does not so comply with Section 409A. The lump sum amount shall be paid, or the installment payments shall commence, as applicable, on the first scheduled payroll date (in accordance with the Company's payroll schedule in effect for the Executive immediately prior to such termination) that occurs on or following the date that is 30 days after the Executive's termination of employment; provided, however, that the payment of such severance amount is subject to the Executive's compliance with the requirement to deliver the release contemplated pursuant to Section 4(a). Any such installment payment shall be treated as a separate payment as defined under Treasury Regulation §l.409A-2(b)(2). If the Executive is a "specified employee" (as determined under the Company's policy for identifying specified employees) on the date of the Executive's "separation from service" (within the meaning of Section 409A) and if any portion of the severance amount described in clause (D) would be considered "deferred compensation" under Section 409A, such severance amount shall not be paid or commence to be paid on any date prior to the first business day after the date that is six months following the Executive's separation from service (unless any such payment(s) shall satisfy the short-term deferral rule, as defined in Treasury Regulation §1.409A-l(b)(4), or shall be treated as separation pay under Treasury Regulation §l.409A-1(b)(9)(iii) or §l.409A-1(b)(9) (v)). If paid in installments, the first payment that can be made shall include the cumulative amount of any amounts that could not be paid during such six-month period. In addition, interest will accrue at the 10-year T-bill rate (as in effect as of the first business day of the calendar year in which the separation from service occurs) on such lump sum amount or installment payments, as applicable, not paid to the Executive prior to the first business day after the sixth month anniversary of the Executive's separation from service that otherwise would have been paid during such six-month period had this delay provision not applied to the Executive and shall be paid at the same time at which the lump sum payment or the first installment payment, as applicable, is made after such six-month period. Notwithstanding the foregoing, a payment delayed pursuant to the preceding three sentences shall commence earlier in the event of the Executive's death prior to the end of the six-month period. Upon the termination of employment with the Company for Good Reason by the Executive or upon the involuntary termination of employment with the Company of the Executive for any reason other than death, Disability or Cause, in either case within two years after the occurrence of a Change in Control, the Company, or the consolidated, surviving or transferee person in the event of a Change in Control pursuant to a consolidation, merger or sale of assets, shall also provide, for the period of one and one-half consecutive years commencing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127" w:right="339" w:bottom="1440" w:gutter="0" w:footer="0" w:header="0"/>
        </w:sectPr>
      </w:pPr>
    </w:p>
    <w:bookmarkStart w:id="141" w:name="page142"/>
    <w:bookmarkEnd w:id="141"/>
    <w:p>
      <w:pPr>
        <w:jc w:val="both"/>
        <w:spacing w:after="0" w:line="249" w:lineRule="auto"/>
        <w:rPr>
          <w:sz w:val="20"/>
          <w:szCs w:val="20"/>
          <w:color w:val="auto"/>
        </w:rPr>
      </w:pPr>
      <w:r>
        <w:rPr>
          <w:rFonts w:ascii="Times New Roman" w:cs="Times New Roman" w:eastAsia="Times New Roman" w:hAnsi="Times New Roman"/>
          <w:sz w:val="21"/>
          <w:szCs w:val="21"/>
          <w:color w:val="auto"/>
        </w:rPr>
        <w:t>the date of such termination of employment, medical, dental and life insurance coverage for the Executive and the members of the Executive's family which is not less favorable to the Executive than the group medical, dental and life insurance coverage carried by the Company for the Executive and the members of the Executive's family either immediately prior to such termination of employment or immediately prior to the occurrence of such Change in Control, whichever is greater, subject to the Executive's compliance with the requirement to deliver the release contemplated pursuant to Section 4(a); provided, however, that the obligations set forth in this sentence shall terminate to the extent the Executive obtains comparable medical, dental or life insurance coverage from any other employer during such 18-month period, but the Executive shall not have any obligation to seek or accept employment during such two-year period, whether or not any such employment would provide comparable medical, dental and life insurance coverage. Notwithstanding the foregoing, if at any time the Company determines that its partial subsidy of the Executive's premiums would result in a violation of the nondiscrimination rules of Section 105(h)(2) of the Code or any other Code section, law or regulation of similar effect (including but not limited to the 2010 Patient Protection and Affordable Care Act, as amended by the 2010 Health Care and Education Reconciliation Act), then in lieu of subsidizing the premiums on the medical, dental and life insurance described in the preceding sentence, the Company shall pay (in addition to any amounts payable pursuant to clauses (A) through (E) of this Section 3(f)(ii)) a fully taxable monthly cash payment in an amount such that, after payment by the Executive of all taxes on such payment, the Executive retains an amount equal to the Company's portion of the applicable premiums for such month, with such monthly payment being made on the last day of each month for the remainder of the 18-month period. For the avoidance of doubt, the amounts payable under clause (D) of this Section 3(f)(ii) as severance shall be in lieu of any amounts payable under the Company's severance policy and the Executive hereby waives any and all rights thereunder.</w:t>
      </w:r>
    </w:p>
    <w:p>
      <w:pPr>
        <w:spacing w:after="0" w:line="213" w:lineRule="exact"/>
        <w:rPr>
          <w:sz w:val="20"/>
          <w:szCs w:val="20"/>
          <w:color w:val="auto"/>
        </w:rPr>
      </w:pPr>
    </w:p>
    <w:p>
      <w:pPr>
        <w:jc w:val="both"/>
        <w:ind w:firstLine="1877"/>
        <w:spacing w:after="0" w:line="250" w:lineRule="auto"/>
        <w:tabs>
          <w:tab w:leader="none" w:pos="2498"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Excise Taxes.</w:t>
      </w:r>
      <w:r>
        <w:rPr>
          <w:rFonts w:ascii="Times New Roman" w:cs="Times New Roman" w:eastAsia="Times New Roman" w:hAnsi="Times New Roman"/>
          <w:sz w:val="21"/>
          <w:szCs w:val="21"/>
          <w:color w:val="auto"/>
        </w:rPr>
        <w:t xml:space="preserve"> Notwithstanding anything in the foregoing to the contrary, independent Tax Counsel (as that term is defined below) determines that the aggregate payments and benefits provided or to be provided to the Executive pursuant to this Agreement, and any other payments and benefits provided or to be provided to the Executive from the Company or any successors thereto constitute "parachute payments" as defined in Section 280G of the Code (or any successor provision thereto) ("Parachute Payments") that would be subject to the excise tax imposed by Section 4999 of the Code (the "Excise Tax"), then, except as otherwise provided in the next sentence, such Parachute Payments shall be reduced to the extent the Independent Tax Counsel shall determine is necessary (but not below zero) so that no portion thereof shall be subject to the Excise Tax. If Independent Tax Counsel determines that the Executive would receive in the aggregate greater payments and benefits on an after tax basis if the Parachute Payments were not reduced pursuant to this Section 3(f)(iii), then no such reduction shall be made. The determination of which payments or benefits shall be reduced to avoid the Excise Tax shall be made by the Independent Tax Counsel, provided that the Independent Tax Counsel shall reduce or eliminate, as the case may be, payments or benefits in the order that it determines will produce the required reduction in total Parachute Payments with the least reduction in the after-tax economic value to the Executive of such payments. If the after-tax economic value of any payments are equivalent, such payments shall be reduced in the inverse order of when the payments would have been made to the Executive until the reduction specified herein is achieved. The determination of the Independent Tax Counsel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127" w:right="339" w:bottom="1440" w:gutter="0" w:footer="0" w:header="0"/>
        </w:sectPr>
      </w:pPr>
    </w:p>
    <w:bookmarkStart w:id="142" w:name="page143"/>
    <w:bookmarkEnd w:id="142"/>
    <w:p>
      <w:pPr>
        <w:jc w:val="both"/>
        <w:spacing w:after="0" w:line="251" w:lineRule="auto"/>
        <w:rPr>
          <w:sz w:val="20"/>
          <w:szCs w:val="20"/>
          <w:color w:val="auto"/>
        </w:rPr>
      </w:pPr>
      <w:r>
        <w:rPr>
          <w:rFonts w:ascii="Times New Roman" w:cs="Times New Roman" w:eastAsia="Times New Roman" w:hAnsi="Times New Roman"/>
          <w:sz w:val="21"/>
          <w:szCs w:val="21"/>
          <w:color w:val="auto"/>
        </w:rPr>
        <w:t>Section 3(f)(iii) shall be final and binding on all parties hereto. For purposes of this Section 3(f)(iii), "Independent Tax Counsel" shall mean a lawyer, a certified public accountant with a nationally recognized accounting firm, or a compensation consultant with a nationally recognized actuarial and benefits consulting firm with expertise in the area of executive compensation tax law, who shall be selected by the Company and shall be acceptable to the Executive (the Executive's acceptance not to be umeasonably withheld), and whose fees and disbursements shall be paid by the Company. Notwithstanding anything herein to the contrary, this Section 3(f)(iii) shall be interpreted (and, if determined by the Company to be necessary, reformed) to the extent necessary to fully comply with Section 409A of the Code; provided that the Company agrees to maintain, to the maximum extent practicable, the original intent and economic benefit to the Executive of the applicable provision without violating the provisions of Section 409A of the Code.</w:t>
      </w:r>
    </w:p>
    <w:p>
      <w:pPr>
        <w:spacing w:after="0" w:line="204" w:lineRule="exact"/>
        <w:rPr>
          <w:sz w:val="20"/>
          <w:szCs w:val="20"/>
          <w:color w:val="auto"/>
        </w:rPr>
      </w:pPr>
    </w:p>
    <w:p>
      <w:pPr>
        <w:jc w:val="both"/>
        <w:ind w:firstLine="1877"/>
        <w:spacing w:after="0" w:line="254" w:lineRule="auto"/>
        <w:tabs>
          <w:tab w:leader="none" w:pos="249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xml:space="preserve"> Any termination by the Company or by the Executive, other than a termination by reason of the Executive's death, shall be communicated by a Notice of Termination to the other party hereto given in accordance with Section 7(c). "Notice of Termination" means a written notice that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is other than the date of receipt of such notice, specifies the date of termination.</w:t>
      </w:r>
    </w:p>
    <w:p>
      <w:pPr>
        <w:spacing w:after="0" w:line="196" w:lineRule="exact"/>
        <w:rPr>
          <w:rFonts w:ascii="Times New Roman" w:cs="Times New Roman" w:eastAsia="Times New Roman" w:hAnsi="Times New Roman"/>
          <w:sz w:val="21"/>
          <w:szCs w:val="21"/>
          <w:color w:val="auto"/>
        </w:rPr>
      </w:pPr>
    </w:p>
    <w:p>
      <w:pPr>
        <w:ind w:left="2500" w:hanging="623"/>
        <w:spacing w:after="0"/>
        <w:tabs>
          <w:tab w:leader="none" w:pos="25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Date of Termination.</w:t>
      </w:r>
      <w:r>
        <w:rPr>
          <w:rFonts w:ascii="Times New Roman" w:cs="Times New Roman" w:eastAsia="Times New Roman" w:hAnsi="Times New Roman"/>
          <w:sz w:val="20"/>
          <w:szCs w:val="20"/>
          <w:color w:val="auto"/>
        </w:rPr>
        <w:t xml:space="preserve"> For purposes of this Agreement the Executive's date of termination of employment</w:t>
      </w:r>
    </w:p>
    <w:p>
      <w:pPr>
        <w:spacing w:after="0" w:line="4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shall be:</w:t>
      </w:r>
    </w:p>
    <w:p>
      <w:pPr>
        <w:spacing w:after="0" w:line="228" w:lineRule="exact"/>
        <w:rPr>
          <w:rFonts w:ascii="Times New Roman" w:cs="Times New Roman" w:eastAsia="Times New Roman" w:hAnsi="Times New Roman"/>
          <w:sz w:val="20"/>
          <w:szCs w:val="20"/>
          <w:color w:val="auto"/>
        </w:rPr>
      </w:pPr>
    </w:p>
    <w:p>
      <w:pPr>
        <w:jc w:val="both"/>
        <w:ind w:firstLine="2305"/>
        <w:spacing w:after="0" w:line="254" w:lineRule="auto"/>
        <w:tabs>
          <w:tab w:leader="none" w:pos="2576"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Executive's employment is terminated by the Company with or without Cause, or due to the Executive's Disability, the date of termination shall be the date on which the applicable party receives the Notice of Termination, unless a later date is mutually agreed; provided, however, that, for the avoidance of doubt, if the Executive's employment is terminated by the Company for Cause pursuant to Section 3(a)(i)(B), then the date of termination shall be the date on which the Board or Company gives notice that the Executive has failed to cure the failure included in its demand, which notice can be given no earlier than the expiration of the 20 day cure period set forth in Section 3(a)(i)(B);</w:t>
      </w:r>
    </w:p>
    <w:p>
      <w:pPr>
        <w:spacing w:after="0" w:line="196" w:lineRule="exact"/>
        <w:rPr>
          <w:rFonts w:ascii="Times New Roman" w:cs="Times New Roman" w:eastAsia="Times New Roman" w:hAnsi="Times New Roman"/>
          <w:sz w:val="21"/>
          <w:szCs w:val="21"/>
          <w:color w:val="auto"/>
        </w:rPr>
      </w:pPr>
    </w:p>
    <w:p>
      <w:pPr>
        <w:jc w:val="both"/>
        <w:ind w:firstLine="2248"/>
        <w:spacing w:after="0" w:line="255" w:lineRule="auto"/>
        <w:tabs>
          <w:tab w:leader="none" w:pos="2550"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Executive's employment is terminated by the Executive for Good Reason, the date of termination shall be the date the Executive terminates the Executive's employment in writing as set forth in Section 3(f)(i)(B), unless a different date is mutually agreed; provided, however, that the date of termination must occur within 30 days following the expiration of the 30 day cure period set forth in Section 3(f)(i)(B), with the Company having failed to cure the event constituting Good Reason;</w:t>
      </w:r>
    </w:p>
    <w:p>
      <w:pPr>
        <w:spacing w:after="0" w:line="209" w:lineRule="exact"/>
        <w:rPr>
          <w:rFonts w:ascii="Times New Roman" w:cs="Times New Roman" w:eastAsia="Times New Roman" w:hAnsi="Times New Roman"/>
          <w:sz w:val="21"/>
          <w:szCs w:val="21"/>
          <w:color w:val="auto"/>
        </w:rPr>
      </w:pPr>
    </w:p>
    <w:p>
      <w:pPr>
        <w:jc w:val="both"/>
        <w:ind w:firstLine="2190"/>
        <w:spacing w:after="0" w:line="260" w:lineRule="auto"/>
        <w:tabs>
          <w:tab w:leader="none" w:pos="2550"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Executive's employment is terminated by the Executive other than for Good Reason, the 90th day following the Company's receipt of the Notice of Termination, unless the Company waives or reduces such period as provided in Section 3(c);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12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1"/>
          <w:szCs w:val="21"/>
          <w:color w:val="auto"/>
        </w:rPr>
        <w:t>(iv) if the Executive's employment is terminated by reason of death, the date of termination shall be the date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death.</w:t>
      </w:r>
    </w:p>
    <w:p>
      <w:pPr>
        <w:spacing w:after="0" w:line="216" w:lineRule="exact"/>
        <w:rPr>
          <w:sz w:val="20"/>
          <w:szCs w:val="20"/>
          <w:color w:val="auto"/>
        </w:rPr>
      </w:pPr>
    </w:p>
    <w:p>
      <w:pPr>
        <w:jc w:val="both"/>
        <w:ind w:firstLine="1877"/>
        <w:spacing w:after="0" w:line="259" w:lineRule="auto"/>
        <w:tabs>
          <w:tab w:leader="none" w:pos="2122"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w:t>
      </w:r>
      <w:r>
        <w:rPr>
          <w:rFonts w:ascii="Times New Roman" w:cs="Times New Roman" w:eastAsia="Times New Roman" w:hAnsi="Times New Roman"/>
          <w:sz w:val="21"/>
          <w:szCs w:val="21"/>
          <w:color w:val="auto"/>
        </w:rPr>
        <w:t xml:space="preserve"> Upon termination of the Executive's employment for any reason, the Executive agrees to resign, effective as of the date of termination, from any positions that the Executive holds with the Company, the Board (and any committees thereof), unless the Board requests otherwise and the Executive agrees, and the board of directors (and any committees thereof) of any of PVH's subsidiaries and affiliates.</w:t>
      </w:r>
    </w:p>
    <w:p>
      <w:pPr>
        <w:spacing w:after="0" w:line="193" w:lineRule="exact"/>
        <w:rPr>
          <w:rFonts w:ascii="Times New Roman" w:cs="Times New Roman" w:eastAsia="Times New Roman" w:hAnsi="Times New Roman"/>
          <w:sz w:val="21"/>
          <w:szCs w:val="21"/>
          <w:color w:val="auto"/>
        </w:rPr>
      </w:pPr>
    </w:p>
    <w:p>
      <w:pPr>
        <w:ind w:left="1880" w:hanging="627"/>
        <w:spacing w:after="0"/>
        <w:tabs>
          <w:tab w:leader="none" w:pos="188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Termination.</w:t>
      </w:r>
    </w:p>
    <w:p>
      <w:pPr>
        <w:spacing w:after="0" w:line="239" w:lineRule="exact"/>
        <w:rPr>
          <w:rFonts w:ascii="Times New Roman" w:cs="Times New Roman" w:eastAsia="Times New Roman" w:hAnsi="Times New Roman"/>
          <w:sz w:val="21"/>
          <w:szCs w:val="21"/>
          <w:color w:val="auto"/>
        </w:rPr>
      </w:pPr>
    </w:p>
    <w:p>
      <w:pPr>
        <w:jc w:val="both"/>
        <w:ind w:firstLine="1877"/>
        <w:spacing w:after="0" w:line="250" w:lineRule="auto"/>
        <w:tabs>
          <w:tab w:leader="none" w:pos="2495"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Full Settlement.</w:t>
      </w:r>
      <w:r>
        <w:rPr>
          <w:rFonts w:ascii="Times New Roman" w:cs="Times New Roman" w:eastAsia="Times New Roman" w:hAnsi="Times New Roman"/>
          <w:sz w:val="21"/>
          <w:szCs w:val="21"/>
          <w:color w:val="auto"/>
        </w:rPr>
        <w:t xml:space="preserve"> The amounts paid to the Executive pursuant to Section 3(b) or 3(f)(ii), as applicable, following termination of the Executive's employment shall be in full and complete satisfaction of the Executive's rights under this Agreement and any other claims the Executive may have with respect to the Executive's employment by the Company and the termination thereof, other than as expressly provided in Section 2(b). Such amounts shall constitute liquidated damages with respect to any and all such rights and claims. In consideration of the Executive's receipt thereof, the Executive shall execute a release in favor of the Company, substantially in the form of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Pursuant to said release, the Company shall be released and discharged from any and all liability to the Executive in connection with this Agreement and otherwise in connection with the Executive's employment with the Company and the termination thereof, including, without limitation, any claims arising under federal, state or local labor, employment and employment discrimination laws, but excluding claims with respect to this Agreement and any Plan. The payments and provision of benefits to the Executive required by Sections 3(b) and 3(f)(ii), other than amounts that are required to be paid to the Executive under applicable law, shall be conditioned upon the Executive's delivery (and non-revocation prior to the expiration of the revocation period contained in the release) of such release in favor of the Company,provided that such conditions are met on or before the date that is 30 days after the date of the Executive's termination of employment. If such conditions are not met by such date, the Executive shall forfeit such payments and benefits. Notwithstanding the foregoing, nothing herein shall be construed to release the Company from its obligations to indemnify the Executive (as set forth in Section 7(h)).</w:t>
      </w:r>
    </w:p>
    <w:p>
      <w:pPr>
        <w:spacing w:after="0" w:line="207" w:lineRule="exact"/>
        <w:rPr>
          <w:rFonts w:ascii="Times New Roman" w:cs="Times New Roman" w:eastAsia="Times New Roman" w:hAnsi="Times New Roman"/>
          <w:sz w:val="21"/>
          <w:szCs w:val="21"/>
          <w:color w:val="auto"/>
        </w:rPr>
      </w:pPr>
    </w:p>
    <w:p>
      <w:pPr>
        <w:jc w:val="both"/>
        <w:ind w:firstLine="1877"/>
        <w:spacing w:after="0" w:line="252" w:lineRule="auto"/>
        <w:tabs>
          <w:tab w:leader="none" w:pos="2493"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Duplication; No Mitigation; Limited Offset.</w:t>
      </w:r>
      <w:r>
        <w:rPr>
          <w:rFonts w:ascii="Times New Roman" w:cs="Times New Roman" w:eastAsia="Times New Roman" w:hAnsi="Times New Roman"/>
          <w:sz w:val="21"/>
          <w:szCs w:val="21"/>
          <w:color w:val="auto"/>
        </w:rPr>
        <w:t xml:space="preserve"> In no event shall the Executive be entitled to duplicate payments or benefits under different provisions of this Agreement or pursuant to the terms of any other plan, program or arrangement of the Company. In the event of any termination of the Executive's employment, the Executive shall be under no obligation to seek other employment, and, there shall be no offset against amounts due the Executive under this Agreement or pursuant to any plan of the Company on account of any remuneration attributable to any subsequent employment or any claim asserted by the Company, except with respect to the continuation of benefits under Sections 3(b) and 3(f)(ii), which shall terminate immediately upon obtaining comparable coverage from another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1240"/>
          </w:cols>
          <w:pgMar w:left="320" w:top="1127" w:right="339" w:bottom="1440" w:gutter="0" w:footer="0" w:header="0"/>
        </w:sectPr>
      </w:pPr>
    </w:p>
    <w:bookmarkStart w:id="144" w:name="page145"/>
    <w:bookmarkEnd w:id="144"/>
    <w:p>
      <w:pPr>
        <w:ind w:left="1880" w:hanging="627"/>
        <w:spacing w:after="0"/>
        <w:tabs>
          <w:tab w:leader="none" w:pos="188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Restrictive Covenants.</w:t>
      </w:r>
    </w:p>
    <w:p>
      <w:pPr>
        <w:spacing w:after="0" w:line="239" w:lineRule="exact"/>
        <w:rPr>
          <w:rFonts w:ascii="Times New Roman" w:cs="Times New Roman" w:eastAsia="Times New Roman" w:hAnsi="Times New Roman"/>
          <w:sz w:val="21"/>
          <w:szCs w:val="21"/>
          <w:color w:val="auto"/>
        </w:rPr>
      </w:pPr>
    </w:p>
    <w:p>
      <w:pPr>
        <w:jc w:val="both"/>
        <w:ind w:firstLine="1877"/>
        <w:spacing w:after="0" w:line="249" w:lineRule="auto"/>
        <w:tabs>
          <w:tab w:leader="none" w:pos="2495"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The Executive recognizes that any knowledge and information of any type whatsoever of a confidential nature relating to the business of the Company, including, without limitation, all types of trade secrets, vendor and customer lists and information, employee lists and information, consumer data, information regarding product development, marketing plans, management organization information, operating policies and manuals, sourcing data, performance results, business plans, financial records, network configuration and architecture, proprietary software, and other financial, commercial, business and technical information (collectively, "Confidential Information"), must be protected as confidential, not copied, disclosed or used, other than for the benefit of the Company, at any time. The Executive further agrees that at any time during the Employment Period or thereafter the Executive will not divulge to anyone (other than the Company or any person employed or designated by the Company), publish or make use of any Confidential Information without the prior written consent of the Company, except (i) as (and only to the extent) required by an order of a court having competent jurisdiction or under subpoena from an appropriate government agency and then only after providing the Company with the reasonable opportunity to prevent such disclosure or to receive confidential treatment for the Confidential Information required to be disclosed, (ii) with respect to any other litigation, arbitration or mediation involving this Agreement, including, but not limited to the enforcement of this Agreement or (iii) as to Confidential Information that becomes generally known to the public or within the relevant trade or industry other than due to the Executive's violation of this Section 5(a). The Executive further agrees that following the termination of the Employment Period for whatever reason, (A) the Company shall keep all tangible property assigned to the Executive or prepared by the Executive and (B) the Executive shall not misappropriate or infringe upon the Confidential Information of the Company (including the recreation or reconstruction of Confidential Information from memory).</w:t>
      </w:r>
    </w:p>
    <w:p>
      <w:pPr>
        <w:spacing w:after="0" w:line="212" w:lineRule="exact"/>
        <w:rPr>
          <w:rFonts w:ascii="Times New Roman" w:cs="Times New Roman" w:eastAsia="Times New Roman" w:hAnsi="Times New Roman"/>
          <w:sz w:val="21"/>
          <w:szCs w:val="21"/>
          <w:color w:val="auto"/>
        </w:rPr>
      </w:pPr>
    </w:p>
    <w:p>
      <w:pPr>
        <w:jc w:val="both"/>
        <w:ind w:firstLine="1877"/>
        <w:spacing w:after="0" w:line="251" w:lineRule="auto"/>
        <w:tabs>
          <w:tab w:leader="none" w:pos="2493"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Non-Interference.</w:t>
      </w:r>
      <w:r>
        <w:rPr>
          <w:rFonts w:ascii="Times New Roman" w:cs="Times New Roman" w:eastAsia="Times New Roman" w:hAnsi="Times New Roman"/>
          <w:sz w:val="21"/>
          <w:szCs w:val="21"/>
          <w:color w:val="auto"/>
        </w:rPr>
        <w:t xml:space="preserve"> The Executive acknowledges that information regarding the Company's business and financial relations with its vendors and customers is Confidential Information and proprietary to the Company and that any interference with such relations based directly or indirectly on the use of such information would cause irreparable damage to the Company. The Executive acknowledges that by virtue of the Executive's employment with the Company, the Executive may gain knowledge of such information concerning the Company's vendors and customers (respectively "Vendor Information" or "Customer Information"), and that the Executive would inevitably have to draw on this Vendor Information and Customer Information and on other Confidential Information if the Executive were to solicit or service the Company's vendors or customers on behalf of a competing business enterprise. Accordingly, and subject to the immediately following sentence, the Executive agrees that during the Employment Period and for a period of 12 months following the termination thereof, the Executive will not, on behalf of the Executive or any other person, other than the Company, directly or indirectly do business with, solicit the business of, or perform any services for any actual vendor or customer of the Company, any person that has been a vendor or customer of the Company within the 12-month period preceding such termination or any actively solicited prospective vendor or customer as to whom or which the Executive provided any services or as to whom or which the Executive has knowledge of Vendor Information,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1240"/>
          </w:cols>
          <w:pgMar w:left="320" w:top="1127" w:right="339" w:bottom="1440" w:gutter="0" w:footer="0" w:header="0"/>
        </w:sectPr>
      </w:pPr>
    </w:p>
    <w:bookmarkStart w:id="145" w:name="page146"/>
    <w:bookmarkEnd w:id="145"/>
    <w:p>
      <w:pPr>
        <w:jc w:val="both"/>
        <w:spacing w:after="0" w:line="250" w:lineRule="auto"/>
        <w:rPr>
          <w:sz w:val="20"/>
          <w:szCs w:val="20"/>
          <w:color w:val="auto"/>
        </w:rPr>
      </w:pPr>
      <w:r>
        <w:rPr>
          <w:rFonts w:ascii="Times New Roman" w:cs="Times New Roman" w:eastAsia="Times New Roman" w:hAnsi="Times New Roman"/>
          <w:sz w:val="21"/>
          <w:szCs w:val="21"/>
          <w:color w:val="auto"/>
        </w:rPr>
        <w:t>Information or Confidential Information. The foregoing restrictive covenant shall only apply to business activities engaged in by the Executive on behalf of the Executive or any other person that are directly competitive with those of the operating divisions of the Company in which the Executive has worked or over which the Executive has or has had supervisory responsibility, in terms of channels of distribution, types of products, gender for which the products have been designed and similarity of price range or over which the Executive is in possession of Confidential Information. In addition, the Executive agrees that, during the Employment Period and the 12-month period thereafter, the Executive will not, directly or indirectly, seek to encourage or induce any such vendor or customer to cease doing business with, or lessen its business with, the Company, or otherwise interfere with or damage (or attempt to interfere with or damage) any of the Company's relationships with its vendors and customers, except in the ordinary course of the Company's business.</w:t>
      </w:r>
    </w:p>
    <w:p>
      <w:pPr>
        <w:spacing w:after="0" w:line="208" w:lineRule="exact"/>
        <w:rPr>
          <w:sz w:val="20"/>
          <w:szCs w:val="20"/>
          <w:color w:val="auto"/>
        </w:rPr>
      </w:pPr>
    </w:p>
    <w:p>
      <w:pPr>
        <w:jc w:val="both"/>
        <w:ind w:firstLine="1877"/>
        <w:spacing w:after="0" w:line="251" w:lineRule="auto"/>
        <w:tabs>
          <w:tab w:leader="none" w:pos="2495"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xml:space="preserve"> The Executive agrees that, during the Employment Period and for a period of 12 months following the Executive's termination of employment, the Executive shall not, without the prior written consent of the Company, directly or indirectly, on the Executive's behalf or on behalf of any other person, firm, corporation, association or other entity, as an employee, director, investor, advisor, partner, consultant or otherwise, engage in any business of, provide services to, enter the employ of, or have any interest in, any other person, firm, corporation or other entity anywhere in the world that is engaged in a business that is in competition with the (i) businesses or products of the Company as of the Executive's date of termination, or (ii) any business that the Company is planning to engage in or products that the Company is planning to develop or launch. Nothing herein shall restrict the Executive from owning, for personal investment purposes only, less than 5% of the voting stock of any publicly held corporation or 2% of the ownership interest in any non-publicly held company, if the Executive has no other connection or relationship with the issuer of such securities.</w:t>
      </w:r>
    </w:p>
    <w:p>
      <w:pPr>
        <w:spacing w:after="0" w:line="206" w:lineRule="exact"/>
        <w:rPr>
          <w:rFonts w:ascii="Times New Roman" w:cs="Times New Roman" w:eastAsia="Times New Roman" w:hAnsi="Times New Roman"/>
          <w:sz w:val="21"/>
          <w:szCs w:val="21"/>
          <w:color w:val="auto"/>
        </w:rPr>
      </w:pPr>
    </w:p>
    <w:p>
      <w:pPr>
        <w:jc w:val="both"/>
        <w:ind w:firstLine="1877"/>
        <w:spacing w:after="0" w:line="254" w:lineRule="auto"/>
        <w:tabs>
          <w:tab w:leader="none" w:pos="2493"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xml:space="preserve"> The Executive agrees that during the Employment Period and for a period of 12 months following the termination thereof for any reason, the Executive will not hire or solicit to hire, whether on the Executive's own behalf or on behalf of any other person (other than the Company), any employee of the Company or any individual who had left the employ of the Company within 12 months of the termination of the Executive's employment with the Company. In addition, during the Employment Period and such 12-month period thereafter, the Executive will not, directly or indirectly, encourage or induce any employee of the Company to leave the Company's employ, except in the ordinary course of the Company's business.</w:t>
      </w:r>
    </w:p>
    <w:p>
      <w:pPr>
        <w:spacing w:after="0" w:line="196" w:lineRule="exact"/>
        <w:rPr>
          <w:rFonts w:ascii="Times New Roman" w:cs="Times New Roman" w:eastAsia="Times New Roman" w:hAnsi="Times New Roman"/>
          <w:sz w:val="21"/>
          <w:szCs w:val="21"/>
          <w:color w:val="auto"/>
        </w:rPr>
      </w:pPr>
    </w:p>
    <w:p>
      <w:pPr>
        <w:jc w:val="both"/>
        <w:ind w:firstLine="1877"/>
        <w:spacing w:after="0" w:line="259" w:lineRule="auto"/>
        <w:tabs>
          <w:tab w:leader="none" w:pos="2495"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Public Comment.</w:t>
      </w:r>
      <w:r>
        <w:rPr>
          <w:rFonts w:ascii="Times New Roman" w:cs="Times New Roman" w:eastAsia="Times New Roman" w:hAnsi="Times New Roman"/>
          <w:sz w:val="21"/>
          <w:szCs w:val="21"/>
          <w:color w:val="auto"/>
        </w:rPr>
        <w:t xml:space="preserve"> The Executive, during the Employment Period and at all times thereafter, shall not make any derogatory comment concerning the Company or any of its current or former directors, officers, stockholders or employees. Similarly, the then-current members of the Company's senior management shall not make any derogatory comment concerning the Executive.</w:t>
      </w:r>
    </w:p>
    <w:p>
      <w:pPr>
        <w:spacing w:after="0" w:line="193" w:lineRule="exact"/>
        <w:rPr>
          <w:rFonts w:ascii="Times New Roman" w:cs="Times New Roman" w:eastAsia="Times New Roman" w:hAnsi="Times New Roman"/>
          <w:sz w:val="21"/>
          <w:szCs w:val="21"/>
          <w:color w:val="auto"/>
        </w:rPr>
      </w:pPr>
    </w:p>
    <w:p>
      <w:pPr>
        <w:ind w:firstLine="1877"/>
        <w:spacing w:after="0" w:line="275" w:lineRule="auto"/>
        <w:tabs>
          <w:tab w:leader="none" w:pos="249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Blue Penciling.</w:t>
      </w:r>
      <w:r>
        <w:rPr>
          <w:rFonts w:ascii="Times New Roman" w:cs="Times New Roman" w:eastAsia="Times New Roman" w:hAnsi="Times New Roman"/>
          <w:sz w:val="21"/>
          <w:szCs w:val="21"/>
          <w:color w:val="auto"/>
        </w:rPr>
        <w:t xml:space="preserve"> If any of the restrictions on competitive or other activities contained in this Section 5 shall for any reason be held by a court of competent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1240"/>
          </w:cols>
          <w:pgMar w:left="320" w:top="1127" w:right="339" w:bottom="1440" w:gutter="0" w:footer="0" w:header="0"/>
        </w:sectPr>
      </w:pPr>
    </w:p>
    <w:bookmarkStart w:id="146" w:name="page147"/>
    <w:bookmarkEnd w:id="146"/>
    <w:p>
      <w:pPr>
        <w:jc w:val="both"/>
        <w:spacing w:after="0" w:line="252" w:lineRule="auto"/>
        <w:rPr>
          <w:sz w:val="20"/>
          <w:szCs w:val="20"/>
          <w:color w:val="auto"/>
        </w:rPr>
      </w:pPr>
      <w:r>
        <w:rPr>
          <w:rFonts w:ascii="Times New Roman" w:cs="Times New Roman" w:eastAsia="Times New Roman" w:hAnsi="Times New Roman"/>
          <w:sz w:val="21"/>
          <w:szCs w:val="21"/>
          <w:color w:val="auto"/>
        </w:rPr>
        <w:t>jurisdiction to be excessively broad as to duration, geographical scope, activity or subject, such restrictions shall be construed so as thereafter to be limited or reduced to be enforceable to the extent compatible with the applicable law; it being understood that by the execution of this Agreement, (i) the parties hereto regard such restrictions as reasonable and compatible with their respective rights and (ii) the Executive acknowledges and agrees that the restrictions will not prevent the Executive from obtaining gainful employment subsequent to the termination of the Executive's employment. The existence of any claim or cause of action by the Executive against the Company shall not constitute a defense to the enforcement by the Company of the foregoing restrictive covenants, but such claim or cause of action shall be determined separately.</w:t>
      </w:r>
    </w:p>
    <w:p>
      <w:pPr>
        <w:spacing w:after="0" w:line="202" w:lineRule="exact"/>
        <w:rPr>
          <w:sz w:val="20"/>
          <w:szCs w:val="20"/>
          <w:color w:val="auto"/>
        </w:rPr>
      </w:pPr>
    </w:p>
    <w:p>
      <w:pPr>
        <w:jc w:val="both"/>
        <w:ind w:firstLine="1877"/>
        <w:spacing w:after="0" w:line="252" w:lineRule="auto"/>
        <w:tabs>
          <w:tab w:leader="none" w:pos="2493"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Iniunctive Relief.</w:t>
      </w:r>
      <w:r>
        <w:rPr>
          <w:rFonts w:ascii="Times New Roman" w:cs="Times New Roman" w:eastAsia="Times New Roman" w:hAnsi="Times New Roman"/>
          <w:sz w:val="21"/>
          <w:szCs w:val="21"/>
          <w:color w:val="auto"/>
        </w:rPr>
        <w:t xml:space="preserve"> The Executive acknowledges and agrees that the covenants and obligations of the Executive set forth in this Section 5 relate to special, unique and extraordinary services rendered by the Executive to the Company and that a violation of any of the terms of such covenants and obligations will cause the Company irreparable injury for which adequate remedies are not available at law. Therefore, the Executive agrees that the Company shall be entitled to seek an injunction, restraining order or other temporary or permanent equitable relief (without the requirement to post bond) restraining the Executive from committing any violation of the covenants and obligations contained herein. These injunctive remedies are cumulative and are in addition to any other rights and remedies the Company may have at law or in equity.</w:t>
      </w:r>
    </w:p>
    <w:p>
      <w:pPr>
        <w:spacing w:after="0" w:line="202" w:lineRule="exact"/>
        <w:rPr>
          <w:rFonts w:ascii="Times New Roman" w:cs="Times New Roman" w:eastAsia="Times New Roman" w:hAnsi="Times New Roman"/>
          <w:sz w:val="21"/>
          <w:szCs w:val="21"/>
          <w:color w:val="auto"/>
        </w:rPr>
      </w:pPr>
    </w:p>
    <w:p>
      <w:pPr>
        <w:jc w:val="both"/>
        <w:ind w:firstLine="1877"/>
        <w:spacing w:after="0" w:line="251" w:lineRule="auto"/>
        <w:tabs>
          <w:tab w:leader="none" w:pos="2493"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the Executive understands that nothing in this Agreement restricts or prohibits the Executive from initiating 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or from making other disclosures that are protected under the whistleblower provisions of state or federal law or regulation, and pursuant to 18 USC § 1833(b), an individual may not be held liable under any criminal or civil federal or state trade secret law for disclosure of a trade secret: (i) made in confidence to a government official, either directly or indirectly, or to an attorney, solely for the purpose of reporting or investigating a suspected violation of law or (ii) in a complaint or other document filed in a lawsuit or other proceeding, if such filing is made under seal. Additionally, an individual suing an entity for retaliation based on the reporting of a suspected violation of law may disclose a trade secret to the individual's attorney and use the trade secret information in the court proceeding, so long as any document containing the trade secret is filed under seal and the individual does not disclose the trade secret except pursuant to court order. Nothing in this Agreement is intended to conflict with 18 USC § 1833(b) or create liability for disclosures of trade secrets that are expressly allowed by 18 USC§ 1833(b).</w:t>
      </w:r>
    </w:p>
    <w:p>
      <w:pPr>
        <w:spacing w:after="0" w:line="203" w:lineRule="exact"/>
        <w:rPr>
          <w:rFonts w:ascii="Times New Roman" w:cs="Times New Roman" w:eastAsia="Times New Roman" w:hAnsi="Times New Roman"/>
          <w:sz w:val="21"/>
          <w:szCs w:val="21"/>
          <w:color w:val="auto"/>
        </w:rPr>
      </w:pPr>
    </w:p>
    <w:p>
      <w:pPr>
        <w:ind w:right="60" w:firstLine="629"/>
        <w:spacing w:after="0" w:line="256" w:lineRule="auto"/>
        <w:tabs>
          <w:tab w:leader="none" w:pos="124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Work for Hire.</w:t>
      </w:r>
      <w:r>
        <w:rPr>
          <w:rFonts w:ascii="Times New Roman" w:cs="Times New Roman" w:eastAsia="Times New Roman" w:hAnsi="Times New Roman"/>
          <w:sz w:val="21"/>
          <w:szCs w:val="21"/>
          <w:color w:val="auto"/>
        </w:rPr>
        <w:t xml:space="preserve"> The Executive agrees that all marketing, operating and training ideas, sourcing data, processes and materials, including all inventions, discoveries, improvements, enhancements, written materials and development related to the business of the Company ("Proprietary Materials") to which the Executive may have access or that the Executive may develop or conceive while employed by the Company shall be considered works made for hire for the Company and prepared within the scope of employment and shall belong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1240"/>
          </w:cols>
          <w:pgMar w:left="320" w:top="1127" w:right="339" w:bottom="1440" w:gutter="0" w:footer="0" w:header="0"/>
        </w:sectPr>
      </w:pPr>
    </w:p>
    <w:bookmarkStart w:id="147" w:name="page148"/>
    <w:bookmarkEnd w:id="147"/>
    <w:p>
      <w:pPr>
        <w:ind w:right="100"/>
        <w:spacing w:after="0" w:line="255" w:lineRule="auto"/>
        <w:rPr>
          <w:sz w:val="20"/>
          <w:szCs w:val="20"/>
          <w:color w:val="auto"/>
        </w:rPr>
      </w:pPr>
      <w:r>
        <w:rPr>
          <w:rFonts w:ascii="Times New Roman" w:cs="Times New Roman" w:eastAsia="Times New Roman" w:hAnsi="Times New Roman"/>
          <w:sz w:val="21"/>
          <w:szCs w:val="21"/>
          <w:color w:val="auto"/>
        </w:rPr>
        <w:t>exclusively to the Company. Any Proprietary Materials developed by the Executive that, under applicable law, may not be considered works made for hire, are hereby assigned to the Company without the need for any further consideration, and the Executive agrees to take such further action, including executing such instruments and documents as the Company may reasonably request, to evidence such assignment.</w:t>
      </w:r>
    </w:p>
    <w:p>
      <w:pPr>
        <w:spacing w:after="0" w:line="210" w:lineRule="exact"/>
        <w:rPr>
          <w:sz w:val="20"/>
          <w:szCs w:val="20"/>
          <w:color w:val="auto"/>
        </w:rPr>
      </w:pPr>
    </w:p>
    <w:p>
      <w:pPr>
        <w:ind w:left="620" w:hanging="304"/>
        <w:spacing w:after="0"/>
        <w:tabs>
          <w:tab w:leader="none" w:pos="62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39" w:lineRule="exact"/>
        <w:rPr>
          <w:rFonts w:ascii="Times New Roman" w:cs="Times New Roman" w:eastAsia="Times New Roman" w:hAnsi="Times New Roman"/>
          <w:sz w:val="21"/>
          <w:szCs w:val="21"/>
          <w:color w:val="auto"/>
        </w:rPr>
      </w:pPr>
    </w:p>
    <w:p>
      <w:pPr>
        <w:jc w:val="both"/>
        <w:ind w:firstLine="1877"/>
        <w:spacing w:after="0" w:line="250" w:lineRule="auto"/>
        <w:tabs>
          <w:tab w:leader="none" w:pos="2495"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 and Successors.</w:t>
      </w:r>
      <w:r>
        <w:rPr>
          <w:rFonts w:ascii="Times New Roman" w:cs="Times New Roman" w:eastAsia="Times New Roman" w:hAnsi="Times New Roman"/>
          <w:sz w:val="21"/>
          <w:szCs w:val="21"/>
          <w:color w:val="auto"/>
        </w:rPr>
        <w:t xml:space="preserve"> This Agreement shall inure to the benefit of and be binding upon the parties hereto and their respective heirs, legatees, executors, administrators, legal representatives, successors and assigns. Notwithstanding anything in the foregoing to the contrary, the Executive may not assign any of the Executive's rights or obligations under this Agreement without first obtaining the written consent of the Company. The Company may assign this Agreement in connection with a sale of all or substantially all of its business and/or assets (whether direct or indirect, by purchase, merger, consolidation or otherwise) and will require any successor (whether direct or indirect, by purchase, merger, consolidation or otherwise) to all or substantially all of the business and/or assets of the Company to assume and agree to perform this Agreement in the same manner and to the same extent that the Company would be required to perform it if no such succession had taken place. "Company" means the Company as hereinbefore defined and any successor to its business and/or assets as aforesaid that assumes and agrees to perform this Agreement by operation of law or otherwise.</w:t>
      </w:r>
    </w:p>
    <w:p>
      <w:pPr>
        <w:spacing w:after="0" w:line="216" w:lineRule="exact"/>
        <w:rPr>
          <w:rFonts w:ascii="Times New Roman" w:cs="Times New Roman" w:eastAsia="Times New Roman" w:hAnsi="Times New Roman"/>
          <w:sz w:val="21"/>
          <w:szCs w:val="21"/>
          <w:color w:val="auto"/>
        </w:rPr>
      </w:pPr>
    </w:p>
    <w:p>
      <w:pPr>
        <w:ind w:left="2500" w:hanging="623"/>
        <w:spacing w:after="0"/>
        <w:tabs>
          <w:tab w:leader="none" w:pos="2500"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The provisions of Sections 3, 4, 5, 6 and 7 shall survive the termination of this Agreement</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Section 3.</w:t>
      </w:r>
    </w:p>
    <w:p>
      <w:pPr>
        <w:spacing w:after="0" w:line="215" w:lineRule="exact"/>
        <w:rPr>
          <w:rFonts w:ascii="Times New Roman" w:cs="Times New Roman" w:eastAsia="Times New Roman" w:hAnsi="Times New Roman"/>
          <w:sz w:val="21"/>
          <w:szCs w:val="21"/>
          <w:color w:val="auto"/>
        </w:rPr>
      </w:pPr>
    </w:p>
    <w:p>
      <w:pPr>
        <w:ind w:firstLine="1877"/>
        <w:spacing w:after="0" w:line="275" w:lineRule="auto"/>
        <w:tabs>
          <w:tab w:leader="none" w:pos="2495"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xml:space="preserve"> Any notices to be given hereunder shall be in writing and delivered personally or sent by registered or certified mail, return receipt requested, postage prepaid as follows:</w:t>
      </w:r>
    </w:p>
    <w:p>
      <w:pPr>
        <w:spacing w:after="0" w:line="17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If to the Executive, addressed to the Executive at the address then shown in the Executive's employment records</w:t>
      </w:r>
    </w:p>
    <w:p>
      <w:pPr>
        <w:spacing w:after="0" w:line="26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If to the Company at:</w:t>
      </w:r>
    </w:p>
    <w:p>
      <w:pPr>
        <w:spacing w:after="0" w:line="24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1"/>
          <w:szCs w:val="21"/>
          <w:color w:val="auto"/>
        </w:rPr>
        <w:t>PVH Corp.</w:t>
      </w:r>
    </w:p>
    <w:p>
      <w:pPr>
        <w:spacing w:after="0" w:line="24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200 Madison Avenue</w:t>
      </w:r>
    </w:p>
    <w:p>
      <w:pPr>
        <w:spacing w:after="0" w:line="3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New York, New York 10016</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Attention: Chairman</w:t>
      </w:r>
    </w:p>
    <w:p>
      <w:pPr>
        <w:spacing w:after="0" w:line="21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With a copy to:</w:t>
      </w:r>
    </w:p>
    <w:p>
      <w:pPr>
        <w:spacing w:after="0" w:line="25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PVH Corp.</w:t>
      </w:r>
    </w:p>
    <w:p>
      <w:pPr>
        <w:spacing w:after="0" w:line="3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200 Madison Avenue</w:t>
      </w:r>
    </w:p>
    <w:p>
      <w:pPr>
        <w:spacing w:after="0" w:line="6"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1"/>
          <w:szCs w:val="21"/>
          <w:color w:val="auto"/>
        </w:rPr>
        <w:t>New York, New York 10016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1240"/>
          </w:cols>
          <w:pgMar w:left="320" w:top="1127" w:right="339" w:bottom="1440" w:gutter="0" w:footer="0" w:header="0"/>
        </w:sectPr>
      </w:pPr>
    </w:p>
    <w:bookmarkStart w:id="148" w:name="page149"/>
    <w:bookmarkEnd w:id="148"/>
    <w:p>
      <w:pPr>
        <w:ind w:left="1900"/>
        <w:spacing w:after="0"/>
        <w:rPr>
          <w:sz w:val="20"/>
          <w:szCs w:val="20"/>
          <w:color w:val="auto"/>
        </w:rPr>
      </w:pPr>
      <w:r>
        <w:rPr>
          <w:rFonts w:ascii="Times New Roman" w:cs="Times New Roman" w:eastAsia="Times New Roman" w:hAnsi="Times New Roman"/>
          <w:sz w:val="21"/>
          <w:szCs w:val="21"/>
          <w:color w:val="auto"/>
        </w:rPr>
        <w:t>Attention: Executive Vice President, General Counsel and Secretary</w:t>
      </w:r>
    </w:p>
    <w:p>
      <w:pPr>
        <w:spacing w:after="0" w:line="24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21"/>
          <w:szCs w:val="21"/>
          <w:color w:val="auto"/>
        </w:rPr>
        <w:t>Any party may change the address to which notices are to be sent by giving notice of such change of address to the other party in the manner provided above for giving notice.</w:t>
      </w:r>
    </w:p>
    <w:p>
      <w:pPr>
        <w:spacing w:after="0" w:line="175" w:lineRule="exact"/>
        <w:rPr>
          <w:sz w:val="20"/>
          <w:szCs w:val="20"/>
          <w:color w:val="auto"/>
        </w:rPr>
      </w:pPr>
    </w:p>
    <w:p>
      <w:pPr>
        <w:ind w:firstLine="1877"/>
        <w:spacing w:after="0" w:line="288" w:lineRule="auto"/>
        <w:tabs>
          <w:tab w:leader="none" w:pos="2493"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xml:space="preserve"> This Agreement shall be governed by, and construed and enforced in accordance with, the laws of the State of New York, without regard to the principles thereof relating to the conflict of laws.</w:t>
      </w:r>
    </w:p>
    <w:p>
      <w:pPr>
        <w:spacing w:after="0" w:line="161" w:lineRule="exact"/>
        <w:rPr>
          <w:rFonts w:ascii="Times New Roman" w:cs="Times New Roman" w:eastAsia="Times New Roman" w:hAnsi="Times New Roman"/>
          <w:sz w:val="21"/>
          <w:szCs w:val="21"/>
          <w:color w:val="auto"/>
        </w:rPr>
      </w:pPr>
    </w:p>
    <w:p>
      <w:pPr>
        <w:jc w:val="both"/>
        <w:ind w:firstLine="1877"/>
        <w:spacing w:after="0" w:line="260" w:lineRule="auto"/>
        <w:tabs>
          <w:tab w:leader="none" w:pos="249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Consent to Jurisdiction.</w:t>
      </w:r>
      <w:r>
        <w:rPr>
          <w:rFonts w:ascii="Times New Roman" w:cs="Times New Roman" w:eastAsia="Times New Roman" w:hAnsi="Times New Roman"/>
          <w:sz w:val="21"/>
          <w:szCs w:val="21"/>
          <w:color w:val="auto"/>
        </w:rPr>
        <w:t xml:space="preserve"> Any judicial proceeding brought against the Executive with respect to this Agreement may be brought in any court of competent jurisdiction in the Borough of Manhattan in the City and State of New York and, by execution and delivery of this Agreement, the Executive:</w:t>
      </w:r>
    </w:p>
    <w:p>
      <w:pPr>
        <w:spacing w:after="0" w:line="190" w:lineRule="exact"/>
        <w:rPr>
          <w:rFonts w:ascii="Times New Roman" w:cs="Times New Roman" w:eastAsia="Times New Roman" w:hAnsi="Times New Roman"/>
          <w:sz w:val="21"/>
          <w:szCs w:val="21"/>
          <w:color w:val="auto"/>
        </w:rPr>
      </w:pPr>
    </w:p>
    <w:p>
      <w:pPr>
        <w:jc w:val="both"/>
        <w:ind w:firstLine="2502"/>
        <w:spacing w:after="0" w:line="267" w:lineRule="auto"/>
        <w:tabs>
          <w:tab w:leader="none" w:pos="3189"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accepts, generally and unconditionally, the nonexclusive jurisdiction of such courts and any related appellate courts, and irrevocably agrees to be bound by any final judgment (after exhausting all appeals therefrom or after all time periods for such appeals have expired) rendered thereby in connection with this Agreement; and</w:t>
      </w:r>
    </w:p>
    <w:p>
      <w:pPr>
        <w:spacing w:after="0" w:line="182" w:lineRule="exact"/>
        <w:rPr>
          <w:rFonts w:ascii="Times New Roman" w:cs="Times New Roman" w:eastAsia="Times New Roman" w:hAnsi="Times New Roman"/>
          <w:sz w:val="21"/>
          <w:szCs w:val="21"/>
          <w:color w:val="auto"/>
        </w:rPr>
      </w:pPr>
    </w:p>
    <w:p>
      <w:pPr>
        <w:ind w:left="3180" w:hanging="678"/>
        <w:spacing w:after="0"/>
        <w:tabs>
          <w:tab w:leader="none" w:pos="3180"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irrevocably waives any objection the Executive may now or hereafter have as to the venue of</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suit, action or proceeding brought in such a court or that such court is an inconvenient forum.</w:t>
      </w:r>
    </w:p>
    <w:p>
      <w:pPr>
        <w:spacing w:after="0" w:line="215" w:lineRule="exact"/>
        <w:rPr>
          <w:rFonts w:ascii="Times New Roman" w:cs="Times New Roman" w:eastAsia="Times New Roman" w:hAnsi="Times New Roman"/>
          <w:sz w:val="21"/>
          <w:szCs w:val="21"/>
          <w:color w:val="auto"/>
        </w:rPr>
      </w:pPr>
    </w:p>
    <w:p>
      <w:pPr>
        <w:jc w:val="both"/>
        <w:ind w:firstLine="1877"/>
        <w:spacing w:after="0" w:line="267" w:lineRule="auto"/>
        <w:tabs>
          <w:tab w:leader="none" w:pos="2498"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xml:space="preserve"> The invalidity of any one or more provisions of this Agreement or any part thereof shall not affect the validity of any other provision of this Agreement or part thereof; and in the event that one or more provisions contained herein shall be held to be invalid, the Agreement shall be reformed to make such provisions enforceable.</w:t>
      </w:r>
    </w:p>
    <w:p>
      <w:pPr>
        <w:spacing w:after="0" w:line="182" w:lineRule="exact"/>
        <w:rPr>
          <w:rFonts w:ascii="Times New Roman" w:cs="Times New Roman" w:eastAsia="Times New Roman" w:hAnsi="Times New Roman"/>
          <w:sz w:val="21"/>
          <w:szCs w:val="21"/>
          <w:color w:val="auto"/>
        </w:rPr>
      </w:pPr>
    </w:p>
    <w:p>
      <w:pPr>
        <w:jc w:val="both"/>
        <w:ind w:firstLine="1877"/>
        <w:spacing w:after="0" w:line="251" w:lineRule="auto"/>
        <w:tabs>
          <w:tab w:leader="none" w:pos="2493"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xml:space="preserve"> The Company, in its sole discretion, may waive any of the requirements imposed on the Executive by this Agreement. The Company, however, reserves the right to deny any similar waiver in the future. Each such waiver must be express and in writing and there will be no waiver by conduct. Pursuit by the Company of any available remedy, either in law or equity, or any action of any kind, does not constitute waiver of any other remedy or action. Such remedies and actions are cumulative and not exclusive. 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or the Company's right to terminate the Executive's employment for Cause, shall not be deemed to be a waiver of such provision or right or any other provision or right of this Agreement.</w:t>
      </w:r>
    </w:p>
    <w:p>
      <w:pPr>
        <w:spacing w:after="0" w:line="204" w:lineRule="exact"/>
        <w:rPr>
          <w:rFonts w:ascii="Times New Roman" w:cs="Times New Roman" w:eastAsia="Times New Roman" w:hAnsi="Times New Roman"/>
          <w:sz w:val="21"/>
          <w:szCs w:val="21"/>
          <w:color w:val="auto"/>
        </w:rPr>
      </w:pPr>
    </w:p>
    <w:p>
      <w:pPr>
        <w:jc w:val="both"/>
        <w:ind w:firstLine="1877"/>
        <w:spacing w:after="0" w:line="256" w:lineRule="auto"/>
        <w:tabs>
          <w:tab w:leader="none" w:pos="2493"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The Company shall indemnify the Executive and hold the Executive harmless from and against any claim, loss or cause of action arising from or out of the Executive's performance as an officer, director or employee of the Company or in any other capacity, including any fiduciary capacity, in which the Executive serves at the request of the Company to the maximum extent permitted by applicable law; provided, however, that the Executive shall not be entitled to indemnification hereunder with respect to any expense,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1240"/>
          </w:cols>
          <w:pgMar w:left="320" w:top="1127" w:right="339" w:bottom="1440" w:gutter="0" w:footer="0" w:header="0"/>
        </w:sectPr>
      </w:pPr>
    </w:p>
    <w:bookmarkStart w:id="149" w:name="page150"/>
    <w:bookmarkEnd w:id="149"/>
    <w:p>
      <w:pPr>
        <w:jc w:val="both"/>
        <w:spacing w:after="0" w:line="251" w:lineRule="auto"/>
        <w:rPr>
          <w:sz w:val="20"/>
          <w:szCs w:val="20"/>
          <w:color w:val="auto"/>
        </w:rPr>
      </w:pPr>
      <w:r>
        <w:rPr>
          <w:rFonts w:ascii="Times New Roman" w:cs="Times New Roman" w:eastAsia="Times New Roman" w:hAnsi="Times New Roman"/>
          <w:sz w:val="21"/>
          <w:szCs w:val="21"/>
          <w:color w:val="auto"/>
        </w:rPr>
        <w:t>liability or damage which was caused by the Executive's own gross negligence, willful misconduct or reckless disregard of the Executive's duties hereunder. The Company shall pay any and all reasonable legal fees incurred by the Executive in the defense of any such claim on a current basis, provided, however, that the Executive shall be obligated to reimburse the Company for any fees that it is determined the Executive is not entitled to have paid by the Company under applicable law. The Company shall have the right to select counsel reasonably acceptable to the Executive to defend such claim and to have the same counsel represent the Company and its officers and directors unless there is a material conflict of interest between the Company and the Executive, in which case the Executive may select and retain the Executive's own counsel at the Company's expense. The Executive shall not settle any action or claim against the Executive without the prior written consent of the Company.</w:t>
      </w:r>
    </w:p>
    <w:p>
      <w:pPr>
        <w:spacing w:after="0" w:line="204" w:lineRule="exact"/>
        <w:rPr>
          <w:sz w:val="20"/>
          <w:szCs w:val="20"/>
          <w:color w:val="auto"/>
        </w:rPr>
      </w:pPr>
    </w:p>
    <w:p>
      <w:pPr>
        <w:jc w:val="both"/>
        <w:ind w:firstLine="1877"/>
        <w:spacing w:after="0" w:line="251" w:lineRule="auto"/>
        <w:tabs>
          <w:tab w:leader="none" w:pos="248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Fees.</w:t>
      </w:r>
      <w:r>
        <w:rPr>
          <w:rFonts w:ascii="Times New Roman" w:cs="Times New Roman" w:eastAsia="Times New Roman" w:hAnsi="Times New Roman"/>
          <w:sz w:val="21"/>
          <w:szCs w:val="21"/>
          <w:color w:val="auto"/>
        </w:rPr>
        <w:t xml:space="preserve"> The Company agrees to reimburse the Executive (within 10 days following the Company's receipt of an invoice from the Executive), at any time from the effective date of this Agreement through the Executive's remaining lifetime (or, if longer, through the 20th anniversary of the effective date) to the fullest extent permitted by law, for all legal fees and expenses that the Executive may reasonably incur as a result of any contest by the Company, the Executive or others of the validity or enforceability of, or liability under, any provision of this Agreement or any guarantee of performance thereof (including as a result of any contest by the Executive about the amount of any payment pursuant to this Agreement), provided, that the Executive prevails with respect to at least one substantive issue in dispute. In order to comply with Section 409A, in no event shall the payments by the Company under this Section 7(i) be made later than the end of the calendar year next following the calendar year in which any such contest is finally resolved, provided, that the Executive shall have submitted an invoice for such fees and expenses at least 10 days before the end of the calendar year next following the calendar year in which such contest is finally resolved. The amount of such legal fees and expenses that the Company is obligated to pay in any given calendar year shall not affect the legal fees and expenses that the Company is obligated to pay in any other calendar year, and the Executive's right to have the Company pay such legal fees and expenses may not be liquidated or exchanged for any other benefit.</w:t>
      </w:r>
    </w:p>
    <w:p>
      <w:pPr>
        <w:spacing w:after="0" w:line="203" w:lineRule="exact"/>
        <w:rPr>
          <w:rFonts w:ascii="Times New Roman" w:cs="Times New Roman" w:eastAsia="Times New Roman" w:hAnsi="Times New Roman"/>
          <w:sz w:val="21"/>
          <w:szCs w:val="21"/>
          <w:color w:val="auto"/>
        </w:rPr>
      </w:pPr>
    </w:p>
    <w:p>
      <w:pPr>
        <w:ind w:firstLine="1877"/>
        <w:spacing w:after="0" w:line="275" w:lineRule="auto"/>
        <w:tabs>
          <w:tab w:leader="none" w:pos="248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Headings.</w:t>
      </w:r>
      <w:r>
        <w:rPr>
          <w:rFonts w:ascii="Times New Roman" w:cs="Times New Roman" w:eastAsia="Times New Roman" w:hAnsi="Times New Roman"/>
          <w:sz w:val="21"/>
          <w:szCs w:val="21"/>
          <w:color w:val="auto"/>
        </w:rPr>
        <w:t xml:space="preserve"> The section headings contained in this Agreement are for reference purposes only and shall not in any way affect the meaning or interpretation of this Agreement.</w:t>
      </w:r>
    </w:p>
    <w:p>
      <w:pPr>
        <w:spacing w:after="0" w:line="175" w:lineRule="exact"/>
        <w:rPr>
          <w:rFonts w:ascii="Times New Roman" w:cs="Times New Roman" w:eastAsia="Times New Roman" w:hAnsi="Times New Roman"/>
          <w:sz w:val="21"/>
          <w:szCs w:val="21"/>
          <w:color w:val="auto"/>
        </w:rPr>
      </w:pPr>
    </w:p>
    <w:p>
      <w:pPr>
        <w:jc w:val="both"/>
        <w:ind w:firstLine="1877"/>
        <w:spacing w:after="0" w:line="259" w:lineRule="auto"/>
        <w:tabs>
          <w:tab w:leader="none" w:pos="2493"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xml:space="preserve"> Any payments provided for hereunder shall be reduced by any amounts required to be withheld by the Company, and any benefits provided hereunder shall be subject to taxation if and to the extent provided, from time to time under applicable Federal, State or local employment or income tax laws or similar statutes or other provisions of law then in effect.</w:t>
      </w:r>
    </w:p>
    <w:p>
      <w:pPr>
        <w:spacing w:after="0" w:line="193" w:lineRule="exact"/>
        <w:rPr>
          <w:rFonts w:ascii="Times New Roman" w:cs="Times New Roman" w:eastAsia="Times New Roman" w:hAnsi="Times New Roman"/>
          <w:sz w:val="21"/>
          <w:szCs w:val="21"/>
          <w:color w:val="auto"/>
        </w:rPr>
      </w:pPr>
    </w:p>
    <w:p>
      <w:pPr>
        <w:jc w:val="both"/>
        <w:ind w:firstLine="1877"/>
        <w:spacing w:after="0" w:line="255" w:lineRule="auto"/>
        <w:tabs>
          <w:tab w:leader="none" w:pos="248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 of the Code.</w:t>
      </w:r>
      <w:r>
        <w:rPr>
          <w:rFonts w:ascii="Times New Roman" w:cs="Times New Roman" w:eastAsia="Times New Roman" w:hAnsi="Times New Roman"/>
          <w:sz w:val="21"/>
          <w:szCs w:val="21"/>
          <w:color w:val="auto"/>
        </w:rPr>
        <w:t xml:space="preserve"> The provisions of this Agreement and any payments made herein are intended to comply with, and should be interpreted consistent with, the requirements of Section 409A of the Code and any related regulations or other effective guidance promulgated thereunder (collectively, "Section 409A"). The time or schedule of a payment to which the Executive is entitled under this Agreement may be accelerated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1240"/>
          </w:cols>
          <w:pgMar w:left="320" w:top="1127" w:right="339" w:bottom="1440" w:gutter="0" w:footer="0" w:header="0"/>
        </w:sectPr>
      </w:pPr>
    </w:p>
    <w:bookmarkStart w:id="150" w:name="page151"/>
    <w:bookmarkEnd w:id="150"/>
    <w:p>
      <w:pPr>
        <w:jc w:val="both"/>
        <w:spacing w:after="0" w:line="256" w:lineRule="auto"/>
        <w:rPr>
          <w:sz w:val="20"/>
          <w:szCs w:val="20"/>
          <w:color w:val="auto"/>
        </w:rPr>
      </w:pPr>
      <w:r>
        <w:rPr>
          <w:rFonts w:ascii="Times New Roman" w:cs="Times New Roman" w:eastAsia="Times New Roman" w:hAnsi="Times New Roman"/>
          <w:sz w:val="21"/>
          <w:szCs w:val="21"/>
          <w:color w:val="auto"/>
        </w:rPr>
        <w:t>that this Agreement fails to meet the requirements of Section 409A and any such payment will be limited to the amount required to be included in the Executive's income as a result of the failure to comply with Section 409A. If any provision of this Agreement or any payment made hereunder fails to meet the requirements of Section 409A, the Company shall have no liability for any tax, penalty or interest imposed on the Executive by Section 409A, and the Executive shall have no recourse against the Company for payment of any such tax, penalty, or interest imposed by Section 409A.</w:t>
      </w:r>
    </w:p>
    <w:p>
      <w:pPr>
        <w:spacing w:after="0" w:line="195" w:lineRule="exact"/>
        <w:rPr>
          <w:sz w:val="20"/>
          <w:szCs w:val="20"/>
          <w:color w:val="auto"/>
        </w:rPr>
      </w:pPr>
    </w:p>
    <w:p>
      <w:pPr>
        <w:jc w:val="both"/>
        <w:ind w:firstLine="1877"/>
        <w:spacing w:after="0" w:line="260" w:lineRule="auto"/>
        <w:tabs>
          <w:tab w:leader="none" w:pos="2538"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xml:space="preserve"> The Company and the Executive hereby waive, as against the other, trial by jury in any judicial proceeding to which they are both parties involving, directly or indirectly, any matter in any way arising out of, related to or connected with this Agreement.</w:t>
      </w:r>
    </w:p>
    <w:p>
      <w:pPr>
        <w:spacing w:after="0" w:line="190" w:lineRule="exact"/>
        <w:rPr>
          <w:rFonts w:ascii="Times New Roman" w:cs="Times New Roman" w:eastAsia="Times New Roman" w:hAnsi="Times New Roman"/>
          <w:sz w:val="21"/>
          <w:szCs w:val="21"/>
          <w:color w:val="auto"/>
        </w:rPr>
      </w:pPr>
    </w:p>
    <w:p>
      <w:pPr>
        <w:jc w:val="both"/>
        <w:ind w:firstLine="1877"/>
        <w:spacing w:after="0" w:line="253" w:lineRule="auto"/>
        <w:tabs>
          <w:tab w:leader="none" w:pos="249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xml:space="preserve"> This Agreement contains the entire understanding, and cancels and supersedes all prior agreements, including, without limitation, the Existing Agreement and any agreement in principle or oral statement, letter of intent, statement of understanding or guidelines of the parties hereto with respect to the subject matter hereof. Notwithstanding the foregoing, this Agreement does not cancel or supersede the Plans (as defined in Section 2(b)) or the plans referred to in Section 2(c). This Agreement may be amended, supplemented or otherwise modified only by a written document executed by each of the parties hereto or their respective successors or assigns. The Executive acknowledges that the Executive is entering into this Agreement of the Executive's own free will and accord with no duress, and that the Executive has read this Agreement and understands it and its legal consequences.</w:t>
      </w:r>
    </w:p>
    <w:p>
      <w:pPr>
        <w:spacing w:after="0" w:line="201" w:lineRule="exact"/>
        <w:rPr>
          <w:rFonts w:ascii="Times New Roman" w:cs="Times New Roman" w:eastAsia="Times New Roman" w:hAnsi="Times New Roman"/>
          <w:sz w:val="21"/>
          <w:szCs w:val="21"/>
          <w:color w:val="auto"/>
        </w:rPr>
      </w:pPr>
    </w:p>
    <w:p>
      <w:pPr>
        <w:jc w:val="both"/>
        <w:ind w:firstLine="1877"/>
        <w:spacing w:after="0" w:line="255" w:lineRule="auto"/>
        <w:tabs>
          <w:tab w:leader="none" w:pos="2493"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xml:space="preserve"> This Agreement may be executed in two or more counterparts, each of which shall be deemed an original but all of which together shall constitute one and the same instrument. A signed copy of this Agreement delivered by facsimile, e-mail or other means of electronic transmission is deemed to have the same legal effect as delivery of a manually executed copy of this Agreement.</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[SIGNATURES APPEAR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11240"/>
          </w:cols>
          <w:pgMar w:left="320" w:top="112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color w:val="auto"/>
        </w:rPr>
        <w:t>IN WITNESS WHEREOF, the parties hereto have duly executed this Agreement on the day and year first above written.</w:t>
      </w:r>
    </w:p>
    <w:p>
      <w:pPr>
        <w:sectPr>
          <w:pgSz w:w="11900" w:h="16838" w:orient="portrait"/>
          <w:cols w:equalWidth="0" w:num="1">
            <w:col w:w="10040"/>
          </w:cols>
          <w:pgMar w:left="1400" w:top="1127" w:right="459" w:bottom="1440" w:gutter="0" w:footer="0" w:header="0"/>
        </w:sectPr>
      </w:pPr>
    </w:p>
    <w:p>
      <w:pPr>
        <w:spacing w:after="0" w:line="25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PVH CORP.</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Mark D. Fischer</w:t>
      </w:r>
    </w:p>
    <w:p>
      <w:pPr>
        <w:spacing w:after="0" w:line="22"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1"/>
          <w:szCs w:val="21"/>
          <w:color w:val="auto"/>
        </w:rPr>
        <w:t>Name: Mark. D Fischer</w:t>
      </w:r>
    </w:p>
    <w:p>
      <w:pPr>
        <w:spacing w:after="0" w:line="1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u w:val="single" w:color="auto"/>
          <w:color w:val="auto"/>
        </w:rPr>
        <w:t>/s/ Melissa Stone</w:t>
      </w:r>
    </w:p>
    <w:p>
      <w:pPr>
        <w:spacing w:after="0" w:line="3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Date: 12/16/2019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10040"/>
          </w:cols>
          <w:pgMar w:left="1400" w:top="1127" w:right="459" w:bottom="1440" w:gutter="0" w:footer="0" w:header="0"/>
          <w:type w:val="continuous"/>
        </w:sectPr>
      </w:pPr>
    </w:p>
    <w:bookmarkStart w:id="152" w:name="page153"/>
    <w:bookmarkEnd w:id="152"/>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RELEASE</w:t>
      </w:r>
    </w:p>
    <w:p>
      <w:pPr>
        <w:spacing w:after="0" w:line="200" w:lineRule="exact"/>
        <w:rPr>
          <w:sz w:val="20"/>
          <w:szCs w:val="20"/>
          <w:color w:val="auto"/>
        </w:rPr>
      </w:pPr>
    </w:p>
    <w:p>
      <w:pPr>
        <w:spacing w:after="0" w:line="2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TO ALL TO WHOM THESE PRESENTS SHALL COME OR MAY CONCERN, KNOW</w:t>
      </w:r>
    </w:p>
    <w:p>
      <w:pPr>
        <w:spacing w:after="0" w:line="34" w:lineRule="exact"/>
        <w:rPr>
          <w:sz w:val="20"/>
          <w:szCs w:val="20"/>
          <w:color w:val="auto"/>
        </w:rPr>
      </w:pPr>
    </w:p>
    <w:p>
      <w:pPr>
        <w:jc w:val="both"/>
        <w:ind w:right="20" w:firstLine="37"/>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THAT </w:t>
      </w:r>
      <w:r>
        <w:rPr>
          <w:rFonts w:ascii="Times New Roman" w:cs="Times New Roman" w:eastAsia="Times New Roman" w:hAnsi="Times New Roman"/>
          <w:sz w:val="21"/>
          <w:szCs w:val="21"/>
          <w:color w:val="auto"/>
        </w:rPr>
        <w:t>MELISSA STONE (the "Releasor"), on behalf of the Releasor and the Releasor's heirs, executors, administrators and legal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representatives, in consideration of the severance to be paid and other benefits to be provided pursuant to Section 3(b), 3(t)(ii) of the Employment Agreement between the Releasor and PVH Corp., effective as of November 1, 2019 (the "Agreement") and other good and valuable consideration, the receipt and adequacy of which are hereby acknowledged, hereby irrevocably, unconditionally, generally and forever releases and discharges PVH Corp., together with its current and former affiliates and subsidiaries (the "Company"), each of their respective current and former officers, directors, employees, agents, representatives and advisors and their respective heirs, executors, administrators, legal representatives, receivers, affiliates, beneficial owners, successors and assigns (collectively, the "Releasees"), from, and hereby waives and settles, any and all, actions, causes of action, suits, debts, promises, damages, or any liability, claims or demands, known or unknown and of any nature whatsoever and which the Releasor ever had, now has or hereafter can, shall or may have, for, upon, or by reason of any matter, cause or thing whatsoever from the beginning of the world to the date of this Release arising directly or indirectly pursuant to or out of the Releasor's employment with the Company or the termination of such employment (collectively, "Claims"), including, without limitation, any Claims (i) arising under any federal, state, local or other statutes, orders, laws, ordinances, regulations or the like that relate to the employment relationship and/or worker or workplace protection, and/or specifically prohibit discrimination based upon age, race, religion, gender, national origin, disability, sexual orientation or any other unlawful bases, including, without limitation, the Age Discrimination in Employment Act of 1967, as amended, Title VII of the Civil Rights Act of 1964, as amended, the Civil Rights Act of 1991, as amended, the Civil Rights Acts of 1866 and 1871, as amended, the Americans with Disabilities Act of 1990, as amended, the Employee Retirement Income Security Act of 1974, as amended, the Family and Medical Leave Act of 1993, as amended, the Older Workers Benefit Protection Act ("OWBPA"), the Equal Pay Act, Rehabilitation Act of 1973, Sarbanes-Oxley Act of 2002, the Worker Adjustment Retraining and Notification ("WARN") Act, the New York and New Jersey WARN statutes, the New York State and New York City Human Rights Laws, as amended, New York State Labor Laws, the laws of the States of New York and New Jersey, the City of New York and Somerset County, New Jersey relating to discrimination and employment, including, the New Jersey Family Leave Act, the New Jersey Conscientious Employee Protection Act, the New York and New Jersey Constitutions, and any and all applicable rules and regulations promulgated pursuant to or concerning any of the foregoing statutes; (ii) arising under or pursuant to any contract, express or implied, written or oral, including, without limitation, the Agreement; (iii) for wrongful dismissal or termination of employment; (iv) for tort, tortious or harassing conduct, infliction of mental or emotional distress, fraud, libel or slander; and (v) for damages, including, without limitation, punitive or compensatory damages or for attorneys' fees, expenses, costs, wages, injunctive or equitable relief. This Release shall not apply to any claim that the Releasor may have for a breach of Section 3(b), 3(t)(ii), 5(d), 7(h), or 7(i) of the Agreement or any plan or program of the type referred to in Sections 2(b) and 2(c) of the Agreement in which the Releasor was a participant.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A-1</w:t>
      </w:r>
    </w:p>
    <w:p>
      <w:pPr>
        <w:sectPr>
          <w:pgSz w:w="11900" w:h="16838" w:orient="portrait"/>
          <w:cols w:equalWidth="0" w:num="1">
            <w:col w:w="10940"/>
          </w:cols>
          <w:pgMar w:left="500" w:top="1136" w:right="459" w:bottom="1440" w:gutter="0" w:footer="0" w:header="0"/>
        </w:sectPr>
      </w:pPr>
    </w:p>
    <w:bookmarkStart w:id="153" w:name="page154"/>
    <w:bookmarkEnd w:id="153"/>
    <w:p>
      <w:pPr>
        <w:ind w:left="180" w:right="80" w:firstLine="627"/>
        <w:spacing w:after="0" w:line="225" w:lineRule="auto"/>
        <w:rPr>
          <w:sz w:val="20"/>
          <w:szCs w:val="20"/>
          <w:color w:val="auto"/>
        </w:rPr>
      </w:pPr>
      <w:r>
        <w:rPr>
          <w:rFonts w:ascii="Times New Roman" w:cs="Times New Roman" w:eastAsia="Times New Roman" w:hAnsi="Times New Roman"/>
          <w:sz w:val="21"/>
          <w:szCs w:val="21"/>
          <w:color w:val="auto"/>
        </w:rPr>
        <w:t>The Releasor agrees not to file, assert or commence any Claims against any Releasee with any federal, state or local court or any administrative or regulatory agency or body. Notwithstanding the</w:t>
      </w:r>
    </w:p>
    <w:p>
      <w:pPr>
        <w:spacing w:after="0" w:line="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1"/>
          <w:szCs w:val="21"/>
          <w:color w:val="auto"/>
        </w:rPr>
        <w:t>foregoing, nothing herein shall constitute a release by the Releasor of a claim to the extent such claim is not waivable as a matter of applicable law. Without limiting the generality of the foregoing, nothing herein shall affect any right to file an administrative charge with the Equal Employment Opportunity Commission, subject to the restriction that if any such charge is filed, the Releasor agrees not to violate the confidentiality provisions of the Agreement and further agrees and covenants that should the Releasor or any other person, organization, or other entity file, charge, claim, sue or cause or permit to be filed any charge with the Equal Employment Opportunity Commission, civil action, suit or legal proceeding against the Releasees (or any of them) involving any matter occurring at any time in the past, the Releasor will not seek or accept any personal relief (including, but not limited to, a monetary award, recovery, relief or settlement) in such charge, civil action, suit or proceeding.</w:t>
      </w:r>
    </w:p>
    <w:p>
      <w:pPr>
        <w:spacing w:after="0" w:line="5" w:lineRule="exact"/>
        <w:rPr>
          <w:sz w:val="20"/>
          <w:szCs w:val="20"/>
          <w:color w:val="auto"/>
        </w:rPr>
      </w:pPr>
    </w:p>
    <w:p>
      <w:pPr>
        <w:jc w:val="both"/>
        <w:ind w:firstLine="815"/>
        <w:spacing w:after="0" w:line="232" w:lineRule="auto"/>
        <w:rPr>
          <w:sz w:val="20"/>
          <w:szCs w:val="20"/>
          <w:color w:val="auto"/>
        </w:rPr>
      </w:pPr>
      <w:r>
        <w:rPr>
          <w:rFonts w:ascii="Times New Roman" w:cs="Times New Roman" w:eastAsia="Times New Roman" w:hAnsi="Times New Roman"/>
          <w:sz w:val="21"/>
          <w:szCs w:val="21"/>
          <w:color w:val="auto"/>
        </w:rPr>
        <w:t>The Releasor represents and warrants that there has been no assignment or other transfer of any interest in any Claim which the Releasor may have against the Releasees, or any of them, and the Releasor agrees to indemnify and hold the Releasees, and each of them, harmless from any Claims, or other liability, demands, damages, costs, expenses and attorneys' fees incurred by the Releasees, or any of them, as a result of any person asserting any such assignment or transfer. It is the intention of the parties that this indemnity does not require payment as a condition precedent to recovery by the Releasees against the Releasor under this indemnity.</w:t>
      </w:r>
    </w:p>
    <w:p>
      <w:pPr>
        <w:spacing w:after="0" w:line="4" w:lineRule="exact"/>
        <w:rPr>
          <w:sz w:val="20"/>
          <w:szCs w:val="20"/>
          <w:color w:val="auto"/>
        </w:rPr>
      </w:pPr>
    </w:p>
    <w:p>
      <w:pPr>
        <w:jc w:val="both"/>
        <w:ind w:firstLine="809"/>
        <w:spacing w:after="0"/>
        <w:rPr>
          <w:sz w:val="20"/>
          <w:szCs w:val="20"/>
          <w:color w:val="auto"/>
        </w:rPr>
      </w:pPr>
      <w:r>
        <w:rPr>
          <w:rFonts w:ascii="Times New Roman" w:cs="Times New Roman" w:eastAsia="Times New Roman" w:hAnsi="Times New Roman"/>
          <w:sz w:val="20"/>
          <w:szCs w:val="20"/>
          <w:color w:val="auto"/>
        </w:rPr>
        <w:t>The Releasor agrees that if the Releasor hereafter commences, joins in, or in any manner seeks relief through any suit arising out of, based upon, or relating to any Claim released hereunder, or in any manner asserts against the Releasees, or any of them, any Claim released hereunder, then the Releasor shall pay to the Releasees, and each of them, in addition to any other damages caused to the Releasees thereby, all attorneys' fees incurred by the Releasees in defending or otherwise responding to said suit or Claim.</w:t>
      </w:r>
    </w:p>
    <w:p>
      <w:pPr>
        <w:spacing w:after="0" w:line="4" w:lineRule="exact"/>
        <w:rPr>
          <w:sz w:val="20"/>
          <w:szCs w:val="20"/>
          <w:color w:val="auto"/>
        </w:rPr>
      </w:pPr>
    </w:p>
    <w:p>
      <w:pPr>
        <w:jc w:val="both"/>
        <w:ind w:firstLine="803"/>
        <w:spacing w:after="0" w:line="200" w:lineRule="auto"/>
        <w:rPr>
          <w:sz w:val="20"/>
          <w:szCs w:val="20"/>
          <w:color w:val="auto"/>
        </w:rPr>
      </w:pPr>
      <w:r>
        <w:rPr>
          <w:rFonts w:ascii="Times New Roman" w:cs="Times New Roman" w:eastAsia="Times New Roman" w:hAnsi="Times New Roman"/>
          <w:sz w:val="21"/>
          <w:szCs w:val="21"/>
          <w:color w:val="auto"/>
        </w:rPr>
        <w:t>The Releasor hereby waives any right to, and agrees not to, seek reinstatement of the Releasor's employment with the Company or any Releasee. The Releasor acknowledges that the amounts to be paid to the Releasor under Section 3(b), 3(f)(ii) of the</w:t>
      </w:r>
    </w:p>
    <w:p>
      <w:pPr>
        <w:spacing w:after="0" w:line="1" w:lineRule="exact"/>
        <w:rPr>
          <w:sz w:val="20"/>
          <w:szCs w:val="20"/>
          <w:color w:val="auto"/>
        </w:rPr>
      </w:pPr>
    </w:p>
    <w:p>
      <w:pPr>
        <w:spacing w:after="0" w:line="200" w:lineRule="auto"/>
        <w:rPr>
          <w:sz w:val="20"/>
          <w:szCs w:val="20"/>
          <w:color w:val="auto"/>
        </w:rPr>
      </w:pPr>
      <w:r>
        <w:rPr>
          <w:rFonts w:ascii="Times New Roman" w:cs="Times New Roman" w:eastAsia="Times New Roman" w:hAnsi="Times New Roman"/>
          <w:sz w:val="21"/>
          <w:szCs w:val="21"/>
          <w:color w:val="auto"/>
        </w:rPr>
        <w:t>Agreement include benefits, monetary or otherwise, which the Releasor has not earned or accrued, or to which the Releasor is not already entitled.</w:t>
      </w:r>
    </w:p>
    <w:p>
      <w:pPr>
        <w:spacing w:after="0" w:line="1" w:lineRule="exact"/>
        <w:rPr>
          <w:sz w:val="20"/>
          <w:szCs w:val="20"/>
          <w:color w:val="auto"/>
        </w:rPr>
      </w:pPr>
    </w:p>
    <w:p>
      <w:pPr>
        <w:jc w:val="both"/>
        <w:ind w:firstLine="796"/>
        <w:spacing w:after="0" w:line="206" w:lineRule="auto"/>
        <w:rPr>
          <w:sz w:val="20"/>
          <w:szCs w:val="20"/>
          <w:color w:val="auto"/>
        </w:rPr>
      </w:pPr>
      <w:r>
        <w:rPr>
          <w:rFonts w:ascii="Times New Roman" w:cs="Times New Roman" w:eastAsia="Times New Roman" w:hAnsi="Times New Roman"/>
          <w:sz w:val="21"/>
          <w:szCs w:val="21"/>
          <w:color w:val="auto"/>
        </w:rPr>
        <w:t>The Releasor acknowledges that the Releasor was advised by the Company to consult with the Releasor's attorney concerning the waivers contained in this Release, that the Releasor has consulted with counsel, and that the waivers the Releasor has</w:t>
      </w:r>
    </w:p>
    <w:p>
      <w:pPr>
        <w:spacing w:after="0" w:line="2" w:lineRule="exact"/>
        <w:rPr>
          <w:sz w:val="20"/>
          <w:szCs w:val="20"/>
          <w:color w:val="auto"/>
        </w:rPr>
      </w:pPr>
    </w:p>
    <w:p>
      <w:pPr>
        <w:jc w:val="both"/>
        <w:spacing w:after="0" w:line="206" w:lineRule="auto"/>
        <w:rPr>
          <w:sz w:val="20"/>
          <w:szCs w:val="20"/>
          <w:color w:val="auto"/>
        </w:rPr>
      </w:pPr>
      <w:r>
        <w:rPr>
          <w:rFonts w:ascii="Times New Roman" w:cs="Times New Roman" w:eastAsia="Times New Roman" w:hAnsi="Times New Roman"/>
          <w:sz w:val="21"/>
          <w:szCs w:val="21"/>
          <w:color w:val="auto"/>
        </w:rPr>
        <w:t>made herein are knowing, conscious and with full appreciation that the Releasor is forever foreclosed from pursuing any of the rights so waived.</w:t>
      </w:r>
    </w:p>
    <w:p>
      <w:pPr>
        <w:spacing w:after="0" w:line="2" w:lineRule="exact"/>
        <w:rPr>
          <w:sz w:val="20"/>
          <w:szCs w:val="20"/>
          <w:color w:val="auto"/>
        </w:rPr>
      </w:pPr>
    </w:p>
    <w:p>
      <w:pPr>
        <w:jc w:val="both"/>
        <w:ind w:firstLine="790"/>
        <w:spacing w:after="0" w:line="232" w:lineRule="auto"/>
        <w:rPr>
          <w:sz w:val="20"/>
          <w:szCs w:val="20"/>
          <w:color w:val="auto"/>
        </w:rPr>
      </w:pPr>
      <w:r>
        <w:rPr>
          <w:rFonts w:ascii="Times New Roman" w:cs="Times New Roman" w:eastAsia="Times New Roman" w:hAnsi="Times New Roman"/>
          <w:sz w:val="21"/>
          <w:szCs w:val="21"/>
          <w:color w:val="auto"/>
        </w:rPr>
        <w:t>The Releasor has a period of 21 days from the date on which a copy of this Release has been delivered to the Releasor to consider whether to sign it. In addition, in the event that the Releasor elects to sign and return to PVH Corp. a copy of this Release, the Releasor has a period of seven days (the "Revocation Period") following the date of such return to revoke this Release, which revocation must be in writing and delivered to PVH Corp., 200 Madison Avenue, New York, New York 10016, Attention: General Counsel, within the Revocation Period. This Release, and the Releasor' s right to receive the amounts to be paid to the Releasor under Section 3(b), 3(f)(ii), shall not be effective or enforceable until the expiration of the Revocation Period without the Releasor's exercise of the Releasor' s right of revocation.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w:t>
      </w:r>
    </w:p>
    <w:p>
      <w:pPr>
        <w:sectPr>
          <w:pgSz w:w="11900" w:h="16838" w:orient="portrait"/>
          <w:cols w:equalWidth="0" w:num="1">
            <w:col w:w="11240"/>
          </w:cols>
          <w:pgMar w:left="320" w:top="1049" w:right="339" w:bottom="1440" w:gutter="0" w:footer="0" w:header="0"/>
        </w:sectPr>
      </w:pPr>
    </w:p>
    <w:bookmarkStart w:id="154" w:name="page155"/>
    <w:bookmarkEnd w:id="154"/>
    <w:p>
      <w:pPr>
        <w:ind w:firstLine="777"/>
        <w:spacing w:after="0" w:line="231" w:lineRule="auto"/>
        <w:rPr>
          <w:sz w:val="20"/>
          <w:szCs w:val="20"/>
          <w:color w:val="auto"/>
        </w:rPr>
      </w:pPr>
      <w:r>
        <w:rPr>
          <w:rFonts w:ascii="Times New Roman" w:cs="Times New Roman" w:eastAsia="Times New Roman" w:hAnsi="Times New Roman"/>
          <w:sz w:val="21"/>
          <w:szCs w:val="21"/>
          <w:color w:val="auto"/>
        </w:rPr>
        <w:t>This Release shall not be amended, supplemented or otherwise modified in any way except in a writing signed by the Releasor and PVH Corp.</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Releasor has caused this Release to be executed as of</w:t>
      </w:r>
    </w:p>
    <w:p>
      <w:pPr>
        <w:spacing w:after="0" w:line="18" w:lineRule="exact"/>
        <w:rPr>
          <w:sz w:val="20"/>
          <w:szCs w:val="20"/>
          <w:color w:val="auto"/>
        </w:rPr>
      </w:pPr>
    </w:p>
    <w:p>
      <w:pPr>
        <w:ind w:left="180"/>
        <w:spacing w:after="0"/>
        <w:rPr>
          <w:sz w:val="20"/>
          <w:szCs w:val="20"/>
          <w:color w:val="auto"/>
        </w:rPr>
      </w:pPr>
      <w:r>
        <w:rPr>
          <w:rFonts w:ascii="Courier New" w:cs="Courier New" w:eastAsia="Courier New" w:hAnsi="Courier New"/>
          <w:sz w:val="23"/>
          <w:szCs w:val="23"/>
          <w:color w:val="auto"/>
        </w:rPr>
        <w:t>-</w:t>
      </w:r>
      <w:r>
        <w:rPr>
          <w:rFonts w:ascii="Courier New" w:cs="Courier New" w:eastAsia="Courier New" w:hAnsi="Courier New"/>
          <w:sz w:val="20"/>
          <w:szCs w:val="20"/>
          <w:color w:val="auto"/>
        </w:rPr>
        <w:t>----------- 20_.</w:t>
      </w:r>
    </w:p>
    <w:p>
      <w:pPr>
        <w:spacing w:after="0" w:line="200" w:lineRule="exact"/>
        <w:rPr>
          <w:sz w:val="20"/>
          <w:szCs w:val="20"/>
          <w:color w:val="auto"/>
        </w:rPr>
      </w:pP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MELISSA STONE</w:t>
      </w: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SWORN TO AND SUBSCRIBED BEFORE ME THIS DAY OF</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23"/>
          <w:szCs w:val="23"/>
          <w:color w:val="auto"/>
        </w:rPr>
        <w:t>-</w:t>
      </w:r>
      <w:r>
        <w:rPr>
          <w:rFonts w:ascii="Courier New" w:cs="Courier New" w:eastAsia="Courier New" w:hAnsi="Courier New"/>
          <w:sz w:val="20"/>
          <w:szCs w:val="20"/>
          <w:color w:val="auto"/>
        </w:rPr>
        <w:t>---------— 20_.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A-3</w:t>
      </w:r>
    </w:p>
    <w:p>
      <w:pPr>
        <w:sectPr>
          <w:pgSz w:w="11900" w:h="16838" w:orient="portrait"/>
          <w:cols w:equalWidth="0" w:num="1">
            <w:col w:w="11240"/>
          </w:cols>
          <w:pgMar w:left="320" w:top="1049"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1"/>
          <w:szCs w:val="21"/>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employment agreement is made on 25 August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BETWEEN:</w:t>
      </w:r>
    </w:p>
    <w:p>
      <w:pPr>
        <w:spacing w:after="0" w:line="218" w:lineRule="exact"/>
        <w:rPr>
          <w:sz w:val="20"/>
          <w:szCs w:val="20"/>
          <w:color w:val="auto"/>
        </w:rPr>
      </w:pPr>
    </w:p>
    <w:p>
      <w:pPr>
        <w:ind w:left="620" w:hanging="616"/>
        <w:spacing w:after="0" w:line="272" w:lineRule="auto"/>
        <w:tabs>
          <w:tab w:leader="none" w:pos="527"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PVH B.V., having its registered offices in Amsterdam (1054 ES), the Netherlands, and having its principal place of business there located at Danzigerkade 165, 1013 AP, Amsterdam (hereinafter referred to as the “Company”). The Company is part of PVH Europe which is comprised of the </w:t>
      </w:r>
      <w:r>
        <w:rPr>
          <w:rFonts w:ascii="Times New Roman" w:cs="Times New Roman" w:eastAsia="Times New Roman" w:hAnsi="Times New Roman"/>
          <w:sz w:val="21"/>
          <w:szCs w:val="21"/>
          <w:i w:val="1"/>
          <w:iCs w:val="1"/>
          <w:color w:val="auto"/>
        </w:rPr>
        <w:t>inter alia</w:t>
      </w:r>
      <w:r>
        <w:rPr>
          <w:rFonts w:ascii="Times New Roman" w:cs="Times New Roman" w:eastAsia="Times New Roman" w:hAnsi="Times New Roman"/>
          <w:sz w:val="21"/>
          <w:szCs w:val="21"/>
          <w:color w:val="auto"/>
        </w:rPr>
        <w:t xml:space="preserve"> the following legal entities, PVH International B.V., PVH Europe B.V., PVH Netherlands B.V., Tommy Hilfiger Europe B.V., Hilfiger Stores B.V., Calvin Klein Europe B.V., CK Stores B.V. (collectively, “PVH Europe”).</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and</w:t>
      </w:r>
    </w:p>
    <w:p>
      <w:pPr>
        <w:spacing w:after="0" w:line="214" w:lineRule="exact"/>
        <w:rPr>
          <w:sz w:val="20"/>
          <w:szCs w:val="20"/>
          <w:color w:val="auto"/>
        </w:rPr>
      </w:pPr>
    </w:p>
    <w:p>
      <w:pPr>
        <w:ind w:left="620" w:hanging="616"/>
        <w:spacing w:after="0" w:line="288" w:lineRule="auto"/>
        <w:tabs>
          <w:tab w:leader="none" w:pos="54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Fredrik Olsson, born on 25 March 1976 in Lyngsjö, Sweden, with address at Villa 75, La Coleccion Ave, Arabian Ranches Dubai, UAE (the “Executive”).</w:t>
      </w:r>
    </w:p>
    <w:p>
      <w:pPr>
        <w:spacing w:after="0" w:line="136" w:lineRule="exact"/>
        <w:rPr>
          <w:sz w:val="20"/>
          <w:szCs w:val="20"/>
          <w:color w:val="auto"/>
        </w:rPr>
      </w:pPr>
    </w:p>
    <w:p>
      <w:pPr>
        <w:ind w:left="620" w:hanging="616"/>
        <w:spacing w:after="0" w:line="288" w:lineRule="auto"/>
        <w:tabs>
          <w:tab w:leader="none" w:pos="61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desires to employ the Executive on a full-time basis in accordance with the terms and conditions set forth herein.</w:t>
      </w:r>
    </w:p>
    <w:p>
      <w:pPr>
        <w:spacing w:after="0" w:line="187" w:lineRule="exact"/>
        <w:rPr>
          <w:rFonts w:ascii="Times New Roman" w:cs="Times New Roman" w:eastAsia="Times New Roman" w:hAnsi="Times New Roman"/>
          <w:sz w:val="21"/>
          <w:szCs w:val="21"/>
          <w:color w:val="auto"/>
        </w:rPr>
      </w:pPr>
    </w:p>
    <w:p>
      <w:pPr>
        <w:ind w:left="620" w:hanging="616"/>
        <w:spacing w:after="0" w:line="288" w:lineRule="auto"/>
        <w:tabs>
          <w:tab w:leader="none" w:pos="611"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general meeting of shareholders of the Company (the “General Meeting of Shareholders”) shall appoint the Executive as statutory managing director (</w:t>
      </w:r>
      <w:r>
        <w:rPr>
          <w:rFonts w:ascii="Times New Roman" w:cs="Times New Roman" w:eastAsia="Times New Roman" w:hAnsi="Times New Roman"/>
          <w:sz w:val="21"/>
          <w:szCs w:val="21"/>
          <w:i w:val="1"/>
          <w:iCs w:val="1"/>
          <w:color w:val="auto"/>
        </w:rPr>
        <w:t>statutair bestuurder</w:t>
      </w:r>
      <w:r>
        <w:rPr>
          <w:rFonts w:ascii="Times New Roman" w:cs="Times New Roman" w:eastAsia="Times New Roman" w:hAnsi="Times New Roman"/>
          <w:sz w:val="21"/>
          <w:szCs w:val="21"/>
          <w:color w:val="auto"/>
        </w:rPr>
        <w:t>) of the Company as of the Effective Date.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HAVE AGREED:</w:t>
      </w:r>
    </w:p>
    <w:p>
      <w:pPr>
        <w:spacing w:after="0" w:line="179" w:lineRule="exact"/>
        <w:rPr>
          <w:sz w:val="20"/>
          <w:szCs w:val="20"/>
          <w:color w:val="auto"/>
        </w:rPr>
      </w:pPr>
    </w:p>
    <w:p>
      <w:pPr>
        <w:ind w:left="620" w:hanging="616"/>
        <w:spacing w:after="0"/>
        <w:tabs>
          <w:tab w:leader="none" w:pos="620" w:val="left"/>
        </w:tabs>
        <w:numPr>
          <w:ilvl w:val="0"/>
          <w:numId w:val="10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Employment</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25"/>
        <w:spacing w:after="0" w:line="213" w:lineRule="auto"/>
        <w:rPr>
          <w:sz w:val="20"/>
          <w:szCs w:val="20"/>
          <w:color w:val="auto"/>
        </w:rPr>
      </w:pPr>
      <w:r>
        <w:rPr>
          <w:rFonts w:ascii="Times New Roman" w:cs="Times New Roman" w:eastAsia="Times New Roman" w:hAnsi="Times New Roman"/>
          <w:sz w:val="21"/>
          <w:szCs w:val="21"/>
          <w:color w:val="010000"/>
        </w:rPr>
        <w:t xml:space="preserve">1.1 </w:t>
      </w:r>
      <w:r>
        <w:rPr>
          <w:rFonts w:ascii="Times New Roman" w:cs="Times New Roman" w:eastAsia="Times New Roman" w:hAnsi="Times New Roman"/>
          <w:sz w:val="21"/>
          <w:szCs w:val="21"/>
          <w:u w:val="single" w:color="auto"/>
          <w:color w:val="000000"/>
        </w:rPr>
        <w:t>Employment Period</w:t>
      </w:r>
      <w:r>
        <w:rPr>
          <w:rFonts w:ascii="Times New Roman" w:cs="Times New Roman" w:eastAsia="Times New Roman" w:hAnsi="Times New Roman"/>
          <w:sz w:val="21"/>
          <w:szCs w:val="21"/>
          <w:color w:val="000000"/>
        </w:rPr>
        <w:t>. The Company shall employ the Executive, and the Executive agrees to enter into this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Employment Agreement for an Indefinite Period (this “Agreement”), in accordance with the terms and conditions hereof, commencing as of 2 January 2025 or such other date that the Executive commences employment with the Company as mutually agreed by the Executive and the Company (the “Effective Date”). The Executive represents that his employment by the Company or one of its subsidiaries will not breach or be in conflict with any other agreement to which the Executive is a party or by which the Executive is bound, and that the Executive is not subject to any covenants against competition or similar covenants or any court order that could affect his ability to enter into this Agreement and perform his duties for the the Company, its parent PVH Corp. (“PVH”), and its subsidiaries and affiliates. The employment shall remain valid unless and until terminated in accordance with the terms hereof and the governing law applicable to this Agreement or until otherwise mutually agreed. The period commencing the Effective Date and ending on the effective date of the termination of the Executive’s employment is hereinafter referred to as the “Employment Period.”</w:t>
      </w:r>
    </w:p>
    <w:p>
      <w:pPr>
        <w:spacing w:after="0" w:line="146" w:lineRule="exact"/>
        <w:rPr>
          <w:sz w:val="20"/>
          <w:szCs w:val="20"/>
          <w:color w:val="auto"/>
        </w:rPr>
      </w:pPr>
    </w:p>
    <w:p>
      <w:pPr>
        <w:jc w:val="both"/>
        <w:ind w:firstLine="625"/>
        <w:spacing w:after="0" w:line="215" w:lineRule="auto"/>
        <w:rPr>
          <w:sz w:val="20"/>
          <w:szCs w:val="20"/>
          <w:color w:val="auto"/>
        </w:rPr>
      </w:pPr>
      <w:r>
        <w:rPr>
          <w:rFonts w:ascii="Times New Roman" w:cs="Times New Roman" w:eastAsia="Times New Roman" w:hAnsi="Times New Roman"/>
          <w:sz w:val="21"/>
          <w:szCs w:val="21"/>
          <w:color w:val="010000"/>
        </w:rPr>
        <w:t xml:space="preserve">1.2 </w:t>
      </w:r>
      <w:r>
        <w:rPr>
          <w:rFonts w:ascii="Times New Roman" w:cs="Times New Roman" w:eastAsia="Times New Roman" w:hAnsi="Times New Roman"/>
          <w:sz w:val="21"/>
          <w:szCs w:val="21"/>
          <w:u w:val="single" w:color="auto"/>
          <w:color w:val="000000"/>
        </w:rPr>
        <w:t>Position and Duties</w:t>
      </w:r>
      <w:r>
        <w:rPr>
          <w:rFonts w:ascii="Times New Roman" w:cs="Times New Roman" w:eastAsia="Times New Roman" w:hAnsi="Times New Roman"/>
          <w:sz w:val="21"/>
          <w:szCs w:val="21"/>
          <w:color w:val="000000"/>
        </w:rPr>
        <w:t>. During the Employment Period, the Executive shall serve as Chief Executive Officer, EMEA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 such other position or positions as the PVH Board of Directors, the Chief Executive Officer of PVH, the President of PVH (if any), or anyone to whom either such executive reports may designate from time to time). The Executive shall (i) perform such duties and services as shall from time to time be assigned to the Executive, (ii) devote all of the Executive’s business time (in principle no less than 40 hours per week and in accordance with the usual and customary standards of PVH for similarly situated executives) to the services required of the Executive under this Agreement, excluding any periods of holiday (personal time off and holidays provided for in Section 2.7 (</w:t>
      </w:r>
      <w:r>
        <w:rPr>
          <w:rFonts w:ascii="Times New Roman" w:cs="Times New Roman" w:eastAsia="Times New Roman" w:hAnsi="Times New Roman"/>
          <w:sz w:val="21"/>
          <w:szCs w:val="21"/>
          <w:u w:val="single" w:color="auto"/>
          <w:color w:val="000000"/>
        </w:rPr>
        <w:t>Holidays</w:t>
      </w:r>
      <w:r>
        <w:rPr>
          <w:rFonts w:ascii="Times New Roman" w:cs="Times New Roman" w:eastAsia="Times New Roman" w:hAnsi="Times New Roman"/>
          <w:sz w:val="21"/>
          <w:szCs w:val="21"/>
          <w:color w:val="000000"/>
        </w:rPr>
        <w:t>)) and sick leave</w:t>
      </w:r>
    </w:p>
    <w:p>
      <w:pPr>
        <w:sectPr>
          <w:pgSz w:w="11900" w:h="16838" w:orient="portrait"/>
          <w:cols w:equalWidth="0" w:num="1">
            <w:col w:w="11240"/>
          </w:cols>
          <w:pgMar w:left="320" w:top="121" w:right="339" w:bottom="1440" w:gutter="0" w:footer="0" w:header="0"/>
        </w:sectPr>
      </w:pPr>
    </w:p>
    <w:bookmarkStart w:id="156" w:name="page157"/>
    <w:bookmarkEnd w:id="156"/>
    <w:p>
      <w:pPr>
        <w:jc w:val="both"/>
        <w:spacing w:after="0" w:line="212" w:lineRule="auto"/>
        <w:rPr>
          <w:sz w:val="20"/>
          <w:szCs w:val="20"/>
          <w:color w:val="auto"/>
        </w:rPr>
      </w:pPr>
      <w:r>
        <w:rPr>
          <w:rFonts w:ascii="Times New Roman" w:cs="Times New Roman" w:eastAsia="Times New Roman" w:hAnsi="Times New Roman"/>
          <w:sz w:val="21"/>
          <w:szCs w:val="21"/>
          <w:color w:val="auto"/>
        </w:rPr>
        <w:t>to which the Executive is entitled, as well as time dedicated to approved external activities, (iii) act in accordance with the principles of good governance (</w:t>
      </w:r>
      <w:r>
        <w:rPr>
          <w:rFonts w:ascii="Times New Roman" w:cs="Times New Roman" w:eastAsia="Times New Roman" w:hAnsi="Times New Roman"/>
          <w:sz w:val="21"/>
          <w:szCs w:val="21"/>
          <w:i w:val="1"/>
          <w:iCs w:val="1"/>
          <w:color w:val="auto"/>
        </w:rPr>
        <w:t>goed bestuur en bestuurderschap</w:t>
      </w:r>
      <w:r>
        <w:rPr>
          <w:rFonts w:ascii="Times New Roman" w:cs="Times New Roman" w:eastAsia="Times New Roman" w:hAnsi="Times New Roman"/>
          <w:sz w:val="21"/>
          <w:szCs w:val="21"/>
          <w:color w:val="auto"/>
        </w:rPr>
        <w:t>), (iv) use the Executive’s best efforts, judgment, skill and energy to perform such duties and services and (v) comply with all rights and obligations that arise from the law or from the articles of association and the regulations of the Company, in particular management regulations (</w:t>
      </w:r>
      <w:r>
        <w:rPr>
          <w:rFonts w:ascii="Times New Roman" w:cs="Times New Roman" w:eastAsia="Times New Roman" w:hAnsi="Times New Roman"/>
          <w:sz w:val="21"/>
          <w:szCs w:val="21"/>
          <w:i w:val="1"/>
          <w:iCs w:val="1"/>
          <w:color w:val="auto"/>
        </w:rPr>
        <w:t>bestuursreglement</w:t>
      </w:r>
      <w:r>
        <w:rPr>
          <w:rFonts w:ascii="Times New Roman" w:cs="Times New Roman" w:eastAsia="Times New Roman" w:hAnsi="Times New Roman"/>
          <w:sz w:val="21"/>
          <w:szCs w:val="21"/>
          <w:color w:val="auto"/>
        </w:rPr>
        <w:t>) of the Company (if any), or that have been or will be granted or imposed by the General Meeting of Shareholders. The Executive shall perform the Executive’s duties at the PVH Europe offices in Amsterdam, the Netherlands, except as otherwise provided herein. The Executive’s salary is deemed to include payment for all hours worked, including hours that could be considered “overtime” under any circumstances. It is explicitly understood that the Executive may be required to travel extensively for the performance of his duties. The Executive acknowledges and agrees that (i) all travel is an essential part of the performance of his duties and he shall not be compensated additionally or separately (in money, time-for-time or otherwise) and (ii) his compensation described in Section 2 hereof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shall cover the entirety of his employment, including travel periods.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General Meeting of Shareholders will appoint the Executive as statutory managing director (</w:t>
      </w:r>
      <w:r>
        <w:rPr>
          <w:rFonts w:ascii="Times New Roman" w:cs="Times New Roman" w:eastAsia="Times New Roman" w:hAnsi="Times New Roman"/>
          <w:sz w:val="21"/>
          <w:szCs w:val="21"/>
          <w:i w:val="1"/>
          <w:iCs w:val="1"/>
          <w:color w:val="auto"/>
        </w:rPr>
        <w:t>statutair bestuurder</w:t>
      </w:r>
      <w:r>
        <w:rPr>
          <w:rFonts w:ascii="Times New Roman" w:cs="Times New Roman" w:eastAsia="Times New Roman" w:hAnsi="Times New Roman"/>
          <w:sz w:val="21"/>
          <w:szCs w:val="21"/>
          <w:color w:val="auto"/>
        </w:rPr>
        <w:t>) of the Company as of the Effective Date, which appointment is explicitly accepted by the Executive. The Executive hereby acknowledges that he is fully able to fulfill the position and perform its duties.</w:t>
      </w:r>
    </w:p>
    <w:p>
      <w:pPr>
        <w:spacing w:after="0" w:line="385" w:lineRule="exact"/>
        <w:rPr>
          <w:sz w:val="20"/>
          <w:szCs w:val="20"/>
          <w:color w:val="auto"/>
        </w:rPr>
      </w:pPr>
    </w:p>
    <w:p>
      <w:pPr>
        <w:jc w:val="both"/>
        <w:ind w:firstLine="625"/>
        <w:spacing w:after="0" w:line="223" w:lineRule="auto"/>
        <w:rPr>
          <w:sz w:val="20"/>
          <w:szCs w:val="20"/>
          <w:color w:val="auto"/>
        </w:rPr>
      </w:pPr>
      <w:r>
        <w:rPr>
          <w:rFonts w:ascii="Times New Roman" w:cs="Times New Roman" w:eastAsia="Times New Roman" w:hAnsi="Times New Roman"/>
          <w:sz w:val="21"/>
          <w:szCs w:val="21"/>
          <w:color w:val="010000"/>
        </w:rPr>
        <w:t xml:space="preserve">1.3 </w:t>
      </w:r>
      <w:r>
        <w:rPr>
          <w:rFonts w:ascii="Times New Roman" w:cs="Times New Roman" w:eastAsia="Times New Roman" w:hAnsi="Times New Roman"/>
          <w:sz w:val="21"/>
          <w:szCs w:val="21"/>
          <w:u w:val="single" w:color="auto"/>
          <w:color w:val="000000"/>
        </w:rPr>
        <w:t>Liability Insurance</w:t>
      </w:r>
      <w:r>
        <w:rPr>
          <w:rFonts w:ascii="Times New Roman" w:cs="Times New Roman" w:eastAsia="Times New Roman" w:hAnsi="Times New Roman"/>
          <w:sz w:val="21"/>
          <w:szCs w:val="21"/>
          <w:color w:val="000000"/>
        </w:rPr>
        <w:t>. The Executive shall be included under the same liability insurance policies as other similarly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situated executives of PVH in respect of his acts as an executive of PVH Europe or in any other capacity he is requested to serve by PVH from actions,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investigations, or other proceedings by any person other than PVH, the Company or any of their affiliates.</w:t>
      </w:r>
    </w:p>
    <w:p>
      <w:pPr>
        <w:spacing w:after="0" w:line="190"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21"/>
          <w:szCs w:val="21"/>
          <w:color w:val="010000"/>
        </w:rPr>
        <w:t>1.4</w:t>
      </w:r>
      <w:r>
        <w:rPr>
          <w:sz w:val="20"/>
          <w:szCs w:val="20"/>
          <w:color w:val="auto"/>
        </w:rPr>
        <w:tab/>
      </w:r>
      <w:r>
        <w:rPr>
          <w:rFonts w:ascii="Times New Roman" w:cs="Times New Roman" w:eastAsia="Times New Roman" w:hAnsi="Times New Roman"/>
          <w:sz w:val="20"/>
          <w:szCs w:val="20"/>
          <w:u w:val="single" w:color="auto"/>
          <w:color w:val="auto"/>
        </w:rPr>
        <w:t>Illness Procedure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53"/>
        <w:spacing w:after="0" w:line="230" w:lineRule="auto"/>
        <w:tabs>
          <w:tab w:leader="none" w:pos="1870" w:val="left"/>
        </w:tabs>
        <w:numPr>
          <w:ilvl w:val="0"/>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Executive is prevented from performing the stipulated work by illness, the Executive shall remain entitled to 100% of the Base Salary as defined in Section 2.1, during the first 52 weeks of illness if and insofar as the Company is obliged to do so pursuant to Article 7:629 of the Dutch Civil Code (DCC). During the subsequent maximum period of 52 weeks of illness, the Executive shall be entitled to 70% of the Base Salary as defined in Section 2.1. Any benefits under social security laws or any occupational disability insurance taken out by the Company received by the Executive directly shall be deducted from the salary paid.</w:t>
      </w:r>
    </w:p>
    <w:p>
      <w:pPr>
        <w:spacing w:after="0" w:line="146" w:lineRule="exact"/>
        <w:rPr>
          <w:rFonts w:ascii="Times New Roman" w:cs="Times New Roman" w:eastAsia="Times New Roman" w:hAnsi="Times New Roman"/>
          <w:sz w:val="20"/>
          <w:szCs w:val="20"/>
          <w:color w:val="010000"/>
        </w:rPr>
      </w:pPr>
    </w:p>
    <w:p>
      <w:pPr>
        <w:jc w:val="both"/>
        <w:ind w:firstLine="1253"/>
        <w:spacing w:after="0" w:line="227" w:lineRule="auto"/>
        <w:tabs>
          <w:tab w:leader="none" w:pos="1869" w:val="left"/>
        </w:tabs>
        <w:numPr>
          <w:ilvl w:val="0"/>
          <w:numId w:val="10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case of illness, the Executive shall strictly comply with the instructions and guidelines given by or on behalf of PVH Europe. The Executive hereby declares that he has received those guidelines. The Executive shall cooperate in any medical examinations by a doctor or occupational health and safety service, if so requested by the Company.</w:t>
      </w:r>
    </w:p>
    <w:p>
      <w:pPr>
        <w:spacing w:after="0" w:line="147" w:lineRule="exact"/>
        <w:rPr>
          <w:rFonts w:ascii="Times New Roman" w:cs="Times New Roman" w:eastAsia="Times New Roman" w:hAnsi="Times New Roman"/>
          <w:sz w:val="21"/>
          <w:szCs w:val="21"/>
          <w:color w:val="010000"/>
        </w:rPr>
      </w:pPr>
    </w:p>
    <w:p>
      <w:pPr>
        <w:ind w:firstLine="1253"/>
        <w:spacing w:after="0" w:line="238" w:lineRule="auto"/>
        <w:tabs>
          <w:tab w:leader="none" w:pos="1870" w:val="left"/>
        </w:tabs>
        <w:numPr>
          <w:ilvl w:val="0"/>
          <w:numId w:val="10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Executive does not comply with the foregoing provision and his statutory obligations during illness, the Company has the right to discontinue or suspend salary payments under Sections 7:629 (3) and/or (6) DCC.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48" w:right="339" w:bottom="1440" w:gutter="0" w:footer="0" w:header="0"/>
        </w:sectPr>
      </w:pPr>
    </w:p>
    <w:bookmarkStart w:id="157" w:name="page158"/>
    <w:bookmarkEnd w:id="157"/>
    <w:p>
      <w:pPr>
        <w:ind w:left="620"/>
        <w:spacing w:after="0"/>
        <w:tabs>
          <w:tab w:leader="none" w:pos="1240" w:val="left"/>
        </w:tabs>
        <w:rPr>
          <w:sz w:val="20"/>
          <w:szCs w:val="20"/>
          <w:color w:val="auto"/>
        </w:rPr>
      </w:pPr>
      <w:r>
        <w:rPr>
          <w:rFonts w:ascii="Times New Roman" w:cs="Times New Roman" w:eastAsia="Times New Roman" w:hAnsi="Times New Roman"/>
          <w:sz w:val="21"/>
          <w:szCs w:val="21"/>
          <w:color w:val="010000"/>
        </w:rPr>
        <w:t>1.5</w:t>
      </w:r>
      <w:r>
        <w:rPr>
          <w:sz w:val="20"/>
          <w:szCs w:val="20"/>
          <w:color w:val="auto"/>
        </w:rPr>
        <w:tab/>
      </w:r>
      <w:r>
        <w:rPr>
          <w:rFonts w:ascii="Times New Roman" w:cs="Times New Roman" w:eastAsia="Times New Roman" w:hAnsi="Times New Roman"/>
          <w:sz w:val="20"/>
          <w:szCs w:val="20"/>
          <w:u w:val="single" w:color="auto"/>
          <w:color w:val="auto"/>
        </w:rPr>
        <w:t>Right to Assign</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The Executive acknowledges and agrees that PVH or the Company, in its sole and absolute discretion, can assign this Agreement and all of its rights and obligations under this Agreement at any time to an appropriate (direct or indirect) subsidiary. The Executive shall cooperate in full for this purpose and shall not contest any assignment.</w:t>
      </w:r>
    </w:p>
    <w:p>
      <w:pPr>
        <w:spacing w:after="0" w:line="152" w:lineRule="exact"/>
        <w:rPr>
          <w:sz w:val="20"/>
          <w:szCs w:val="20"/>
          <w:color w:val="auto"/>
        </w:rPr>
      </w:pPr>
    </w:p>
    <w:p>
      <w:pPr>
        <w:ind w:left="620" w:hanging="616"/>
        <w:spacing w:after="0"/>
        <w:tabs>
          <w:tab w:leader="none" w:pos="620" w:val="left"/>
        </w:tabs>
        <w:numPr>
          <w:ilvl w:val="0"/>
          <w:numId w:val="10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25"/>
        <w:spacing w:after="0" w:line="215" w:lineRule="auto"/>
        <w:rPr>
          <w:sz w:val="20"/>
          <w:szCs w:val="20"/>
          <w:color w:val="auto"/>
        </w:rPr>
      </w:pPr>
      <w:r>
        <w:rPr>
          <w:rFonts w:ascii="Times New Roman" w:cs="Times New Roman" w:eastAsia="Times New Roman" w:hAnsi="Times New Roman"/>
          <w:sz w:val="21"/>
          <w:szCs w:val="21"/>
          <w:color w:val="010000"/>
        </w:rPr>
        <w:t xml:space="preserve">2.1 </w:t>
      </w:r>
      <w:r>
        <w:rPr>
          <w:rFonts w:ascii="Times New Roman" w:cs="Times New Roman" w:eastAsia="Times New Roman" w:hAnsi="Times New Roman"/>
          <w:sz w:val="21"/>
          <w:szCs w:val="21"/>
          <w:u w:val="single" w:color="auto"/>
          <w:color w:val="000000"/>
        </w:rPr>
        <w:t>Base Salary</w:t>
      </w:r>
      <w:r>
        <w:rPr>
          <w:rFonts w:ascii="Times New Roman" w:cs="Times New Roman" w:eastAsia="Times New Roman" w:hAnsi="Times New Roman"/>
          <w:sz w:val="21"/>
          <w:szCs w:val="21"/>
          <w:color w:val="000000"/>
        </w:rPr>
        <w:t>. The Executive shall receive an initial gross annual salary of €900,000 including an 8% holiday allowance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based on a fulltime workweek and the performance of his duties in accordance with the business time requirements of Section 1.2 (</w:t>
      </w:r>
      <w:r>
        <w:rPr>
          <w:rFonts w:ascii="Times New Roman" w:cs="Times New Roman" w:eastAsia="Times New Roman" w:hAnsi="Times New Roman"/>
          <w:sz w:val="21"/>
          <w:szCs w:val="21"/>
          <w:u w:val="single" w:color="auto"/>
          <w:color w:val="000000"/>
        </w:rPr>
        <w:t>Position and Duties</w:t>
      </w:r>
      <w:r>
        <w:rPr>
          <w:rFonts w:ascii="Times New Roman" w:cs="Times New Roman" w:eastAsia="Times New Roman" w:hAnsi="Times New Roman"/>
          <w:sz w:val="21"/>
          <w:szCs w:val="21"/>
          <w:color w:val="000000"/>
        </w:rPr>
        <w:t>) (the “Base Salary”). The gross annual salary excluding the 8% holiday allowance is due and payable in 12 equal installments at the end of each calendar month into a bank account to be indicated by the Executive. The 8% holiday allowance shall be paid in a single lump sum in May of each calendar year during the Employment Period. The Executive’s Base Salary shall be reviewed in accordance with PVH’s usual practices for similarly situated executives. The term Base Salary as utilized in this Agreement shall refer to the Executive’s annual Base Salary as then in effect.</w:t>
      </w:r>
    </w:p>
    <w:p>
      <w:pPr>
        <w:spacing w:after="0" w:line="151" w:lineRule="exact"/>
        <w:rPr>
          <w:sz w:val="20"/>
          <w:szCs w:val="20"/>
          <w:color w:val="auto"/>
        </w:rPr>
      </w:pPr>
    </w:p>
    <w:p>
      <w:pPr>
        <w:jc w:val="both"/>
        <w:ind w:firstLine="625"/>
        <w:spacing w:after="0" w:line="210" w:lineRule="auto"/>
        <w:rPr>
          <w:sz w:val="20"/>
          <w:szCs w:val="20"/>
          <w:color w:val="auto"/>
        </w:rPr>
      </w:pPr>
      <w:r>
        <w:rPr>
          <w:rFonts w:ascii="Times New Roman" w:cs="Times New Roman" w:eastAsia="Times New Roman" w:hAnsi="Times New Roman"/>
          <w:sz w:val="21"/>
          <w:szCs w:val="21"/>
          <w:color w:val="010000"/>
        </w:rPr>
        <w:t xml:space="preserve">2.2 </w:t>
      </w:r>
      <w:r>
        <w:rPr>
          <w:rFonts w:ascii="Times New Roman" w:cs="Times New Roman" w:eastAsia="Times New Roman" w:hAnsi="Times New Roman"/>
          <w:sz w:val="21"/>
          <w:szCs w:val="21"/>
          <w:u w:val="single" w:color="auto"/>
          <w:color w:val="000000"/>
        </w:rPr>
        <w:t>Incentive and Bonus Compensation</w:t>
      </w:r>
      <w:r>
        <w:rPr>
          <w:rFonts w:ascii="Times New Roman" w:cs="Times New Roman" w:eastAsia="Times New Roman" w:hAnsi="Times New Roman"/>
          <w:sz w:val="21"/>
          <w:szCs w:val="21"/>
          <w:color w:val="000000"/>
        </w:rPr>
        <w:t>. The Executive shall be eligible to participate in PVH’s existing and future stock</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plans and other incentive compensation programs that PVH or PVH Europe implements for similarly situated executives (each a “Plan,” collectively, “Plans”), to the extent that the Executive is qualified to participate in any such Plan under the generally applicable provisions thereof in effect from time to time, and which Plans PVH or PVH Europe may amend or terminate at any time. More specifically, the Executive shall be eligible to be granted annual variable remuneration (“Variable Remuneration”) on terms that may vary, depending upon PVH’s, PVH Europe’s or the Company’s financial results, approval processes and attainment of strategic and non-financial goals established by PVH, PVH Europe or the Company, as the case may be. The terms and conditions of the Variable Remuneration, including the mix between cash-based remuneration and equity-based remuneration, are subject to regular re-evaluation and modification by PVH. The Executive must be employed in good standing, including not having given or received Notice of Termination (as defined in Section 3.1 ( </w:t>
      </w:r>
      <w:r>
        <w:rPr>
          <w:rFonts w:ascii="Times New Roman" w:cs="Times New Roman" w:eastAsia="Times New Roman" w:hAnsi="Times New Roman"/>
          <w:sz w:val="21"/>
          <w:szCs w:val="21"/>
          <w:u w:val="single" w:color="auto"/>
          <w:color w:val="000000"/>
        </w:rPr>
        <w:t>General</w:t>
      </w:r>
      <w:r>
        <w:rPr>
          <w:rFonts w:ascii="Times New Roman" w:cs="Times New Roman" w:eastAsia="Times New Roman" w:hAnsi="Times New Roman"/>
          <w:sz w:val="21"/>
          <w:szCs w:val="21"/>
          <w:color w:val="000000"/>
        </w:rPr>
        <w:t>)), in order to receive any new awards of Variable Remuneration. The terms of each Plan and any agreement issued thereunder shall govern the Executive’s rights and obligations in respect of the Plan and awards or benefits thereunder.To the extent the Executive does participate in a Plan and the Plan, or any agreement issued thereunder, does not expressly provide otherwise, PVH, the PVH Board of Directors (which, for purposes hereof, includes any Committee thereof (the “Board”)), Chief Executive Officer or President of PVH (if any), or an appropriate executive thereof, as applicable, may determine all terms of participation, including, without limitation, the type and size of any award, payment or other compensation and the timing and conditions of receipt thereof by the Executive, as well as a participant’s rights after the termination of employment in their sole and absolute discretion. The Company will provide details annually on the eligibility of the Executive. Without limiting the generality of the foregoing, the definition of “Cause” in this Agreement shall not supersede the definition of cause in any Plan (unless the Plan expressly defers to the definition of cause under an executive’s employment agreement).</w:t>
      </w:r>
    </w:p>
    <w:p>
      <w:pPr>
        <w:spacing w:after="0" w:line="148" w:lineRule="exact"/>
        <w:rPr>
          <w:sz w:val="20"/>
          <w:szCs w:val="20"/>
          <w:color w:val="auto"/>
        </w:rPr>
      </w:pPr>
    </w:p>
    <w:p>
      <w:pPr>
        <w:jc w:val="both"/>
        <w:ind w:firstLine="1253"/>
        <w:spacing w:after="0" w:line="219" w:lineRule="auto"/>
        <w:tabs>
          <w:tab w:leader="none" w:pos="1870" w:val="left"/>
        </w:tabs>
        <w:numPr>
          <w:ilvl w:val="0"/>
          <w:numId w:val="10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Award Vesting</w:t>
      </w:r>
      <w:r>
        <w:rPr>
          <w:rFonts w:ascii="Times New Roman" w:cs="Times New Roman" w:eastAsia="Times New Roman" w:hAnsi="Times New Roman"/>
          <w:sz w:val="21"/>
          <w:szCs w:val="21"/>
          <w:color w:val="auto"/>
        </w:rPr>
        <w:t>. Notwithstanding anything herein to the contrary, the Executive acknowledges and agrees that any equity awards and performance-based annual cash bonus granted by PVH under a Plan shall provide that in the event that the Executive’s employment is (i) voluntarily terminated by the Executive without Good Reason (as defined in Section 3.5(a) (</w:t>
      </w:r>
      <w:r>
        <w:rPr>
          <w:rFonts w:ascii="Times New Roman" w:cs="Times New Roman" w:eastAsia="Times New Roman" w:hAnsi="Times New Roman"/>
          <w:sz w:val="21"/>
          <w:szCs w:val="21"/>
          <w:u w:val="single" w:color="auto"/>
          <w:color w:val="auto"/>
        </w:rPr>
        <w:t>Definition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of Good Reason</w:t>
      </w:r>
      <w:r>
        <w:rPr>
          <w:rFonts w:ascii="Times New Roman" w:cs="Times New Roman" w:eastAsia="Times New Roman" w:hAnsi="Times New Roman"/>
          <w:sz w:val="21"/>
          <w:szCs w:val="21"/>
          <w:color w:val="auto"/>
        </w:rPr>
        <w:t>)) or for Good Reason or (ii) terminated by PVH or the Company without Cause (as defined in Section 3.5(a) (</w:t>
      </w:r>
      <w:r>
        <w:rPr>
          <w:rFonts w:ascii="Times New Roman" w:cs="Times New Roman" w:eastAsia="Times New Roman" w:hAnsi="Times New Roman"/>
          <w:sz w:val="21"/>
          <w:szCs w:val="21"/>
          <w:u w:val="single" w:color="auto"/>
          <w:color w:val="auto"/>
        </w:rPr>
        <w:t>Definition of Cause</w:t>
      </w:r>
      <w:r>
        <w:rPr>
          <w:rFonts w:ascii="Times New Roman" w:cs="Times New Roman" w:eastAsia="Times New Roman" w:hAnsi="Times New Roman"/>
          <w:sz w:val="21"/>
          <w:szCs w:val="21"/>
          <w:color w:val="auto"/>
        </w:rPr>
        <w:t>)), vesting of such awards shall immediately terminate upon the giving of a Notice of Termination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48"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1"/>
          <w:szCs w:val="21"/>
          <w:color w:val="auto"/>
        </w:rPr>
        <w:t>the extent such equity awards are forfeited if not vested, they shall be forfeited as of such date.</w:t>
      </w:r>
    </w:p>
    <w:p>
      <w:pPr>
        <w:spacing w:after="0" w:line="175" w:lineRule="exact"/>
        <w:rPr>
          <w:sz w:val="20"/>
          <w:szCs w:val="20"/>
          <w:color w:val="auto"/>
        </w:rPr>
      </w:pPr>
    </w:p>
    <w:p>
      <w:pPr>
        <w:jc w:val="both"/>
        <w:ind w:firstLine="1253"/>
        <w:spacing w:after="0" w:line="214" w:lineRule="auto"/>
        <w:tabs>
          <w:tab w:leader="none" w:pos="1869" w:val="left"/>
        </w:tabs>
        <w:numPr>
          <w:ilvl w:val="0"/>
          <w:numId w:val="1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Fiscal 2024 Bonus</w:t>
      </w:r>
      <w:r>
        <w:rPr>
          <w:rFonts w:ascii="Times New Roman" w:cs="Times New Roman" w:eastAsia="Times New Roman" w:hAnsi="Times New Roman"/>
          <w:sz w:val="21"/>
          <w:szCs w:val="21"/>
          <w:color w:val="auto"/>
        </w:rPr>
        <w:t>. If the Executive commences employment prior to November 1, 2024, the Executive shall be eligible to participate in PVH’s applicable bonus plan with respect to PVH’s 2024 fiscal year, with a threshold bonus opportunity equal to 25% of the Base Salary, a target bonus opportunity equal to 100% of the Base Salary and a maximum bonus opportunity equal to 200% of the Base Salary. The applicable performance measure and goals shall be the same as established for the year for similarly situated members of PVH’s Executive Leadership Team (the “ELT”). Any payout shall be determined at the time and manner as other awards under the plan and shall be prorated for the aggregate number of days during the year that the Executive was employed by PVH or the Company. In the event that the Executive does not commence employment prior to November 1, 2024, the Executive shall not be eligible for a bonus with respect to PVH’s 2024 fiscal year.</w:t>
      </w:r>
    </w:p>
    <w:p>
      <w:pPr>
        <w:spacing w:after="0" w:line="150" w:lineRule="exact"/>
        <w:rPr>
          <w:rFonts w:ascii="Times New Roman" w:cs="Times New Roman" w:eastAsia="Times New Roman" w:hAnsi="Times New Roman"/>
          <w:sz w:val="21"/>
          <w:szCs w:val="21"/>
          <w:color w:val="010000"/>
        </w:rPr>
      </w:pPr>
    </w:p>
    <w:p>
      <w:pPr>
        <w:jc w:val="both"/>
        <w:ind w:firstLine="1253"/>
        <w:spacing w:after="0" w:line="213" w:lineRule="auto"/>
        <w:tabs>
          <w:tab w:leader="none" w:pos="1870" w:val="left"/>
        </w:tabs>
        <w:numPr>
          <w:ilvl w:val="0"/>
          <w:numId w:val="1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Fiscal 2024 and 2025 Equity Awards</w:t>
      </w:r>
      <w:r>
        <w:rPr>
          <w:rFonts w:ascii="Times New Roman" w:cs="Times New Roman" w:eastAsia="Times New Roman" w:hAnsi="Times New Roman"/>
          <w:sz w:val="21"/>
          <w:szCs w:val="21"/>
          <w:color w:val="auto"/>
        </w:rPr>
        <w:t>. The Executive shall be granted the equity awards set forth below during PVH’s 2025 fiscal year with a total grant date value of approximately $1,500,000 (the “Fiscal 2025 Equity Awards”). If the Effective Date occurs on or prior to the date on which annual grants of performance share units (“PSUs”) or restricted stock units (“RSUs”) or such other variable long-term incentive vehicles as PVH elects in its sole discretion are granted to the other members of the ELT, then the corresponding type of award included in the Fiscal 2025 Equity Awards shall be granted to the Executive at the same time as the other members of the ELT. The Fiscal 2025 Equity Awards shall be granted under and administered in accordance with PVH’s Stock Incentive Plan, as amended (the “Stock Incentive Plan”), and the policies and procedures in effect with regard thereto. The Executive shall not be entitled to receive any equity awards during PVH fiscal years 2024 and 2025 other than as set forth in Section 2.2(b)(i)-(ii) and Section 2.2(c)(ii).</w:t>
      </w:r>
    </w:p>
    <w:p>
      <w:pPr>
        <w:spacing w:after="0" w:line="152" w:lineRule="exact"/>
        <w:rPr>
          <w:rFonts w:ascii="Times New Roman" w:cs="Times New Roman" w:eastAsia="Times New Roman" w:hAnsi="Times New Roman"/>
          <w:sz w:val="21"/>
          <w:szCs w:val="21"/>
          <w:color w:val="010000"/>
        </w:rPr>
      </w:pPr>
    </w:p>
    <w:p>
      <w:pPr>
        <w:jc w:val="both"/>
        <w:ind w:left="620" w:firstLine="1257"/>
        <w:spacing w:after="0" w:line="228" w:lineRule="auto"/>
        <w:tabs>
          <w:tab w:leader="none" w:pos="2481" w:val="left"/>
        </w:tabs>
        <w:numPr>
          <w:ilvl w:val="1"/>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Fiscal 2025 Equity Awards shall include awards of PSUs or such other variable long-term incentive vehicles (other than RSUs) as PVH elects in its sole discretion (the “Fiscal Year 2025 Performance-vested Award”) with a grant date value of up to $750,000 at target level performance. The Fiscal Year 2025 Performance-vested Award shall vest (or not) based on PVH’s performance against the same measures and on the same weighted basis as the annual performance-vested awards to be granted in 2025 to similarly situated executives. The Fiscal Year 2025 Performance-vested Award shall be subject to the terms and conditions of the Stock Incentive Plan and the underlying award agreement in PVH’s standard form.</w:t>
      </w:r>
    </w:p>
    <w:p>
      <w:pPr>
        <w:spacing w:after="0" w:line="146" w:lineRule="exact"/>
        <w:rPr>
          <w:rFonts w:ascii="Times New Roman" w:cs="Times New Roman" w:eastAsia="Times New Roman" w:hAnsi="Times New Roman"/>
          <w:sz w:val="20"/>
          <w:szCs w:val="20"/>
          <w:color w:val="010000"/>
        </w:rPr>
      </w:pPr>
    </w:p>
    <w:p>
      <w:pPr>
        <w:jc w:val="both"/>
        <w:ind w:left="620" w:firstLine="1257"/>
        <w:spacing w:after="0" w:line="227" w:lineRule="auto"/>
        <w:tabs>
          <w:tab w:leader="none" w:pos="2487" w:val="left"/>
        </w:tabs>
        <w:numPr>
          <w:ilvl w:val="1"/>
          <w:numId w:val="1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Fiscal 2025 Equity Awards also shall include an award of RSUs with a grant date value of no less than $750,000. The RSUs shall vest at a rate of 25% on each of the first four anniversaries of the grant date, subject to the terms and conditions of the Stock Incentive Plan and the underlying award agreement in PVH’s standard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48" w:right="339" w:bottom="1440" w:gutter="0" w:footer="0" w:header="0"/>
        </w:sectPr>
      </w:pPr>
    </w:p>
    <w:bookmarkStart w:id="159" w:name="page160"/>
    <w:bookmarkEnd w:id="159"/>
    <w:p>
      <w:pPr>
        <w:ind w:left="1880" w:hanging="627"/>
        <w:spacing w:after="0"/>
        <w:tabs>
          <w:tab w:leader="none" w:pos="1880" w:val="left"/>
        </w:tabs>
        <w:numPr>
          <w:ilvl w:val="0"/>
          <w:numId w:val="11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Make-Whole Awards</w:t>
      </w:r>
      <w:r>
        <w:rPr>
          <w:rFonts w:ascii="Times New Roman" w:cs="Times New Roman" w:eastAsia="Times New Roman" w:hAnsi="Times New Roman"/>
          <w:sz w:val="21"/>
          <w:szCs w:val="21"/>
          <w:color w:val="auto"/>
        </w:rPr>
        <w:t>.</w:t>
      </w:r>
    </w:p>
    <w:p>
      <w:pPr>
        <w:spacing w:after="0" w:line="174" w:lineRule="exact"/>
        <w:rPr>
          <w:rFonts w:ascii="Times New Roman" w:cs="Times New Roman" w:eastAsia="Times New Roman" w:hAnsi="Times New Roman"/>
          <w:sz w:val="21"/>
          <w:szCs w:val="21"/>
          <w:color w:val="010000"/>
        </w:rPr>
      </w:pPr>
    </w:p>
    <w:p>
      <w:pPr>
        <w:jc w:val="both"/>
        <w:ind w:left="620" w:firstLine="1257"/>
        <w:spacing w:after="0" w:line="214" w:lineRule="auto"/>
        <w:tabs>
          <w:tab w:leader="none" w:pos="2481" w:val="left"/>
        </w:tabs>
        <w:numPr>
          <w:ilvl w:val="1"/>
          <w:numId w:val="11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Executive shall receive a one-time cash award of €1,600,000 (the “Make-Whole Cash Award”) to compensate the Executive for the foreiture of payouts of annual and long-term cash awards that the Executive would otherwise have been entitled to receive from the Executive’s prior employer (the “Prior Employer”) during 2024. The Make-Whole Cash Award shall be paid in the first 60 days after the Effective Date. If the Executive voluntarily leaves PVH or the Company other than for Good Reason (as defined in Section 3.5(a) (</w:t>
      </w:r>
      <w:r>
        <w:rPr>
          <w:rFonts w:ascii="Times New Roman" w:cs="Times New Roman" w:eastAsia="Times New Roman" w:hAnsi="Times New Roman"/>
          <w:sz w:val="21"/>
          <w:szCs w:val="21"/>
          <w:u w:val="single" w:color="auto"/>
          <w:color w:val="auto"/>
        </w:rPr>
        <w:t>Definition of Good Reason</w:t>
      </w:r>
      <w:r>
        <w:rPr>
          <w:rFonts w:ascii="Times New Roman" w:cs="Times New Roman" w:eastAsia="Times New Roman" w:hAnsi="Times New Roman"/>
          <w:sz w:val="21"/>
          <w:szCs w:val="21"/>
          <w:color w:val="auto"/>
        </w:rPr>
        <w:t>)) or the Executive’s employment is terminated for Cause (as defined in Section 3.5(a) (</w:t>
      </w:r>
      <w:r>
        <w:rPr>
          <w:rFonts w:ascii="Times New Roman" w:cs="Times New Roman" w:eastAsia="Times New Roman" w:hAnsi="Times New Roman"/>
          <w:sz w:val="21"/>
          <w:szCs w:val="21"/>
          <w:u w:val="single" w:color="auto"/>
          <w:color w:val="auto"/>
        </w:rPr>
        <w:t>Definition of Cause</w:t>
      </w:r>
      <w:r>
        <w:rPr>
          <w:rFonts w:ascii="Times New Roman" w:cs="Times New Roman" w:eastAsia="Times New Roman" w:hAnsi="Times New Roman"/>
          <w:sz w:val="21"/>
          <w:szCs w:val="21"/>
          <w:color w:val="auto"/>
        </w:rPr>
        <w:t>) prior to the end of the Executive’s first year of employment, the Executive shall be obligated to reimburse PVH the full amount of the Make-Whole Cash Award within 60 days of the Executive’s last day of employment.</w:t>
      </w:r>
    </w:p>
    <w:p>
      <w:pPr>
        <w:spacing w:after="0" w:line="150" w:lineRule="exact"/>
        <w:rPr>
          <w:rFonts w:ascii="Times New Roman" w:cs="Times New Roman" w:eastAsia="Times New Roman" w:hAnsi="Times New Roman"/>
          <w:sz w:val="21"/>
          <w:szCs w:val="21"/>
          <w:color w:val="010000"/>
        </w:rPr>
      </w:pPr>
    </w:p>
    <w:p>
      <w:pPr>
        <w:jc w:val="both"/>
        <w:ind w:left="620" w:firstLine="1257"/>
        <w:spacing w:after="0" w:line="212" w:lineRule="auto"/>
        <w:tabs>
          <w:tab w:leader="none" w:pos="2487" w:val="left"/>
        </w:tabs>
        <w:numPr>
          <w:ilvl w:val="1"/>
          <w:numId w:val="11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Executive shall be granted a one-time award with a grant date value of approximately $1,000,000 (the “Equity Make-Whole Award”) to replace long-term incentive compensation forfeited as a result of the Executive’s termination of employment with the Prior Employer to become employed by the Company. The Equity Make-Whole Award shall consist of (x) a $500,000 (gross) cash award payable on or before April 15, 2025 in the euro equivalent as of a recent date in proximity to the payment date and (y) an award of RSUs with a grant date value of approximately $500,000 that will vest on the second anniversary of the grant date. The RSUs that are part of the Equity Make-Whole Award shall be granted and administered under and in accordance with the Stock Incentive Plan and PVH’s policies and procedures in effect with regard thereto and shall be subject to the terms and conditions of the Stock Incentive Plan and the underlying award agreement in PVH’s standard form. The RSUs that are part of the Equity Make-Whole Award shall be granted to the Executive on the first business day of the calendar month following the Effective Date or, if such day is during a quarterly earnings blackout, the first business day of the next calendar month when an earnings blackout is not in place.</w:t>
      </w:r>
    </w:p>
    <w:p>
      <w:pPr>
        <w:spacing w:after="0" w:line="151" w:lineRule="exact"/>
        <w:rPr>
          <w:sz w:val="20"/>
          <w:szCs w:val="20"/>
          <w:color w:val="auto"/>
        </w:rPr>
      </w:pPr>
    </w:p>
    <w:p>
      <w:pPr>
        <w:jc w:val="both"/>
        <w:ind w:firstLine="625"/>
        <w:spacing w:after="0" w:line="210" w:lineRule="auto"/>
        <w:rPr>
          <w:sz w:val="20"/>
          <w:szCs w:val="20"/>
          <w:color w:val="auto"/>
        </w:rPr>
      </w:pPr>
      <w:r>
        <w:rPr>
          <w:rFonts w:ascii="Times New Roman" w:cs="Times New Roman" w:eastAsia="Times New Roman" w:hAnsi="Times New Roman"/>
          <w:sz w:val="21"/>
          <w:szCs w:val="21"/>
          <w:color w:val="010000"/>
        </w:rPr>
        <w:t xml:space="preserve">2.3 </w:t>
      </w:r>
      <w:r>
        <w:rPr>
          <w:rFonts w:ascii="Times New Roman" w:cs="Times New Roman" w:eastAsia="Times New Roman" w:hAnsi="Times New Roman"/>
          <w:sz w:val="21"/>
          <w:szCs w:val="21"/>
          <w:u w:val="single" w:color="auto"/>
          <w:color w:val="000000"/>
        </w:rPr>
        <w:t>Pension and Insurance</w:t>
      </w:r>
      <w:r>
        <w:rPr>
          <w:rFonts w:ascii="Times New Roman" w:cs="Times New Roman" w:eastAsia="Times New Roman" w:hAnsi="Times New Roman"/>
          <w:sz w:val="21"/>
          <w:szCs w:val="21"/>
          <w:color w:val="000000"/>
        </w:rPr>
        <w:t>. The Executive shall be eligible to participate in all employee benefit and insurance plans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sponsored or maintained by the Company, PVH or any other relevant affiliate (as defined below) for similarly situated executives, to the extent that the Executive is qualified to participate in any such plan under the generally applicable provisions thereof in effect from time to time, it being acknowledged that by virtue of the Executive’s principal workplace being Amsterdam, the Netherlands, there may be differences in the employee benefit and insurance plans provided to the Executive and PVH’s executives in the United States or elsewhere. Without limiting the generality of the foregoing, during the Employment Period, the Executive shall take part in the collective pension arrangement of the Company with Swiss Life (</w:t>
      </w:r>
      <w:r>
        <w:rPr>
          <w:rFonts w:ascii="Times New Roman" w:cs="Times New Roman" w:eastAsia="Times New Roman" w:hAnsi="Times New Roman"/>
          <w:sz w:val="21"/>
          <w:szCs w:val="21"/>
          <w:i w:val="1"/>
          <w:iCs w:val="1"/>
          <w:color w:val="000000"/>
        </w:rPr>
        <w:t>Zwitserleven</w:t>
      </w:r>
      <w:r>
        <w:rPr>
          <w:rFonts w:ascii="Times New Roman" w:cs="Times New Roman" w:eastAsia="Times New Roman" w:hAnsi="Times New Roman"/>
          <w:sz w:val="21"/>
          <w:szCs w:val="21"/>
          <w:color w:val="000000"/>
        </w:rPr>
        <w:t>), in accordance with the conditions as explained in the pension document of the Company. In addition, the Company has entered into (i) a Collective WIA Gap insurance for all employees, which insures the risk of a drop in income if an employee becomes partially incapacitated for work, and (ii) a Collective WIA Gap Excedent insurance coverage for employees with a salary above the maximum income over which the statutory WIA benefit is calculated. The Executive and the Company (or one of its affiliates) shall each contribute 50% of the premium for each such insurance coverage. Nothing herein shall be deemed to prohibit the Company, PVH, any relevant affiliate or the Board from amending or terminating any such plan in its sole and absolute discretion. The terms of each such plan shall govern at all times the Executive’s rights and obligations thereunder. “Affiliate” refers to any person (as defined in Section 5.3 (</w:t>
      </w:r>
      <w:r>
        <w:rPr>
          <w:rFonts w:ascii="Times New Roman" w:cs="Times New Roman" w:eastAsia="Times New Roman" w:hAnsi="Times New Roman"/>
          <w:sz w:val="21"/>
          <w:szCs w:val="21"/>
          <w:u w:val="single" w:color="auto"/>
          <w:color w:val="000000"/>
        </w:rPr>
        <w:t>Non-Interference</w:t>
      </w:r>
      <w:r>
        <w:rPr>
          <w:rFonts w:ascii="Times New Roman" w:cs="Times New Roman" w:eastAsia="Times New Roman" w:hAnsi="Times New Roman"/>
          <w:sz w:val="21"/>
          <w:szCs w:val="21"/>
          <w:color w:val="000000"/>
        </w:rPr>
        <w:t>)) that controls, is controlled by or under common control with another person, whether through ownership, by contract or otherwise. For the avoidance of doubt, PVH and the Company are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48" w:right="339" w:bottom="1440" w:gutter="0" w:footer="0" w:header="0"/>
        </w:sectPr>
      </w:pPr>
    </w:p>
    <w:bookmarkStart w:id="160" w:name="page161"/>
    <w:bookmarkEnd w:id="160"/>
    <w:p>
      <w:pPr>
        <w:ind w:left="620"/>
        <w:spacing w:after="0"/>
        <w:tabs>
          <w:tab w:leader="none" w:pos="1240" w:val="left"/>
        </w:tabs>
        <w:rPr>
          <w:sz w:val="20"/>
          <w:szCs w:val="20"/>
          <w:color w:val="auto"/>
        </w:rPr>
      </w:pPr>
      <w:r>
        <w:rPr>
          <w:rFonts w:ascii="Times New Roman" w:cs="Times New Roman" w:eastAsia="Times New Roman" w:hAnsi="Times New Roman"/>
          <w:sz w:val="21"/>
          <w:szCs w:val="21"/>
          <w:color w:val="010000"/>
        </w:rPr>
        <w:t>2.4</w:t>
      </w:r>
      <w:r>
        <w:rPr>
          <w:sz w:val="20"/>
          <w:szCs w:val="20"/>
          <w:color w:val="auto"/>
        </w:rPr>
        <w:tab/>
      </w:r>
      <w:r>
        <w:rPr>
          <w:rFonts w:ascii="Times New Roman" w:cs="Times New Roman" w:eastAsia="Times New Roman" w:hAnsi="Times New Roman"/>
          <w:sz w:val="20"/>
          <w:szCs w:val="20"/>
          <w:u w:val="single" w:color="auto"/>
          <w:color w:val="auto"/>
        </w:rPr>
        <w:t>Relocation Related Allowances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1253"/>
        <w:spacing w:after="0" w:line="238" w:lineRule="auto"/>
        <w:tabs>
          <w:tab w:leader="none" w:pos="1870" w:val="left"/>
        </w:tabs>
        <w:numPr>
          <w:ilvl w:val="0"/>
          <w:numId w:val="11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Housing</w:t>
      </w:r>
      <w:r>
        <w:rPr>
          <w:rFonts w:ascii="Times New Roman" w:cs="Times New Roman" w:eastAsia="Times New Roman" w:hAnsi="Times New Roman"/>
          <w:sz w:val="21"/>
          <w:szCs w:val="21"/>
          <w:color w:val="auto"/>
        </w:rPr>
        <w:t>. The Company agrees to reimburse the Executive up to €15,000 (net) per month for housing costs for up to three years from the Effective Date, subject to presentation of appropriate documentation evidencing such costs.</w:t>
      </w:r>
    </w:p>
    <w:p>
      <w:pPr>
        <w:spacing w:after="0" w:line="145" w:lineRule="exact"/>
        <w:rPr>
          <w:rFonts w:ascii="Times New Roman" w:cs="Times New Roman" w:eastAsia="Times New Roman" w:hAnsi="Times New Roman"/>
          <w:sz w:val="21"/>
          <w:szCs w:val="21"/>
          <w:color w:val="010000"/>
        </w:rPr>
      </w:pPr>
    </w:p>
    <w:p>
      <w:pPr>
        <w:jc w:val="both"/>
        <w:ind w:firstLine="1253"/>
        <w:spacing w:after="0" w:line="227" w:lineRule="auto"/>
        <w:tabs>
          <w:tab w:leader="none" w:pos="1869" w:val="left"/>
        </w:tabs>
        <w:numPr>
          <w:ilvl w:val="0"/>
          <w:numId w:val="11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Education</w:t>
      </w:r>
      <w:r>
        <w:rPr>
          <w:rFonts w:ascii="Times New Roman" w:cs="Times New Roman" w:eastAsia="Times New Roman" w:hAnsi="Times New Roman"/>
          <w:sz w:val="21"/>
          <w:szCs w:val="21"/>
          <w:color w:val="auto"/>
        </w:rPr>
        <w:t>. The Company agrees to reimburse the Executive up to €25,000 (net) per year for each of his children for education costs for up to three years from the Effective Date, subject to presentation of appropriate documentation evidencing such costs.</w:t>
      </w:r>
    </w:p>
    <w:p>
      <w:pPr>
        <w:spacing w:after="0" w:line="147" w:lineRule="exact"/>
        <w:rPr>
          <w:rFonts w:ascii="Times New Roman" w:cs="Times New Roman" w:eastAsia="Times New Roman" w:hAnsi="Times New Roman"/>
          <w:sz w:val="21"/>
          <w:szCs w:val="21"/>
          <w:color w:val="010000"/>
        </w:rPr>
      </w:pPr>
    </w:p>
    <w:p>
      <w:pPr>
        <w:ind w:firstLine="1253"/>
        <w:spacing w:after="0" w:line="238" w:lineRule="auto"/>
        <w:tabs>
          <w:tab w:leader="none" w:pos="1870" w:val="left"/>
        </w:tabs>
        <w:numPr>
          <w:ilvl w:val="0"/>
          <w:numId w:val="11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Private Health Care</w:t>
      </w:r>
      <w:r>
        <w:rPr>
          <w:rFonts w:ascii="Times New Roman" w:cs="Times New Roman" w:eastAsia="Times New Roman" w:hAnsi="Times New Roman"/>
          <w:sz w:val="21"/>
          <w:szCs w:val="21"/>
          <w:color w:val="auto"/>
        </w:rPr>
        <w:t>. The Company shall provide for a private healthcare for the Executive and his family through a provider selected by the Company. Such healthcare shall be provided during the entire Employment Period.</w:t>
      </w:r>
    </w:p>
    <w:p>
      <w:pPr>
        <w:spacing w:after="0" w:line="145" w:lineRule="exact"/>
        <w:rPr>
          <w:sz w:val="20"/>
          <w:szCs w:val="20"/>
          <w:color w:val="auto"/>
        </w:rPr>
      </w:pPr>
    </w:p>
    <w:p>
      <w:pPr>
        <w:jc w:val="both"/>
        <w:ind w:firstLine="625"/>
        <w:spacing w:after="0" w:line="214" w:lineRule="auto"/>
        <w:rPr>
          <w:sz w:val="20"/>
          <w:szCs w:val="20"/>
          <w:color w:val="auto"/>
        </w:rPr>
      </w:pPr>
      <w:r>
        <w:rPr>
          <w:rFonts w:ascii="Times New Roman" w:cs="Times New Roman" w:eastAsia="Times New Roman" w:hAnsi="Times New Roman"/>
          <w:sz w:val="21"/>
          <w:szCs w:val="21"/>
          <w:color w:val="010000"/>
        </w:rPr>
        <w:t xml:space="preserve">2.5 </w:t>
      </w:r>
      <w:r>
        <w:rPr>
          <w:rFonts w:ascii="Times New Roman" w:cs="Times New Roman" w:eastAsia="Times New Roman" w:hAnsi="Times New Roman"/>
          <w:sz w:val="21"/>
          <w:szCs w:val="21"/>
          <w:u w:val="single" w:color="auto"/>
          <w:color w:val="000000"/>
        </w:rPr>
        <w:t>Relocation</w:t>
      </w:r>
      <w:r>
        <w:rPr>
          <w:rFonts w:ascii="Times New Roman" w:cs="Times New Roman" w:eastAsia="Times New Roman" w:hAnsi="Times New Roman"/>
          <w:sz w:val="21"/>
          <w:szCs w:val="21"/>
          <w:color w:val="000000"/>
        </w:rPr>
        <w:t>. The Executive shall be eligible to receive PVH’s standard executive-level relocation benefits and, except as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otherwise provided in Section 2.4 (Relocation Related Allowances), up to two years of PVH’s international local plus benefits, subject to the terms and conditions of PVH’s relocation policy, the international local plus guidelines and the Executive entering into a Relocation Repayment Agreement. No relocation benefits will be paid, nor services provided to the Executive until the Executive has signed and returned the Relocation Repayment Agreement. The Company agrees to reimburse the Executive for up to $20,000 for amounts to be repaid to the Prior Employer in respect of relocation expense that the Prior Employer incurred with respect to the Executive’s employment. The Company shall reimburse the Executive promptly after delivery of documentation demonstrating the amount that the Executive is required to reimburse the Executive and proof of the payment thereof.</w:t>
      </w:r>
    </w:p>
    <w:p>
      <w:pPr>
        <w:spacing w:after="0" w:line="151" w:lineRule="exact"/>
        <w:rPr>
          <w:sz w:val="20"/>
          <w:szCs w:val="20"/>
          <w:color w:val="auto"/>
        </w:rPr>
      </w:pPr>
    </w:p>
    <w:p>
      <w:pPr>
        <w:jc w:val="both"/>
        <w:ind w:firstLine="625"/>
        <w:spacing w:after="0" w:line="219" w:lineRule="auto"/>
        <w:rPr>
          <w:sz w:val="20"/>
          <w:szCs w:val="20"/>
          <w:color w:val="auto"/>
        </w:rPr>
      </w:pPr>
      <w:r>
        <w:rPr>
          <w:rFonts w:ascii="Times New Roman" w:cs="Times New Roman" w:eastAsia="Times New Roman" w:hAnsi="Times New Roman"/>
          <w:sz w:val="21"/>
          <w:szCs w:val="21"/>
          <w:color w:val="010000"/>
        </w:rPr>
        <w:t xml:space="preserve">2.6 </w:t>
      </w:r>
      <w:r>
        <w:rPr>
          <w:rFonts w:ascii="Times New Roman" w:cs="Times New Roman" w:eastAsia="Times New Roman" w:hAnsi="Times New Roman"/>
          <w:sz w:val="21"/>
          <w:szCs w:val="21"/>
          <w:u w:val="single" w:color="auto"/>
          <w:color w:val="000000"/>
        </w:rPr>
        <w:t>Expenses</w:t>
      </w:r>
      <w:r>
        <w:rPr>
          <w:rFonts w:ascii="Times New Roman" w:cs="Times New Roman" w:eastAsia="Times New Roman" w:hAnsi="Times New Roman"/>
          <w:sz w:val="21"/>
          <w:szCs w:val="21"/>
          <w:color w:val="000000"/>
        </w:rPr>
        <w:t>. PVH or the Company shall pay or reimburse the Executive for reasonable expenses incurred or paid by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Executive in the performance of the Executive’s duties in accordance with the policies and procedures of PVH and the Company, as in effect from time to time. PVH or the Company also shall pay or reimburse the Executive for reasonable legal fees and expenses in an amount not to exceed $10,000 (including VAT) that the Executive incurs in connection with the review of this Agreement, subject to the delivery of appropriate documentation thereof.</w:t>
      </w:r>
    </w:p>
    <w:p>
      <w:pPr>
        <w:spacing w:after="0" w:line="147" w:lineRule="exact"/>
        <w:rPr>
          <w:sz w:val="20"/>
          <w:szCs w:val="20"/>
          <w:color w:val="auto"/>
        </w:rPr>
      </w:pPr>
    </w:p>
    <w:p>
      <w:pPr>
        <w:jc w:val="both"/>
        <w:ind w:firstLine="625"/>
        <w:spacing w:after="0" w:line="222" w:lineRule="auto"/>
        <w:rPr>
          <w:sz w:val="20"/>
          <w:szCs w:val="20"/>
          <w:color w:val="auto"/>
        </w:rPr>
      </w:pPr>
      <w:r>
        <w:rPr>
          <w:rFonts w:ascii="Times New Roman" w:cs="Times New Roman" w:eastAsia="Times New Roman" w:hAnsi="Times New Roman"/>
          <w:sz w:val="21"/>
          <w:szCs w:val="21"/>
          <w:color w:val="010000"/>
        </w:rPr>
        <w:t xml:space="preserve">2.7 </w:t>
      </w:r>
      <w:r>
        <w:rPr>
          <w:rFonts w:ascii="Times New Roman" w:cs="Times New Roman" w:eastAsia="Times New Roman" w:hAnsi="Times New Roman"/>
          <w:sz w:val="21"/>
          <w:szCs w:val="21"/>
          <w:u w:val="single" w:color="auto"/>
          <w:color w:val="000000"/>
        </w:rPr>
        <w:t>Holidays</w:t>
      </w:r>
      <w:r>
        <w:rPr>
          <w:rFonts w:ascii="Times New Roman" w:cs="Times New Roman" w:eastAsia="Times New Roman" w:hAnsi="Times New Roman"/>
          <w:sz w:val="21"/>
          <w:szCs w:val="21"/>
          <w:color w:val="000000"/>
        </w:rPr>
        <w:t>. The Executive is entitled to 25 days (20 statutory and 5 non-statutory days) paid holiday per calendar year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based on a full holiday year and fulltime employment. If the Executive performed work during only a part of the calendar year the number of holiday days shall be calculated proportionately. In principle, holidays are to be taken in the calendar year in which the entitlement is accrued.</w:t>
      </w:r>
    </w:p>
    <w:p>
      <w:pPr>
        <w:spacing w:after="0" w:line="147" w:lineRule="exact"/>
        <w:rPr>
          <w:sz w:val="20"/>
          <w:szCs w:val="20"/>
          <w:color w:val="auto"/>
        </w:rPr>
      </w:pPr>
    </w:p>
    <w:p>
      <w:pPr>
        <w:jc w:val="both"/>
        <w:ind w:firstLine="625"/>
        <w:spacing w:after="0" w:line="238" w:lineRule="auto"/>
        <w:rPr>
          <w:sz w:val="20"/>
          <w:szCs w:val="20"/>
          <w:color w:val="auto"/>
        </w:rPr>
      </w:pPr>
      <w:r>
        <w:rPr>
          <w:rFonts w:ascii="Times New Roman" w:cs="Times New Roman" w:eastAsia="Times New Roman" w:hAnsi="Times New Roman"/>
          <w:sz w:val="21"/>
          <w:szCs w:val="21"/>
          <w:color w:val="010000"/>
        </w:rPr>
        <w:t xml:space="preserve">2.8 </w:t>
      </w:r>
      <w:r>
        <w:rPr>
          <w:rFonts w:ascii="Times New Roman" w:cs="Times New Roman" w:eastAsia="Times New Roman" w:hAnsi="Times New Roman"/>
          <w:sz w:val="21"/>
          <w:szCs w:val="21"/>
          <w:u w:val="single" w:color="auto"/>
          <w:color w:val="000000"/>
        </w:rPr>
        <w:t>Paid Statutory Leaves</w:t>
      </w:r>
      <w:r>
        <w:rPr>
          <w:rFonts w:ascii="Times New Roman" w:cs="Times New Roman" w:eastAsia="Times New Roman" w:hAnsi="Times New Roman"/>
          <w:sz w:val="21"/>
          <w:szCs w:val="21"/>
          <w:color w:val="000000"/>
        </w:rPr>
        <w:t>. The Executive also shall be entitled to the paid statutory leaves as included in the Work and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Care Act (</w:t>
      </w:r>
      <w:r>
        <w:rPr>
          <w:rFonts w:ascii="Times New Roman" w:cs="Times New Roman" w:eastAsia="Times New Roman" w:hAnsi="Times New Roman"/>
          <w:sz w:val="21"/>
          <w:szCs w:val="21"/>
          <w:i w:val="1"/>
          <w:iCs w:val="1"/>
          <w:color w:val="000000"/>
        </w:rPr>
        <w:t>Wet arbeid en zorg</w:t>
      </w:r>
      <w:r>
        <w:rPr>
          <w:rFonts w:ascii="Times New Roman" w:cs="Times New Roman" w:eastAsia="Times New Roman" w:hAnsi="Times New Roman"/>
          <w:sz w:val="21"/>
          <w:szCs w:val="21"/>
          <w:color w:val="000000"/>
        </w:rPr>
        <w:t>) and Working Hours Act (</w:t>
      </w:r>
      <w:r>
        <w:rPr>
          <w:rFonts w:ascii="Times New Roman" w:cs="Times New Roman" w:eastAsia="Times New Roman" w:hAnsi="Times New Roman"/>
          <w:sz w:val="21"/>
          <w:szCs w:val="21"/>
          <w:i w:val="1"/>
          <w:iCs w:val="1"/>
          <w:color w:val="000000"/>
        </w:rPr>
        <w:t>Arbeidstijdenwet</w:t>
      </w:r>
      <w:r>
        <w:rPr>
          <w:rFonts w:ascii="Times New Roman" w:cs="Times New Roman" w:eastAsia="Times New Roman" w:hAnsi="Times New Roman"/>
          <w:sz w:val="21"/>
          <w:szCs w:val="21"/>
          <w:color w:val="000000"/>
        </w:rPr>
        <w:t>).</w:t>
      </w:r>
    </w:p>
    <w:p>
      <w:pPr>
        <w:spacing w:after="0" w:line="145" w:lineRule="exact"/>
        <w:rPr>
          <w:sz w:val="20"/>
          <w:szCs w:val="20"/>
          <w:color w:val="auto"/>
        </w:rPr>
      </w:pPr>
    </w:p>
    <w:p>
      <w:pPr>
        <w:ind w:left="620" w:hanging="616"/>
        <w:spacing w:after="0"/>
        <w:tabs>
          <w:tab w:leader="none" w:pos="620" w:val="left"/>
        </w:tabs>
        <w:numPr>
          <w:ilvl w:val="0"/>
          <w:numId w:val="11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25"/>
        <w:spacing w:after="0" w:line="215" w:lineRule="auto"/>
        <w:rPr>
          <w:sz w:val="20"/>
          <w:szCs w:val="20"/>
          <w:color w:val="auto"/>
        </w:rPr>
      </w:pPr>
      <w:r>
        <w:rPr>
          <w:rFonts w:ascii="Times New Roman" w:cs="Times New Roman" w:eastAsia="Times New Roman" w:hAnsi="Times New Roman"/>
          <w:sz w:val="21"/>
          <w:szCs w:val="21"/>
          <w:color w:val="010000"/>
        </w:rPr>
        <w:t xml:space="preserve">3.1 </w:t>
      </w:r>
      <w:r>
        <w:rPr>
          <w:rFonts w:ascii="Times New Roman" w:cs="Times New Roman" w:eastAsia="Times New Roman" w:hAnsi="Times New Roman"/>
          <w:sz w:val="21"/>
          <w:szCs w:val="21"/>
          <w:u w:val="single" w:color="auto"/>
          <w:color w:val="000000"/>
        </w:rPr>
        <w:t>General</w:t>
      </w:r>
      <w:r>
        <w:rPr>
          <w:rFonts w:ascii="Times New Roman" w:cs="Times New Roman" w:eastAsia="Times New Roman" w:hAnsi="Times New Roman"/>
          <w:sz w:val="21"/>
          <w:szCs w:val="21"/>
          <w:color w:val="000000"/>
        </w:rPr>
        <w:t>. Each of the parties acknowledges and agrees that either party may terminate the Executive’s employment at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any time, for any reason, with or without Cause (as hereinafter defined). Such termination shall be effected by PVH, PVH Europe, the Company or the Executive, as applicable, by giving a Notice of Termination (as hereinafter defined) in the manner provided in Section 3.9 (</w:t>
      </w:r>
      <w:r>
        <w:rPr>
          <w:rFonts w:ascii="Times New Roman" w:cs="Times New Roman" w:eastAsia="Times New Roman" w:hAnsi="Times New Roman"/>
          <w:sz w:val="21"/>
          <w:szCs w:val="21"/>
          <w:u w:val="single" w:color="auto"/>
          <w:color w:val="000000"/>
        </w:rPr>
        <w:t>Notice of Termination</w:t>
      </w:r>
      <w:r>
        <w:rPr>
          <w:rFonts w:ascii="Times New Roman" w:cs="Times New Roman" w:eastAsia="Times New Roman" w:hAnsi="Times New Roman"/>
          <w:sz w:val="21"/>
          <w:szCs w:val="21"/>
          <w:color w:val="000000"/>
        </w:rPr>
        <w:t>) or by reason of the Executive’s death or the Executive reaching the pensionable age. For the avoidance of doubt, the Executive may terminate the Executive’s employment at any time by voluntary resignation (without Good Reason (as hereinafter defined)). If termination of employment is effected by the Executive by voluntary resignation (without Good Reason) or by either party pursuant to Section 3.5 (</w:t>
      </w:r>
      <w:r>
        <w:rPr>
          <w:rFonts w:ascii="Times New Roman" w:cs="Times New Roman" w:eastAsia="Times New Roman" w:hAnsi="Times New Roman"/>
          <w:sz w:val="21"/>
          <w:szCs w:val="21"/>
          <w:u w:val="single" w:color="auto"/>
          <w:color w:val="000000"/>
        </w:rPr>
        <w:t>Termination without Cause by PVH or the Company or for Good Reason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48" w:right="339" w:bottom="1440" w:gutter="0" w:footer="0" w:header="0"/>
        </w:sectPr>
      </w:pPr>
    </w:p>
    <w:bookmarkStart w:id="161" w:name="page162"/>
    <w:bookmarkEnd w:id="161"/>
    <w:p>
      <w:pPr>
        <w:jc w:val="both"/>
        <w:spacing w:after="0" w:line="213" w:lineRule="auto"/>
        <w:rPr>
          <w:sz w:val="20"/>
          <w:szCs w:val="20"/>
          <w:color w:val="auto"/>
        </w:rPr>
      </w:pP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the parties shall observe, a notice period of four months if the Notice of Termination is given by the Executive and eight months if the Notice of Termination is given by PVH, PVH Europe, the Company or any of their affiliates. The notice period shall commence on the first day of the calendar month commencing immediately after the calendar month in which the Notice of Termination is deemed given. During the notice period, the Executive is entitled to Base Salary and all benefits according to the terms and conditions of this Agreement but PVH or the Company may request that the Executive returns all work equipment (such as mobile, laptop, etc.) without any compensation and compensation under Plans may not be payable or may no longer accrue. In addition, with respect to the notice period, the Executive shall be entitled to an amount equal to one-third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33%) or two-thirds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67%) of his target annual bonus for the year of termination of employment depending on whether the Executive has terminated his employment for Good Reason or the Company has terminated employment without Cause, respectively. Such amount shall be payable at the same time as PVH pays annual bonuses to similarly situated executives.</w:t>
      </w:r>
    </w:p>
    <w:p>
      <w:pPr>
        <w:spacing w:after="0" w:line="146" w:lineRule="exact"/>
        <w:rPr>
          <w:sz w:val="20"/>
          <w:szCs w:val="20"/>
          <w:color w:val="auto"/>
        </w:rPr>
      </w:pPr>
    </w:p>
    <w:p>
      <w:pPr>
        <w:jc w:val="both"/>
        <w:ind w:firstLine="625"/>
        <w:spacing w:after="0" w:line="227" w:lineRule="auto"/>
        <w:rPr>
          <w:sz w:val="20"/>
          <w:szCs w:val="20"/>
          <w:color w:val="auto"/>
        </w:rPr>
      </w:pPr>
      <w:r>
        <w:rPr>
          <w:rFonts w:ascii="Times New Roman" w:cs="Times New Roman" w:eastAsia="Times New Roman" w:hAnsi="Times New Roman"/>
          <w:sz w:val="21"/>
          <w:szCs w:val="21"/>
          <w:color w:val="010000"/>
        </w:rPr>
        <w:t xml:space="preserve">3.2 </w:t>
      </w:r>
      <w:r>
        <w:rPr>
          <w:rFonts w:ascii="Times New Roman" w:cs="Times New Roman" w:eastAsia="Times New Roman" w:hAnsi="Times New Roman"/>
          <w:sz w:val="21"/>
          <w:szCs w:val="21"/>
          <w:u w:val="single" w:color="auto"/>
          <w:color w:val="000000"/>
        </w:rPr>
        <w:t>Automatic Termination at Pension Age</w:t>
      </w:r>
      <w:r>
        <w:rPr>
          <w:rFonts w:ascii="Times New Roman" w:cs="Times New Roman" w:eastAsia="Times New Roman" w:hAnsi="Times New Roman"/>
          <w:sz w:val="21"/>
          <w:szCs w:val="21"/>
          <w:color w:val="000000"/>
        </w:rPr>
        <w:t>. This Agreement shall end without notice at the end of the calendar month in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which the Executive reaches the pensionable age within the meaning of the Dutch General Old Age Pensions Act (</w:t>
      </w:r>
      <w:r>
        <w:rPr>
          <w:rFonts w:ascii="Times New Roman" w:cs="Times New Roman" w:eastAsia="Times New Roman" w:hAnsi="Times New Roman"/>
          <w:sz w:val="21"/>
          <w:szCs w:val="21"/>
          <w:i w:val="1"/>
          <w:iCs w:val="1"/>
          <w:color w:val="000000"/>
        </w:rPr>
        <w:t>Algemene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i w:val="1"/>
          <w:iCs w:val="1"/>
          <w:color w:val="000000"/>
        </w:rPr>
        <w:t>Ouderdomswet</w:t>
      </w:r>
      <w:r>
        <w:rPr>
          <w:rFonts w:ascii="Times New Roman" w:cs="Times New Roman" w:eastAsia="Times New Roman" w:hAnsi="Times New Roman"/>
          <w:sz w:val="21"/>
          <w:szCs w:val="21"/>
          <w:color w:val="000000"/>
        </w:rPr>
        <w:t>).</w:t>
      </w:r>
    </w:p>
    <w:p>
      <w:pPr>
        <w:spacing w:after="0" w:line="147" w:lineRule="exact"/>
        <w:rPr>
          <w:sz w:val="20"/>
          <w:szCs w:val="20"/>
          <w:color w:val="auto"/>
        </w:rPr>
      </w:pPr>
    </w:p>
    <w:p>
      <w:pPr>
        <w:jc w:val="both"/>
        <w:ind w:firstLine="625"/>
        <w:spacing w:after="0" w:line="213" w:lineRule="auto"/>
        <w:rPr>
          <w:sz w:val="20"/>
          <w:szCs w:val="20"/>
          <w:color w:val="auto"/>
        </w:rPr>
      </w:pPr>
      <w:r>
        <w:rPr>
          <w:rFonts w:ascii="Times New Roman" w:cs="Times New Roman" w:eastAsia="Times New Roman" w:hAnsi="Times New Roman"/>
          <w:sz w:val="21"/>
          <w:szCs w:val="21"/>
          <w:color w:val="010000"/>
        </w:rPr>
        <w:t xml:space="preserve">3.3 </w:t>
      </w:r>
      <w:r>
        <w:rPr>
          <w:rFonts w:ascii="Times New Roman" w:cs="Times New Roman" w:eastAsia="Times New Roman" w:hAnsi="Times New Roman"/>
          <w:sz w:val="21"/>
          <w:szCs w:val="21"/>
          <w:u w:val="single" w:color="auto"/>
          <w:color w:val="000000"/>
        </w:rPr>
        <w:t>Accrued Rights</w:t>
      </w:r>
      <w:r>
        <w:rPr>
          <w:rFonts w:ascii="Times New Roman" w:cs="Times New Roman" w:eastAsia="Times New Roman" w:hAnsi="Times New Roman"/>
          <w:sz w:val="21"/>
          <w:szCs w:val="21"/>
          <w:color w:val="000000"/>
        </w:rPr>
        <w:t>. The Executive is entitled upon the termination of employment for any reason to the payment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provision, as applicable, of (i) the portion of the Base Salary for periods prior to the effective date of termination accrued but unpaid (if any) as of the effective date of termination, (ii) any accrued but unused holidays (</w:t>
      </w:r>
      <w:r>
        <w:rPr>
          <w:rFonts w:ascii="Times New Roman" w:cs="Times New Roman" w:eastAsia="Times New Roman" w:hAnsi="Times New Roman"/>
          <w:sz w:val="21"/>
          <w:szCs w:val="21"/>
          <w:i w:val="1"/>
          <w:iCs w:val="1"/>
          <w:color w:val="000000"/>
        </w:rPr>
        <w:t>i.e.</w:t>
      </w:r>
      <w:r>
        <w:rPr>
          <w:rFonts w:ascii="Times New Roman" w:cs="Times New Roman" w:eastAsia="Times New Roman" w:hAnsi="Times New Roman"/>
          <w:sz w:val="21"/>
          <w:szCs w:val="21"/>
          <w:color w:val="000000"/>
        </w:rPr>
        <w:t>, personal time off days and non-statutory holidays which, for the avoidance of doubt, does not include public holidays) as of the effective date of termination, to the extent required by applicable law, (iii) all unreimbursed expenses (if any) as of the effective date of termination, subject to Section 2.6 (</w:t>
      </w:r>
      <w:r>
        <w:rPr>
          <w:rFonts w:ascii="Times New Roman" w:cs="Times New Roman" w:eastAsia="Times New Roman" w:hAnsi="Times New Roman"/>
          <w:sz w:val="21"/>
          <w:szCs w:val="21"/>
          <w:u w:val="single" w:color="auto"/>
          <w:color w:val="000000"/>
        </w:rPr>
        <w:t>Expenses</w:t>
      </w:r>
      <w:r>
        <w:rPr>
          <w:rFonts w:ascii="Times New Roman" w:cs="Times New Roman" w:eastAsia="Times New Roman" w:hAnsi="Times New Roman"/>
          <w:sz w:val="21"/>
          <w:szCs w:val="21"/>
          <w:color w:val="000000"/>
        </w:rPr>
        <w:t>), and (iv) other payments, entitlements or benefits, if any, in accordance with terms of the applicable plans, programs, arrangements or other agreements of PVH or the Company or any affiliate thereof (other than any severance plan or policy) as to which the Executive held rights to such payments, entitlements or benefits, whether as a participant, beneficiary or otherwise on the date of termination, together referred to as “Accrued Rights.”</w:t>
      </w:r>
    </w:p>
    <w:p>
      <w:pPr>
        <w:spacing w:after="0" w:line="153" w:lineRule="exact"/>
        <w:rPr>
          <w:sz w:val="20"/>
          <w:szCs w:val="20"/>
          <w:color w:val="auto"/>
        </w:rPr>
      </w:pPr>
    </w:p>
    <w:p>
      <w:pPr>
        <w:jc w:val="both"/>
        <w:ind w:firstLine="625"/>
        <w:spacing w:after="0" w:line="217" w:lineRule="auto"/>
        <w:rPr>
          <w:sz w:val="20"/>
          <w:szCs w:val="20"/>
          <w:color w:val="auto"/>
        </w:rPr>
      </w:pPr>
      <w:r>
        <w:rPr>
          <w:rFonts w:ascii="Times New Roman" w:cs="Times New Roman" w:eastAsia="Times New Roman" w:hAnsi="Times New Roman"/>
          <w:sz w:val="21"/>
          <w:szCs w:val="21"/>
          <w:color w:val="010000"/>
        </w:rPr>
        <w:t xml:space="preserve">3.4 </w:t>
      </w:r>
      <w:r>
        <w:rPr>
          <w:rFonts w:ascii="Times New Roman" w:cs="Times New Roman" w:eastAsia="Times New Roman" w:hAnsi="Times New Roman"/>
          <w:sz w:val="21"/>
          <w:szCs w:val="21"/>
          <w:u w:val="single" w:color="auto"/>
          <w:color w:val="000000"/>
        </w:rPr>
        <w:t>Termination for Cause by PVH or the Company</w:t>
      </w:r>
      <w:r>
        <w:rPr>
          <w:rFonts w:ascii="Times New Roman" w:cs="Times New Roman" w:eastAsia="Times New Roman" w:hAnsi="Times New Roman"/>
          <w:sz w:val="21"/>
          <w:szCs w:val="21"/>
          <w:color w:val="000000"/>
        </w:rPr>
        <w:t>. PVH, PVH Europe or the Company shall be entitled to terminate this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Agreement and the Executive’s employment with immediate effect for Cause. Upon such termination, none of PVH, the Company nor any of their affiliates shall have any further obligation to the Executive hereunder except for the payment or provision, as applicable, of the Accrued Rights. For the avoidance of doubt, the Executive shall have no right to receive any amounts under any severance policy of PVH or any of its affiliates, including but not limited to the Company, as then in effect (if any) upon the Executive’s termination for Cause.</w:t>
      </w:r>
    </w:p>
    <w:p>
      <w:pPr>
        <w:spacing w:after="0" w:line="147" w:lineRule="exact"/>
        <w:rPr>
          <w:sz w:val="20"/>
          <w:szCs w:val="20"/>
          <w:color w:val="auto"/>
        </w:rPr>
      </w:pPr>
    </w:p>
    <w:p>
      <w:pPr>
        <w:jc w:val="both"/>
        <w:ind w:firstLine="1253"/>
        <w:spacing w:after="0" w:line="212" w:lineRule="auto"/>
        <w:tabs>
          <w:tab w:leader="none" w:pos="1870" w:val="left"/>
        </w:tabs>
        <w:numPr>
          <w:ilvl w:val="0"/>
          <w:numId w:val="1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Definition of Cause</w:t>
      </w:r>
      <w:r>
        <w:rPr>
          <w:rFonts w:ascii="Times New Roman" w:cs="Times New Roman" w:eastAsia="Times New Roman" w:hAnsi="Times New Roman"/>
          <w:sz w:val="21"/>
          <w:szCs w:val="21"/>
          <w:color w:val="auto"/>
        </w:rPr>
        <w:t xml:space="preserve">. “Cause” as used in this Agreement means: (i) gross negligence or willful misconduct, as the case may be, (A) in the performance of the material responsibilities of the Executive’s office or position, which results in material economic harm to PVH, the Company or any of their affiliates or (B) that results in material reputational harm to PVH, the Company or any of their affiliates; (ii) the willful and continued failure of the Executive to perform substantially the Executive’s duties as an employee of the Company and in respect of the businesses of PVH and its affiliates (other than any such failure resulting from incapacity due to physical or mental illness), after a written demand from PVH, PVH Europe or the Company for substantial performance is delivered to the Executive that specifically identifies the manner in which the notice states that the Executive has not substantially performed the Executive’s duties, and the Executive has not cured such failure to the reasonable satisfaction of PVH, PVH Europe or the Company, as applicable, within 20 days following the Executive’s receipt of such written demand; (iii) the Executive is convicted of, or pleads 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or enters a plea to a similar effect, to a felony or comparable crime within the meaning of applicable law or a crime of moral turpitude; (iv) the Executive having willfully divulged, furnished or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48" w:right="339" w:bottom="1440" w:gutter="0" w:footer="0" w:header="0"/>
        </w:sectPr>
      </w:pPr>
    </w:p>
    <w:bookmarkStart w:id="162" w:name="page163"/>
    <w:bookmarkEnd w:id="162"/>
    <w:p>
      <w:pPr>
        <w:jc w:val="both"/>
        <w:spacing w:after="0" w:line="217" w:lineRule="auto"/>
        <w:rPr>
          <w:sz w:val="20"/>
          <w:szCs w:val="20"/>
          <w:color w:val="auto"/>
        </w:rPr>
      </w:pPr>
      <w:r>
        <w:rPr>
          <w:rFonts w:ascii="Times New Roman" w:cs="Times New Roman" w:eastAsia="Times New Roman" w:hAnsi="Times New Roman"/>
          <w:sz w:val="21"/>
          <w:szCs w:val="21"/>
          <w:color w:val="auto"/>
        </w:rPr>
        <w:t>accessible any Confidential Information (as hereinafter defined) to anyone other than PVH, the Company and any of their affiliates or their respective directors, officers, employees, auditors and legal advisors, as appropriate in the ordinary course of business; (v) any act or failure to act by the Executive, which, under the provisions of applicable law, disqualifies the Executive from acting in any or all capacities in which the Executive is then acting hereunder; (vi) any material breach of this Agreement, PVH’s Code of Business Conduct and Ethics or any other material Company or PVH policy; or (vii) any other urgent reason within the meaning of Article 7:677 or 7:678 of the Dutch Civil Code (“DCC”).</w:t>
      </w:r>
    </w:p>
    <w:p>
      <w:pPr>
        <w:spacing w:after="0" w:line="147" w:lineRule="exact"/>
        <w:rPr>
          <w:sz w:val="20"/>
          <w:szCs w:val="20"/>
          <w:color w:val="auto"/>
        </w:rPr>
      </w:pPr>
    </w:p>
    <w:p>
      <w:pPr>
        <w:jc w:val="both"/>
        <w:ind w:firstLine="1253"/>
        <w:spacing w:after="0" w:line="215" w:lineRule="auto"/>
        <w:tabs>
          <w:tab w:leader="none" w:pos="1869" w:val="left"/>
        </w:tabs>
        <w:numPr>
          <w:ilvl w:val="0"/>
          <w:numId w:val="1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Definition of Willful</w:t>
      </w:r>
      <w:r>
        <w:rPr>
          <w:rFonts w:ascii="Times New Roman" w:cs="Times New Roman" w:eastAsia="Times New Roman" w:hAnsi="Times New Roman"/>
          <w:sz w:val="21"/>
          <w:szCs w:val="21"/>
          <w:color w:val="auto"/>
        </w:rPr>
        <w:t>. For purposes of Section 3.4(a) (</w:t>
      </w:r>
      <w:r>
        <w:rPr>
          <w:rFonts w:ascii="Times New Roman" w:cs="Times New Roman" w:eastAsia="Times New Roman" w:hAnsi="Times New Roman"/>
          <w:sz w:val="21"/>
          <w:szCs w:val="21"/>
          <w:u w:val="single" w:color="auto"/>
          <w:color w:val="auto"/>
        </w:rPr>
        <w:t>Definition of Cause</w:t>
      </w:r>
      <w:r>
        <w:rPr>
          <w:rFonts w:ascii="Times New Roman" w:cs="Times New Roman" w:eastAsia="Times New Roman" w:hAnsi="Times New Roman"/>
          <w:sz w:val="21"/>
          <w:szCs w:val="21"/>
          <w:color w:val="auto"/>
        </w:rPr>
        <w:t>), no act or failure to act on the part of the Executive shall be considered “willful” unless it is done, or omitted to be done, by the Executive in bad faith or without reasonable belief that the Executive’s action or omission was in the best interests of PVH, PVH Europe or the Company or its affiliates. Any act, or failure to act based upon authority given pursuant to a resolution duly adopted by the Board or upon the instructions of the Board or a PVH Executive Officer (as designated by the Board pursuant to Rule 3b-7 of the U.S. Securities Exchange Act of 1934) or based upon the advice of counsel for PVH, PVH Europe or the Company shall be conclusively presumed to be done, or omitted to be done, by the Executive in good faith and in the best interests of PVH, the Company and its affiliates.</w:t>
      </w:r>
    </w:p>
    <w:p>
      <w:pPr>
        <w:spacing w:after="0" w:line="151" w:lineRule="exact"/>
        <w:rPr>
          <w:sz w:val="20"/>
          <w:szCs w:val="20"/>
          <w:color w:val="auto"/>
        </w:rPr>
      </w:pPr>
    </w:p>
    <w:p>
      <w:pPr>
        <w:jc w:val="both"/>
        <w:ind w:firstLine="625"/>
        <w:spacing w:after="0" w:line="209" w:lineRule="auto"/>
        <w:rPr>
          <w:sz w:val="20"/>
          <w:szCs w:val="20"/>
          <w:color w:val="auto"/>
        </w:rPr>
      </w:pPr>
      <w:r>
        <w:rPr>
          <w:rFonts w:ascii="Times New Roman" w:cs="Times New Roman" w:eastAsia="Times New Roman" w:hAnsi="Times New Roman"/>
          <w:sz w:val="21"/>
          <w:szCs w:val="21"/>
          <w:color w:val="010000"/>
        </w:rPr>
        <w:t xml:space="preserve">3.5 </w:t>
      </w:r>
      <w:r>
        <w:rPr>
          <w:rFonts w:ascii="Times New Roman" w:cs="Times New Roman" w:eastAsia="Times New Roman" w:hAnsi="Times New Roman"/>
          <w:sz w:val="21"/>
          <w:szCs w:val="21"/>
          <w:u w:val="single" w:color="auto"/>
          <w:color w:val="000000"/>
        </w:rPr>
        <w:t>Termination without Cause by PVH or the Company or for Good Reason by the Executive</w:t>
      </w:r>
      <w:r>
        <w:rPr>
          <w:rFonts w:ascii="Times New Roman" w:cs="Times New Roman" w:eastAsia="Times New Roman" w:hAnsi="Times New Roman"/>
          <w:sz w:val="21"/>
          <w:szCs w:val="21"/>
          <w:color w:val="000000"/>
        </w:rPr>
        <w:t>. If PVH or the Company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terminates the Executive’s employment without Cause or the Executive terminates the Executive’s employment with PVH or the Company for Good Reason, the Executive shall be entitled to (i) an aggregate amount (the “Severance Amount”) equal to the Multiple (as defined below) times (1) the Base Salary, plus (2) an amount equal to the bonus that would be payable if “target” level performance were achieved under the annual bonus plan in which the Executive participates (if any) in respect of the fiscal year during which the termination occurs (or the prior fiscal year, if a bonus opportunity has not been established for the year of termination), subject to compliance by the Executive with the restrictive covenants in Section 5 of this Agreement; and (ii) the payment or provision of the Accrued Rights. The Severance Amount shall be deemed to include all statutory severance payments and benefits in connection with the termination of this Agreement. Any payments related to the restrictive covenants in Section 5 of this Agreement, including without limitation, Section 5.3 (</w:t>
      </w:r>
      <w:r>
        <w:rPr>
          <w:rFonts w:ascii="Times New Roman" w:cs="Times New Roman" w:eastAsia="Times New Roman" w:hAnsi="Times New Roman"/>
          <w:sz w:val="21"/>
          <w:szCs w:val="21"/>
          <w:u w:val="single" w:color="auto"/>
          <w:color w:val="000000"/>
        </w:rPr>
        <w:t>Non-Interference</w:t>
      </w:r>
      <w:r>
        <w:rPr>
          <w:rFonts w:ascii="Times New Roman" w:cs="Times New Roman" w:eastAsia="Times New Roman" w:hAnsi="Times New Roman"/>
          <w:sz w:val="21"/>
          <w:szCs w:val="21"/>
          <w:color w:val="000000"/>
        </w:rPr>
        <w:t>), Section 5.4 (</w:t>
      </w:r>
      <w:r>
        <w:rPr>
          <w:rFonts w:ascii="Times New Roman" w:cs="Times New Roman" w:eastAsia="Times New Roman" w:hAnsi="Times New Roman"/>
          <w:sz w:val="21"/>
          <w:szCs w:val="21"/>
          <w:u w:val="single" w:color="auto"/>
          <w:color w:val="000000"/>
        </w:rPr>
        <w:t>Non-Competition Restriction</w:t>
      </w:r>
      <w:r>
        <w:rPr>
          <w:rFonts w:ascii="Times New Roman" w:cs="Times New Roman" w:eastAsia="Times New Roman" w:hAnsi="Times New Roman"/>
          <w:sz w:val="21"/>
          <w:szCs w:val="21"/>
          <w:color w:val="000000"/>
        </w:rPr>
        <w:t>) or Section 5.5 (</w:t>
      </w:r>
      <w:r>
        <w:rPr>
          <w:rFonts w:ascii="Times New Roman" w:cs="Times New Roman" w:eastAsia="Times New Roman" w:hAnsi="Times New Roman"/>
          <w:sz w:val="21"/>
          <w:szCs w:val="21"/>
          <w:u w:val="single" w:color="auto"/>
          <w:color w:val="000000"/>
        </w:rPr>
        <w:t>Non-Solicitation of Employees</w:t>
      </w:r>
      <w:r>
        <w:rPr>
          <w:rFonts w:ascii="Times New Roman" w:cs="Times New Roman" w:eastAsia="Times New Roman" w:hAnsi="Times New Roman"/>
          <w:sz w:val="21"/>
          <w:szCs w:val="21"/>
          <w:color w:val="000000"/>
        </w:rPr>
        <w:t>), whether arising from statutory compensation, court-awarded amounts or contractual agreements, shall be deducted from the Severance Amount. For the avoidance of doubt, the Severance Amount shall never accumulate with any severance payment such as the fairness compensation (</w:t>
      </w:r>
      <w:r>
        <w:rPr>
          <w:rFonts w:ascii="Times New Roman" w:cs="Times New Roman" w:eastAsia="Times New Roman" w:hAnsi="Times New Roman"/>
          <w:sz w:val="21"/>
          <w:szCs w:val="21"/>
          <w:i w:val="1"/>
          <w:iCs w:val="1"/>
          <w:color w:val="000000"/>
        </w:rPr>
        <w:t>billijke vergoeding</w:t>
      </w:r>
      <w:r>
        <w:rPr>
          <w:rFonts w:ascii="Times New Roman" w:cs="Times New Roman" w:eastAsia="Times New Roman" w:hAnsi="Times New Roman"/>
          <w:sz w:val="21"/>
          <w:szCs w:val="21"/>
          <w:color w:val="000000"/>
        </w:rPr>
        <w:t>), the statutory severance payment (</w:t>
      </w:r>
      <w:r>
        <w:rPr>
          <w:rFonts w:ascii="Times New Roman" w:cs="Times New Roman" w:eastAsia="Times New Roman" w:hAnsi="Times New Roman"/>
          <w:sz w:val="21"/>
          <w:szCs w:val="21"/>
          <w:i w:val="1"/>
          <w:iCs w:val="1"/>
          <w:color w:val="000000"/>
        </w:rPr>
        <w:t>transitievergoeding</w:t>
      </w:r>
      <w:r>
        <w:rPr>
          <w:rFonts w:ascii="Times New Roman" w:cs="Times New Roman" w:eastAsia="Times New Roman" w:hAnsi="Times New Roman"/>
          <w:sz w:val="21"/>
          <w:szCs w:val="21"/>
          <w:color w:val="000000"/>
        </w:rPr>
        <w:t>) or any payments connected to the restrictive covenants in Section 5 of this Agreement, irrespective of whether such payments are due to the Executive under the DCC or not. The Severance Amount shall be paid in 12 substantially equal monthly installment payments and on the same schedule that Base Salary was paid immediately prior to the date of termination of the Executive’s employment, commencing on the first such scheduled payroll date that occurs on or following the date that is 30 days after the date of termination of employment, subject to the Executive delivering a Settlement Agreement, as defined in and contemplated by Section 4 (</w:t>
      </w:r>
      <w:r>
        <w:rPr>
          <w:rFonts w:ascii="Times New Roman" w:cs="Times New Roman" w:eastAsia="Times New Roman" w:hAnsi="Times New Roman"/>
          <w:sz w:val="21"/>
          <w:szCs w:val="21"/>
          <w:u w:val="single" w:color="auto"/>
          <w:color w:val="000000"/>
        </w:rPr>
        <w:t>Full and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Final Settlement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i w:val="1"/>
          <w:iCs w:val="1"/>
          <w:color w:val="000000"/>
        </w:rPr>
        <w:t>however</w:t>
      </w:r>
      <w:r>
        <w:rPr>
          <w:rFonts w:ascii="Times New Roman" w:cs="Times New Roman" w:eastAsia="Times New Roman" w:hAnsi="Times New Roman"/>
          <w:sz w:val="21"/>
          <w:szCs w:val="21"/>
          <w:color w:val="000000"/>
        </w:rPr>
        <w:t>, that if the Executive’s termination of employment by PVH or the Company without Cause or by the Executive for Good Reason occurs within two years after the occurrence of a Change in Control (as defined in the Stock Incentive Plan), then the Severance Amount shall be paid in a lump sum on the first scheduled payroll date (in accordance with PVH or the Company’s payroll schedule in effect for the Executive immediately prior to such termination) that occurs on or following the date that is 30 days after the Executive’s termination of employment, subject to the Executive delivering a Settlement Agreement.</w:t>
      </w:r>
    </w:p>
    <w:p>
      <w:pPr>
        <w:spacing w:after="0" w:line="159" w:lineRule="exact"/>
        <w:rPr>
          <w:sz w:val="20"/>
          <w:szCs w:val="20"/>
          <w:color w:val="auto"/>
        </w:rPr>
      </w:pPr>
    </w:p>
    <w:p>
      <w:pPr>
        <w:ind w:firstLine="1253"/>
        <w:spacing w:after="0" w:line="238" w:lineRule="auto"/>
        <w:tabs>
          <w:tab w:leader="none" w:pos="1870" w:val="left"/>
        </w:tabs>
        <w:numPr>
          <w:ilvl w:val="0"/>
          <w:numId w:val="11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Definition of Good Reason</w:t>
      </w:r>
      <w:r>
        <w:rPr>
          <w:rFonts w:ascii="Times New Roman" w:cs="Times New Roman" w:eastAsia="Times New Roman" w:hAnsi="Times New Roman"/>
          <w:sz w:val="21"/>
          <w:szCs w:val="21"/>
          <w:color w:val="auto"/>
        </w:rPr>
        <w:t>. “Good Reason” as used in this Agreement means the occurrence of any of the following events or circumstances without the Executive’s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48" w:right="339" w:bottom="1440" w:gutter="0" w:footer="0" w:header="0"/>
        </w:sectPr>
      </w:pPr>
    </w:p>
    <w:bookmarkStart w:id="163" w:name="page164"/>
    <w:bookmarkEnd w:id="163"/>
    <w:p>
      <w:pPr>
        <w:jc w:val="both"/>
        <w:ind w:left="620" w:firstLine="1257"/>
        <w:spacing w:after="0" w:line="213" w:lineRule="auto"/>
        <w:tabs>
          <w:tab w:leader="none" w:pos="2481" w:val="left"/>
        </w:tabs>
        <w:numPr>
          <w:ilvl w:val="0"/>
          <w:numId w:val="1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assignment to the Executive of any duties inconsistent in any material respect with the Executive’s position (including status and title), authority, duties or responsibilities as contemplated by Section 1.2 (</w:t>
      </w:r>
      <w:r>
        <w:rPr>
          <w:rFonts w:ascii="Times New Roman" w:cs="Times New Roman" w:eastAsia="Times New Roman" w:hAnsi="Times New Roman"/>
          <w:sz w:val="21"/>
          <w:szCs w:val="21"/>
          <w:u w:val="single" w:color="auto"/>
          <w:color w:val="auto"/>
        </w:rPr>
        <w:t>Position and Duties</w:t>
      </w:r>
      <w:r>
        <w:rPr>
          <w:rFonts w:ascii="Times New Roman" w:cs="Times New Roman" w:eastAsia="Times New Roman" w:hAnsi="Times New Roman"/>
          <w:sz w:val="21"/>
          <w:szCs w:val="21"/>
          <w:color w:val="auto"/>
        </w:rPr>
        <w:t>) (or following a Change in Control, as in effect immediately prior to such Change in Control), or any other action by the Company or PVH that results in a material diminution in such position, authority, duties or responsibilities, excluding for this purpose (1) an isolated, insubstantial or inadvertent action not taken in bad faith, (2) any action that is remedied promptly after receipt of notice thereof given to PVH or the Company by the Executive and (3) the assignment of additional or alternate duties or responsibilities to the Executive in connection with the Executive’s professional development or the reallocation of some of the Executive’s duties or responsibilities to other executives or employees in connection with the evolution of the Executive’s position;</w:t>
      </w:r>
    </w:p>
    <w:p>
      <w:pPr>
        <w:spacing w:after="0" w:line="152" w:lineRule="exact"/>
        <w:rPr>
          <w:rFonts w:ascii="Times New Roman" w:cs="Times New Roman" w:eastAsia="Times New Roman" w:hAnsi="Times New Roman"/>
          <w:sz w:val="21"/>
          <w:szCs w:val="21"/>
          <w:color w:val="010000"/>
        </w:rPr>
      </w:pPr>
    </w:p>
    <w:p>
      <w:pPr>
        <w:ind w:left="620" w:firstLine="1257"/>
        <w:spacing w:after="0" w:line="238" w:lineRule="auto"/>
        <w:tabs>
          <w:tab w:leader="none" w:pos="2487" w:val="left"/>
        </w:tabs>
        <w:numPr>
          <w:ilvl w:val="0"/>
          <w:numId w:val="1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reduction of the Base Salary, unless the Board imposes similar reductions on base salaries for other similarly situated executives;</w:t>
      </w:r>
    </w:p>
    <w:p>
      <w:pPr>
        <w:spacing w:after="0" w:line="145" w:lineRule="exact"/>
        <w:rPr>
          <w:rFonts w:ascii="Times New Roman" w:cs="Times New Roman" w:eastAsia="Times New Roman" w:hAnsi="Times New Roman"/>
          <w:sz w:val="21"/>
          <w:szCs w:val="21"/>
          <w:color w:val="010000"/>
        </w:rPr>
      </w:pPr>
    </w:p>
    <w:p>
      <w:pPr>
        <w:jc w:val="both"/>
        <w:ind w:left="620" w:firstLine="1257"/>
        <w:spacing w:after="0" w:line="233" w:lineRule="auto"/>
        <w:tabs>
          <w:tab w:leader="none" w:pos="2493"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taking of any action by the Company or PVH that substantially diminishes (1) the aggregate value of the Executive’s total compensation opportunity or (2) the aggregate value of the employee benefits provided to the Executive, in each case relative to all other similarly situated senior executives pursuant to the Company’s or PVH’s employee benefit and insurance plans as in effect (or, following a Change in Control, as in effect immediately prior to such Change in Control);</w:t>
      </w:r>
    </w:p>
    <w:p>
      <w:pPr>
        <w:spacing w:after="0" w:line="147" w:lineRule="exact"/>
        <w:rPr>
          <w:rFonts w:ascii="Times New Roman" w:cs="Times New Roman" w:eastAsia="Times New Roman" w:hAnsi="Times New Roman"/>
          <w:sz w:val="20"/>
          <w:szCs w:val="20"/>
          <w:color w:val="010000"/>
        </w:rPr>
      </w:pPr>
    </w:p>
    <w:p>
      <w:pPr>
        <w:jc w:val="both"/>
        <w:ind w:left="620" w:firstLine="1257"/>
        <w:spacing w:after="0" w:line="219" w:lineRule="auto"/>
        <w:tabs>
          <w:tab w:leader="none" w:pos="2481" w:val="left"/>
        </w:tabs>
        <w:numPr>
          <w:ilvl w:val="0"/>
          <w:numId w:val="1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requiring that the Executive’s services be rendered primarily at a location or locations more than 120 kilometers from Amsterdam, where PVH Europe’s headquarters are located, except for travel, and visits to offices and facilities worldwide operated by PVH, its affiliates and their existing and potential business partners, as reasonably required for the Executive to perform his duties and responsibilities and to attend to the business of the Company, PVH and their affiliates; or</w:t>
      </w:r>
    </w:p>
    <w:p>
      <w:pPr>
        <w:spacing w:after="0" w:line="147" w:lineRule="exact"/>
        <w:rPr>
          <w:rFonts w:ascii="Times New Roman" w:cs="Times New Roman" w:eastAsia="Times New Roman" w:hAnsi="Times New Roman"/>
          <w:sz w:val="21"/>
          <w:szCs w:val="21"/>
          <w:color w:val="010000"/>
        </w:rPr>
      </w:pPr>
    </w:p>
    <w:p>
      <w:pPr>
        <w:jc w:val="both"/>
        <w:ind w:left="620" w:firstLine="1257"/>
        <w:spacing w:after="0" w:line="227" w:lineRule="auto"/>
        <w:tabs>
          <w:tab w:leader="none" w:pos="2489" w:val="left"/>
        </w:tabs>
        <w:numPr>
          <w:ilvl w:val="0"/>
          <w:numId w:val="11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failure to require any successor (whether direct or indirect, by purchase, merger, consolidation or otherwise) to the Business (as defined below) to all or substantially all of the business or assets of the Business to assume expressly and agree to perform this Agreement.</w:t>
      </w:r>
    </w:p>
    <w:p>
      <w:pPr>
        <w:spacing w:after="0" w:line="173" w:lineRule="exact"/>
        <w:rPr>
          <w:sz w:val="20"/>
          <w:szCs w:val="20"/>
          <w:color w:val="auto"/>
        </w:rPr>
      </w:pPr>
    </w:p>
    <w:p>
      <w:pPr>
        <w:jc w:val="both"/>
        <w:ind w:firstLine="625"/>
        <w:spacing w:after="0" w:line="257" w:lineRule="auto"/>
        <w:rPr>
          <w:sz w:val="20"/>
          <w:szCs w:val="20"/>
          <w:color w:val="auto"/>
        </w:rPr>
      </w:pPr>
      <w:r>
        <w:rPr>
          <w:rFonts w:ascii="Times New Roman" w:cs="Times New Roman" w:eastAsia="Times New Roman" w:hAnsi="Times New Roman"/>
          <w:sz w:val="21"/>
          <w:szCs w:val="21"/>
          <w:color w:val="auto"/>
        </w:rPr>
        <w:t>The Executive can only terminate employment for Good Reason if (1) PVH or the Company receives a Notice of Termination from the Executive within 60 days following the occurrence of the event claimed to give rise to the right to resign for Good Reason;</w:t>
      </w:r>
    </w:p>
    <w:p>
      <w:pPr>
        <w:spacing w:after="0" w:line="1" w:lineRule="exact"/>
        <w:rPr>
          <w:sz w:val="20"/>
          <w:szCs w:val="20"/>
          <w:color w:val="auto"/>
        </w:rPr>
      </w:pPr>
    </w:p>
    <w:p>
      <w:pPr>
        <w:jc w:val="both"/>
        <w:ind w:firstLine="4"/>
        <w:spacing w:after="0" w:line="250" w:lineRule="auto"/>
        <w:tabs>
          <w:tab w:leader="none" w:pos="315"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PVH or any of their affiliates fail to cure the event constituting Good Reason within 30 days after receipt of the Notice of Termination; and (3) the Executive terminates the Executive’s employment in writing within 30 days following the expiration of such cure period;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in all cases, the Executive must observe the notice period set forth in Section 3.1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which shall commence on the first day of the calendar month following the month in which the Executive gives the writing referenced in clause (3) of this paragraph.</w:t>
      </w:r>
    </w:p>
    <w:p>
      <w:pPr>
        <w:spacing w:after="0" w:line="123" w:lineRule="exact"/>
        <w:rPr>
          <w:rFonts w:ascii="Times New Roman" w:cs="Times New Roman" w:eastAsia="Times New Roman" w:hAnsi="Times New Roman"/>
          <w:sz w:val="21"/>
          <w:szCs w:val="21"/>
          <w:color w:val="auto"/>
        </w:rPr>
      </w:pPr>
    </w:p>
    <w:p>
      <w:pPr>
        <w:ind w:firstLine="1253"/>
        <w:spacing w:after="0" w:line="238" w:lineRule="auto"/>
        <w:tabs>
          <w:tab w:leader="none" w:pos="1869" w:val="left"/>
        </w:tabs>
        <w:numPr>
          <w:ilvl w:val="1"/>
          <w:numId w:val="1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Definition of Multiple</w:t>
      </w:r>
      <w:r>
        <w:rPr>
          <w:rFonts w:ascii="Times New Roman" w:cs="Times New Roman" w:eastAsia="Times New Roman" w:hAnsi="Times New Roman"/>
          <w:sz w:val="21"/>
          <w:szCs w:val="21"/>
          <w:color w:val="auto"/>
        </w:rPr>
        <w:t>. Multiple, as used in Section 3.5 means (i) 1.67, if the Executive voluntarily terminates employment for Good Reason and (ii) 1.33, if PVH or the Company terminates the Executive’s employment without Cause.</w:t>
      </w:r>
    </w:p>
    <w:p>
      <w:pPr>
        <w:spacing w:after="0" w:line="145" w:lineRule="exact"/>
        <w:rPr>
          <w:rFonts w:ascii="Times New Roman" w:cs="Times New Roman" w:eastAsia="Times New Roman" w:hAnsi="Times New Roman"/>
          <w:sz w:val="21"/>
          <w:szCs w:val="21"/>
          <w:color w:val="010000"/>
        </w:rPr>
      </w:pPr>
    </w:p>
    <w:p>
      <w:pPr>
        <w:ind w:left="1880" w:hanging="627"/>
        <w:spacing w:after="0"/>
        <w:tabs>
          <w:tab w:leader="none" w:pos="1880" w:val="left"/>
        </w:tabs>
        <w:numPr>
          <w:ilvl w:val="1"/>
          <w:numId w:val="1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Notice Period</w:t>
      </w:r>
      <w:r>
        <w:rPr>
          <w:rFonts w:ascii="Times New Roman" w:cs="Times New Roman" w:eastAsia="Times New Roman" w:hAnsi="Times New Roman"/>
          <w:sz w:val="21"/>
          <w:szCs w:val="21"/>
          <w:color w:val="auto"/>
        </w:rPr>
        <w:t>.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48" w:right="339" w:bottom="1440" w:gutter="0" w:footer="0" w:header="0"/>
        </w:sectPr>
      </w:pPr>
    </w:p>
    <w:bookmarkStart w:id="164" w:name="page165"/>
    <w:bookmarkEnd w:id="164"/>
    <w:p>
      <w:pPr>
        <w:jc w:val="both"/>
        <w:ind w:left="620" w:firstLine="1257"/>
        <w:spacing w:after="0" w:line="239" w:lineRule="auto"/>
        <w:tabs>
          <w:tab w:leader="none" w:pos="2481"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Severance Amount is independent of and paid during periods subsequent to the notice periods set forth in Section 3.1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During any notice period, the Executive shall continue to be paid the Base Salary in accordance with the Company’s pay practices (among others in case the Executive is on garden leave in accordance with Section 3.8).</w:t>
      </w:r>
    </w:p>
    <w:p>
      <w:pPr>
        <w:spacing w:after="0" w:line="145" w:lineRule="exact"/>
        <w:rPr>
          <w:rFonts w:ascii="Times New Roman" w:cs="Times New Roman" w:eastAsia="Times New Roman" w:hAnsi="Times New Roman"/>
          <w:sz w:val="20"/>
          <w:szCs w:val="20"/>
          <w:color w:val="010000"/>
        </w:rPr>
      </w:pPr>
    </w:p>
    <w:p>
      <w:pPr>
        <w:jc w:val="both"/>
        <w:ind w:left="620" w:firstLine="1257"/>
        <w:spacing w:after="0" w:line="219" w:lineRule="auto"/>
        <w:tabs>
          <w:tab w:leader="none" w:pos="2487" w:val="left"/>
        </w:tabs>
        <w:numPr>
          <w:ilvl w:val="0"/>
          <w:numId w:val="1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intent of the parties is that if the Executive’s employment is terminated by the Company without Cause or by the Executive for Good Reason then the combination of notice pay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the Base Salary plus the Executive’s target bonus amount regardless of the Company’s performance), the Executive’s prorata bonus payout for the notice period at the target bonus amount, and the applicable Severance Amount will equal two times the sum of the Base Salary plus the Executive’s target bonus amount.</w:t>
      </w:r>
    </w:p>
    <w:p>
      <w:pPr>
        <w:spacing w:after="0" w:line="138"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21"/>
          <w:szCs w:val="21"/>
          <w:color w:val="010000"/>
        </w:rPr>
        <w:t>3.6</w:t>
      </w:r>
      <w:r>
        <w:rPr>
          <w:sz w:val="20"/>
          <w:szCs w:val="20"/>
          <w:color w:val="auto"/>
        </w:rPr>
        <w:tab/>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The Executive’s employment shall be terminable due to the disability of the Executive pursuant to article</w:t>
      </w:r>
    </w:p>
    <w:p>
      <w:pPr>
        <w:jc w:val="both"/>
        <w:spacing w:after="0" w:line="219" w:lineRule="auto"/>
        <w:rPr>
          <w:sz w:val="20"/>
          <w:szCs w:val="20"/>
          <w:color w:val="auto"/>
        </w:rPr>
      </w:pPr>
      <w:r>
        <w:rPr>
          <w:rFonts w:ascii="Times New Roman" w:cs="Times New Roman" w:eastAsia="Times New Roman" w:hAnsi="Times New Roman"/>
          <w:sz w:val="21"/>
          <w:szCs w:val="21"/>
          <w:color w:val="auto"/>
        </w:rPr>
        <w:t>7:669, paragraph 3(b) of the DCC (“Disability”). If the Executive’s employment is terminated due to the Executive’s Disability, PVH or the Company shall have no further obligation to the Executive hereunder except for (i) the payment of statutory severance (</w:t>
      </w:r>
      <w:r>
        <w:rPr>
          <w:rFonts w:ascii="Times New Roman" w:cs="Times New Roman" w:eastAsia="Times New Roman" w:hAnsi="Times New Roman"/>
          <w:sz w:val="21"/>
          <w:szCs w:val="21"/>
          <w:i w:val="1"/>
          <w:iCs w:val="1"/>
          <w:color w:val="auto"/>
        </w:rPr>
        <w:t>transitievergoeding</w:t>
      </w:r>
      <w:r>
        <w:rPr>
          <w:rFonts w:ascii="Times New Roman" w:cs="Times New Roman" w:eastAsia="Times New Roman" w:hAnsi="Times New Roman"/>
          <w:sz w:val="21"/>
          <w:szCs w:val="21"/>
          <w:color w:val="auto"/>
        </w:rPr>
        <w:t>) and (ii) the payment or provision of the Accrued Rights.</w:t>
      </w:r>
    </w:p>
    <w:p>
      <w:pPr>
        <w:spacing w:after="0" w:line="148" w:lineRule="exact"/>
        <w:rPr>
          <w:sz w:val="20"/>
          <w:szCs w:val="20"/>
          <w:color w:val="auto"/>
        </w:rPr>
      </w:pPr>
    </w:p>
    <w:p>
      <w:pPr>
        <w:jc w:val="both"/>
        <w:ind w:firstLine="625"/>
        <w:spacing w:after="0" w:line="212" w:lineRule="auto"/>
        <w:rPr>
          <w:sz w:val="20"/>
          <w:szCs w:val="20"/>
          <w:color w:val="auto"/>
        </w:rPr>
      </w:pPr>
      <w:r>
        <w:rPr>
          <w:rFonts w:ascii="Times New Roman" w:cs="Times New Roman" w:eastAsia="Times New Roman" w:hAnsi="Times New Roman"/>
          <w:sz w:val="21"/>
          <w:szCs w:val="21"/>
          <w:color w:val="010000"/>
        </w:rPr>
        <w:t xml:space="preserve">3.7 </w:t>
      </w:r>
      <w:r>
        <w:rPr>
          <w:rFonts w:ascii="Times New Roman" w:cs="Times New Roman" w:eastAsia="Times New Roman" w:hAnsi="Times New Roman"/>
          <w:sz w:val="21"/>
          <w:szCs w:val="21"/>
          <w:u w:val="single" w:color="auto"/>
          <w:color w:val="000000"/>
        </w:rPr>
        <w:t>No Severance for Certain Sales</w:t>
      </w:r>
      <w:r>
        <w:rPr>
          <w:rFonts w:ascii="Times New Roman" w:cs="Times New Roman" w:eastAsia="Times New Roman" w:hAnsi="Times New Roman"/>
          <w:sz w:val="21"/>
          <w:szCs w:val="21"/>
          <w:color w:val="000000"/>
        </w:rPr>
        <w:t>. Notwithstanding anything in this Agreement to the contrary and whether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Executive’s employment may be deemed to be terminated under applicable law or otherwise, the Executive’s employment hereunder shall not be deemed terminated and the Executive shall not be entitled to the Severance Amount if the subsidiary, business or operating unit or division in which the Executive is then employed (the “Business”) is sold, spun off or otherwise disposed of by PVH or the Company, regardless of the form or nature of such transaction, and either (a) the Executive continues employment in substantially the same or a greater capacity in regard to the Business as immediately prior to the transaction, regardless of the terms of such employment, or (b) the Executive is offered continued employment in connection with such transaction (whether or not the Executive accepts the offer) and either (i) this Agreement is to be assumed by the acquirer of the Business or is to be continued as a result of a transaction involving a change in control of the entity then employing the Executive or (ii) the Executive is offered employment in substantially the same or a greater capacity in regard to the Business and (A) the Executive’s base salary is no less than the Base Salary then in effect and (B) all other compensation and benefits offered to the Executive are consistent with similarly situated executives with the new employer (including in comparable affiliates).</w:t>
      </w:r>
    </w:p>
    <w:p>
      <w:pPr>
        <w:spacing w:after="0" w:line="146" w:lineRule="exact"/>
        <w:rPr>
          <w:sz w:val="20"/>
          <w:szCs w:val="20"/>
          <w:color w:val="auto"/>
        </w:rPr>
      </w:pPr>
    </w:p>
    <w:p>
      <w:pPr>
        <w:jc w:val="both"/>
        <w:ind w:firstLine="625"/>
        <w:spacing w:after="0" w:line="217" w:lineRule="auto"/>
        <w:rPr>
          <w:sz w:val="20"/>
          <w:szCs w:val="20"/>
          <w:color w:val="auto"/>
        </w:rPr>
      </w:pPr>
      <w:r>
        <w:rPr>
          <w:rFonts w:ascii="Times New Roman" w:cs="Times New Roman" w:eastAsia="Times New Roman" w:hAnsi="Times New Roman"/>
          <w:sz w:val="21"/>
          <w:szCs w:val="21"/>
          <w:color w:val="010000"/>
        </w:rPr>
        <w:t xml:space="preserve">3.8 </w:t>
      </w:r>
      <w:r>
        <w:rPr>
          <w:rFonts w:ascii="Times New Roman" w:cs="Times New Roman" w:eastAsia="Times New Roman" w:hAnsi="Times New Roman"/>
          <w:sz w:val="21"/>
          <w:szCs w:val="21"/>
          <w:u w:val="single" w:color="auto"/>
          <w:color w:val="000000"/>
        </w:rPr>
        <w:t>Garden Leave</w:t>
      </w:r>
      <w:r>
        <w:rPr>
          <w:rFonts w:ascii="Times New Roman" w:cs="Times New Roman" w:eastAsia="Times New Roman" w:hAnsi="Times New Roman"/>
          <w:sz w:val="21"/>
          <w:szCs w:val="21"/>
          <w:color w:val="000000"/>
        </w:rPr>
        <w:t>. If a Notice of Termination is delivered, the Executive hereby irrevocably consents to PVH or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Company relieving the Executive of the Executive’s duties with immediate effect. The Executive shall remain at PVH’s, PVH Europe’s or the Company’s disposal during the notice period, and for up to the same amount of time as required for the performance of the Executive’s duties hereunder prior to the delivery of the Notice of Termination, to carry out such duties within the Executive’s competence, as PVH, PVH Europe or the Company deem fit. PVH, PVH Europe and the Company are entitled to permanently require the Executive not to perform any work for the Company, PVH or any of their other affiliates.</w:t>
      </w:r>
    </w:p>
    <w:p>
      <w:pPr>
        <w:spacing w:after="0" w:line="147" w:lineRule="exact"/>
        <w:rPr>
          <w:sz w:val="20"/>
          <w:szCs w:val="20"/>
          <w:color w:val="auto"/>
        </w:rPr>
      </w:pPr>
    </w:p>
    <w:p>
      <w:pPr>
        <w:jc w:val="both"/>
        <w:ind w:firstLine="625"/>
        <w:spacing w:after="0" w:line="217" w:lineRule="auto"/>
        <w:rPr>
          <w:sz w:val="20"/>
          <w:szCs w:val="20"/>
          <w:color w:val="auto"/>
        </w:rPr>
      </w:pPr>
      <w:r>
        <w:rPr>
          <w:rFonts w:ascii="Times New Roman" w:cs="Times New Roman" w:eastAsia="Times New Roman" w:hAnsi="Times New Roman"/>
          <w:sz w:val="21"/>
          <w:szCs w:val="21"/>
          <w:color w:val="010000"/>
        </w:rPr>
        <w:t xml:space="preserve">3.9 </w:t>
      </w:r>
      <w:r>
        <w:rPr>
          <w:rFonts w:ascii="Times New Roman" w:cs="Times New Roman" w:eastAsia="Times New Roman" w:hAnsi="Times New Roman"/>
          <w:sz w:val="21"/>
          <w:szCs w:val="21"/>
          <w:u w:val="single" w:color="auto"/>
          <w:color w:val="000000"/>
        </w:rPr>
        <w:t>Notice of Termination</w:t>
      </w:r>
      <w:r>
        <w:rPr>
          <w:rFonts w:ascii="Times New Roman" w:cs="Times New Roman" w:eastAsia="Times New Roman" w:hAnsi="Times New Roman"/>
          <w:sz w:val="21"/>
          <w:szCs w:val="21"/>
          <w:color w:val="000000"/>
        </w:rPr>
        <w:t>. Any termination of the Executive’s employment other than by reason of the Executive’s death</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or reaching the pensionable age shall be communicated by a Notice of Termination to the other party hereto given in accordance with Section 10.1 (</w:t>
      </w:r>
      <w:r>
        <w:rPr>
          <w:rFonts w:ascii="Times New Roman" w:cs="Times New Roman" w:eastAsia="Times New Roman" w:hAnsi="Times New Roman"/>
          <w:sz w:val="21"/>
          <w:szCs w:val="21"/>
          <w:u w:val="single" w:color="auto"/>
          <w:color w:val="000000"/>
        </w:rPr>
        <w:t>Notices</w:t>
      </w:r>
      <w:r>
        <w:rPr>
          <w:rFonts w:ascii="Times New Roman" w:cs="Times New Roman" w:eastAsia="Times New Roman" w:hAnsi="Times New Roman"/>
          <w:sz w:val="21"/>
          <w:szCs w:val="21"/>
          <w:color w:val="000000"/>
        </w:rPr>
        <w:t>). “Notice of Termination” means a written notice that (i) indicates the specific termination provision in this Agreement relied upon, (ii) to the extent applicable, sets forth in reasonable detail the facts and circumstances claimed to provide a basis for termination of the Executive’s employment under the provision so indicated, and (iii) the applicable date of termination, taking into account any required notice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48" w:right="339" w:bottom="1440" w:gutter="0" w:footer="0" w:header="0"/>
        </w:sectPr>
      </w:pPr>
    </w:p>
    <w:bookmarkStart w:id="165" w:name="page166"/>
    <w:bookmarkEnd w:id="165"/>
    <w:p>
      <w:pPr>
        <w:jc w:val="both"/>
        <w:ind w:firstLine="625"/>
        <w:spacing w:after="0" w:line="222" w:lineRule="auto"/>
        <w:rPr>
          <w:sz w:val="20"/>
          <w:szCs w:val="20"/>
          <w:color w:val="auto"/>
        </w:rPr>
      </w:pPr>
      <w:r>
        <w:rPr>
          <w:rFonts w:ascii="Times New Roman" w:cs="Times New Roman" w:eastAsia="Times New Roman" w:hAnsi="Times New Roman"/>
          <w:sz w:val="21"/>
          <w:szCs w:val="21"/>
          <w:color w:val="010000"/>
        </w:rPr>
        <w:t xml:space="preserve">3.10 </w:t>
      </w:r>
      <w:r>
        <w:rPr>
          <w:rFonts w:ascii="Times New Roman" w:cs="Times New Roman" w:eastAsia="Times New Roman" w:hAnsi="Times New Roman"/>
          <w:sz w:val="21"/>
          <w:szCs w:val="21"/>
          <w:u w:val="single" w:color="auto"/>
          <w:color w:val="000000"/>
        </w:rPr>
        <w:t>Resignation</w:t>
      </w:r>
      <w:r>
        <w:rPr>
          <w:rFonts w:ascii="Times New Roman" w:cs="Times New Roman" w:eastAsia="Times New Roman" w:hAnsi="Times New Roman"/>
          <w:sz w:val="21"/>
          <w:szCs w:val="21"/>
          <w:color w:val="000000"/>
        </w:rPr>
        <w:t>. Upon termination of the Executive’s employment for any reason, the Executive agrees to resign, effective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as of the date of the Notice of Termination (or any such later date as PVH or the Company may request), from any and all positions that the Executive holds with PVH or any of its affiliates, including the Company, and the board of directors, supervisory board or similar body (and any committees thereof) of PVH and any of its affiliates.</w:t>
      </w:r>
    </w:p>
    <w:p>
      <w:pPr>
        <w:spacing w:after="0" w:line="147" w:lineRule="exact"/>
        <w:rPr>
          <w:sz w:val="20"/>
          <w:szCs w:val="20"/>
          <w:color w:val="auto"/>
        </w:rPr>
      </w:pPr>
    </w:p>
    <w:p>
      <w:pPr>
        <w:ind w:left="620" w:hanging="616"/>
        <w:spacing w:after="0"/>
        <w:tabs>
          <w:tab w:leader="none" w:pos="620" w:val="left"/>
        </w:tabs>
        <w:numPr>
          <w:ilvl w:val="0"/>
          <w:numId w:val="1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Full and Final Settlement</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25"/>
        <w:spacing w:after="0" w:line="214" w:lineRule="auto"/>
        <w:rPr>
          <w:sz w:val="20"/>
          <w:szCs w:val="20"/>
          <w:color w:val="auto"/>
        </w:rPr>
      </w:pPr>
      <w:r>
        <w:rPr>
          <w:rFonts w:ascii="Times New Roman" w:cs="Times New Roman" w:eastAsia="Times New Roman" w:hAnsi="Times New Roman"/>
          <w:sz w:val="21"/>
          <w:szCs w:val="21"/>
          <w:color w:val="010000"/>
        </w:rPr>
        <w:t xml:space="preserve">4.1 </w:t>
      </w:r>
      <w:r>
        <w:rPr>
          <w:rFonts w:ascii="Times New Roman" w:cs="Times New Roman" w:eastAsia="Times New Roman" w:hAnsi="Times New Roman"/>
          <w:sz w:val="21"/>
          <w:szCs w:val="21"/>
          <w:u w:val="single" w:color="auto"/>
          <w:color w:val="000000"/>
        </w:rPr>
        <w:t>Liquidated Damages; Settlement Agreement</w:t>
      </w:r>
      <w:r>
        <w:rPr>
          <w:rFonts w:ascii="Times New Roman" w:cs="Times New Roman" w:eastAsia="Times New Roman" w:hAnsi="Times New Roman"/>
          <w:sz w:val="21"/>
          <w:szCs w:val="21"/>
          <w:color w:val="000000"/>
        </w:rPr>
        <w:t>. The amounts paid to the Executive pursuant to Section 3.5 (</w:t>
      </w:r>
      <w:r>
        <w:rPr>
          <w:rFonts w:ascii="Times New Roman" w:cs="Times New Roman" w:eastAsia="Times New Roman" w:hAnsi="Times New Roman"/>
          <w:sz w:val="21"/>
          <w:szCs w:val="21"/>
          <w:u w:val="single" w:color="auto"/>
          <w:color w:val="000000"/>
        </w:rPr>
        <w:t>Termination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without Cause by PVH or the Company or for Good Reason by the Executive</w:t>
      </w:r>
      <w:r>
        <w:rPr>
          <w:rFonts w:ascii="Times New Roman" w:cs="Times New Roman" w:eastAsia="Times New Roman" w:hAnsi="Times New Roman"/>
          <w:sz w:val="21"/>
          <w:szCs w:val="21"/>
          <w:color w:val="000000"/>
        </w:rPr>
        <w:t>) shall be in full and complete satisfaction of the Executive’s rights under this Agreement and any other claims the Executive may have with respect to the Executive’s employment by PVH and its affiliates and the termination thereof, other than as expressly provided in Section 2.2 (</w:t>
      </w:r>
      <w:r>
        <w:rPr>
          <w:rFonts w:ascii="Times New Roman" w:cs="Times New Roman" w:eastAsia="Times New Roman" w:hAnsi="Times New Roman"/>
          <w:sz w:val="21"/>
          <w:szCs w:val="21"/>
          <w:u w:val="single" w:color="auto"/>
          <w:color w:val="000000"/>
        </w:rPr>
        <w:t>Incentive and Bonus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Compensation</w:t>
      </w:r>
      <w:r>
        <w:rPr>
          <w:rFonts w:ascii="Times New Roman" w:cs="Times New Roman" w:eastAsia="Times New Roman" w:hAnsi="Times New Roman"/>
          <w:sz w:val="21"/>
          <w:szCs w:val="21"/>
          <w:color w:val="000000"/>
        </w:rPr>
        <w:t>). Such amounts shall constitute liquidated damages with respect to any and all such rights and claims. In consideration of the Executive’s receipt thereof, the Executive shall enter into a settlement agreement with PVH or the Company within the meaning of Article 7:900 of the DCC, which shall also constitute a termination agreement within the meaning of Article 7:670b of the DCC (a “Settlement Agreement”) and shall accrue to the benefit PVH, the Company and their affiliates.</w:t>
      </w:r>
    </w:p>
    <w:p>
      <w:pPr>
        <w:spacing w:after="0" w:line="151" w:lineRule="exact"/>
        <w:rPr>
          <w:sz w:val="20"/>
          <w:szCs w:val="20"/>
          <w:color w:val="auto"/>
        </w:rPr>
      </w:pPr>
    </w:p>
    <w:p>
      <w:pPr>
        <w:jc w:val="both"/>
        <w:ind w:firstLine="4"/>
        <w:spacing w:after="0" w:line="213" w:lineRule="auto"/>
        <w:tabs>
          <w:tab w:leader="none" w:pos="625" w:val="left"/>
        </w:tabs>
        <w:numPr>
          <w:ilvl w:val="0"/>
          <w:numId w:val="1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For purposes of this Section 5 (</w:t>
      </w: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all references to the Company shall be deemed to refer to the Company, PVH and their affiliates, including, without limitation, PVH Europe. The Executive acknowledges and agrees that he is obligated to bring the provisions of this Section 5 (</w:t>
      </w:r>
      <w:r>
        <w:rPr>
          <w:rFonts w:ascii="Times New Roman" w:cs="Times New Roman" w:eastAsia="Times New Roman" w:hAnsi="Times New Roman"/>
          <w:sz w:val="21"/>
          <w:szCs w:val="21"/>
          <w:u w:val="single" w:color="auto"/>
          <w:color w:val="auto"/>
        </w:rPr>
        <w:t>Restrictive Covenants</w:t>
      </w:r>
      <w:r>
        <w:rPr>
          <w:rFonts w:ascii="Times New Roman" w:cs="Times New Roman" w:eastAsia="Times New Roman" w:hAnsi="Times New Roman"/>
          <w:sz w:val="21"/>
          <w:szCs w:val="21"/>
          <w:color w:val="auto"/>
        </w:rPr>
        <w:t>) to the attention of any person (as defined in Section 5.3 (</w:t>
      </w:r>
      <w:r>
        <w:rPr>
          <w:rFonts w:ascii="Times New Roman" w:cs="Times New Roman" w:eastAsia="Times New Roman" w:hAnsi="Times New Roman"/>
          <w:sz w:val="21"/>
          <w:szCs w:val="21"/>
          <w:u w:val="single" w:color="auto"/>
          <w:color w:val="auto"/>
        </w:rPr>
        <w:t>Non-Interference</w:t>
      </w:r>
      <w:r>
        <w:rPr>
          <w:rFonts w:ascii="Times New Roman" w:cs="Times New Roman" w:eastAsia="Times New Roman" w:hAnsi="Times New Roman"/>
          <w:sz w:val="21"/>
          <w:szCs w:val="21"/>
          <w:color w:val="auto"/>
        </w:rPr>
        <w:t>)) who may at any time before or after the termination of the Executive’s employment under this Agreement offer to employ or otherwise engage the Executive (directly or indirectly) for services and for, with or to whom the Executive intends to work or otherwise provide services, to the extent such provisions remain in effect at the time the Executive commences discussions regarding the Executive’s provision of services to such person. Should any of the restrictive covenants become invalid for any reason the Company and Executive agree to make appropriate amendments to the restrictive covenants in Section 5 to provide for the protections and obligations set forth in Section 5 in accordance with law.</w:t>
      </w:r>
    </w:p>
    <w:p>
      <w:pPr>
        <w:spacing w:after="0" w:line="153" w:lineRule="exact"/>
        <w:rPr>
          <w:sz w:val="20"/>
          <w:szCs w:val="20"/>
          <w:color w:val="auto"/>
        </w:rPr>
      </w:pPr>
    </w:p>
    <w:p>
      <w:pPr>
        <w:jc w:val="both"/>
        <w:ind w:firstLine="625"/>
        <w:spacing w:after="0" w:line="210" w:lineRule="auto"/>
        <w:rPr>
          <w:sz w:val="20"/>
          <w:szCs w:val="20"/>
          <w:color w:val="auto"/>
        </w:rPr>
      </w:pPr>
      <w:r>
        <w:rPr>
          <w:rFonts w:ascii="Times New Roman" w:cs="Times New Roman" w:eastAsia="Times New Roman" w:hAnsi="Times New Roman"/>
          <w:sz w:val="21"/>
          <w:szCs w:val="21"/>
          <w:color w:val="010000"/>
        </w:rPr>
        <w:t xml:space="preserve">5.1 </w:t>
      </w:r>
      <w:r>
        <w:rPr>
          <w:rFonts w:ascii="Times New Roman" w:cs="Times New Roman" w:eastAsia="Times New Roman" w:hAnsi="Times New Roman"/>
          <w:sz w:val="21"/>
          <w:szCs w:val="21"/>
          <w:u w:val="single" w:color="auto"/>
          <w:color w:val="000000"/>
        </w:rPr>
        <w:t>Confidentiality</w:t>
      </w:r>
      <w:r>
        <w:rPr>
          <w:rFonts w:ascii="Times New Roman" w:cs="Times New Roman" w:eastAsia="Times New Roman" w:hAnsi="Times New Roman"/>
          <w:sz w:val="21"/>
          <w:szCs w:val="21"/>
          <w:color w:val="000000"/>
        </w:rPr>
        <w:t>. The Executive recognizes that any knowledge and information of any type whatsoever of a</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confidential nature relating to the business of the Company, including, without limitation, all types of trade secrets, vendor and customer lists and information, employee lists and information, consumer data, information regarding product development, marketing plans, management organization information, operating policies and manuals, sourcing data, performance results, business plans, financial records, network configuration and architecture, proprietary software, and other financial, commercial, business and technical information (collectively, “Confidential Information”), must be protected as confidential, not copied, disclosed or used, other than for the benefit of the Company, at any time. The Executive acknowledges and agrees that Confidential Information shall be considered to be a trade secret within the meaning of article 1 of the Dutch Trade Secrets Act (</w:t>
      </w:r>
      <w:r>
        <w:rPr>
          <w:rFonts w:ascii="Times New Roman" w:cs="Times New Roman" w:eastAsia="Times New Roman" w:hAnsi="Times New Roman"/>
          <w:sz w:val="21"/>
          <w:szCs w:val="21"/>
          <w:i w:val="1"/>
          <w:iCs w:val="1"/>
          <w:color w:val="000000"/>
        </w:rPr>
        <w:t>Wet Bescherming Bedrijfsgegevens</w:t>
      </w:r>
      <w:r>
        <w:rPr>
          <w:rFonts w:ascii="Times New Roman" w:cs="Times New Roman" w:eastAsia="Times New Roman" w:hAnsi="Times New Roman"/>
          <w:sz w:val="21"/>
          <w:szCs w:val="21"/>
          <w:color w:val="000000"/>
        </w:rPr>
        <w:t>). The Executive further agrees that during the Employment Period and thereafter the Executive shall not divulge to anyone (other than the Company or any person employed or designated by the Company), publish or make use at any time of any Confidential Information without the prior written consent of the Company (in its sole and absolute discretion), except (i) as (and only to the extent) required by an order of a court having competent jurisdiction or under subpoena from an appropriate government agency and then only after providing the Company with the reasonable opportunity to prevent such disclosure or to receive confidential treatment for the Confidential Information required to be disclosed, (ii) with respect to any litigation, arbitration or mediation involving this Agreement, including, but not limited to the enforcement of this Agreement or (iii) as to Confidential Information that becomes generally known to the public or within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48" w:right="339" w:bottom="1440" w:gutter="0" w:footer="0" w:header="0"/>
        </w:sectPr>
      </w:pPr>
    </w:p>
    <w:bookmarkStart w:id="166" w:name="page167"/>
    <w:bookmarkEnd w:id="166"/>
    <w:p>
      <w:pPr>
        <w:jc w:val="both"/>
        <w:spacing w:after="0" w:line="222" w:lineRule="auto"/>
        <w:rPr>
          <w:sz w:val="20"/>
          <w:szCs w:val="20"/>
          <w:color w:val="auto"/>
        </w:rPr>
      </w:pPr>
      <w:r>
        <w:rPr>
          <w:rFonts w:ascii="Times New Roman" w:cs="Times New Roman" w:eastAsia="Times New Roman" w:hAnsi="Times New Roman"/>
          <w:sz w:val="21"/>
          <w:szCs w:val="21"/>
          <w:color w:val="auto"/>
        </w:rPr>
        <w:t>trade or industry other than due to the Executive’s violation of this Section 5.1 (Confidentiality). The Executive further agrees that following the termination of the Employment Period for whatever reason, (A) the Company shall keep all tangible property assigned to the Executive or prepared by the Executive and (B) the Executive shall not misappropriate or infringe upon the Confidential Information (including the recreation or reconstruction of Confidential Information from memory).</w:t>
      </w:r>
    </w:p>
    <w:p>
      <w:pPr>
        <w:spacing w:after="0" w:line="147" w:lineRule="exact"/>
        <w:rPr>
          <w:sz w:val="20"/>
          <w:szCs w:val="20"/>
          <w:color w:val="auto"/>
        </w:rPr>
      </w:pPr>
    </w:p>
    <w:p>
      <w:pPr>
        <w:jc w:val="both"/>
        <w:ind w:firstLine="625"/>
        <w:spacing w:after="0" w:line="227" w:lineRule="auto"/>
        <w:rPr>
          <w:sz w:val="20"/>
          <w:szCs w:val="20"/>
          <w:color w:val="auto"/>
        </w:rPr>
      </w:pPr>
      <w:r>
        <w:rPr>
          <w:rFonts w:ascii="Times New Roman" w:cs="Times New Roman" w:eastAsia="Times New Roman" w:hAnsi="Times New Roman"/>
          <w:sz w:val="21"/>
          <w:szCs w:val="21"/>
          <w:color w:val="010000"/>
        </w:rPr>
        <w:t xml:space="preserve">5.2 </w:t>
      </w:r>
      <w:r>
        <w:rPr>
          <w:rFonts w:ascii="Times New Roman" w:cs="Times New Roman" w:eastAsia="Times New Roman" w:hAnsi="Times New Roman"/>
          <w:sz w:val="21"/>
          <w:szCs w:val="21"/>
          <w:u w:val="single" w:color="auto"/>
          <w:color w:val="000000"/>
        </w:rPr>
        <w:t>Public Comment</w:t>
      </w:r>
      <w:r>
        <w:rPr>
          <w:rFonts w:ascii="Times New Roman" w:cs="Times New Roman" w:eastAsia="Times New Roman" w:hAnsi="Times New Roman"/>
          <w:sz w:val="21"/>
          <w:szCs w:val="21"/>
          <w:color w:val="000000"/>
        </w:rPr>
        <w:t>. The Executive, during the Employment Period and at all times thereafter, shall not make any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derogatory comment concerning the Company or any of its current or former directors, officers, stockholders or employees, businesses or brands. Similarly, the then-current members of the ELT shall not make any derogatory comment concerning the Executive.</w:t>
      </w:r>
    </w:p>
    <w:p>
      <w:pPr>
        <w:spacing w:after="0" w:line="147" w:lineRule="exact"/>
        <w:rPr>
          <w:sz w:val="20"/>
          <w:szCs w:val="20"/>
          <w:color w:val="auto"/>
        </w:rPr>
      </w:pPr>
    </w:p>
    <w:p>
      <w:pPr>
        <w:jc w:val="both"/>
        <w:ind w:firstLine="625"/>
        <w:spacing w:after="0" w:line="209" w:lineRule="auto"/>
        <w:rPr>
          <w:sz w:val="20"/>
          <w:szCs w:val="20"/>
          <w:color w:val="auto"/>
        </w:rPr>
      </w:pPr>
      <w:r>
        <w:rPr>
          <w:rFonts w:ascii="Times New Roman" w:cs="Times New Roman" w:eastAsia="Times New Roman" w:hAnsi="Times New Roman"/>
          <w:sz w:val="21"/>
          <w:szCs w:val="21"/>
          <w:color w:val="010000"/>
        </w:rPr>
        <w:t xml:space="preserve">5.3 </w:t>
      </w:r>
      <w:r>
        <w:rPr>
          <w:rFonts w:ascii="Times New Roman" w:cs="Times New Roman" w:eastAsia="Times New Roman" w:hAnsi="Times New Roman"/>
          <w:sz w:val="21"/>
          <w:szCs w:val="21"/>
          <w:u w:val="single" w:color="auto"/>
          <w:color w:val="000000"/>
        </w:rPr>
        <w:t>Non-Interference</w:t>
      </w:r>
      <w:r>
        <w:rPr>
          <w:rFonts w:ascii="Times New Roman" w:cs="Times New Roman" w:eastAsia="Times New Roman" w:hAnsi="Times New Roman"/>
          <w:sz w:val="21"/>
          <w:szCs w:val="21"/>
          <w:color w:val="000000"/>
        </w:rPr>
        <w:t>. The Executive acknowledges that information regarding the Company’s business and financial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relations with its vendors, customers and other business partners (“Business Partner Information”) is Confidential Information and proprietary to the Company and that any interference with such relations based directly or indirectly on the use of such information would cause irreparable damage to the Company. The Executive acknowledges that by virtue of the Executive’s employment with the Company, the Executive may gain knowledge of Business Partner Information and that the Executive would inevitably have to draw on Business Partner Information and on other Confidential Information if the Executive were to solicit or service the Company’s vendors, customers and other business partners (collectively, “Business Partners”) on behalf of a competing business enterprise. The Executive agrees that during the Employment Period and for a period of twelve months following the termination thereof for any reason (the “Restricted Period”), the Executive will not, on behalf of the Executive or any other individual, company, partnership, corporation or other entity (each, a “person”), other than the Company, directly or indirectly do business with, solicit the business of, or perform any services for any actual Business Partner, any person that has been a Business Partner within the 12-month period preceding such termination or any prospective Business Partner that was actively solicited within such 12-month period preceding the termination of employment and as to whom or which the Executive provided any services or as to whom or which the Executive has knowledge of Business Partner Information or Confidential Information. The foregoing restrictive covenant shall only apply to business activities engaged in by the Executive on behalf of the Executive or any other person that are in competition with either (i) the businesses or products of the Company as of the Executive’s date of termination or (ii) any business that the Company is planning to engage in or products that the Company is planning to develop or launch. The Executive further agrees that, during the Employment Period and the Restricted Period, the Executive will not, directly or indirectly, seek to encourage or induce any such Business Partner to cease doing business with, or lessen its business with, the Company, or otherwise interfere with or damage (or attempt to interfere with or damage) any of the Company’s relationships with its Business Partners, except in the ordinary course of the Company’s business. If the Executive does not observe the full notice period set forth in Section 3.1 (</w:t>
      </w:r>
      <w:r>
        <w:rPr>
          <w:rFonts w:ascii="Times New Roman" w:cs="Times New Roman" w:eastAsia="Times New Roman" w:hAnsi="Times New Roman"/>
          <w:sz w:val="21"/>
          <w:szCs w:val="21"/>
          <w:u w:val="single" w:color="auto"/>
          <w:color w:val="000000"/>
        </w:rPr>
        <w:t>General</w:t>
      </w:r>
      <w:r>
        <w:rPr>
          <w:rFonts w:ascii="Times New Roman" w:cs="Times New Roman" w:eastAsia="Times New Roman" w:hAnsi="Times New Roman"/>
          <w:sz w:val="21"/>
          <w:szCs w:val="21"/>
          <w:color w:val="000000"/>
        </w:rPr>
        <w:t>), then, for purposes of this Section 5.3 (</w:t>
      </w:r>
      <w:r>
        <w:rPr>
          <w:rFonts w:ascii="Times New Roman" w:cs="Times New Roman" w:eastAsia="Times New Roman" w:hAnsi="Times New Roman"/>
          <w:sz w:val="21"/>
          <w:szCs w:val="21"/>
          <w:u w:val="single" w:color="auto"/>
          <w:color w:val="000000"/>
        </w:rPr>
        <w:t>Non-Interference</w:t>
      </w:r>
      <w:r>
        <w:rPr>
          <w:rFonts w:ascii="Times New Roman" w:cs="Times New Roman" w:eastAsia="Times New Roman" w:hAnsi="Times New Roman"/>
          <w:sz w:val="21"/>
          <w:szCs w:val="21"/>
          <w:color w:val="000000"/>
        </w:rPr>
        <w:t>), the Restricted Period shall be extended for a period of time equal to the period during which the notice period was not observed by the Executive.</w:t>
      </w:r>
    </w:p>
    <w:p>
      <w:pPr>
        <w:spacing w:after="0" w:line="159" w:lineRule="exact"/>
        <w:rPr>
          <w:sz w:val="20"/>
          <w:szCs w:val="20"/>
          <w:color w:val="auto"/>
        </w:rPr>
      </w:pPr>
    </w:p>
    <w:p>
      <w:pPr>
        <w:jc w:val="both"/>
        <w:ind w:firstLine="625"/>
        <w:spacing w:after="0" w:line="214" w:lineRule="auto"/>
        <w:rPr>
          <w:sz w:val="20"/>
          <w:szCs w:val="20"/>
          <w:color w:val="auto"/>
        </w:rPr>
      </w:pPr>
      <w:r>
        <w:rPr>
          <w:rFonts w:ascii="Times New Roman" w:cs="Times New Roman" w:eastAsia="Times New Roman" w:hAnsi="Times New Roman"/>
          <w:sz w:val="21"/>
          <w:szCs w:val="21"/>
          <w:color w:val="010000"/>
        </w:rPr>
        <w:t xml:space="preserve">5.4 </w:t>
      </w:r>
      <w:r>
        <w:rPr>
          <w:rFonts w:ascii="Times New Roman" w:cs="Times New Roman" w:eastAsia="Times New Roman" w:hAnsi="Times New Roman"/>
          <w:sz w:val="21"/>
          <w:szCs w:val="21"/>
          <w:u w:val="single" w:color="auto"/>
          <w:color w:val="000000"/>
        </w:rPr>
        <w:t>Non-Competition Restriction</w:t>
      </w:r>
      <w:r>
        <w:rPr>
          <w:rFonts w:ascii="Times New Roman" w:cs="Times New Roman" w:eastAsia="Times New Roman" w:hAnsi="Times New Roman"/>
          <w:sz w:val="21"/>
          <w:szCs w:val="21"/>
          <w:color w:val="000000"/>
        </w:rPr>
        <w:t>. The Executive agrees that, during the Employment Period and the Restricted Period,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Executive shall not, without the prior written consent of PVH, directly or indirectly, on the Executive’s behalf or on behalf of any other person, firm, corporation, association or other entity, as an employee, director, investor, advisor, partner, consultant or otherwise, engage in any business of, provide services to, enter the employ of, or have any interest in, any other person, firm, corporation or other entity anywhere in the world that is engaged in a business that is in competition with either (i) the businesses or products of the Company as of the Executive’s date of termination or (ii) any business that the Company is planning to engage in or products that the Company is planning to develop or launch (collectively, “Competing Companies”). Nothing included in this Section 5.4 (</w:t>
      </w:r>
      <w:r>
        <w:rPr>
          <w:rFonts w:ascii="Times New Roman" w:cs="Times New Roman" w:eastAsia="Times New Roman" w:hAnsi="Times New Roman"/>
          <w:sz w:val="21"/>
          <w:szCs w:val="21"/>
          <w:u w:val="single" w:color="auto"/>
          <w:color w:val="000000"/>
        </w:rPr>
        <w:t>Non-Competition Restriction</w:t>
      </w:r>
      <w:r>
        <w:rPr>
          <w:rFonts w:ascii="Times New Roman" w:cs="Times New Roman" w:eastAsia="Times New Roman" w:hAnsi="Times New Roman"/>
          <w:sz w:val="21"/>
          <w:szCs w:val="21"/>
          <w:color w:val="000000"/>
        </w:rPr>
        <w:t>) shall restrict the Executive from owning,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48" w:right="339" w:bottom="1440" w:gutter="0" w:footer="0" w:header="0"/>
        </w:sectPr>
      </w:pPr>
    </w:p>
    <w:bookmarkStart w:id="167" w:name="page168"/>
    <w:bookmarkEnd w:id="167"/>
    <w:p>
      <w:pPr>
        <w:jc w:val="both"/>
        <w:spacing w:after="0" w:line="219" w:lineRule="auto"/>
        <w:rPr>
          <w:sz w:val="20"/>
          <w:szCs w:val="20"/>
          <w:color w:val="auto"/>
        </w:rPr>
      </w:pPr>
      <w:r>
        <w:rPr>
          <w:rFonts w:ascii="Times New Roman" w:cs="Times New Roman" w:eastAsia="Times New Roman" w:hAnsi="Times New Roman"/>
          <w:sz w:val="21"/>
          <w:szCs w:val="21"/>
          <w:color w:val="auto"/>
        </w:rPr>
        <w:t xml:space="preserve">personal investment purposes only, less than 5% of the voting stock of any publicly held corporation or 2% of the ownership interest in any non-publicly held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Executive has no connection or relationship with the issuer of such securities other than as a passive investor. If the Executive does not observe the full notice period set forth in Section 3.1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then, for purposes of this Section 5.4 (</w:t>
      </w: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the Restricted Period shall be extended for a period of time equal to the period during which the notice period was not observed by the Executive.</w:t>
      </w:r>
    </w:p>
    <w:p>
      <w:pPr>
        <w:spacing w:after="0" w:line="147" w:lineRule="exact"/>
        <w:rPr>
          <w:sz w:val="20"/>
          <w:szCs w:val="20"/>
          <w:color w:val="auto"/>
        </w:rPr>
      </w:pPr>
    </w:p>
    <w:p>
      <w:pPr>
        <w:jc w:val="both"/>
        <w:ind w:firstLine="625"/>
        <w:spacing w:after="0" w:line="211" w:lineRule="auto"/>
        <w:rPr>
          <w:sz w:val="20"/>
          <w:szCs w:val="20"/>
          <w:color w:val="auto"/>
        </w:rPr>
      </w:pPr>
      <w:r>
        <w:rPr>
          <w:rFonts w:ascii="Times New Roman" w:cs="Times New Roman" w:eastAsia="Times New Roman" w:hAnsi="Times New Roman"/>
          <w:sz w:val="21"/>
          <w:szCs w:val="21"/>
          <w:color w:val="010000"/>
        </w:rPr>
        <w:t xml:space="preserve">5.5 </w:t>
      </w:r>
      <w:r>
        <w:rPr>
          <w:rFonts w:ascii="Times New Roman" w:cs="Times New Roman" w:eastAsia="Times New Roman" w:hAnsi="Times New Roman"/>
          <w:sz w:val="21"/>
          <w:szCs w:val="21"/>
          <w:u w:val="single" w:color="auto"/>
          <w:color w:val="000000"/>
        </w:rPr>
        <w:t>Non-Solicitation of Employees</w:t>
      </w:r>
      <w:r>
        <w:rPr>
          <w:rFonts w:ascii="Times New Roman" w:cs="Times New Roman" w:eastAsia="Times New Roman" w:hAnsi="Times New Roman"/>
          <w:sz w:val="21"/>
          <w:szCs w:val="21"/>
          <w:color w:val="000000"/>
        </w:rPr>
        <w:t>. The Executive agrees that during the Employment Period and the Restricted Period,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the Executive shall not hire or solicit to hire, whether on the Executive’s own behalf or on behalf of any other person (other than the Company), any employee of the Company or any individual who had left the employ of the Company within 12 months of the termination of the Executive’s employment with the Company (each, a “Relevant Employee”). Furthermore, during the Employment Period and the Restricted Period, the Executive will not, directly or indirectly, encourage or induce any employee of the Company to leave the Company’s employ, except in the ordinary course of the Company’s business. Without limiting the generality of the foregoing, the Executive agrees that during the Restricted Period, the Executive shall (i) respond to any unsolicited request from any Relevant Employee by stating that the Executive is prohibited from discussing job opportunities or career paths during the Restricted Period; (ii) not discuss any career opportunities with any Relevant Employee; (iii) not contact a Relevant Employee in order to persuade the employee to re-consider employment with the Company; and (iv) not be involved in any manner in the application process of any Relevant Employee with any person who, after the Employment Period, employs the Executive or to whom the Executive provides services. If the Executive does not observe the full notice period set forth in Section 3.1 (</w:t>
      </w:r>
      <w:r>
        <w:rPr>
          <w:rFonts w:ascii="Times New Roman" w:cs="Times New Roman" w:eastAsia="Times New Roman" w:hAnsi="Times New Roman"/>
          <w:sz w:val="21"/>
          <w:szCs w:val="21"/>
          <w:u w:val="single" w:color="auto"/>
          <w:color w:val="000000"/>
        </w:rPr>
        <w:t>General</w:t>
      </w:r>
      <w:r>
        <w:rPr>
          <w:rFonts w:ascii="Times New Roman" w:cs="Times New Roman" w:eastAsia="Times New Roman" w:hAnsi="Times New Roman"/>
          <w:sz w:val="21"/>
          <w:szCs w:val="21"/>
          <w:color w:val="000000"/>
        </w:rPr>
        <w:t>), then, for purposes of this Section 5.5 (</w:t>
      </w:r>
      <w:r>
        <w:rPr>
          <w:rFonts w:ascii="Times New Roman" w:cs="Times New Roman" w:eastAsia="Times New Roman" w:hAnsi="Times New Roman"/>
          <w:sz w:val="21"/>
          <w:szCs w:val="21"/>
          <w:u w:val="single" w:color="auto"/>
          <w:color w:val="000000"/>
        </w:rPr>
        <w:t>Non-Solicitation of Employees</w:t>
      </w:r>
      <w:r>
        <w:rPr>
          <w:rFonts w:ascii="Times New Roman" w:cs="Times New Roman" w:eastAsia="Times New Roman" w:hAnsi="Times New Roman"/>
          <w:sz w:val="21"/>
          <w:szCs w:val="21"/>
          <w:color w:val="000000"/>
        </w:rPr>
        <w:t>), the Restricted Period shall be extended for a period of time equal to the period during which the notice period was not observed by the Executive.</w:t>
      </w:r>
    </w:p>
    <w:p>
      <w:pPr>
        <w:spacing w:after="0" w:line="150" w:lineRule="exact"/>
        <w:rPr>
          <w:sz w:val="20"/>
          <w:szCs w:val="20"/>
          <w:color w:val="auto"/>
        </w:rPr>
      </w:pPr>
    </w:p>
    <w:p>
      <w:pPr>
        <w:ind w:left="620" w:hanging="616"/>
        <w:spacing w:after="0"/>
        <w:tabs>
          <w:tab w:leader="none" w:pos="620" w:val="left"/>
        </w:tabs>
        <w:numPr>
          <w:ilvl w:val="0"/>
          <w:numId w:val="12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Intellectual Property Rights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25"/>
        <w:spacing w:after="0" w:line="215" w:lineRule="auto"/>
        <w:rPr>
          <w:sz w:val="20"/>
          <w:szCs w:val="20"/>
          <w:color w:val="auto"/>
        </w:rPr>
      </w:pPr>
      <w:r>
        <w:rPr>
          <w:rFonts w:ascii="Times New Roman" w:cs="Times New Roman" w:eastAsia="Times New Roman" w:hAnsi="Times New Roman"/>
          <w:sz w:val="21"/>
          <w:szCs w:val="21"/>
          <w:color w:val="010000"/>
        </w:rPr>
        <w:t xml:space="preserve">6.1 </w:t>
      </w:r>
      <w:r>
        <w:rPr>
          <w:rFonts w:ascii="Times New Roman" w:cs="Times New Roman" w:eastAsia="Times New Roman" w:hAnsi="Times New Roman"/>
          <w:sz w:val="21"/>
          <w:szCs w:val="21"/>
          <w:u w:val="single" w:color="auto"/>
          <w:color w:val="000000"/>
        </w:rPr>
        <w:t>Works for Hire</w:t>
      </w:r>
      <w:r>
        <w:rPr>
          <w:rFonts w:ascii="Times New Roman" w:cs="Times New Roman" w:eastAsia="Times New Roman" w:hAnsi="Times New Roman"/>
          <w:sz w:val="21"/>
          <w:szCs w:val="21"/>
          <w:color w:val="000000"/>
        </w:rPr>
        <w:t>. The Executive agrees that all marketing, operating and training ideas, sourcing data, processes and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materials, including all inventions, discoveries, improvements, enhancements, written materials and development related to the business of PVH, the Company and their affiliates (“Proprietary Materials”) to which the Executive may have access or that the Executive may develop or conceive while employed by PVH or any of its affiliates, including the Company, shall be considered works made for hire for the Company and prepared within the scope of employment and shall belong exclusively to PVH or its applicable affiliate. PVH and its affiliates, including the Company, shall have a right to freely develop and alter such Proprietary Materials and to license and assign them to third parties.</w:t>
      </w:r>
    </w:p>
    <w:p>
      <w:pPr>
        <w:spacing w:after="0" w:line="151" w:lineRule="exact"/>
        <w:rPr>
          <w:sz w:val="20"/>
          <w:szCs w:val="20"/>
          <w:color w:val="auto"/>
        </w:rPr>
      </w:pPr>
    </w:p>
    <w:p>
      <w:pPr>
        <w:jc w:val="both"/>
        <w:ind w:firstLine="625"/>
        <w:spacing w:after="0" w:line="222" w:lineRule="auto"/>
        <w:rPr>
          <w:sz w:val="20"/>
          <w:szCs w:val="20"/>
          <w:color w:val="auto"/>
        </w:rPr>
      </w:pPr>
      <w:r>
        <w:rPr>
          <w:rFonts w:ascii="Times New Roman" w:cs="Times New Roman" w:eastAsia="Times New Roman" w:hAnsi="Times New Roman"/>
          <w:sz w:val="21"/>
          <w:szCs w:val="21"/>
          <w:color w:val="010000"/>
        </w:rPr>
        <w:t xml:space="preserve">6.2 </w:t>
      </w:r>
      <w:r>
        <w:rPr>
          <w:rFonts w:ascii="Times New Roman" w:cs="Times New Roman" w:eastAsia="Times New Roman" w:hAnsi="Times New Roman"/>
          <w:sz w:val="21"/>
          <w:szCs w:val="21"/>
          <w:u w:val="single" w:color="auto"/>
          <w:color w:val="000000"/>
        </w:rPr>
        <w:t>Assignment of Proprietary Materials</w:t>
      </w:r>
      <w:r>
        <w:rPr>
          <w:rFonts w:ascii="Times New Roman" w:cs="Times New Roman" w:eastAsia="Times New Roman" w:hAnsi="Times New Roman"/>
          <w:sz w:val="21"/>
          <w:szCs w:val="21"/>
          <w:color w:val="000000"/>
        </w:rPr>
        <w:t>. Any Proprietary Materials developed by the Executive that, under applicable law,</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may not be considered works made for hire, are hereby assigned to the Company without the need for any further consideration, and the Executive agrees to take such further action, including executing such instruments and documents as the Company may reasonably request, to evidence such assignment.</w:t>
      </w:r>
    </w:p>
    <w:p>
      <w:pPr>
        <w:spacing w:after="0" w:line="147" w:lineRule="exact"/>
        <w:rPr>
          <w:sz w:val="20"/>
          <w:szCs w:val="20"/>
          <w:color w:val="auto"/>
        </w:rPr>
      </w:pPr>
    </w:p>
    <w:p>
      <w:pPr>
        <w:jc w:val="both"/>
        <w:ind w:firstLine="625"/>
        <w:spacing w:after="0" w:line="219" w:lineRule="auto"/>
        <w:rPr>
          <w:sz w:val="20"/>
          <w:szCs w:val="20"/>
          <w:color w:val="auto"/>
        </w:rPr>
      </w:pPr>
      <w:r>
        <w:rPr>
          <w:rFonts w:ascii="Times New Roman" w:cs="Times New Roman" w:eastAsia="Times New Roman" w:hAnsi="Times New Roman"/>
          <w:sz w:val="21"/>
          <w:szCs w:val="21"/>
          <w:color w:val="010000"/>
        </w:rPr>
        <w:t xml:space="preserve">6.3 </w:t>
      </w:r>
      <w:r>
        <w:rPr>
          <w:rFonts w:ascii="Times New Roman" w:cs="Times New Roman" w:eastAsia="Times New Roman" w:hAnsi="Times New Roman"/>
          <w:sz w:val="21"/>
          <w:szCs w:val="21"/>
          <w:u w:val="single" w:color="auto"/>
          <w:color w:val="000000"/>
        </w:rPr>
        <w:t>Execution of Deeds and Documents</w:t>
      </w:r>
      <w:r>
        <w:rPr>
          <w:rFonts w:ascii="Times New Roman" w:cs="Times New Roman" w:eastAsia="Times New Roman" w:hAnsi="Times New Roman"/>
          <w:sz w:val="21"/>
          <w:szCs w:val="21"/>
          <w:color w:val="000000"/>
        </w:rPr>
        <w:t>. The Executive agrees and undertakes without any additional compensation to</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execute all such deeds and documents that, in the Company’s sole and absolute discretion, are necessary or desirable in order for the Company to protect, register, maintain and in any other way fully enjoy the rights referred to under this Section 6 (</w:t>
      </w:r>
      <w:r>
        <w:rPr>
          <w:rFonts w:ascii="Times New Roman" w:cs="Times New Roman" w:eastAsia="Times New Roman" w:hAnsi="Times New Roman"/>
          <w:sz w:val="21"/>
          <w:szCs w:val="21"/>
          <w:u w:val="single" w:color="auto"/>
          <w:color w:val="000000"/>
        </w:rPr>
        <w:t>Intellectual</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Property Rights</w:t>
      </w:r>
      <w:r>
        <w:rPr>
          <w:rFonts w:ascii="Times New Roman" w:cs="Times New Roman" w:eastAsia="Times New Roman" w:hAnsi="Times New Roman"/>
          <w:sz w:val="21"/>
          <w:szCs w:val="21"/>
          <w:color w:val="000000"/>
        </w:rPr>
        <w:t>). For purposes of this Section 6 (</w:t>
      </w:r>
      <w:r>
        <w:rPr>
          <w:rFonts w:ascii="Times New Roman" w:cs="Times New Roman" w:eastAsia="Times New Roman" w:hAnsi="Times New Roman"/>
          <w:sz w:val="21"/>
          <w:szCs w:val="21"/>
          <w:u w:val="single" w:color="auto"/>
          <w:color w:val="000000"/>
        </w:rPr>
        <w:t>Intellectual Property Rights</w:t>
      </w:r>
      <w:r>
        <w:rPr>
          <w:rFonts w:ascii="Times New Roman" w:cs="Times New Roman" w:eastAsia="Times New Roman" w:hAnsi="Times New Roman"/>
          <w:sz w:val="21"/>
          <w:szCs w:val="21"/>
          <w:color w:val="000000"/>
        </w:rPr>
        <w:t>), all references to the Company shall be deemed to refer to PVH and its affiliates, including, without limitation, PVH Europe.</w:t>
      </w:r>
    </w:p>
    <w:p>
      <w:pPr>
        <w:spacing w:after="0" w:line="147" w:lineRule="exact"/>
        <w:rPr>
          <w:sz w:val="20"/>
          <w:szCs w:val="20"/>
          <w:color w:val="auto"/>
        </w:rPr>
      </w:pPr>
    </w:p>
    <w:p>
      <w:pPr>
        <w:ind w:firstLine="1253"/>
        <w:spacing w:after="0" w:line="238" w:lineRule="auto"/>
        <w:tabs>
          <w:tab w:leader="none" w:pos="1870" w:val="left"/>
        </w:tabs>
        <w:numPr>
          <w:ilvl w:val="0"/>
          <w:numId w:val="1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Insofar as permitted by law, the Executive hereby waives all of his personal and moral rights (including the right to have one’s name stated pursuant to the Dutch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48" w:right="339" w:bottom="1440" w:gutter="0" w:footer="0" w:header="0"/>
        </w:sectPr>
      </w:pPr>
    </w:p>
    <w:bookmarkStart w:id="168" w:name="page169"/>
    <w:bookmarkEnd w:id="168"/>
    <w:p>
      <w:pPr>
        <w:jc w:val="both"/>
        <w:spacing w:after="0" w:line="227" w:lineRule="auto"/>
        <w:rPr>
          <w:sz w:val="20"/>
          <w:szCs w:val="20"/>
          <w:color w:val="auto"/>
        </w:rPr>
      </w:pPr>
      <w:r>
        <w:rPr>
          <w:rFonts w:ascii="Times New Roman" w:cs="Times New Roman" w:eastAsia="Times New Roman" w:hAnsi="Times New Roman"/>
          <w:sz w:val="21"/>
          <w:szCs w:val="21"/>
          <w:color w:val="auto"/>
        </w:rPr>
        <w:t>Copyright Act of 1912 (Auteurswet 1912)). To the extent that the Executive retains any such personal and moral rights under applicable law, the Executive hereby consents to any action that may be taken with respect to such rights by or on behalf of the Company and agrees not to assert any personal and moral rights with respect thereto.</w:t>
      </w:r>
    </w:p>
    <w:p>
      <w:pPr>
        <w:spacing w:after="0" w:line="147" w:lineRule="exact"/>
        <w:rPr>
          <w:sz w:val="20"/>
          <w:szCs w:val="20"/>
          <w:color w:val="auto"/>
        </w:rPr>
      </w:pPr>
    </w:p>
    <w:p>
      <w:pPr>
        <w:ind w:firstLine="1253"/>
        <w:spacing w:after="0" w:line="238" w:lineRule="auto"/>
        <w:tabs>
          <w:tab w:leader="none" w:pos="1869" w:val="left"/>
        </w:tabs>
        <w:numPr>
          <w:ilvl w:val="0"/>
          <w:numId w:val="12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Executive acknowledges that his salary includes reasonable compensation for the works made for hire and any assignment of intellectual and industrial property rights referred to under this Section 6 (</w:t>
      </w:r>
      <w:r>
        <w:rPr>
          <w:rFonts w:ascii="Times New Roman" w:cs="Times New Roman" w:eastAsia="Times New Roman" w:hAnsi="Times New Roman"/>
          <w:sz w:val="21"/>
          <w:szCs w:val="21"/>
          <w:u w:val="single" w:color="auto"/>
          <w:color w:val="auto"/>
        </w:rPr>
        <w:t>Intellectual Property Rights</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jc w:val="both"/>
        <w:ind w:firstLine="625"/>
        <w:spacing w:after="0" w:line="222" w:lineRule="auto"/>
        <w:rPr>
          <w:sz w:val="20"/>
          <w:szCs w:val="20"/>
          <w:color w:val="auto"/>
        </w:rPr>
      </w:pPr>
      <w:r>
        <w:rPr>
          <w:rFonts w:ascii="Times New Roman" w:cs="Times New Roman" w:eastAsia="Times New Roman" w:hAnsi="Times New Roman"/>
          <w:sz w:val="21"/>
          <w:szCs w:val="21"/>
          <w:color w:val="010000"/>
        </w:rPr>
        <w:t xml:space="preserve">6.4 </w:t>
      </w:r>
      <w:r>
        <w:rPr>
          <w:rFonts w:ascii="Times New Roman" w:cs="Times New Roman" w:eastAsia="Times New Roman" w:hAnsi="Times New Roman"/>
          <w:sz w:val="21"/>
          <w:szCs w:val="21"/>
          <w:u w:val="single" w:color="auto"/>
          <w:color w:val="000000"/>
        </w:rPr>
        <w:t>Additional jobs/employment</w:t>
      </w:r>
      <w:r>
        <w:rPr>
          <w:rFonts w:ascii="Times New Roman" w:cs="Times New Roman" w:eastAsia="Times New Roman" w:hAnsi="Times New Roman"/>
          <w:sz w:val="21"/>
          <w:szCs w:val="21"/>
          <w:color w:val="000000"/>
        </w:rPr>
        <w:t>. During this Agreement, the Executive must refrain from undertaking or holding any side-activities or additional posts, paid or unpaid, without PVH’s prior written consent, regardless of whether PVH is either partly or fully aware of such activities, such consent not to be unreasonably withheld. In addition the Executive agrees and acknowledges that he is subject to the PVH Conflict of Interest Policy at all times.</w:t>
      </w:r>
    </w:p>
    <w:p>
      <w:pPr>
        <w:spacing w:after="0" w:line="147" w:lineRule="exact"/>
        <w:rPr>
          <w:sz w:val="20"/>
          <w:szCs w:val="20"/>
          <w:color w:val="auto"/>
        </w:rPr>
      </w:pPr>
    </w:p>
    <w:p>
      <w:pPr>
        <w:jc w:val="both"/>
        <w:ind w:firstLine="4"/>
        <w:spacing w:after="0" w:line="222" w:lineRule="auto"/>
        <w:tabs>
          <w:tab w:leader="none" w:pos="625" w:val="left"/>
        </w:tabs>
        <w:numPr>
          <w:ilvl w:val="0"/>
          <w:numId w:val="12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Personal Data</w:t>
      </w:r>
      <w:r>
        <w:rPr>
          <w:rFonts w:ascii="Times New Roman" w:cs="Times New Roman" w:eastAsia="Times New Roman" w:hAnsi="Times New Roman"/>
          <w:sz w:val="21"/>
          <w:szCs w:val="21"/>
          <w:color w:val="auto"/>
        </w:rPr>
        <w:t>. As an employer, the Company shall collect some of the Executive’s personal data and shall be responsible for its protection. Reference is made to the PVH Associates Privacy Policy &amp; Personal Data Use Notice of which the Executive acknowledges having received a copy, where more information can be found on how PVH and the Company use the personal data it collects from associates during their employment with PVH or any of its affiliates, as well as who has access to it.</w:t>
      </w:r>
    </w:p>
    <w:p>
      <w:pPr>
        <w:spacing w:after="0" w:line="147" w:lineRule="exact"/>
        <w:rPr>
          <w:rFonts w:ascii="Times New Roman" w:cs="Times New Roman" w:eastAsia="Times New Roman" w:hAnsi="Times New Roman"/>
          <w:sz w:val="21"/>
          <w:szCs w:val="21"/>
          <w:color w:val="010000"/>
        </w:rPr>
      </w:pPr>
    </w:p>
    <w:p>
      <w:pPr>
        <w:ind w:left="620" w:hanging="616"/>
        <w:spacing w:after="0"/>
        <w:tabs>
          <w:tab w:leader="none" w:pos="620" w:val="left"/>
        </w:tabs>
        <w:numPr>
          <w:ilvl w:val="0"/>
          <w:numId w:val="12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PVH Employee Handbook and PVH Global Policies</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 Executive acknowledges having received a copy of the PVH Employee Handbook and the PVH global policies (including, but not limited to, the Code of Business Conduct and Ethics, the Insider Trading Policy, the Confidentiality of Information Policy, the Global Anti-Harassment Policy and the Conflict of Interest Policy), and to have accepted and agreed to comply therewith. The provisions of the PVH Employee Handbook and the PVH global policies as they apply from time to time form an integral part of this Agreement. PVH reserves the right to unilaterally amend the content of the PVH Employee Handbook and the PVH global policies.</w:t>
      </w:r>
    </w:p>
    <w:p>
      <w:pPr>
        <w:spacing w:after="0" w:line="20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Any exception to the rules of the PVH Employee Handbook or the PVH global policies shall only be valid if confirmed in writing by an authorized representative of PVH or the Company.</w:t>
      </w:r>
    </w:p>
    <w:p>
      <w:pPr>
        <w:spacing w:after="0" w:line="149" w:lineRule="exact"/>
        <w:rPr>
          <w:sz w:val="20"/>
          <w:szCs w:val="20"/>
          <w:color w:val="auto"/>
        </w:rPr>
      </w:pPr>
    </w:p>
    <w:p>
      <w:pPr>
        <w:ind w:left="620" w:hanging="616"/>
        <w:spacing w:after="0"/>
        <w:tabs>
          <w:tab w:leader="none" w:pos="620" w:val="left"/>
        </w:tabs>
        <w:numPr>
          <w:ilvl w:val="0"/>
          <w:numId w:val="12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Clawback/Recoupment</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Notwithstanding any other provision in this Agreement to the contrary, any compensation paid to the Executive pursuant to this Agreement or any other agreement or arrangement with PVH or the Company shall be subject to (i) any “clawback” or recoupment policy that is applicable to the Executive and other designated senior executives of PVH or any of its affiliates, or that is adopted to comply with any applicable law, rule or regulation, or any other requirement, or (ii) any law, rule, requirement or regulation which imposes mandatory recoupment, under circumstances set forth in such law, rule, requirement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48" w:right="339" w:bottom="1440" w:gutter="0" w:footer="0" w:header="0"/>
        </w:sectPr>
      </w:pPr>
    </w:p>
    <w:bookmarkStart w:id="169" w:name="page170"/>
    <w:bookmarkEnd w:id="169"/>
    <w:p>
      <w:pPr>
        <w:ind w:left="620" w:hanging="616"/>
        <w:spacing w:after="0"/>
        <w:tabs>
          <w:tab w:leader="none" w:pos="620" w:val="left"/>
        </w:tabs>
        <w:numPr>
          <w:ilvl w:val="0"/>
          <w:numId w:val="12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firstLine="625"/>
        <w:spacing w:after="0" w:line="238" w:lineRule="auto"/>
        <w:rPr>
          <w:sz w:val="20"/>
          <w:szCs w:val="20"/>
          <w:color w:val="auto"/>
        </w:rPr>
      </w:pPr>
      <w:r>
        <w:rPr>
          <w:rFonts w:ascii="Times New Roman" w:cs="Times New Roman" w:eastAsia="Times New Roman" w:hAnsi="Times New Roman"/>
          <w:sz w:val="21"/>
          <w:szCs w:val="21"/>
          <w:color w:val="010000"/>
        </w:rPr>
        <w:t xml:space="preserve">10.1 </w:t>
      </w:r>
      <w:r>
        <w:rPr>
          <w:rFonts w:ascii="Times New Roman" w:cs="Times New Roman" w:eastAsia="Times New Roman" w:hAnsi="Times New Roman"/>
          <w:sz w:val="21"/>
          <w:szCs w:val="21"/>
          <w:u w:val="single" w:color="auto"/>
          <w:color w:val="000000"/>
        </w:rPr>
        <w:t>Notices</w:t>
      </w:r>
      <w:r>
        <w:rPr>
          <w:rFonts w:ascii="Times New Roman" w:cs="Times New Roman" w:eastAsia="Times New Roman" w:hAnsi="Times New Roman"/>
          <w:sz w:val="21"/>
          <w:szCs w:val="21"/>
          <w:color w:val="000000"/>
        </w:rPr>
        <w:t>. Any notices to be given under this Agreement shall be in writing and delivered personally or sent by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international courier, signature required, or registered or certified mail, return receipt requested, costs paid by the sender as follows:</w:t>
      </w:r>
    </w:p>
    <w:p>
      <w:pPr>
        <w:spacing w:after="0" w:line="136"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21"/>
          <w:szCs w:val="21"/>
          <w:color w:val="010000"/>
        </w:rPr>
        <w:t>(a)</w:t>
      </w:r>
      <w:r>
        <w:rPr>
          <w:sz w:val="20"/>
          <w:szCs w:val="20"/>
          <w:color w:val="auto"/>
        </w:rPr>
        <w:tab/>
      </w:r>
      <w:r>
        <w:rPr>
          <w:rFonts w:ascii="Times New Roman" w:cs="Times New Roman" w:eastAsia="Times New Roman" w:hAnsi="Times New Roman"/>
          <w:sz w:val="21"/>
          <w:szCs w:val="21"/>
          <w:color w:val="auto"/>
        </w:rPr>
        <w:t>If to the Executive, addressed to the Executive at the address then shown in the Executive’s employment</w:t>
      </w:r>
    </w:p>
    <w:p>
      <w:pPr>
        <w:spacing w:after="0"/>
        <w:rPr>
          <w:sz w:val="20"/>
          <w:szCs w:val="20"/>
          <w:color w:val="auto"/>
        </w:rPr>
      </w:pPr>
      <w:r>
        <w:rPr>
          <w:rFonts w:ascii="Times New Roman" w:cs="Times New Roman" w:eastAsia="Times New Roman" w:hAnsi="Times New Roman"/>
          <w:sz w:val="21"/>
          <w:szCs w:val="21"/>
          <w:color w:val="auto"/>
        </w:rPr>
        <w:t>records;</w:t>
      </w:r>
    </w:p>
    <w:p>
      <w:pPr>
        <w:spacing w:after="0" w:line="151" w:lineRule="exact"/>
        <w:rPr>
          <w:sz w:val="20"/>
          <w:szCs w:val="20"/>
          <w:color w:val="auto"/>
        </w:rPr>
      </w:pPr>
    </w:p>
    <w:p>
      <w:pPr>
        <w:ind w:left="1880" w:hanging="627"/>
        <w:spacing w:after="0"/>
        <w:tabs>
          <w:tab w:leader="none" w:pos="1880" w:val="left"/>
        </w:tabs>
        <w:numPr>
          <w:ilvl w:val="0"/>
          <w:numId w:val="12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to the Company at:</w:t>
      </w:r>
    </w:p>
    <w:p>
      <w:pPr>
        <w:spacing w:after="0" w:line="20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1"/>
          <w:szCs w:val="21"/>
          <w:color w:val="auto"/>
        </w:rPr>
        <w:t>PVH B.V.</w:t>
      </w:r>
    </w:p>
    <w:p>
      <w:pPr>
        <w:spacing w:after="0" w:line="3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1"/>
          <w:szCs w:val="21"/>
          <w:color w:val="auto"/>
        </w:rPr>
        <w:t>Danzigerkade 165</w:t>
      </w:r>
    </w:p>
    <w:p>
      <w:pPr>
        <w:spacing w:after="0" w:line="2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1"/>
          <w:szCs w:val="21"/>
          <w:color w:val="auto"/>
        </w:rPr>
        <w:t>1013 AP, Amsterdam, The Netherlands</w:t>
      </w:r>
    </w:p>
    <w:p>
      <w:pPr>
        <w:spacing w:after="0" w:line="3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1"/>
          <w:szCs w:val="21"/>
          <w:color w:val="auto"/>
        </w:rPr>
        <w:t>Attention: Executive Vice President, Chief People Officer, PVH Europe</w:t>
      </w:r>
    </w:p>
    <w:p>
      <w:pPr>
        <w:spacing w:after="0" w:line="24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1"/>
          <w:szCs w:val="21"/>
          <w:color w:val="auto"/>
        </w:rPr>
        <w:t>With a copy to:</w:t>
      </w:r>
    </w:p>
    <w:p>
      <w:pPr>
        <w:spacing w:after="0" w:line="20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1"/>
          <w:szCs w:val="21"/>
          <w:color w:val="auto"/>
        </w:rPr>
        <w:t>PVH Corp.</w:t>
      </w:r>
    </w:p>
    <w:p>
      <w:pPr>
        <w:spacing w:after="0" w:line="3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1"/>
          <w:szCs w:val="21"/>
          <w:color w:val="auto"/>
        </w:rPr>
        <w:t>285 Madison Avenue</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1"/>
          <w:szCs w:val="21"/>
          <w:color w:val="auto"/>
        </w:rPr>
        <w:t>New York, New York 10017</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1"/>
          <w:szCs w:val="21"/>
          <w:color w:val="auto"/>
        </w:rPr>
        <w:t>Attention: Executive Vice President, General Counsel and Secretary</w:t>
      </w:r>
    </w:p>
    <w:p>
      <w:pPr>
        <w:spacing w:after="0" w:line="200" w:lineRule="exact"/>
        <w:rPr>
          <w:sz w:val="20"/>
          <w:szCs w:val="20"/>
          <w:color w:val="auto"/>
        </w:rPr>
      </w:pPr>
    </w:p>
    <w:p>
      <w:pPr>
        <w:spacing w:after="0" w:line="211" w:lineRule="exact"/>
        <w:rPr>
          <w:sz w:val="20"/>
          <w:szCs w:val="20"/>
          <w:color w:val="auto"/>
        </w:rPr>
      </w:pPr>
    </w:p>
    <w:p>
      <w:pPr>
        <w:jc w:val="both"/>
        <w:ind w:firstLine="625"/>
        <w:spacing w:after="0" w:line="288" w:lineRule="auto"/>
        <w:rPr>
          <w:sz w:val="20"/>
          <w:szCs w:val="20"/>
          <w:color w:val="auto"/>
        </w:rPr>
      </w:pPr>
      <w:r>
        <w:rPr>
          <w:rFonts w:ascii="Times New Roman" w:cs="Times New Roman" w:eastAsia="Times New Roman" w:hAnsi="Times New Roman"/>
          <w:sz w:val="21"/>
          <w:szCs w:val="21"/>
          <w:color w:val="auto"/>
        </w:rPr>
        <w:t>Any party may change the address to which notices are to be sent by giving notice of such change of address to the other party in the manner provided above for giving notice. Notice shall be deemed given when delivered personally or when signed for.</w:t>
      </w:r>
    </w:p>
    <w:p>
      <w:pPr>
        <w:spacing w:after="0" w:line="110" w:lineRule="exact"/>
        <w:rPr>
          <w:sz w:val="20"/>
          <w:szCs w:val="20"/>
          <w:color w:val="auto"/>
        </w:rPr>
      </w:pPr>
    </w:p>
    <w:p>
      <w:pPr>
        <w:jc w:val="both"/>
        <w:ind w:firstLine="625"/>
        <w:spacing w:after="0" w:line="227" w:lineRule="auto"/>
        <w:rPr>
          <w:sz w:val="20"/>
          <w:szCs w:val="20"/>
          <w:color w:val="auto"/>
        </w:rPr>
      </w:pPr>
      <w:r>
        <w:rPr>
          <w:rFonts w:ascii="Times New Roman" w:cs="Times New Roman" w:eastAsia="Times New Roman" w:hAnsi="Times New Roman"/>
          <w:sz w:val="21"/>
          <w:szCs w:val="21"/>
          <w:color w:val="010000"/>
        </w:rPr>
        <w:t xml:space="preserve">10.2 </w:t>
      </w:r>
      <w:r>
        <w:rPr>
          <w:rFonts w:ascii="Times New Roman" w:cs="Times New Roman" w:eastAsia="Times New Roman" w:hAnsi="Times New Roman"/>
          <w:sz w:val="21"/>
          <w:szCs w:val="21"/>
          <w:u w:val="single" w:color="auto"/>
          <w:color w:val="000000"/>
        </w:rPr>
        <w:t>Severability</w:t>
      </w:r>
      <w:r>
        <w:rPr>
          <w:rFonts w:ascii="Times New Roman" w:cs="Times New Roman" w:eastAsia="Times New Roman" w:hAnsi="Times New Roman"/>
          <w:sz w:val="21"/>
          <w:szCs w:val="21"/>
          <w:color w:val="000000"/>
        </w:rPr>
        <w:t>. The invalidity of any one or more provisions of this Agreement or any part thereof shall not affect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validity of any other provision of this Agreement or part thereof. In the event that one or more provisions contained herein shall be held to be invalid, this Agreement shall be reformed to make such provisions enforceable.</w:t>
      </w:r>
    </w:p>
    <w:p>
      <w:pPr>
        <w:spacing w:after="0" w:line="147" w:lineRule="exact"/>
        <w:rPr>
          <w:sz w:val="20"/>
          <w:szCs w:val="20"/>
          <w:color w:val="auto"/>
        </w:rPr>
      </w:pPr>
    </w:p>
    <w:p>
      <w:pPr>
        <w:jc w:val="both"/>
        <w:ind w:firstLine="625"/>
        <w:spacing w:after="0" w:line="238" w:lineRule="auto"/>
        <w:rPr>
          <w:sz w:val="20"/>
          <w:szCs w:val="20"/>
          <w:color w:val="auto"/>
        </w:rPr>
      </w:pPr>
      <w:r>
        <w:rPr>
          <w:rFonts w:ascii="Times New Roman" w:cs="Times New Roman" w:eastAsia="Times New Roman" w:hAnsi="Times New Roman"/>
          <w:sz w:val="21"/>
          <w:szCs w:val="21"/>
          <w:color w:val="010000"/>
        </w:rPr>
        <w:t xml:space="preserve">10.3 </w:t>
      </w:r>
      <w:r>
        <w:rPr>
          <w:rFonts w:ascii="Times New Roman" w:cs="Times New Roman" w:eastAsia="Times New Roman" w:hAnsi="Times New Roman"/>
          <w:sz w:val="21"/>
          <w:szCs w:val="21"/>
          <w:u w:val="single" w:color="auto"/>
          <w:color w:val="000000"/>
        </w:rPr>
        <w:t>Section Headings</w:t>
      </w:r>
      <w:r>
        <w:rPr>
          <w:rFonts w:ascii="Times New Roman" w:cs="Times New Roman" w:eastAsia="Times New Roman" w:hAnsi="Times New Roman"/>
          <w:sz w:val="21"/>
          <w:szCs w:val="21"/>
          <w:color w:val="000000"/>
        </w:rPr>
        <w:t>. The section headings contained in this Agreement are for reference purposes only and shall not in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any way affect the meaning or interpretation of this Agreement.</w:t>
      </w:r>
    </w:p>
    <w:p>
      <w:pPr>
        <w:spacing w:after="0" w:line="145" w:lineRule="exact"/>
        <w:rPr>
          <w:sz w:val="20"/>
          <w:szCs w:val="20"/>
          <w:color w:val="auto"/>
        </w:rPr>
      </w:pPr>
    </w:p>
    <w:p>
      <w:pPr>
        <w:jc w:val="both"/>
        <w:ind w:firstLine="625"/>
        <w:spacing w:after="0" w:line="222" w:lineRule="auto"/>
        <w:rPr>
          <w:sz w:val="20"/>
          <w:szCs w:val="20"/>
          <w:color w:val="auto"/>
        </w:rPr>
      </w:pPr>
      <w:r>
        <w:rPr>
          <w:rFonts w:ascii="Times New Roman" w:cs="Times New Roman" w:eastAsia="Times New Roman" w:hAnsi="Times New Roman"/>
          <w:sz w:val="21"/>
          <w:szCs w:val="21"/>
          <w:color w:val="010000"/>
        </w:rPr>
        <w:t xml:space="preserve">10.4 </w:t>
      </w:r>
      <w:r>
        <w:rPr>
          <w:rFonts w:ascii="Times New Roman" w:cs="Times New Roman" w:eastAsia="Times New Roman" w:hAnsi="Times New Roman"/>
          <w:sz w:val="21"/>
          <w:szCs w:val="21"/>
          <w:u w:val="single" w:color="auto"/>
          <w:color w:val="000000"/>
        </w:rPr>
        <w:t>Withholding</w:t>
      </w:r>
      <w:r>
        <w:rPr>
          <w:rFonts w:ascii="Times New Roman" w:cs="Times New Roman" w:eastAsia="Times New Roman" w:hAnsi="Times New Roman"/>
          <w:sz w:val="21"/>
          <w:szCs w:val="21"/>
          <w:color w:val="000000"/>
        </w:rPr>
        <w:t>. Any payments provided for under this Agreement shall be reduced by any taxes or other amounts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required to be withheld by PVH, the Company or any of its affiliates, and any benefits provided hereunder shall be subject to taxation if and to the extent provided, from time to time under applicable employment or income tax laws or similar statutes or other provisions of law then in effect.</w:t>
      </w:r>
    </w:p>
    <w:p>
      <w:pPr>
        <w:spacing w:after="0" w:line="147" w:lineRule="exact"/>
        <w:rPr>
          <w:sz w:val="20"/>
          <w:szCs w:val="20"/>
          <w:color w:val="auto"/>
        </w:rPr>
      </w:pPr>
    </w:p>
    <w:p>
      <w:pPr>
        <w:jc w:val="both"/>
        <w:ind w:firstLine="625"/>
        <w:spacing w:after="0" w:line="227" w:lineRule="auto"/>
        <w:rPr>
          <w:sz w:val="20"/>
          <w:szCs w:val="20"/>
          <w:color w:val="auto"/>
        </w:rPr>
      </w:pPr>
      <w:r>
        <w:rPr>
          <w:rFonts w:ascii="Times New Roman" w:cs="Times New Roman" w:eastAsia="Times New Roman" w:hAnsi="Times New Roman"/>
          <w:sz w:val="21"/>
          <w:szCs w:val="21"/>
          <w:color w:val="010000"/>
        </w:rPr>
        <w:t xml:space="preserve">10.5 </w:t>
      </w:r>
      <w:r>
        <w:rPr>
          <w:rFonts w:ascii="Times New Roman" w:cs="Times New Roman" w:eastAsia="Times New Roman" w:hAnsi="Times New Roman"/>
          <w:sz w:val="21"/>
          <w:szCs w:val="21"/>
          <w:u w:val="single" w:color="auto"/>
          <w:color w:val="000000"/>
        </w:rPr>
        <w:t>Governing Law</w:t>
      </w:r>
      <w:r>
        <w:rPr>
          <w:rFonts w:ascii="Times New Roman" w:cs="Times New Roman" w:eastAsia="Times New Roman" w:hAnsi="Times New Roman"/>
          <w:sz w:val="21"/>
          <w:szCs w:val="21"/>
          <w:color w:val="000000"/>
        </w:rPr>
        <w:t>. This Agreement shall be governed by and construed in accordance with the laws of the Netherlands.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All Plans shall be governed by the law stated therein or, if no governing law is identified, then by the law of the jurisdiction of organization of PVH or the PVH affiliate that adopted the Plan.</w:t>
      </w:r>
    </w:p>
    <w:p>
      <w:pPr>
        <w:spacing w:after="0" w:line="147" w:lineRule="exact"/>
        <w:rPr>
          <w:sz w:val="20"/>
          <w:szCs w:val="20"/>
          <w:color w:val="auto"/>
        </w:rPr>
      </w:pPr>
    </w:p>
    <w:p>
      <w:pPr>
        <w:jc w:val="both"/>
        <w:ind w:firstLine="625"/>
        <w:spacing w:after="0" w:line="222" w:lineRule="auto"/>
        <w:rPr>
          <w:sz w:val="20"/>
          <w:szCs w:val="20"/>
          <w:color w:val="auto"/>
        </w:rPr>
      </w:pPr>
      <w:r>
        <w:rPr>
          <w:rFonts w:ascii="Times New Roman" w:cs="Times New Roman" w:eastAsia="Times New Roman" w:hAnsi="Times New Roman"/>
          <w:sz w:val="21"/>
          <w:szCs w:val="21"/>
          <w:color w:val="010000"/>
        </w:rPr>
        <w:t xml:space="preserve">10.6 </w:t>
      </w:r>
      <w:r>
        <w:rPr>
          <w:rFonts w:ascii="Times New Roman" w:cs="Times New Roman" w:eastAsia="Times New Roman" w:hAnsi="Times New Roman"/>
          <w:sz w:val="21"/>
          <w:szCs w:val="21"/>
          <w:u w:val="single" w:color="auto"/>
          <w:color w:val="000000"/>
        </w:rPr>
        <w:t>Consent to Jurisdiction</w:t>
      </w:r>
      <w:r>
        <w:rPr>
          <w:rFonts w:ascii="Times New Roman" w:cs="Times New Roman" w:eastAsia="Times New Roman" w:hAnsi="Times New Roman"/>
          <w:sz w:val="21"/>
          <w:szCs w:val="21"/>
          <w:color w:val="000000"/>
        </w:rPr>
        <w:t>. The Executive acknowledges and agrees that their employment hereunder is principally in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Netherlands and that the application of Dutch law, as provided in Section 10.5 (</w:t>
      </w:r>
      <w:r>
        <w:rPr>
          <w:rFonts w:ascii="Times New Roman" w:cs="Times New Roman" w:eastAsia="Times New Roman" w:hAnsi="Times New Roman"/>
          <w:sz w:val="21"/>
          <w:szCs w:val="21"/>
          <w:u w:val="single" w:color="auto"/>
          <w:color w:val="000000"/>
        </w:rPr>
        <w:t>Governing Law</w:t>
      </w:r>
      <w:r>
        <w:rPr>
          <w:rFonts w:ascii="Times New Roman" w:cs="Times New Roman" w:eastAsia="Times New Roman" w:hAnsi="Times New Roman"/>
          <w:sz w:val="21"/>
          <w:szCs w:val="21"/>
          <w:color w:val="000000"/>
        </w:rPr>
        <w:t>) is fair and appropriate. The Executive further consents to the jurisdiction of the courts of the Netherlands in any judicial proceeding brought against the Executive with respect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48" w:right="339" w:bottom="1440" w:gutter="0" w:footer="0" w:header="0"/>
        </w:sectPr>
      </w:pPr>
    </w:p>
    <w:bookmarkStart w:id="170" w:name="page171"/>
    <w:bookmarkEnd w:id="170"/>
    <w:p>
      <w:pPr>
        <w:jc w:val="both"/>
        <w:ind w:firstLine="625"/>
        <w:spacing w:after="0" w:line="238" w:lineRule="auto"/>
        <w:rPr>
          <w:sz w:val="20"/>
          <w:szCs w:val="20"/>
          <w:color w:val="auto"/>
        </w:rPr>
      </w:pPr>
      <w:r>
        <w:rPr>
          <w:rFonts w:ascii="Times New Roman" w:cs="Times New Roman" w:eastAsia="Times New Roman" w:hAnsi="Times New Roman"/>
          <w:sz w:val="21"/>
          <w:szCs w:val="21"/>
          <w:color w:val="010000"/>
        </w:rPr>
        <w:t xml:space="preserve">10.7 </w:t>
      </w:r>
      <w:r>
        <w:rPr>
          <w:rFonts w:ascii="Times New Roman" w:cs="Times New Roman" w:eastAsia="Times New Roman" w:hAnsi="Times New Roman"/>
          <w:sz w:val="21"/>
          <w:szCs w:val="21"/>
          <w:u w:val="single" w:color="auto"/>
          <w:color w:val="000000"/>
        </w:rPr>
        <w:t>Amendment</w:t>
      </w:r>
      <w:r>
        <w:rPr>
          <w:rFonts w:ascii="Times New Roman" w:cs="Times New Roman" w:eastAsia="Times New Roman" w:hAnsi="Times New Roman"/>
          <w:sz w:val="21"/>
          <w:szCs w:val="21"/>
          <w:color w:val="000000"/>
        </w:rPr>
        <w:t>. This Agreement may be amended, supplemented or otherwise modified by a written document executed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by the parties hereto or their respective successors or assigns.</w:t>
      </w:r>
    </w:p>
    <w:p>
      <w:pPr>
        <w:spacing w:after="0" w:line="145" w:lineRule="exact"/>
        <w:rPr>
          <w:sz w:val="20"/>
          <w:szCs w:val="20"/>
          <w:color w:val="auto"/>
        </w:rPr>
      </w:pPr>
    </w:p>
    <w:p>
      <w:pPr>
        <w:jc w:val="both"/>
        <w:ind w:firstLine="625"/>
        <w:spacing w:after="0" w:line="227" w:lineRule="auto"/>
        <w:rPr>
          <w:sz w:val="20"/>
          <w:szCs w:val="20"/>
          <w:color w:val="auto"/>
        </w:rPr>
      </w:pPr>
      <w:r>
        <w:rPr>
          <w:rFonts w:ascii="Times New Roman" w:cs="Times New Roman" w:eastAsia="Times New Roman" w:hAnsi="Times New Roman"/>
          <w:sz w:val="21"/>
          <w:szCs w:val="21"/>
          <w:color w:val="010000"/>
        </w:rPr>
        <w:t xml:space="preserve">10.8 </w:t>
      </w:r>
      <w:r>
        <w:rPr>
          <w:rFonts w:ascii="Times New Roman" w:cs="Times New Roman" w:eastAsia="Times New Roman" w:hAnsi="Times New Roman"/>
          <w:sz w:val="21"/>
          <w:szCs w:val="21"/>
          <w:u w:val="single" w:color="auto"/>
          <w:color w:val="000000"/>
        </w:rPr>
        <w:t>Unilateral Amendment</w:t>
      </w:r>
      <w:r>
        <w:rPr>
          <w:rFonts w:ascii="Times New Roman" w:cs="Times New Roman" w:eastAsia="Times New Roman" w:hAnsi="Times New Roman"/>
          <w:sz w:val="21"/>
          <w:szCs w:val="21"/>
          <w:color w:val="000000"/>
        </w:rPr>
        <w:t>. PVH or its affiliaes are entitled to unilaterally amend this Agreement, including all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documents constituting part thereof, if it has a substantial interest in such amendment(s) that outweighs the interests of the Executive (which may be adversely affected by such amendment(s)) in accordance with the standards of reasonableness and fairness.</w:t>
      </w:r>
    </w:p>
    <w:p>
      <w:pPr>
        <w:spacing w:after="0" w:line="145"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21"/>
          <w:szCs w:val="21"/>
          <w:color w:val="010000"/>
        </w:rPr>
        <w:t>10.9</w:t>
      </w:r>
      <w:r>
        <w:rPr>
          <w:sz w:val="20"/>
          <w:szCs w:val="20"/>
          <w:color w:val="auto"/>
        </w:rPr>
        <w:tab/>
      </w:r>
      <w:r>
        <w:rPr>
          <w:rFonts w:ascii="Times New Roman" w:cs="Times New Roman" w:eastAsia="Times New Roman" w:hAnsi="Times New Roman"/>
          <w:sz w:val="20"/>
          <w:szCs w:val="20"/>
          <w:u w:val="single" w:color="auto"/>
          <w:color w:val="auto"/>
        </w:rPr>
        <w:t>No Collective Labour Agreement</w:t>
      </w:r>
      <w:r>
        <w:rPr>
          <w:rFonts w:ascii="Times New Roman" w:cs="Times New Roman" w:eastAsia="Times New Roman" w:hAnsi="Times New Roman"/>
          <w:sz w:val="20"/>
          <w:szCs w:val="20"/>
          <w:color w:val="auto"/>
        </w:rPr>
        <w:t>. No collective labour agreement (</w:t>
      </w:r>
      <w:r>
        <w:rPr>
          <w:rFonts w:ascii="Times New Roman" w:cs="Times New Roman" w:eastAsia="Times New Roman" w:hAnsi="Times New Roman"/>
          <w:sz w:val="20"/>
          <w:szCs w:val="20"/>
          <w:i w:val="1"/>
          <w:iCs w:val="1"/>
          <w:color w:val="auto"/>
        </w:rPr>
        <w:t>CAO</w:t>
      </w:r>
      <w:r>
        <w:rPr>
          <w:rFonts w:ascii="Times New Roman" w:cs="Times New Roman" w:eastAsia="Times New Roman" w:hAnsi="Times New Roman"/>
          <w:sz w:val="20"/>
          <w:szCs w:val="20"/>
          <w:color w:val="auto"/>
        </w:rPr>
        <w:t>) is applicable to this Agreement.</w:t>
      </w:r>
    </w:p>
    <w:p>
      <w:pPr>
        <w:spacing w:after="0" w:line="177" w:lineRule="exact"/>
        <w:rPr>
          <w:sz w:val="20"/>
          <w:szCs w:val="20"/>
          <w:color w:val="auto"/>
        </w:rPr>
      </w:pPr>
    </w:p>
    <w:p>
      <w:pPr>
        <w:jc w:val="both"/>
        <w:ind w:firstLine="625"/>
        <w:spacing w:after="0" w:line="222" w:lineRule="auto"/>
        <w:rPr>
          <w:sz w:val="20"/>
          <w:szCs w:val="20"/>
          <w:color w:val="auto"/>
        </w:rPr>
      </w:pPr>
      <w:r>
        <w:rPr>
          <w:rFonts w:ascii="Times New Roman" w:cs="Times New Roman" w:eastAsia="Times New Roman" w:hAnsi="Times New Roman"/>
          <w:sz w:val="21"/>
          <w:szCs w:val="21"/>
          <w:color w:val="010000"/>
        </w:rPr>
        <w:t xml:space="preserve">10.10 </w:t>
      </w:r>
      <w:r>
        <w:rPr>
          <w:rFonts w:ascii="Times New Roman" w:cs="Times New Roman" w:eastAsia="Times New Roman" w:hAnsi="Times New Roman"/>
          <w:sz w:val="21"/>
          <w:szCs w:val="21"/>
          <w:u w:val="single" w:color="auto"/>
          <w:color w:val="000000"/>
        </w:rPr>
        <w:t>Entire Agreement</w:t>
      </w:r>
      <w:r>
        <w:rPr>
          <w:rFonts w:ascii="Times New Roman" w:cs="Times New Roman" w:eastAsia="Times New Roman" w:hAnsi="Times New Roman"/>
          <w:sz w:val="21"/>
          <w:szCs w:val="21"/>
          <w:color w:val="000000"/>
        </w:rPr>
        <w:t>. This Agreement contains the entire understanding, and cancels and supersedes all prior agreements,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including, without limitation any agreement in principle or oral statement, letter of intent, statement of understanding or guidelines of the parties hereto with respect to the subject matter hereof. Notwithstanding the foregoing, this Agreement does not cancel or supersede the Plans.</w:t>
      </w:r>
    </w:p>
    <w:p>
      <w:pPr>
        <w:spacing w:after="0" w:line="147" w:lineRule="exact"/>
        <w:rPr>
          <w:sz w:val="20"/>
          <w:szCs w:val="20"/>
          <w:color w:val="auto"/>
        </w:rPr>
      </w:pPr>
    </w:p>
    <w:p>
      <w:pPr>
        <w:jc w:val="both"/>
        <w:ind w:firstLine="625"/>
        <w:spacing w:after="0" w:line="227" w:lineRule="auto"/>
        <w:rPr>
          <w:sz w:val="20"/>
          <w:szCs w:val="20"/>
          <w:color w:val="auto"/>
        </w:rPr>
      </w:pPr>
      <w:r>
        <w:rPr>
          <w:rFonts w:ascii="Times New Roman" w:cs="Times New Roman" w:eastAsia="Times New Roman" w:hAnsi="Times New Roman"/>
          <w:sz w:val="21"/>
          <w:szCs w:val="21"/>
          <w:color w:val="010000"/>
        </w:rPr>
        <w:t xml:space="preserve">10.11 </w:t>
      </w:r>
      <w:r>
        <w:rPr>
          <w:rFonts w:ascii="Times New Roman" w:cs="Times New Roman" w:eastAsia="Times New Roman" w:hAnsi="Times New Roman"/>
          <w:sz w:val="21"/>
          <w:szCs w:val="21"/>
          <w:u w:val="single" w:color="auto"/>
          <w:color w:val="000000"/>
        </w:rPr>
        <w:t>Counterparts</w:t>
      </w:r>
      <w:r>
        <w:rPr>
          <w:rFonts w:ascii="Times New Roman" w:cs="Times New Roman" w:eastAsia="Times New Roman" w:hAnsi="Times New Roman"/>
          <w:sz w:val="21"/>
          <w:szCs w:val="21"/>
          <w:color w:val="000000"/>
        </w:rPr>
        <w:t>. This Agreement may be executed in counterparts, signatures may be electronically inserted and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signatures may be exchanged by electronic transmission, all of which, taken together, shall constitute the original single Agreement, binding in accordance with its terms.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48" w:right="339" w:bottom="1440" w:gutter="0" w:footer="0" w:header="0"/>
        </w:sectPr>
      </w:pPr>
    </w:p>
    <w:bookmarkStart w:id="171" w:name="page172"/>
    <w:bookmarkEnd w:id="171"/>
    <w:p>
      <w:pPr>
        <w:ind w:firstLine="625"/>
        <w:spacing w:after="0" w:line="238" w:lineRule="auto"/>
        <w:rPr>
          <w:sz w:val="20"/>
          <w:szCs w:val="20"/>
          <w:color w:val="auto"/>
        </w:rPr>
      </w:pPr>
      <w:r>
        <w:rPr>
          <w:rFonts w:ascii="Times New Roman" w:cs="Times New Roman" w:eastAsia="Times New Roman" w:hAnsi="Times New Roman"/>
          <w:sz w:val="21"/>
          <w:szCs w:val="21"/>
          <w:color w:val="010000"/>
        </w:rPr>
        <w:t xml:space="preserve">10.12 </w:t>
      </w:r>
      <w:r>
        <w:rPr>
          <w:rFonts w:ascii="Times New Roman" w:cs="Times New Roman" w:eastAsia="Times New Roman" w:hAnsi="Times New Roman"/>
          <w:sz w:val="21"/>
          <w:szCs w:val="21"/>
          <w:u w:val="single" w:color="auto"/>
          <w:color w:val="000000"/>
        </w:rPr>
        <w:t>Shareholders’ Approval</w:t>
      </w:r>
      <w:r>
        <w:rPr>
          <w:rFonts w:ascii="Times New Roman" w:cs="Times New Roman" w:eastAsia="Times New Roman" w:hAnsi="Times New Roman"/>
          <w:sz w:val="21"/>
          <w:szCs w:val="21"/>
          <w:color w:val="000000"/>
        </w:rPr>
        <w:t>. The terms of this Agreement shall be approved by the General Meeting of Shareholder in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accordance with article 10 of the Company’s articles of association.</w:t>
      </w:r>
    </w:p>
    <w:p>
      <w:pPr>
        <w:spacing w:after="0" w:line="16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PVH B.V.</w:t>
      </w:r>
    </w:p>
    <w:p>
      <w:pPr>
        <w:spacing w:after="0" w:line="200" w:lineRule="exact"/>
        <w:rPr>
          <w:sz w:val="20"/>
          <w:szCs w:val="20"/>
          <w:color w:val="auto"/>
        </w:rPr>
      </w:pPr>
    </w:p>
    <w:p>
      <w:pPr>
        <w:spacing w:after="0" w:line="27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By: /s/ Zachary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-11430</wp:posOffset>
            </wp:positionV>
            <wp:extent cx="12477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spacing w:after="0" w:line="1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Name: Zachary Coughlin</w:t>
      </w:r>
    </w:p>
    <w:p>
      <w:pPr>
        <w:spacing w:after="0" w:line="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Date: August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2700655</wp:posOffset>
            </wp:positionH>
            <wp:positionV relativeFrom="paragraph">
              <wp:posOffset>-11430</wp:posOffset>
            </wp:positionV>
            <wp:extent cx="10096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2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Place: New York 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-11430</wp:posOffset>
            </wp:positionV>
            <wp:extent cx="9251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By: /s/ Mark D.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-11430</wp:posOffset>
            </wp:positionV>
            <wp:extent cx="11601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1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Name: Mark D. Fischer</w:t>
      </w:r>
    </w:p>
    <w:p>
      <w:pPr>
        <w:spacing w:after="0" w:line="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Title: Attorney in Fact</w:t>
      </w:r>
    </w:p>
    <w:p>
      <w:pPr>
        <w:spacing w:after="0" w:line="20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Date: August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2700655</wp:posOffset>
            </wp:positionH>
            <wp:positionV relativeFrom="paragraph">
              <wp:posOffset>-11430</wp:posOffset>
            </wp:positionV>
            <wp:extent cx="10096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22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Place: New York, 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-11430</wp:posOffset>
            </wp:positionV>
            <wp:extent cx="9582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95821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200" w:lineRule="exact"/>
        <w:rPr>
          <w:sz w:val="20"/>
          <w:szCs w:val="20"/>
          <w:color w:val="auto"/>
        </w:rPr>
      </w:pPr>
    </w:p>
    <w:p>
      <w:pPr>
        <w:spacing w:after="0" w:line="27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By: /s/ Fredrik Olsson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-11430</wp:posOffset>
            </wp:positionV>
            <wp:extent cx="1079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spacing w:after="0" w:line="2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Mr. Fredrik Olsson</w:t>
      </w:r>
    </w:p>
    <w:p>
      <w:pPr>
        <w:spacing w:after="0" w:line="200" w:lineRule="exact"/>
        <w:rPr>
          <w:sz w:val="20"/>
          <w:szCs w:val="20"/>
          <w:color w:val="auto"/>
        </w:rPr>
      </w:pPr>
    </w:p>
    <w:p>
      <w:pPr>
        <w:spacing w:after="0" w:line="27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Date:</w:t>
      </w:r>
      <w:r>
        <w:rPr>
          <w:rFonts w:ascii="Times New Roman" w:cs="Times New Roman" w:eastAsia="Times New Roman" w:hAnsi="Times New Roman"/>
          <w:sz w:val="21"/>
          <w:szCs w:val="21"/>
          <w:u w:val="single" w:color="auto"/>
          <w:color w:val="auto"/>
        </w:rPr>
        <w:t>August 25, 2024</w:t>
      </w:r>
      <w:r>
        <w:rPr>
          <w:rFonts w:ascii="Times New Roman" w:cs="Times New Roman" w:eastAsia="Times New Roman" w:hAnsi="Times New Roman"/>
          <w:sz w:val="21"/>
          <w:szCs w:val="21"/>
          <w:color w:val="auto"/>
        </w:rPr>
        <w:t>__________________</w:t>
      </w:r>
    </w:p>
    <w:p>
      <w:pPr>
        <w:spacing w:after="0" w:line="21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Place:_</w:t>
      </w:r>
      <w:r>
        <w:rPr>
          <w:rFonts w:ascii="Times New Roman" w:cs="Times New Roman" w:eastAsia="Times New Roman" w:hAnsi="Times New Roman"/>
          <w:sz w:val="21"/>
          <w:szCs w:val="21"/>
          <w:u w:val="single" w:color="auto"/>
          <w:color w:val="auto"/>
        </w:rPr>
        <w:t>Dubai</w:t>
      </w:r>
      <w:r>
        <w:rPr>
          <w:rFonts w:ascii="Times New Roman" w:cs="Times New Roman" w:eastAsia="Times New Roman" w:hAnsi="Times New Roman"/>
          <w:sz w:val="21"/>
          <w:szCs w:val="21"/>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b w:val="1"/>
          <w:bCs w:val="1"/>
          <w:color w:val="auto"/>
        </w:rPr>
        <w:t>General Meeting of Shareholders</w:t>
      </w:r>
    </w:p>
    <w:p>
      <w:pPr>
        <w:spacing w:after="0" w:line="244" w:lineRule="exact"/>
        <w:rPr>
          <w:sz w:val="20"/>
          <w:szCs w:val="20"/>
          <w:color w:val="auto"/>
        </w:rPr>
      </w:pPr>
    </w:p>
    <w:p>
      <w:pPr>
        <w:ind w:left="3760"/>
        <w:spacing w:after="0" w:line="288" w:lineRule="auto"/>
        <w:rPr>
          <w:sz w:val="20"/>
          <w:szCs w:val="20"/>
          <w:color w:val="auto"/>
        </w:rPr>
      </w:pPr>
      <w:r>
        <w:rPr>
          <w:rFonts w:ascii="Times New Roman" w:cs="Times New Roman" w:eastAsia="Times New Roman" w:hAnsi="Times New Roman"/>
          <w:sz w:val="21"/>
          <w:szCs w:val="21"/>
          <w:color w:val="auto"/>
        </w:rPr>
        <w:t>on behalf of the shareholder PVH International B.V., in accordance with article 10.12 of this Agreement:</w:t>
      </w:r>
    </w:p>
    <w:p>
      <w:pPr>
        <w:spacing w:after="0" w:line="16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By: /s/ Zachary Coughlin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2605405</wp:posOffset>
            </wp:positionH>
            <wp:positionV relativeFrom="paragraph">
              <wp:posOffset>-11430</wp:posOffset>
            </wp:positionV>
            <wp:extent cx="124777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1247775" cy="8255"/>
                    </a:xfrm>
                    <a:prstGeom prst="rect">
                      <a:avLst/>
                    </a:prstGeom>
                    <a:noFill/>
                  </pic:spPr>
                </pic:pic>
              </a:graphicData>
            </a:graphic>
          </wp:anchor>
        </w:drawing>
      </w:r>
    </w:p>
    <w:p>
      <w:pPr>
        <w:spacing w:after="0" w:line="1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Name: Zachary Coughlin</w:t>
      </w:r>
    </w:p>
    <w:p>
      <w:pPr>
        <w:spacing w:after="0" w:line="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Title: Director</w:t>
      </w:r>
    </w:p>
    <w:p>
      <w:pPr>
        <w:spacing w:after="0" w:line="19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Date: August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2700655</wp:posOffset>
            </wp:positionH>
            <wp:positionV relativeFrom="paragraph">
              <wp:posOffset>-11430</wp:posOffset>
            </wp:positionV>
            <wp:extent cx="10096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348" w:right="339" w:bottom="1440" w:gutter="0" w:footer="0" w:header="0"/>
          <w:type w:val="continuous"/>
        </w:sectPr>
      </w:pPr>
    </w:p>
    <w:bookmarkStart w:id="172" w:name="page173"/>
    <w:bookmarkEnd w:id="172"/>
    <w:p>
      <w:pPr>
        <w:jc w:val="right"/>
        <w:spacing w:after="0"/>
        <w:rPr>
          <w:sz w:val="20"/>
          <w:szCs w:val="20"/>
          <w:color w:val="auto"/>
        </w:rPr>
      </w:pPr>
      <w:r>
        <w:rPr>
          <w:rFonts w:ascii="Times New Roman" w:cs="Times New Roman" w:eastAsia="Times New Roman" w:hAnsi="Times New Roman"/>
          <w:sz w:val="19"/>
          <w:szCs w:val="19"/>
          <w:b w:val="1"/>
          <w:bCs w:val="1"/>
          <w:color w:val="auto"/>
        </w:rPr>
        <w:t>EXHIBIT 21</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PVH CORP. SUBSIDIARIES</w:t>
      </w:r>
    </w:p>
    <w:p>
      <w:pPr>
        <w:spacing w:after="0" w:line="291" w:lineRule="exact"/>
        <w:rPr>
          <w:sz w:val="20"/>
          <w:szCs w:val="20"/>
          <w:color w:val="auto"/>
        </w:rPr>
      </w:pPr>
    </w:p>
    <w:p>
      <w:pPr>
        <w:ind w:right="200" w:firstLine="468"/>
        <w:spacing w:after="0" w:line="308" w:lineRule="auto"/>
        <w:rPr>
          <w:sz w:val="20"/>
          <w:szCs w:val="20"/>
          <w:color w:val="auto"/>
        </w:rPr>
      </w:pPr>
      <w:r>
        <w:rPr>
          <w:rFonts w:ascii="Times New Roman" w:cs="Times New Roman" w:eastAsia="Times New Roman" w:hAnsi="Times New Roman"/>
          <w:sz w:val="19"/>
          <w:szCs w:val="19"/>
          <w:color w:val="auto"/>
        </w:rPr>
        <w:t>The following table lists all of the subsidiaries of PVH Corp. and the jurisdiction of incorporation of each subsidiary. Each subsidiary does business under its corporate name indicated in the table.</w:t>
      </w:r>
    </w:p>
    <w:tbl>
      <w:tblPr>
        <w:tblLayout w:type="fixed"/>
        <w:tblInd w:w="20" w:type="dxa"/>
        <w:tblCellMar>
          <w:top w:w="0" w:type="dxa"/>
          <w:left w:w="0" w:type="dxa"/>
          <w:bottom w:w="0" w:type="dxa"/>
          <w:right w:w="0" w:type="dxa"/>
        </w:tblCellMar>
      </w:tblPr>
      <w:tr>
        <w:trPr>
          <w:trHeight w:val="178"/>
        </w:trPr>
        <w:tc>
          <w:tcPr>
            <w:tcW w:w="56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3920" w:type="dxa"/>
            <w:vAlign w:val="bottom"/>
          </w:tcPr>
          <w:p>
            <w:pPr>
              <w:ind w:left="1740"/>
              <w:spacing w:after="0" w:line="177" w:lineRule="exact"/>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0" w:type="dxa"/>
            <w:vAlign w:val="bottom"/>
          </w:tcPr>
          <w:p>
            <w:pPr>
              <w:spacing w:after="0"/>
              <w:rPr>
                <w:sz w:val="1"/>
                <w:szCs w:val="1"/>
                <w:color w:val="auto"/>
              </w:rPr>
            </w:pPr>
          </w:p>
        </w:tc>
      </w:tr>
      <w:tr>
        <w:trPr>
          <w:trHeight w:val="143"/>
        </w:trPr>
        <w:tc>
          <w:tcPr>
            <w:tcW w:w="5680" w:type="dxa"/>
            <w:vAlign w:val="bottom"/>
            <w:vMerge w:val="continue"/>
          </w:tcPr>
          <w:p>
            <w:pPr>
              <w:spacing w:after="0"/>
              <w:rPr>
                <w:sz w:val="12"/>
                <w:szCs w:val="12"/>
                <w:color w:val="auto"/>
              </w:rPr>
            </w:pPr>
          </w:p>
        </w:tc>
        <w:tc>
          <w:tcPr>
            <w:tcW w:w="3920" w:type="dxa"/>
            <w:vAlign w:val="bottom"/>
            <w:vMerge w:val="restart"/>
          </w:tcPr>
          <w:p>
            <w:pPr>
              <w:ind w:left="1740"/>
              <w:spacing w:after="0"/>
              <w:rPr>
                <w:sz w:val="20"/>
                <w:szCs w:val="20"/>
                <w:color w:val="auto"/>
              </w:rPr>
            </w:pPr>
            <w:r>
              <w:rPr>
                <w:rFonts w:ascii="Times New Roman" w:cs="Times New Roman" w:eastAsia="Times New Roman" w:hAnsi="Times New Roman"/>
                <w:sz w:val="17"/>
                <w:szCs w:val="17"/>
                <w:b w:val="1"/>
                <w:bCs w:val="1"/>
                <w:color w:val="auto"/>
              </w:rPr>
              <w:t>Incorporation</w:t>
            </w:r>
          </w:p>
        </w:tc>
        <w:tc>
          <w:tcPr>
            <w:tcW w:w="0" w:type="dxa"/>
            <w:vAlign w:val="bottom"/>
          </w:tcPr>
          <w:p>
            <w:pPr>
              <w:spacing w:after="0"/>
              <w:rPr>
                <w:sz w:val="1"/>
                <w:szCs w:val="1"/>
                <w:color w:val="auto"/>
              </w:rPr>
            </w:pPr>
          </w:p>
        </w:tc>
      </w:tr>
      <w:tr>
        <w:trPr>
          <w:trHeight w:val="85"/>
        </w:trPr>
        <w:tc>
          <w:tcPr>
            <w:tcW w:w="5680" w:type="dxa"/>
            <w:vAlign w:val="bottom"/>
          </w:tcPr>
          <w:p>
            <w:pPr>
              <w:spacing w:after="0"/>
              <w:rPr>
                <w:sz w:val="7"/>
                <w:szCs w:val="7"/>
                <w:color w:val="auto"/>
              </w:rPr>
            </w:pPr>
          </w:p>
        </w:tc>
        <w:tc>
          <w:tcPr>
            <w:tcW w:w="3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0"/>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Calvin Klein Europe B.V.</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Netherlands</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Calvin Klein Jeanswear Company</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Calvin Klein, Inc.</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New York</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CK Logistics B.V.</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Netherlands</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CK Underwear Australia Pty Limited</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Australia</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CKJ Holdings, Inc.</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Cluett, Peabody &amp; Co., Inc.</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Confezioni Moda Italia S.r.l.</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Italy</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Designer Holdings Ltd.</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(India) Ltd.</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British Virgin Islands</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(Macao) Company Limited</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Macao</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Asia Limited</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B.V.</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Netherlands</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Belgium BV</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Belgium</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Brands Australia Pty Limited</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Australia</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Brands Austria GmbH</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Austria</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Brands Belgium BV</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Belgium</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Brands Croatia d.o.o.</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Croatia</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Brands Czechia s.r.o.</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Czech Republic</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Brands Denmark ApS</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Denmark</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Brands Europe B.V.</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Netherlands</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Brands Germany GmbH</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Germany</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Brands Ireland Limited</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Ireland</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Brands Luxembourg S.a.r.l</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Luxembourg</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Brands Netherlands B.V.</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Netherlands</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Brands NZ Limited</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New Zealand</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Brands Poland Sp. z o.o</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Poland</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Brands Sweden AB</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Sweden</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Brands Switzerland GmbH</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Switzerland</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Canada, Inc.</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Commerce (Shanghai) Company Limited</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China</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Commercial Malaysia Sdn Bhd</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Malaysia</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Dongguan Trading and Services Company Limited</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China</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Europe B.V.</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Netherlands</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Far East Limited</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Finland OY</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Finland</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France SAS</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France</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Gift Card Company LLC</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Virginia</w:t>
            </w:r>
          </w:p>
        </w:tc>
        <w:tc>
          <w:tcPr>
            <w:tcW w:w="0" w:type="dxa"/>
            <w:vAlign w:val="bottom"/>
          </w:tcPr>
          <w:p>
            <w:pPr>
              <w:spacing w:after="0"/>
              <w:rPr>
                <w:sz w:val="1"/>
                <w:szCs w:val="1"/>
                <w:color w:val="auto"/>
              </w:rPr>
            </w:pPr>
          </w:p>
        </w:tc>
      </w:tr>
      <w:tr>
        <w:trPr>
          <w:trHeight w:val="227"/>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PVH gTLD Holdings LLC</w:t>
            </w:r>
          </w:p>
        </w:tc>
        <w:tc>
          <w:tcPr>
            <w:tcW w:w="392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240"/>
          </w:cols>
          <w:pgMar w:left="320" w:top="857" w:right="33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0" w:type="dxa"/>
            <w:vAlign w:val="bottom"/>
          </w:tcPr>
          <w:p>
            <w:pPr>
              <w:spacing w:after="0"/>
              <w:rPr>
                <w:sz w:val="1"/>
                <w:szCs w:val="1"/>
                <w:color w:val="auto"/>
              </w:rPr>
            </w:pPr>
          </w:p>
        </w:tc>
      </w:tr>
      <w:tr>
        <w:trPr>
          <w:trHeight w:val="143"/>
        </w:trPr>
        <w:tc>
          <w:tcPr>
            <w:tcW w:w="5960" w:type="dxa"/>
            <w:vAlign w:val="bottom"/>
            <w:vMerge w:val="continue"/>
          </w:tcPr>
          <w:p>
            <w:pPr>
              <w:spacing w:after="0"/>
              <w:rPr>
                <w:sz w:val="12"/>
                <w:szCs w:val="12"/>
                <w:color w:val="auto"/>
              </w:rPr>
            </w:pPr>
          </w:p>
        </w:tc>
        <w:tc>
          <w:tcPr>
            <w:tcW w:w="3640" w:type="dxa"/>
            <w:vAlign w:val="bottom"/>
            <w:vMerge w:val="restart"/>
          </w:tcPr>
          <w:p>
            <w:pPr>
              <w:ind w:left="1460"/>
              <w:spacing w:after="0"/>
              <w:rPr>
                <w:sz w:val="20"/>
                <w:szCs w:val="20"/>
                <w:color w:val="auto"/>
              </w:rPr>
            </w:pPr>
            <w:r>
              <w:rPr>
                <w:rFonts w:ascii="Times New Roman" w:cs="Times New Roman" w:eastAsia="Times New Roman" w:hAnsi="Times New Roman"/>
                <w:sz w:val="17"/>
                <w:szCs w:val="17"/>
                <w:b w:val="1"/>
                <w:bCs w:val="1"/>
                <w:color w:val="auto"/>
              </w:rPr>
              <w:t>Incorporation</w:t>
            </w:r>
          </w:p>
        </w:tc>
        <w:tc>
          <w:tcPr>
            <w:tcW w:w="0" w:type="dxa"/>
            <w:vAlign w:val="bottom"/>
          </w:tcPr>
          <w:p>
            <w:pPr>
              <w:spacing w:after="0"/>
              <w:rPr>
                <w:sz w:val="1"/>
                <w:szCs w:val="1"/>
                <w:color w:val="auto"/>
              </w:rPr>
            </w:pPr>
          </w:p>
        </w:tc>
      </w:tr>
      <w:tr>
        <w:trPr>
          <w:trHeight w:val="85"/>
        </w:trPr>
        <w:tc>
          <w:tcPr>
            <w:tcW w:w="596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0"/>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Guam, Inc.</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Heritage Brands Australia Pty Limited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Australia</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Hong Kong Limited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International B.V.</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Netherlands</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Italia S.r.l.</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Italy</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Japan Ltd.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Japan</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Kenya Limited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Kenya</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Korea Co., Ltd.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South Korea</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Management Consultant (Shanghai) Ltd.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China</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MEA FZE</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Dubai</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Neckwear, Inc.</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Norge AS</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Norway</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Puerto Rico LLC</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Puerto Rico, Inc.</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Realty Corp.</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Retail Stores LLC</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Services India Private Limited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India</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Services Vietnam Limited Liability Company</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Vietnam</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Shanghai Co. Ltd.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China</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Singapore Private Limited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Singapore</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Socks, Inc.</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Stores Portugal, Unipessoal Lda.</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Portugal</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Stores Spain Moda, S.L.</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Spain</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Turkey Sourcing Isletme Destek Hizmetleri Limited Sirketi</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Turkey</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UK Group Limited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United Kingdom</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Wholesale Corp.</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PVH Wholesale New Jersey, Inc.</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Sunshine A Pty Ltd.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Australia</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TH Asia Limited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TH Australia Holding Pty Limited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Australia</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The Warnaco Group, Inc.</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Tommy Hilfiger (HK) Limited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Hong Kong</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Tommy Hilfiger (Shanghai) Apparel Co. Ltd.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China</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Tommy Hilfiger Europe B.V.</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Netherlands</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Tommy Hilfiger Licensing B.V.</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Netherlands</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Tommy Hilfiger Licensing LLC</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Tommy Hilfiger Marka Dagitim Ve Ticaret Anonim Sirketi</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Turkey</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Tommy Hilfiger Retail, LLC</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Tommy Hilfiger Stores Norge AS</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Norway</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Tommy Hilfiger Trading (Shanghai) Co., Limited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China</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Tommy Hilfiger U.S.A. Inc.</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True &amp; Co. Delaware</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Warnaco Apparel SA (Proprietary) Limited</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South Africa</w:t>
            </w:r>
          </w:p>
        </w:tc>
        <w:tc>
          <w:tcPr>
            <w:tcW w:w="0" w:type="dxa"/>
            <w:vAlign w:val="bottom"/>
          </w:tcPr>
          <w:p>
            <w:pPr>
              <w:spacing w:after="0"/>
              <w:rPr>
                <w:sz w:val="1"/>
                <w:szCs w:val="1"/>
                <w:color w:val="auto"/>
              </w:rPr>
            </w:pPr>
          </w:p>
        </w:tc>
      </w:tr>
      <w:tr>
        <w:trPr>
          <w:trHeight w:val="227"/>
        </w:trPr>
        <w:tc>
          <w:tcPr>
            <w:tcW w:w="5960" w:type="dxa"/>
            <w:vAlign w:val="bottom"/>
          </w:tcPr>
          <w:p>
            <w:pPr>
              <w:spacing w:after="0"/>
              <w:rPr>
                <w:sz w:val="20"/>
                <w:szCs w:val="20"/>
                <w:color w:val="auto"/>
              </w:rPr>
            </w:pPr>
            <w:r>
              <w:rPr>
                <w:rFonts w:ascii="Times New Roman" w:cs="Times New Roman" w:eastAsia="Times New Roman" w:hAnsi="Times New Roman"/>
                <w:sz w:val="17"/>
                <w:szCs w:val="17"/>
                <w:color w:val="auto"/>
              </w:rPr>
              <w:t>Warnaco Inc.</w:t>
            </w:r>
          </w:p>
        </w:tc>
        <w:tc>
          <w:tcPr>
            <w:tcW w:w="3640" w:type="dxa"/>
            <w:vAlign w:val="bottom"/>
          </w:tcPr>
          <w:p>
            <w:pPr>
              <w:ind w:left="146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bl>
    <w:p>
      <w:pPr>
        <w:sectPr>
          <w:pgSz w:w="11900" w:h="16838" w:orient="portrait"/>
          <w:cols w:equalWidth="0" w:num="1">
            <w:col w:w="10119"/>
          </w:cols>
          <w:pgMar w:left="340" w:top="881" w:right="1440" w:bottom="1440" w:gutter="0" w:footer="0" w:header="0"/>
        </w:sectPr>
      </w:pPr>
    </w:p>
    <w:bookmarkStart w:id="174" w:name="page175"/>
    <w:bookmarkEnd w:id="174"/>
    <w:p>
      <w:pPr>
        <w:spacing w:after="0" w:line="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Name</w:t>
      </w: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Warnaco U.S.,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WBR Industria e Comercio de Vestuario Ltda.</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Wellrose Ltd.</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rPr>
          <w:sz w:val="20"/>
          <w:szCs w:val="20"/>
          <w:color w:val="auto"/>
        </w:rPr>
      </w:pPr>
      <w:r>
        <w:rPr>
          <w:rFonts w:ascii="Times New Roman" w:cs="Times New Roman" w:eastAsia="Times New Roman" w:hAnsi="Times New Roman"/>
          <w:sz w:val="17"/>
          <w:szCs w:val="17"/>
          <w:b w:val="1"/>
          <w:bCs w:val="1"/>
          <w:color w:val="auto"/>
        </w:rPr>
        <w:t>Incorporation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Brazil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w:t>
      </w:r>
    </w:p>
    <w:p>
      <w:pPr>
        <w:sectPr>
          <w:pgSz w:w="11900" w:h="16838" w:orient="portrait"/>
          <w:cols w:equalWidth="0" w:num="2">
            <w:col w:w="6720" w:space="720"/>
            <w:col w:w="2699"/>
          </w:cols>
          <w:pgMar w:left="320" w:top="896" w:right="1440"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7"/>
          <w:szCs w:val="17"/>
          <w:b w:val="1"/>
          <w:bCs w:val="1"/>
          <w:color w:val="auto"/>
        </w:rPr>
        <w:t>EXHIBIT 23</w:t>
      </w:r>
    </w:p>
    <w:p>
      <w:pPr>
        <w:spacing w:after="0" w:line="24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247" w:lineRule="exact"/>
        <w:rPr>
          <w:sz w:val="20"/>
          <w:szCs w:val="20"/>
          <w:color w:val="auto"/>
        </w:rPr>
      </w:pPr>
    </w:p>
    <w:p>
      <w:pPr>
        <w:ind w:left="1260" w:right="60" w:hanging="631"/>
        <w:spacing w:after="0" w:line="293" w:lineRule="auto"/>
        <w:tabs>
          <w:tab w:leader="none" w:pos="973"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333-125694) pertaining to the Phillips-Van Heusen Corporation Associates Investment Plan for Residents of the Commonwealth of Puerto Rico,</w:t>
      </w:r>
    </w:p>
    <w:p>
      <w:pPr>
        <w:spacing w:after="0" w:line="173" w:lineRule="exact"/>
        <w:rPr>
          <w:rFonts w:ascii="Times New Roman" w:cs="Times New Roman" w:eastAsia="Times New Roman" w:hAnsi="Times New Roman"/>
          <w:sz w:val="17"/>
          <w:szCs w:val="17"/>
          <w:color w:val="auto"/>
        </w:rPr>
      </w:pPr>
    </w:p>
    <w:p>
      <w:pPr>
        <w:ind w:left="1260" w:right="60" w:hanging="631"/>
        <w:spacing w:after="0" w:line="265" w:lineRule="auto"/>
        <w:tabs>
          <w:tab w:leader="none" w:pos="1021"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333-143921), Registration Statement (Form S-8 No. 333-151966), Registration Statement (Form S-8 No. 333-160382), Registration Statement (Form S-8 No. 333-175240), Registration Statement (Form S-8 No. 333-183800), Registration Statement (Form S-8 No. 333-186707), Registration Statement (Form S-8 No. 333-206746), Registration Statement (Form S-8 No. 333-220250), Registration Statement (Form S-8 No. 333-239295) and Registration Statement (Form S-8 No. 333-272823) each of which pertains to the PVH Corp. Stock Incentive Plan,</w:t>
      </w:r>
    </w:p>
    <w:p>
      <w:pPr>
        <w:spacing w:after="0" w:line="195" w:lineRule="exact"/>
        <w:rPr>
          <w:rFonts w:ascii="Times New Roman" w:cs="Times New Roman" w:eastAsia="Times New Roman" w:hAnsi="Times New Roman"/>
          <w:sz w:val="17"/>
          <w:szCs w:val="17"/>
          <w:color w:val="auto"/>
        </w:rPr>
      </w:pPr>
    </w:p>
    <w:p>
      <w:pPr>
        <w:ind w:left="1260" w:right="240" w:hanging="631"/>
        <w:spacing w:after="0" w:line="293" w:lineRule="auto"/>
        <w:tabs>
          <w:tab w:leader="none" w:pos="1069"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333-158327) and Registration Statement (Form S-8 No. 333-259486) each of which pertains to the PVH Associates Investment Plan, and</w:t>
      </w:r>
    </w:p>
    <w:p>
      <w:pPr>
        <w:spacing w:after="0" w:line="173" w:lineRule="exact"/>
        <w:rPr>
          <w:rFonts w:ascii="Times New Roman" w:cs="Times New Roman" w:eastAsia="Times New Roman" w:hAnsi="Times New Roman"/>
          <w:sz w:val="17"/>
          <w:szCs w:val="17"/>
          <w:color w:val="auto"/>
        </w:rPr>
      </w:pPr>
    </w:p>
    <w:p>
      <w:pPr>
        <w:ind w:left="1060" w:hanging="431"/>
        <w:spacing w:after="0"/>
        <w:tabs>
          <w:tab w:leader="none" w:pos="106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S-3 No. 333-2728465) of PVH Corp.;</w:t>
      </w:r>
    </w:p>
    <w:p>
      <w:pPr>
        <w:spacing w:after="0" w:line="200" w:lineRule="exact"/>
        <w:rPr>
          <w:sz w:val="20"/>
          <w:szCs w:val="20"/>
          <w:color w:val="auto"/>
        </w:rPr>
      </w:pPr>
    </w:p>
    <w:p>
      <w:pPr>
        <w:spacing w:after="0" w:line="281" w:lineRule="exact"/>
        <w:rPr>
          <w:sz w:val="20"/>
          <w:szCs w:val="20"/>
          <w:color w:val="auto"/>
        </w:rPr>
      </w:pPr>
    </w:p>
    <w:p>
      <w:pPr>
        <w:ind w:left="620" w:right="180"/>
        <w:spacing w:after="0" w:line="293" w:lineRule="auto"/>
        <w:rPr>
          <w:sz w:val="20"/>
          <w:szCs w:val="20"/>
          <w:color w:val="auto"/>
        </w:rPr>
      </w:pPr>
      <w:r>
        <w:rPr>
          <w:rFonts w:ascii="Times New Roman" w:cs="Times New Roman" w:eastAsia="Times New Roman" w:hAnsi="Times New Roman"/>
          <w:sz w:val="17"/>
          <w:szCs w:val="17"/>
          <w:color w:val="auto"/>
        </w:rPr>
        <w:t>of our reports dated March 31, 2026, with respect to the consolidated financial statements and schedule of PVH Corp. and the effectiveness of internal control over financial reporting of PVH Corp. included in this Annual Report (Form 10-K) of PVH Corp. for the year ended February 1, 2026.</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ectPr>
          <w:pgSz w:w="11900" w:h="16838" w:orient="portrait"/>
          <w:cols w:equalWidth="0" w:num="1">
            <w:col w:w="11240"/>
          </w:cols>
          <w:pgMar w:left="320" w:top="861"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Stefan Larsson, certify that:</w:t>
      </w:r>
    </w:p>
    <w:p>
      <w:pPr>
        <w:spacing w:after="0" w:line="247" w:lineRule="exact"/>
        <w:rPr>
          <w:sz w:val="20"/>
          <w:szCs w:val="20"/>
          <w:color w:val="auto"/>
        </w:rPr>
      </w:pPr>
    </w:p>
    <w:p>
      <w:pPr>
        <w:ind w:left="620" w:hanging="616"/>
        <w:spacing w:after="0"/>
        <w:tabs>
          <w:tab w:leader="none" w:pos="62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PVH Corp.;</w:t>
      </w:r>
    </w:p>
    <w:p>
      <w:pPr>
        <w:spacing w:after="0" w:line="246" w:lineRule="exact"/>
        <w:rPr>
          <w:rFonts w:ascii="Times New Roman" w:cs="Times New Roman" w:eastAsia="Times New Roman" w:hAnsi="Times New Roman"/>
          <w:sz w:val="17"/>
          <w:szCs w:val="17"/>
          <w:color w:val="auto"/>
        </w:rPr>
      </w:pPr>
    </w:p>
    <w:p>
      <w:pPr>
        <w:ind w:right="180" w:firstLine="4"/>
        <w:spacing w:after="0" w:line="274" w:lineRule="auto"/>
        <w:tabs>
          <w:tab w:leader="none" w:pos="607"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9" w:lineRule="exact"/>
        <w:rPr>
          <w:rFonts w:ascii="Times New Roman" w:cs="Times New Roman" w:eastAsia="Times New Roman" w:hAnsi="Times New Roman"/>
          <w:sz w:val="17"/>
          <w:szCs w:val="17"/>
          <w:color w:val="auto"/>
        </w:rPr>
      </w:pPr>
    </w:p>
    <w:p>
      <w:pPr>
        <w:ind w:right="160" w:firstLine="4"/>
        <w:spacing w:after="0" w:line="293" w:lineRule="auto"/>
        <w:tabs>
          <w:tab w:leader="none" w:pos="607"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3" w:lineRule="exact"/>
        <w:rPr>
          <w:rFonts w:ascii="Times New Roman" w:cs="Times New Roman" w:eastAsia="Times New Roman" w:hAnsi="Times New Roman"/>
          <w:sz w:val="17"/>
          <w:szCs w:val="17"/>
          <w:color w:val="auto"/>
        </w:rPr>
      </w:pPr>
    </w:p>
    <w:p>
      <w:pPr>
        <w:ind w:firstLine="4"/>
        <w:spacing w:after="0" w:line="274" w:lineRule="auto"/>
        <w:tabs>
          <w:tab w:leader="none" w:pos="604"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9" w:lineRule="exact"/>
        <w:rPr>
          <w:rFonts w:ascii="Times New Roman" w:cs="Times New Roman" w:eastAsia="Times New Roman" w:hAnsi="Times New Roman"/>
          <w:sz w:val="17"/>
          <w:szCs w:val="17"/>
          <w:color w:val="auto"/>
        </w:rPr>
      </w:pPr>
    </w:p>
    <w:p>
      <w:pPr>
        <w:ind w:right="40" w:firstLine="629"/>
        <w:spacing w:after="0" w:line="274" w:lineRule="auto"/>
        <w:tabs>
          <w:tab w:leader="none" w:pos="123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9" w:lineRule="exact"/>
        <w:rPr>
          <w:rFonts w:ascii="Times New Roman" w:cs="Times New Roman" w:eastAsia="Times New Roman" w:hAnsi="Times New Roman"/>
          <w:sz w:val="17"/>
          <w:szCs w:val="17"/>
          <w:color w:val="auto"/>
        </w:rPr>
      </w:pPr>
    </w:p>
    <w:p>
      <w:pPr>
        <w:ind w:right="260" w:firstLine="629"/>
        <w:spacing w:after="0" w:line="274" w:lineRule="auto"/>
        <w:tabs>
          <w:tab w:leader="none" w:pos="124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7"/>
          <w:szCs w:val="17"/>
          <w:color w:val="auto"/>
        </w:rPr>
      </w:pPr>
    </w:p>
    <w:p>
      <w:pPr>
        <w:ind w:right="600" w:firstLine="629"/>
        <w:spacing w:after="0" w:line="293" w:lineRule="auto"/>
        <w:tabs>
          <w:tab w:leader="none" w:pos="123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7"/>
          <w:szCs w:val="17"/>
          <w:color w:val="auto"/>
        </w:rPr>
      </w:pPr>
    </w:p>
    <w:p>
      <w:pPr>
        <w:ind w:right="100" w:firstLine="629"/>
        <w:spacing w:after="0" w:line="274" w:lineRule="auto"/>
        <w:tabs>
          <w:tab w:leader="none" w:pos="124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7"/>
          <w:szCs w:val="17"/>
          <w:color w:val="auto"/>
        </w:rPr>
      </w:pPr>
    </w:p>
    <w:p>
      <w:pPr>
        <w:ind w:right="440" w:firstLine="4"/>
        <w:spacing w:after="0" w:line="293" w:lineRule="auto"/>
        <w:tabs>
          <w:tab w:leader="none" w:pos="604"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right="80" w:firstLine="629"/>
        <w:spacing w:after="0" w:line="293" w:lineRule="auto"/>
        <w:tabs>
          <w:tab w:leader="none" w:pos="122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7"/>
          <w:szCs w:val="17"/>
          <w:color w:val="auto"/>
        </w:rPr>
      </w:pPr>
    </w:p>
    <w:p>
      <w:pPr>
        <w:ind w:right="20" w:firstLine="629"/>
        <w:spacing w:after="0" w:line="293" w:lineRule="auto"/>
        <w:tabs>
          <w:tab w:leader="none" w:pos="1236"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March 31, 2026</w:t>
      </w:r>
    </w:p>
    <w:p>
      <w:pPr>
        <w:spacing w:after="0" w:line="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/s/ Stefan Larsson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19685</wp:posOffset>
            </wp:positionV>
            <wp:extent cx="276733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2767330" cy="16510"/>
                    </a:xfrm>
                    <a:prstGeom prst="rect">
                      <a:avLst/>
                    </a:prstGeom>
                    <a:noFill/>
                  </pic:spPr>
                </pic:pic>
              </a:graphicData>
            </a:graphic>
          </wp:anchor>
        </w:drawing>
      </w:r>
    </w:p>
    <w:p>
      <w:pPr>
        <w:spacing w:after="0" w:line="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Stefan Larsson</w:t>
      </w:r>
    </w:p>
    <w:p>
      <w:pPr>
        <w:ind w:left="4360"/>
        <w:spacing w:after="0"/>
        <w:rPr>
          <w:sz w:val="20"/>
          <w:szCs w:val="20"/>
          <w:color w:val="auto"/>
        </w:rPr>
      </w:pPr>
      <w:r>
        <w:rPr>
          <w:rFonts w:ascii="Times New Roman" w:cs="Times New Roman" w:eastAsia="Times New Roman" w:hAnsi="Times New Roman"/>
          <w:sz w:val="17"/>
          <w:szCs w:val="17"/>
          <w:color w:val="auto"/>
        </w:rPr>
        <w:t>Chief Executive Officer</w:t>
      </w:r>
    </w:p>
    <w:p>
      <w:pPr>
        <w:sectPr>
          <w:pgSz w:w="11900" w:h="16838" w:orient="portrait"/>
          <w:cols w:equalWidth="0" w:num="1">
            <w:col w:w="11240"/>
          </w:cols>
          <w:pgMar w:left="320" w:top="861"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Melissa Stone, certify that:</w:t>
      </w:r>
    </w:p>
    <w:p>
      <w:pPr>
        <w:spacing w:after="0" w:line="247" w:lineRule="exact"/>
        <w:rPr>
          <w:sz w:val="20"/>
          <w:szCs w:val="20"/>
          <w:color w:val="auto"/>
        </w:rPr>
      </w:pPr>
    </w:p>
    <w:p>
      <w:pPr>
        <w:ind w:left="620" w:hanging="616"/>
        <w:spacing w:after="0"/>
        <w:tabs>
          <w:tab w:leader="none" w:pos="6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PVH Corp.;</w:t>
      </w:r>
    </w:p>
    <w:p>
      <w:pPr>
        <w:spacing w:after="0" w:line="246" w:lineRule="exact"/>
        <w:rPr>
          <w:rFonts w:ascii="Times New Roman" w:cs="Times New Roman" w:eastAsia="Times New Roman" w:hAnsi="Times New Roman"/>
          <w:sz w:val="17"/>
          <w:szCs w:val="17"/>
          <w:color w:val="auto"/>
        </w:rPr>
      </w:pPr>
    </w:p>
    <w:p>
      <w:pPr>
        <w:ind w:right="180" w:firstLine="4"/>
        <w:spacing w:after="0" w:line="274" w:lineRule="auto"/>
        <w:tabs>
          <w:tab w:leader="none" w:pos="607"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9" w:lineRule="exact"/>
        <w:rPr>
          <w:rFonts w:ascii="Times New Roman" w:cs="Times New Roman" w:eastAsia="Times New Roman" w:hAnsi="Times New Roman"/>
          <w:sz w:val="17"/>
          <w:szCs w:val="17"/>
          <w:color w:val="auto"/>
        </w:rPr>
      </w:pPr>
    </w:p>
    <w:p>
      <w:pPr>
        <w:ind w:right="160" w:firstLine="4"/>
        <w:spacing w:after="0" w:line="293" w:lineRule="auto"/>
        <w:tabs>
          <w:tab w:leader="none" w:pos="607"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73" w:lineRule="exact"/>
        <w:rPr>
          <w:rFonts w:ascii="Times New Roman" w:cs="Times New Roman" w:eastAsia="Times New Roman" w:hAnsi="Times New Roman"/>
          <w:sz w:val="17"/>
          <w:szCs w:val="17"/>
          <w:color w:val="auto"/>
        </w:rPr>
      </w:pPr>
    </w:p>
    <w:p>
      <w:pPr>
        <w:ind w:firstLine="4"/>
        <w:spacing w:after="0" w:line="274" w:lineRule="auto"/>
        <w:tabs>
          <w:tab w:leader="none" w:pos="604"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89" w:lineRule="exact"/>
        <w:rPr>
          <w:rFonts w:ascii="Times New Roman" w:cs="Times New Roman" w:eastAsia="Times New Roman" w:hAnsi="Times New Roman"/>
          <w:sz w:val="17"/>
          <w:szCs w:val="17"/>
          <w:color w:val="auto"/>
        </w:rPr>
      </w:pPr>
    </w:p>
    <w:p>
      <w:pPr>
        <w:ind w:right="40" w:firstLine="629"/>
        <w:spacing w:after="0" w:line="274" w:lineRule="auto"/>
        <w:tabs>
          <w:tab w:leader="none" w:pos="1236"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89" w:lineRule="exact"/>
        <w:rPr>
          <w:rFonts w:ascii="Times New Roman" w:cs="Times New Roman" w:eastAsia="Times New Roman" w:hAnsi="Times New Roman"/>
          <w:sz w:val="17"/>
          <w:szCs w:val="17"/>
          <w:color w:val="auto"/>
        </w:rPr>
      </w:pPr>
    </w:p>
    <w:p>
      <w:pPr>
        <w:ind w:right="260" w:firstLine="629"/>
        <w:spacing w:after="0" w:line="274" w:lineRule="auto"/>
        <w:tabs>
          <w:tab w:leader="none" w:pos="1246"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7"/>
          <w:szCs w:val="17"/>
          <w:color w:val="auto"/>
        </w:rPr>
      </w:pPr>
    </w:p>
    <w:p>
      <w:pPr>
        <w:ind w:right="600" w:firstLine="629"/>
        <w:spacing w:after="0" w:line="293" w:lineRule="auto"/>
        <w:tabs>
          <w:tab w:leader="none" w:pos="1236"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17"/>
          <w:szCs w:val="17"/>
          <w:color w:val="auto"/>
        </w:rPr>
      </w:pPr>
    </w:p>
    <w:p>
      <w:pPr>
        <w:ind w:right="100" w:firstLine="629"/>
        <w:spacing w:after="0" w:line="274" w:lineRule="auto"/>
        <w:tabs>
          <w:tab w:leader="none" w:pos="1246"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7"/>
          <w:szCs w:val="17"/>
          <w:color w:val="auto"/>
        </w:rPr>
      </w:pPr>
    </w:p>
    <w:p>
      <w:pPr>
        <w:ind w:right="440" w:firstLine="4"/>
        <w:spacing w:after="0" w:line="293" w:lineRule="auto"/>
        <w:tabs>
          <w:tab w:leader="none" w:pos="604"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right="80" w:firstLine="629"/>
        <w:spacing w:after="0" w:line="293" w:lineRule="auto"/>
        <w:tabs>
          <w:tab w:leader="none" w:pos="1226"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Times New Roman" w:cs="Times New Roman" w:eastAsia="Times New Roman" w:hAnsi="Times New Roman"/>
          <w:sz w:val="17"/>
          <w:szCs w:val="17"/>
          <w:color w:val="auto"/>
        </w:rPr>
      </w:pPr>
    </w:p>
    <w:p>
      <w:pPr>
        <w:ind w:right="20" w:firstLine="629"/>
        <w:spacing w:after="0" w:line="293" w:lineRule="auto"/>
        <w:tabs>
          <w:tab w:leader="none" w:pos="1236"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March 31, 2026</w:t>
      </w:r>
    </w:p>
    <w:p>
      <w:pPr>
        <w:spacing w:after="0" w:line="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/s/ Melissa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2761615</wp:posOffset>
            </wp:positionH>
            <wp:positionV relativeFrom="paragraph">
              <wp:posOffset>19685</wp:posOffset>
            </wp:positionV>
            <wp:extent cx="2767330"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2767330" cy="16510"/>
                    </a:xfrm>
                    <a:prstGeom prst="rect">
                      <a:avLst/>
                    </a:prstGeom>
                    <a:noFill/>
                  </pic:spPr>
                </pic:pic>
              </a:graphicData>
            </a:graphic>
          </wp:anchor>
        </w:drawing>
      </w:r>
    </w:p>
    <w:p>
      <w:pPr>
        <w:spacing w:after="0" w:line="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Melissa Stone</w:t>
      </w:r>
    </w:p>
    <w:p>
      <w:pPr>
        <w:ind w:left="4360"/>
        <w:spacing w:after="0" w:line="223" w:lineRule="auto"/>
        <w:rPr>
          <w:sz w:val="20"/>
          <w:szCs w:val="20"/>
          <w:color w:val="auto"/>
        </w:rPr>
      </w:pPr>
      <w:r>
        <w:rPr>
          <w:rFonts w:ascii="Times New Roman" w:cs="Times New Roman" w:eastAsia="Times New Roman" w:hAnsi="Times New Roman"/>
          <w:sz w:val="17"/>
          <w:szCs w:val="17"/>
          <w:color w:val="auto"/>
        </w:rPr>
        <w:t>Interim Chief Financial Officer and</w:t>
      </w:r>
    </w:p>
    <w:p>
      <w:pPr>
        <w:ind w:left="4360"/>
        <w:spacing w:after="0" w:line="208" w:lineRule="auto"/>
        <w:rPr>
          <w:sz w:val="20"/>
          <w:szCs w:val="20"/>
          <w:color w:val="auto"/>
        </w:rPr>
      </w:pPr>
      <w:r>
        <w:rPr>
          <w:rFonts w:ascii="Times New Roman" w:cs="Times New Roman" w:eastAsia="Times New Roman" w:hAnsi="Times New Roman"/>
          <w:sz w:val="17"/>
          <w:szCs w:val="17"/>
          <w:color w:val="auto"/>
        </w:rPr>
        <w:t>Executive Vice President, Global Financial Planning &amp;</w:t>
      </w:r>
    </w:p>
    <w:p>
      <w:pPr>
        <w:ind w:left="4360"/>
        <w:spacing w:after="0"/>
        <w:rPr>
          <w:sz w:val="20"/>
          <w:szCs w:val="20"/>
          <w:color w:val="auto"/>
        </w:rPr>
      </w:pPr>
      <w:r>
        <w:rPr>
          <w:rFonts w:ascii="Times New Roman" w:cs="Times New Roman" w:eastAsia="Times New Roman" w:hAnsi="Times New Roman"/>
          <w:sz w:val="17"/>
          <w:szCs w:val="17"/>
          <w:color w:val="auto"/>
        </w:rPr>
        <w:t>Analysis</w:t>
      </w:r>
    </w:p>
    <w:p>
      <w:pPr>
        <w:sectPr>
          <w:pgSz w:w="11900" w:h="16838" w:orient="portrait"/>
          <w:cols w:equalWidth="0" w:num="1">
            <w:col w:w="11240"/>
          </w:cols>
          <w:pgMar w:left="320" w:top="861"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PURSUANT TO SECTION 906</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28"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In connection with the Annual Report on Form 10-K of PVH Corp. (the “Company”) for the fiscal year ended February 1, 2026 as filed with the Securities and Exchange Commission on the date hereof (the “Report”), I, Stefan Larsson, Chief Executive Officer of the Company, certify, pursuant to section 906 of the Sarbanes-Oxley Act of 2002, 18 U.S.C. Section 1350, that:</w:t>
      </w:r>
    </w:p>
    <w:p>
      <w:pPr>
        <w:spacing w:after="0" w:line="189" w:lineRule="exact"/>
        <w:rPr>
          <w:sz w:val="20"/>
          <w:szCs w:val="20"/>
          <w:color w:val="auto"/>
        </w:rPr>
      </w:pPr>
    </w:p>
    <w:p>
      <w:pPr>
        <w:ind w:left="620" w:hanging="304"/>
        <w:spacing w:after="0"/>
        <w:tabs>
          <w:tab w:leader="none" w:pos="6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March 31, 2026</w:t>
      </w:r>
    </w:p>
    <w:p>
      <w:pPr>
        <w:spacing w:after="0" w:line="52" w:lineRule="exact"/>
        <w:rPr>
          <w:sz w:val="20"/>
          <w:szCs w:val="20"/>
          <w:color w:val="auto"/>
        </w:rPr>
      </w:pPr>
    </w:p>
    <w:tbl>
      <w:tblPr>
        <w:tblLayout w:type="fixed"/>
        <w:tblInd w:w="640" w:type="dxa"/>
        <w:tblCellMar>
          <w:top w:w="0" w:type="dxa"/>
          <w:left w:w="0" w:type="dxa"/>
          <w:bottom w:w="0" w:type="dxa"/>
          <w:right w:w="0" w:type="dxa"/>
        </w:tblCellMar>
      </w:tblPr>
      <w:tr>
        <w:trPr>
          <w:trHeight w:val="23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Stefan Larsson</w:t>
            </w:r>
          </w:p>
        </w:tc>
      </w:tr>
      <w:tr>
        <w:trPr>
          <w:trHeight w:val="169"/>
        </w:trPr>
        <w:tc>
          <w:tcPr>
            <w:tcW w:w="920" w:type="dxa"/>
            <w:vAlign w:val="bottom"/>
          </w:tcPr>
          <w:p>
            <w:pPr>
              <w:spacing w:after="0" w:line="169" w:lineRule="exact"/>
              <w:rPr>
                <w:sz w:val="20"/>
                <w:szCs w:val="20"/>
                <w:color w:val="auto"/>
              </w:rPr>
            </w:pPr>
            <w:r>
              <w:rPr>
                <w:rFonts w:ascii="Times New Roman" w:cs="Times New Roman" w:eastAsia="Times New Roman" w:hAnsi="Times New Roman"/>
                <w:sz w:val="17"/>
                <w:szCs w:val="17"/>
                <w:color w:val="auto"/>
              </w:rPr>
              <w:t>Name:</w:t>
            </w:r>
          </w:p>
        </w:tc>
        <w:tc>
          <w:tcPr>
            <w:tcW w:w="4980" w:type="dxa"/>
            <w:vAlign w:val="bottom"/>
          </w:tcPr>
          <w:p>
            <w:pPr>
              <w:spacing w:after="0" w:line="169" w:lineRule="exact"/>
              <w:rPr>
                <w:sz w:val="20"/>
                <w:szCs w:val="20"/>
                <w:color w:val="auto"/>
              </w:rPr>
            </w:pPr>
            <w:r>
              <w:rPr>
                <w:rFonts w:ascii="Times New Roman" w:cs="Times New Roman" w:eastAsia="Times New Roman" w:hAnsi="Times New Roman"/>
                <w:sz w:val="17"/>
                <w:szCs w:val="17"/>
                <w:color w:val="auto"/>
              </w:rPr>
              <w:t>Stefan Larsson</w:t>
            </w:r>
          </w:p>
        </w:tc>
      </w:tr>
      <w:tr>
        <w:trPr>
          <w:trHeight w:val="227"/>
        </w:trPr>
        <w:tc>
          <w:tcPr>
            <w:tcW w:w="9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3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61"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PURSUANT TO SECTION 906</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SARBANES-OXLEY ACT OF 2002</w:t>
      </w:r>
    </w:p>
    <w:p>
      <w:pPr>
        <w:spacing w:after="0" w:line="228"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In connection with the Annual Report on Form 10-K of PVH Corp. (the “Company”) for the fiscal year ended February 1, 2026 as filed with the Securities and Exchange Commission on the date hereof (the “Report”), I, Melissa Stone, Interim Chief Financial Officer and Executive Vice President, Global Financial Planning &amp; Analysis of the Company, certify, pursuant to section 906 of the Sarbanes-Oxley Act of 2002, 18 U.S.C. Section 1350, that:</w:t>
      </w:r>
    </w:p>
    <w:p>
      <w:pPr>
        <w:spacing w:after="0" w:line="189" w:lineRule="exact"/>
        <w:rPr>
          <w:sz w:val="20"/>
          <w:szCs w:val="20"/>
          <w:color w:val="auto"/>
        </w:rPr>
      </w:pPr>
    </w:p>
    <w:p>
      <w:pPr>
        <w:ind w:left="620" w:hanging="304"/>
        <w:spacing w:after="0"/>
        <w:tabs>
          <w:tab w:leader="none" w:pos="6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46"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March 31, 2026</w:t>
      </w:r>
    </w:p>
    <w:p>
      <w:pPr>
        <w:spacing w:after="0" w:line="52" w:lineRule="exact"/>
        <w:rPr>
          <w:sz w:val="20"/>
          <w:szCs w:val="20"/>
          <w:color w:val="auto"/>
        </w:rPr>
      </w:pPr>
    </w:p>
    <w:tbl>
      <w:tblPr>
        <w:tblLayout w:type="fixed"/>
        <w:tblInd w:w="640" w:type="dxa"/>
        <w:tblCellMar>
          <w:top w:w="0" w:type="dxa"/>
          <w:left w:w="0" w:type="dxa"/>
          <w:bottom w:w="0" w:type="dxa"/>
          <w:right w:w="0" w:type="dxa"/>
        </w:tblCellMar>
      </w:tblPr>
      <w:tr>
        <w:trPr>
          <w:trHeight w:val="23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Melissa Stone</w:t>
            </w:r>
          </w:p>
        </w:tc>
      </w:tr>
      <w:tr>
        <w:trPr>
          <w:trHeight w:val="169"/>
        </w:trPr>
        <w:tc>
          <w:tcPr>
            <w:tcW w:w="920" w:type="dxa"/>
            <w:vAlign w:val="bottom"/>
          </w:tcPr>
          <w:p>
            <w:pPr>
              <w:spacing w:after="0" w:line="169" w:lineRule="exact"/>
              <w:rPr>
                <w:sz w:val="20"/>
                <w:szCs w:val="20"/>
                <w:color w:val="auto"/>
              </w:rPr>
            </w:pPr>
            <w:r>
              <w:rPr>
                <w:rFonts w:ascii="Times New Roman" w:cs="Times New Roman" w:eastAsia="Times New Roman" w:hAnsi="Times New Roman"/>
                <w:sz w:val="17"/>
                <w:szCs w:val="17"/>
                <w:color w:val="auto"/>
              </w:rPr>
              <w:t>Name:</w:t>
            </w:r>
          </w:p>
        </w:tc>
        <w:tc>
          <w:tcPr>
            <w:tcW w:w="420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auto"/>
              </w:rPr>
              <w:t>Melissa Stone</w:t>
            </w:r>
          </w:p>
        </w:tc>
      </w:tr>
      <w:tr>
        <w:trPr>
          <w:trHeight w:val="177"/>
        </w:trPr>
        <w:tc>
          <w:tcPr>
            <w:tcW w:w="920" w:type="dxa"/>
            <w:vAlign w:val="bottom"/>
          </w:tcPr>
          <w:p>
            <w:pPr>
              <w:spacing w:after="0"/>
              <w:rPr>
                <w:sz w:val="15"/>
                <w:szCs w:val="15"/>
                <w:color w:val="auto"/>
              </w:rPr>
            </w:pPr>
          </w:p>
        </w:tc>
        <w:tc>
          <w:tcPr>
            <w:tcW w:w="420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Interim Chief Financial Officer and</w:t>
            </w:r>
          </w:p>
        </w:tc>
      </w:tr>
      <w:tr>
        <w:trPr>
          <w:trHeight w:val="175"/>
        </w:trPr>
        <w:tc>
          <w:tcPr>
            <w:tcW w:w="920" w:type="dxa"/>
            <w:vAlign w:val="bottom"/>
          </w:tcPr>
          <w:p>
            <w:pPr>
              <w:spacing w:after="0"/>
              <w:rPr>
                <w:sz w:val="15"/>
                <w:szCs w:val="15"/>
                <w:color w:val="auto"/>
              </w:rPr>
            </w:pPr>
          </w:p>
        </w:tc>
        <w:tc>
          <w:tcPr>
            <w:tcW w:w="4200" w:type="dxa"/>
            <w:vAlign w:val="bottom"/>
          </w:tcPr>
          <w:p>
            <w:pPr>
              <w:ind w:left="20"/>
              <w:spacing w:after="0" w:line="175" w:lineRule="exact"/>
              <w:rPr>
                <w:sz w:val="20"/>
                <w:szCs w:val="20"/>
                <w:color w:val="auto"/>
              </w:rPr>
            </w:pPr>
            <w:r>
              <w:rPr>
                <w:rFonts w:ascii="Times New Roman" w:cs="Times New Roman" w:eastAsia="Times New Roman" w:hAnsi="Times New Roman"/>
                <w:sz w:val="17"/>
                <w:szCs w:val="17"/>
                <w:color w:val="auto"/>
              </w:rPr>
              <w:t>Executive Vice President, Global Financial Planning &amp;</w:t>
            </w:r>
          </w:p>
        </w:tc>
      </w:tr>
      <w:tr>
        <w:trPr>
          <w:trHeight w:val="227"/>
        </w:trPr>
        <w:tc>
          <w:tcPr>
            <w:tcW w:w="92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Analysis</w:t>
            </w:r>
          </w:p>
        </w:tc>
      </w:tr>
    </w:tbl>
    <w:p>
      <w:pPr>
        <w:spacing w:after="0" w:line="30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1)"/>
      <w:numFmt w:val="decimal"/>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1)"/>
      <w:numFmt w:val="decimal"/>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
      <w:numFmt w:val="bullet"/>
      <w:start w:val="1"/>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1)"/>
      <w:numFmt w:val="decimal"/>
      <w:start w:val="1"/>
    </w:lvl>
  </w:abstractNum>
  <w:abstractNum w:abstractNumId="20">
    <w:nsid w:val="11447B73"/>
    <w:multiLevelType w:val="hybridMultilevel"/>
    <w:lvl w:ilvl="0">
      <w:lvlJc w:val="left"/>
      <w:lvlText w:val="(%1)"/>
      <w:numFmt w:val="lowerRoman"/>
      <w:start w:val="1"/>
    </w:lvl>
  </w:abstractNum>
  <w:abstractNum w:abstractNumId="21">
    <w:nsid w:val="42963E5A"/>
    <w:multiLevelType w:val="hybridMultilevel"/>
    <w:lvl w:ilvl="0">
      <w:lvlJc w:val="left"/>
      <w:lvlText w:val="(%1)"/>
      <w:numFmt w:val="decimal"/>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lvl w:ilvl="1">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lvl w:ilvl="1">
      <w:lvlJc w:val="left"/>
      <w:lvlText w:val="◦"/>
      <w:numFmt w:val="bullet"/>
      <w:start w:val="1"/>
    </w:lvl>
  </w:abstractNum>
  <w:abstractNum w:abstractNumId="31">
    <w:nsid w:val="7FFFCA11"/>
    <w:multiLevelType w:val="hybridMultilevel"/>
    <w:lvl w:ilvl="0">
      <w:lvlJc w:val="left"/>
      <w:lvlText w:val="(%1)"/>
      <w:numFmt w:val="lowerRoman"/>
      <w:start w:val="2"/>
    </w:lvl>
  </w:abstractNum>
  <w:abstractNum w:abstractNumId="32">
    <w:nsid w:val="1A27709E"/>
    <w:multiLevelType w:val="hybridMultilevel"/>
    <w:lvl w:ilvl="0">
      <w:lvlJc w:val="left"/>
      <w:lvlText w:val="(%1)"/>
      <w:numFmt w:val="lowerRoman"/>
      <w:start w:val="4"/>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1)"/>
      <w:numFmt w:val="decimal"/>
      <w:start w:val="1"/>
    </w:lvl>
  </w:abstractNum>
  <w:abstractNum w:abstractNumId="36">
    <w:nsid w:val="6EB5BD4"/>
    <w:multiLevelType w:val="hybridMultilevel"/>
    <w:lvl w:ilvl="0">
      <w:lvlJc w:val="left"/>
      <w:lvlText w:val="(%1)"/>
      <w:numFmt w:val="lowerLetter"/>
      <w:start w:val="2"/>
    </w:lvl>
  </w:abstractNum>
  <w:abstractNum w:abstractNumId="37">
    <w:nsid w:val="6F6DD9AC"/>
    <w:multiLevelType w:val="hybridMultilevel"/>
    <w:lvl w:ilvl="0">
      <w:lvlJc w:val="left"/>
      <w:lvlText w:val="(%1)"/>
      <w:numFmt w:val="decimal"/>
      <w:start w:val="1"/>
    </w:lvl>
  </w:abstractNum>
  <w:abstractNum w:abstractNumId="38">
    <w:nsid w:val="94211F2"/>
    <w:multiLevelType w:val="hybridMultilevel"/>
    <w:lvl w:ilvl="0">
      <w:lvlJc w:val="left"/>
      <w:lvlText w:val="%1."/>
      <w:numFmt w:val="decimal"/>
      <w:start w:val="1"/>
    </w:lvl>
  </w:abstractNum>
  <w:abstractNum w:abstractNumId="39">
    <w:nsid w:val="885E1B"/>
    <w:multiLevelType w:val="hybridMultilevel"/>
    <w:lvl w:ilvl="0">
      <w:lvlJc w:val="left"/>
      <w:lvlText w:val="%1."/>
      <w:numFmt w:val="decimal"/>
      <w:start w:val="2"/>
    </w:lvl>
  </w:abstractNum>
  <w:abstractNum w:abstractNumId="40">
    <w:nsid w:val="76272110"/>
    <w:multiLevelType w:val="hybridMultilevel"/>
    <w:lvl w:ilvl="0">
      <w:lvlJc w:val="left"/>
      <w:lvlText w:val="(%1)"/>
      <w:numFmt w:val="decimal"/>
      <w:start w:val="1"/>
    </w:lvl>
  </w:abstractNum>
  <w:abstractNum w:abstractNumId="41">
    <w:nsid w:val="4C04A8AF"/>
    <w:multiLevelType w:val="hybridMultilevel"/>
    <w:lvl w:ilvl="0">
      <w:lvlJc w:val="left"/>
      <w:lvlText w:val="%1."/>
      <w:numFmt w:val="decimal"/>
      <w:start w:val="4"/>
    </w:lvl>
  </w:abstractNum>
  <w:abstractNum w:abstractNumId="42">
    <w:nsid w:val="1716703B"/>
    <w:multiLevelType w:val="hybridMultilevel"/>
    <w:lvl w:ilvl="0">
      <w:lvlJc w:val="left"/>
      <w:lvlText w:val="%1."/>
      <w:numFmt w:val="decimal"/>
      <w:start w:val="6"/>
    </w:lvl>
  </w:abstractNum>
  <w:abstractNum w:abstractNumId="43">
    <w:nsid w:val="14E17E33"/>
    <w:multiLevelType w:val="hybridMultilevel"/>
    <w:lvl w:ilvl="0">
      <w:lvlJc w:val="left"/>
      <w:lvlText w:val="%1."/>
      <w:numFmt w:val="decimal"/>
      <w:start w:val="7"/>
    </w:lvl>
  </w:abstractNum>
  <w:abstractNum w:abstractNumId="44">
    <w:nsid w:val="3222E7CD"/>
    <w:multiLevelType w:val="hybridMultilevel"/>
    <w:lvl w:ilvl="0">
      <w:lvlJc w:val="left"/>
      <w:lvlText w:val="(%1)"/>
      <w:numFmt w:val="decimal"/>
      <w:start w:val="1"/>
    </w:lvl>
  </w:abstractNum>
  <w:abstractNum w:abstractNumId="45">
    <w:nsid w:val="74DE0EE3"/>
    <w:multiLevelType w:val="hybridMultilevel"/>
    <w:lvl w:ilvl="0">
      <w:lvlJc w:val="left"/>
      <w:lvlText w:val="(%1)"/>
      <w:numFmt w:val="decimal"/>
      <w:start w:val="1"/>
    </w:lvl>
  </w:abstractNum>
  <w:abstractNum w:abstractNumId="46">
    <w:nsid w:val="68EBC550"/>
    <w:multiLevelType w:val="hybridMultilevel"/>
    <w:lvl w:ilvl="0">
      <w:lvlJc w:val="left"/>
      <w:lvlText w:val="(%1)"/>
      <w:numFmt w:val="decimal"/>
      <w:start w:val="1"/>
    </w:lvl>
  </w:abstractNum>
  <w:abstractNum w:abstractNumId="47">
    <w:nsid w:val="2DF6D648"/>
    <w:multiLevelType w:val="hybridMultilevel"/>
    <w:lvl w:ilvl="0">
      <w:lvlJc w:val="left"/>
      <w:lvlText w:val="%1."/>
      <w:numFmt w:val="decimal"/>
      <w:start w:val="8"/>
    </w:lvl>
  </w:abstractNum>
  <w:abstractNum w:abstractNumId="48">
    <w:nsid w:val="46B7D447"/>
    <w:multiLevelType w:val="hybridMultilevel"/>
    <w:lvl w:ilvl="0">
      <w:lvlJc w:val="left"/>
      <w:lvlText w:val="(%1)"/>
      <w:numFmt w:val="decimal"/>
      <w:start w:val="1"/>
    </w:lvl>
  </w:abstractNum>
  <w:abstractNum w:abstractNumId="49">
    <w:nsid w:val="4A2AC315"/>
    <w:multiLevelType w:val="hybridMultilevel"/>
    <w:lvl w:ilvl="0">
      <w:lvlJc w:val="left"/>
      <w:lvlText w:val="(%1)"/>
      <w:numFmt w:val="decimal"/>
      <w:start w:val="1"/>
    </w:lvl>
  </w:abstractNum>
  <w:abstractNum w:abstractNumId="50">
    <w:nsid w:val="39EE015C"/>
    <w:multiLevelType w:val="hybridMultilevel"/>
    <w:lvl w:ilvl="0">
      <w:lvlJc w:val="left"/>
      <w:lvlText w:val="(%1)"/>
      <w:numFmt w:val="lowerLetter"/>
      <w:start w:val="1"/>
    </w:lvl>
  </w:abstractNum>
  <w:abstractNum w:abstractNumId="51">
    <w:nsid w:val="57FC4FBB"/>
    <w:multiLevelType w:val="hybridMultilevel"/>
    <w:lvl w:ilvl="0">
      <w:lvlJc w:val="left"/>
      <w:lvlText w:val="(%1)"/>
      <w:numFmt w:val="decimal"/>
      <w:start w:val="1"/>
    </w:lvl>
  </w:abstractNum>
  <w:abstractNum w:abstractNumId="52">
    <w:nsid w:val="CC1016F"/>
    <w:multiLevelType w:val="hybridMultilevel"/>
    <w:lvl w:ilvl="0">
      <w:lvlJc w:val="left"/>
      <w:lvlText w:val="(%1)"/>
      <w:numFmt w:val="decimal"/>
      <w:start w:val="1"/>
    </w:lvl>
  </w:abstractNum>
  <w:abstractNum w:abstractNumId="53">
    <w:nsid w:val="43F18422"/>
    <w:multiLevelType w:val="hybridMultilevel"/>
    <w:lvl w:ilvl="0">
      <w:lvlJc w:val="left"/>
      <w:lvlText w:val="%1."/>
      <w:numFmt w:val="decimal"/>
      <w:start w:val="11"/>
    </w:lvl>
  </w:abstractNum>
  <w:abstractNum w:abstractNumId="54">
    <w:nsid w:val="60EF0119"/>
    <w:multiLevelType w:val="hybridMultilevel"/>
    <w:lvl w:ilvl="0">
      <w:lvlJc w:val="left"/>
      <w:lvlText w:val="(%1)"/>
      <w:numFmt w:val="lowerRoman"/>
      <w:start w:val="1"/>
    </w:lvl>
  </w:abstractNum>
  <w:abstractNum w:abstractNumId="55">
    <w:nsid w:val="26F324BA"/>
    <w:multiLevelType w:val="hybridMultilevel"/>
    <w:lvl w:ilvl="0">
      <w:lvlJc w:val="left"/>
      <w:lvlText w:val="(%1)"/>
      <w:numFmt w:val="decimal"/>
      <w:start w:val="1"/>
    </w:lvl>
  </w:abstractNum>
  <w:abstractNum w:abstractNumId="56">
    <w:nsid w:val="7F01579B"/>
    <w:multiLevelType w:val="hybridMultilevel"/>
    <w:lvl w:ilvl="0">
      <w:lvlJc w:val="left"/>
      <w:lvlText w:val="(%1)"/>
      <w:numFmt w:val="decimal"/>
      <w:start w:val="5"/>
    </w:lvl>
  </w:abstractNum>
  <w:abstractNum w:abstractNumId="57">
    <w:nsid w:val="49DA307D"/>
    <w:multiLevelType w:val="hybridMultilevel"/>
    <w:lvl w:ilvl="0">
      <w:lvlJc w:val="left"/>
      <w:lvlText w:val="%1."/>
      <w:numFmt w:val="decimal"/>
      <w:start w:val="15"/>
    </w:lvl>
  </w:abstractNum>
  <w:abstractNum w:abstractNumId="58">
    <w:nsid w:val="7055A5F5"/>
    <w:multiLevelType w:val="hybridMultilevel"/>
    <w:lvl w:ilvl="0">
      <w:lvlJc w:val="left"/>
      <w:lvlText w:val="(%1)"/>
      <w:numFmt w:val="decimal"/>
      <w:start w:val="1"/>
    </w:lvl>
  </w:abstractNum>
  <w:abstractNum w:abstractNumId="59">
    <w:nsid w:val="5FB8370B"/>
    <w:multiLevelType w:val="hybridMultilevel"/>
    <w:lvl w:ilvl="0">
      <w:lvlJc w:val="left"/>
      <w:lvlText w:val="%1."/>
      <w:numFmt w:val="decimal"/>
      <w:start w:val="16"/>
    </w:lvl>
  </w:abstractNum>
  <w:abstractNum w:abstractNumId="60">
    <w:nsid w:val="50801EE1"/>
    <w:multiLevelType w:val="hybridMultilevel"/>
    <w:lvl w:ilvl="0">
      <w:lvlJc w:val="left"/>
      <w:lvlText w:val="(%1)"/>
      <w:numFmt w:val="decimal"/>
      <w:start w:val="1"/>
    </w:lvl>
  </w:abstractNum>
  <w:abstractNum w:abstractNumId="61">
    <w:nsid w:val="488AC1A"/>
    <w:multiLevelType w:val="hybridMultilevel"/>
    <w:lvl w:ilvl="0">
      <w:lvlJc w:val="left"/>
      <w:lvlText w:val="(%1)"/>
      <w:numFmt w:val="decimal"/>
      <w:start w:val="1"/>
    </w:lvl>
  </w:abstractNum>
  <w:abstractNum w:abstractNumId="62">
    <w:nsid w:val="5FB8011C"/>
    <w:multiLevelType w:val="hybridMultilevel"/>
    <w:lvl w:ilvl="0">
      <w:lvlJc w:val="left"/>
      <w:lvlText w:val="(%1)"/>
      <w:numFmt w:val="decimal"/>
      <w:start w:val="1"/>
    </w:lvl>
  </w:abstractNum>
  <w:abstractNum w:abstractNumId="63">
    <w:nsid w:val="6AA78F7F"/>
    <w:multiLevelType w:val="hybridMultilevel"/>
    <w:lvl w:ilvl="0">
      <w:lvlJc w:val="left"/>
      <w:lvlText w:val="(%1)"/>
      <w:numFmt w:val="decimal"/>
      <w:start w:val="1"/>
    </w:lvl>
  </w:abstractNum>
  <w:abstractNum w:abstractNumId="64">
    <w:nsid w:val="7672BD23"/>
    <w:multiLevelType w:val="hybridMultilevel"/>
    <w:lvl w:ilvl="0">
      <w:lvlJc w:val="left"/>
      <w:lvlText w:val="(%1)"/>
      <w:numFmt w:val="decimal"/>
      <w:start w:val="1"/>
    </w:lvl>
  </w:abstractNum>
  <w:abstractNum w:abstractNumId="65">
    <w:nsid w:val="6FC75AF8"/>
    <w:multiLevelType w:val="hybridMultilevel"/>
    <w:lvl w:ilvl="0">
      <w:lvlJc w:val="left"/>
      <w:lvlText w:val="(%1)"/>
      <w:numFmt w:val="decimal"/>
      <w:start w:val="1"/>
    </w:lvl>
  </w:abstractNum>
  <w:abstractNum w:abstractNumId="66">
    <w:nsid w:val="6A5F7029"/>
    <w:multiLevelType w:val="hybridMultilevel"/>
    <w:lvl w:ilvl="0">
      <w:lvlJc w:val="left"/>
      <w:lvlText w:val="(%1)"/>
      <w:numFmt w:val="decimal"/>
      <w:start w:val="1"/>
    </w:lvl>
  </w:abstractNum>
  <w:abstractNum w:abstractNumId="67">
    <w:nsid w:val="7D5E18F8"/>
    <w:multiLevelType w:val="hybridMultilevel"/>
    <w:lvl w:ilvl="0">
      <w:lvlJc w:val="left"/>
      <w:lvlText w:val="(%1)"/>
      <w:numFmt w:val="decimal"/>
      <w:start w:val="1"/>
    </w:lvl>
  </w:abstractNum>
  <w:abstractNum w:abstractNumId="68">
    <w:nsid w:val="5F3534A4"/>
    <w:multiLevelType w:val="hybridMultilevel"/>
    <w:lvl w:ilvl="0">
      <w:lvlJc w:val="left"/>
      <w:lvlText w:val="(%1)"/>
      <w:numFmt w:val="lowerRoman"/>
      <w:start w:val="3"/>
    </w:lvl>
  </w:abstractNum>
  <w:abstractNum w:abstractNumId="69">
    <w:nsid w:val="73A1821B"/>
    <w:multiLevelType w:val="hybridMultilevel"/>
    <w:lvl w:ilvl="0">
      <w:lvlJc w:val="left"/>
      <w:lvlText w:val="(%1)"/>
      <w:numFmt w:val="lowerRoman"/>
      <w:start w:val="2"/>
    </w:lvl>
  </w:abstractNum>
  <w:abstractNum w:abstractNumId="70">
    <w:nsid w:val="7DE67713"/>
    <w:multiLevelType w:val="hybridMultilevel"/>
    <w:lvl w:ilvl="0">
      <w:lvlJc w:val="left"/>
      <w:lvlText w:val="(%1)"/>
      <w:numFmt w:val="decimal"/>
      <w:start w:val="1"/>
    </w:lvl>
  </w:abstractNum>
  <w:abstractNum w:abstractNumId="71">
    <w:nsid w:val="555C55B5"/>
    <w:multiLevelType w:val="hybridMultilevel"/>
    <w:lvl w:ilvl="0">
      <w:lvlJc w:val="left"/>
      <w:lvlText w:val="%1."/>
      <w:numFmt w:val="decimal"/>
      <w:start w:val="1"/>
    </w:lvl>
    <w:lvl w:ilvl="1">
      <w:lvlJc w:val="left"/>
      <w:lvlText w:val="%2."/>
      <w:numFmt w:val="lowerLetter"/>
      <w:start w:val="1"/>
    </w:lvl>
  </w:abstractNum>
  <w:abstractNum w:abstractNumId="72">
    <w:nsid w:val="3FA62ACA"/>
    <w:multiLevelType w:val="hybridMultilevel"/>
    <w:lvl w:ilvl="0">
      <w:lvlJc w:val="left"/>
      <w:lvlText w:val="%1"/>
      <w:numFmt w:val="decimal"/>
      <w:start w:val="1"/>
    </w:lvl>
    <w:lvl w:ilvl="1">
      <w:lvlJc w:val="left"/>
      <w:lvlText w:val="%2."/>
      <w:numFmt w:val="lowerLetter"/>
      <w:start w:val="3"/>
    </w:lvl>
  </w:abstractNum>
  <w:abstractNum w:abstractNumId="73">
    <w:nsid w:val="14FCE74E"/>
    <w:multiLevelType w:val="hybridMultilevel"/>
    <w:lvl w:ilvl="0">
      <w:lvlJc w:val="left"/>
      <w:lvlText w:val="%1."/>
      <w:numFmt w:val="decimal"/>
      <w:start w:val="3"/>
    </w:lvl>
    <w:lvl w:ilvl="1">
      <w:lvlJc w:val="left"/>
      <w:lvlText w:val="%2"/>
      <w:numFmt w:val="lowerLetter"/>
      <w:start w:val="1"/>
    </w:lvl>
  </w:abstractNum>
  <w:abstractNum w:abstractNumId="74">
    <w:nsid w:val="6A3DD3E8"/>
    <w:multiLevelType w:val="hybridMultilevel"/>
    <w:lvl w:ilvl="0">
      <w:lvlJc w:val="left"/>
      <w:lvlText w:val="%1."/>
      <w:numFmt w:val="decimal"/>
      <w:start w:val="4"/>
    </w:lvl>
    <w:lvl w:ilvl="1">
      <w:lvlJc w:val="left"/>
      <w:lvlText w:val="%2."/>
      <w:numFmt w:val="lowerLetter"/>
      <w:start w:val="1"/>
    </w:lvl>
  </w:abstractNum>
  <w:abstractNum w:abstractNumId="75">
    <w:nsid w:val="71C91298"/>
    <w:multiLevelType w:val="hybridMultilevel"/>
    <w:lvl w:ilvl="0">
      <w:lvlJc w:val="left"/>
      <w:lvlText w:val="%1."/>
      <w:numFmt w:val="decimal"/>
      <w:start w:val="5"/>
    </w:lvl>
    <w:lvl w:ilvl="1">
      <w:lvlJc w:val="left"/>
      <w:lvlText w:val="%2."/>
      <w:numFmt w:val="lowerLetter"/>
      <w:start w:val="1"/>
    </w:lvl>
  </w:abstractNum>
  <w:abstractNum w:abstractNumId="76">
    <w:nsid w:val="9DAF632"/>
    <w:multiLevelType w:val="hybridMultilevel"/>
    <w:lvl w:ilvl="0">
      <w:lvlJc w:val="left"/>
      <w:lvlText w:val="%1."/>
      <w:numFmt w:val="lowerLetter"/>
      <w:start w:val="4"/>
    </w:lvl>
  </w:abstractNum>
  <w:abstractNum w:abstractNumId="77">
    <w:nsid w:val="5329993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8">
    <w:nsid w:val="1FBFE8E0"/>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79">
    <w:nsid w:val="5092CA79"/>
    <w:multiLevelType w:val="hybridMultilevel"/>
    <w:lvl w:ilvl="0">
      <w:lvlJc w:val="left"/>
      <w:lvlText w:val="(%1)"/>
      <w:numFmt w:val="lowerLetter"/>
      <w:start w:val="2"/>
    </w:lvl>
  </w:abstractNum>
  <w:abstractNum w:abstractNumId="80">
    <w:nsid w:val="1D545C4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1">
    <w:nsid w:val="59ADEA3D"/>
    <w:multiLevelType w:val="hybridMultilevel"/>
    <w:lvl w:ilvl="0">
      <w:lvlJc w:val="left"/>
      <w:lvlText w:val="(%1)"/>
      <w:numFmt w:val="lowerLetter"/>
      <w:start w:val="2"/>
    </w:lvl>
    <w:lvl w:ilvl="1">
      <w:lvlJc w:val="left"/>
      <w:lvlText w:val="(%2)"/>
      <w:numFmt w:val="lowerLetter"/>
      <w:start w:val="9"/>
    </w:lvl>
  </w:abstractNum>
  <w:abstractNum w:abstractNumId="82">
    <w:nsid w:val="288F1A34"/>
    <w:multiLevelType w:val="hybridMultilevel"/>
    <w:lvl w:ilvl="0">
      <w:lvlJc w:val="left"/>
      <w:lvlText w:val="%1"/>
      <w:numFmt w:val="lowerLetter"/>
      <w:start w:val="1"/>
    </w:lvl>
    <w:lvl w:ilvl="1">
      <w:lvlJc w:val="left"/>
      <w:lvlText w:val="(%2)"/>
      <w:numFmt w:val="lowerRoman"/>
      <w:start w:val="2"/>
    </w:lvl>
  </w:abstractNum>
  <w:abstractNum w:abstractNumId="83">
    <w:nsid w:val="2A155DBC"/>
    <w:multiLevelType w:val="hybridMultilevel"/>
    <w:lvl w:ilvl="0">
      <w:lvlJc w:val="left"/>
      <w:lvlText w:val="(%1)"/>
      <w:numFmt w:val="lowerLetter"/>
      <w:start w:val="3"/>
    </w:lvl>
    <w:lvl w:ilvl="1">
      <w:lvlJc w:val="left"/>
      <w:lvlText w:val="%2"/>
      <w:numFmt w:val="lowerRoman"/>
      <w:start w:val="1"/>
    </w:lvl>
  </w:abstractNum>
  <w:abstractNum w:abstractNumId="84">
    <w:nsid w:val="1D9F6E5F"/>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85">
    <w:nsid w:val="97E1B4E"/>
    <w:multiLevelType w:val="hybridMultilevel"/>
    <w:lvl w:ilvl="0">
      <w:lvlJc w:val="left"/>
      <w:lvlText w:val="(%1)"/>
      <w:numFmt w:val="lowerLetter"/>
      <w:start w:val="35"/>
    </w:lvl>
    <w:lvl w:ilvl="1">
      <w:lvlJc w:val="left"/>
      <w:lvlText w:val="(%2)"/>
      <w:numFmt w:val="lowerLetter"/>
      <w:start w:val="6"/>
    </w:lvl>
    <w:lvl w:ilvl="2">
      <w:lvlJc w:val="left"/>
      <w:lvlText w:val="(%3)"/>
      <w:numFmt w:val="lowerLetter"/>
      <w:start w:val="9"/>
    </w:lvl>
  </w:abstractNum>
  <w:abstractNum w:abstractNumId="86">
    <w:nsid w:val="51088277"/>
    <w:multiLevelType w:val="hybridMultilevel"/>
    <w:lvl w:ilvl="0">
      <w:lvlJc w:val="left"/>
      <w:lvlText w:val="%1."/>
      <w:numFmt w:val="upperLetter"/>
      <w:start w:val="1"/>
    </w:lvl>
    <w:lvl w:ilvl="1">
      <w:lvlJc w:val="left"/>
      <w:lvlText w:val="%2."/>
      <w:numFmt w:val="decimal"/>
      <w:start w:val="1"/>
    </w:lvl>
  </w:abstractNum>
  <w:abstractNum w:abstractNumId="87">
    <w:nsid w:val="1CA0C5FA"/>
    <w:multiLevelType w:val="hybridMultilevel"/>
    <w:lvl w:ilvl="0">
      <w:lvlJc w:val="left"/>
      <w:lvlText w:val="%1"/>
      <w:numFmt w:val="upperLetter"/>
      <w:start w:val="1"/>
    </w:lvl>
    <w:lvl w:ilvl="1">
      <w:lvlJc w:val="left"/>
      <w:lvlText w:val="%2."/>
      <w:numFmt w:val="decimal"/>
      <w:start w:val="2"/>
    </w:lvl>
  </w:abstractNum>
  <w:abstractNum w:abstractNumId="88">
    <w:nsid w:val="53584BCB"/>
    <w:multiLevelType w:val="hybridMultilevel"/>
    <w:lvl w:ilvl="0">
      <w:lvlJc w:val="left"/>
      <w:lvlText w:val="%1."/>
      <w:numFmt w:val="decimal"/>
      <w:start w:val="1"/>
    </w:lvl>
  </w:abstractNum>
  <w:abstractNum w:abstractNumId="89">
    <w:nsid w:val="415E286C"/>
    <w:multiLevelType w:val="hybridMultilevel"/>
    <w:lvl w:ilvl="0">
      <w:lvlJc w:val="left"/>
      <w:lvlText w:val="(%1)"/>
      <w:numFmt w:val="lowerRoman"/>
      <w:start w:val="2"/>
    </w:lvl>
  </w:abstractNum>
  <w:abstractNum w:abstractNumId="90">
    <w:nsid w:val="7C58FD05"/>
    <w:multiLevelType w:val="hybridMultilevel"/>
    <w:lvl w:ilvl="0">
      <w:lvlJc w:val="left"/>
      <w:lvlText w:val="(%1)"/>
      <w:numFmt w:val="lowerRoman"/>
      <w:start w:val="3"/>
    </w:lvl>
  </w:abstractNum>
  <w:abstractNum w:abstractNumId="91">
    <w:nsid w:val="23D86AAC"/>
    <w:multiLevelType w:val="hybridMultilevel"/>
    <w:lvl w:ilvl="0">
      <w:lvlJc w:val="left"/>
      <w:lvlText w:val="(%1)"/>
      <w:numFmt w:val="lowerLetter"/>
      <w:start w:val="7"/>
    </w:lvl>
    <w:lvl w:ilvl="1">
      <w:lvlJc w:val="left"/>
      <w:lvlText w:val="(%2)"/>
      <w:numFmt w:val="lowerRoman"/>
      <w:start w:val="1"/>
    </w:lvl>
  </w:abstractNum>
  <w:abstractNum w:abstractNumId="92">
    <w:nsid w:val="45E6D486"/>
    <w:multiLevelType w:val="hybridMultilevel"/>
    <w:lvl w:ilvl="0">
      <w:lvlJc w:val="left"/>
      <w:lvlText w:val="%1"/>
      <w:numFmt w:val="decimal"/>
      <w:start w:val="1"/>
    </w:lvl>
    <w:lvl w:ilvl="1">
      <w:lvlJc w:val="left"/>
      <w:lvlText w:val="(%2)"/>
      <w:numFmt w:val="lowerLetter"/>
      <w:start w:val="9"/>
    </w:lvl>
  </w:abstractNum>
  <w:abstractNum w:abstractNumId="93">
    <w:nsid w:val="5C10FE21"/>
    <w:multiLevelType w:val="hybridMultilevel"/>
    <w:lvl w:ilvl="0">
      <w:lvlJc w:val="left"/>
      <w:lvlText w:val="%1."/>
      <w:numFmt w:val="decimal"/>
      <w:start w:val="4"/>
    </w:lvl>
    <w:lvl w:ilvl="1">
      <w:lvlJc w:val="left"/>
      <w:lvlText w:val="(%2)"/>
      <w:numFmt w:val="lowerLetter"/>
      <w:start w:val="1"/>
    </w:lvl>
  </w:abstractNum>
  <w:abstractNum w:abstractNumId="94">
    <w:nsid w:val="E7FFA2B"/>
    <w:multiLevelType w:val="hybridMultilevel"/>
    <w:lvl w:ilvl="0">
      <w:lvlJc w:val="left"/>
      <w:lvlText w:val="%1."/>
      <w:numFmt w:val="decimal"/>
      <w:start w:val="5"/>
    </w:lvl>
    <w:lvl w:ilvl="1">
      <w:lvlJc w:val="left"/>
      <w:lvlText w:val="(%2)"/>
      <w:numFmt w:val="lowerLetter"/>
      <w:start w:val="1"/>
    </w:lvl>
  </w:abstractNum>
  <w:abstractNum w:abstractNumId="95">
    <w:nsid w:val="3C5991AA"/>
    <w:multiLevelType w:val="hybridMultilevel"/>
    <w:lvl w:ilvl="0">
      <w:lvlJc w:val="left"/>
      <w:lvlText w:val="(%1)"/>
      <w:numFmt w:val="lowerLetter"/>
      <w:start w:val="3"/>
    </w:lvl>
  </w:abstractNum>
  <w:abstractNum w:abstractNumId="96">
    <w:nsid w:val="4BD8591A"/>
    <w:multiLevelType w:val="hybridMultilevel"/>
    <w:lvl w:ilvl="0">
      <w:lvlJc w:val="left"/>
      <w:lvlText w:val="%1"/>
      <w:numFmt w:val="decimal"/>
      <w:start w:val="1"/>
    </w:lvl>
    <w:lvl w:ilvl="1">
      <w:lvlJc w:val="left"/>
      <w:lvlText w:val="(%2)"/>
      <w:numFmt w:val="lowerLetter"/>
      <w:start w:val="7"/>
    </w:lvl>
  </w:abstractNum>
  <w:abstractNum w:abstractNumId="97">
    <w:nsid w:val="78DF6A55"/>
    <w:multiLevelType w:val="hybridMultilevel"/>
    <w:lvl w:ilvl="0">
      <w:lvlJc w:val="left"/>
      <w:lvlText w:val="%1."/>
      <w:numFmt w:val="decimal"/>
      <w:start w:val="6"/>
    </w:lvl>
    <w:lvl w:ilvl="1">
      <w:lvlJc w:val="left"/>
      <w:lvlText w:val="%2"/>
      <w:numFmt w:val="lowerLetter"/>
      <w:start w:val="1"/>
    </w:lvl>
  </w:abstractNum>
  <w:abstractNum w:abstractNumId="98">
    <w:nsid w:val="39B7AAA2"/>
    <w:multiLevelType w:val="hybridMultilevel"/>
    <w:lvl w:ilvl="0">
      <w:lvlJc w:val="left"/>
      <w:lvlText w:val="%1."/>
      <w:numFmt w:val="decimal"/>
      <w:start w:val="7"/>
    </w:lvl>
    <w:lvl w:ilvl="1">
      <w:lvlJc w:val="left"/>
      <w:lvlText w:val="(%2)"/>
      <w:numFmt w:val="lowerLetter"/>
      <w:start w:val="1"/>
    </w:lvl>
  </w:abstractNum>
  <w:abstractNum w:abstractNumId="99">
    <w:nsid w:val="2B0D8DBE"/>
    <w:multiLevelType w:val="hybridMultilevel"/>
    <w:lvl w:ilvl="0">
      <w:lvlJc w:val="left"/>
      <w:lvlText w:val="(%1)"/>
      <w:numFmt w:val="lowerLetter"/>
      <w:start w:val="4"/>
    </w:lvl>
    <w:lvl w:ilvl="1">
      <w:lvlJc w:val="left"/>
      <w:lvlText w:val="(%2)"/>
      <w:numFmt w:val="lowerRoman"/>
      <w:start w:val="1"/>
    </w:lvl>
  </w:abstractNum>
  <w:abstractNum w:abstractNumId="100">
    <w:nsid w:val="6C80EC70"/>
    <w:multiLevelType w:val="hybridMultilevel"/>
    <w:lvl w:ilvl="0">
      <w:lvlJc w:val="left"/>
      <w:lvlText w:val="(%1)"/>
      <w:numFmt w:val="lowerLetter"/>
      <w:start w:val="9"/>
    </w:lvl>
  </w:abstractNum>
  <w:abstractNum w:abstractNumId="101">
    <w:nsid w:val="379E21B5"/>
    <w:multiLevelType w:val="hybridMultilevel"/>
    <w:lvl w:ilvl="0">
      <w:lvlJc w:val="left"/>
      <w:lvlText w:val="(%1)"/>
      <w:numFmt w:val="lowerLetter"/>
      <w:start w:val="13"/>
    </w:lvl>
  </w:abstractNum>
  <w:abstractNum w:abstractNumId="102">
    <w:nsid w:val="69E373"/>
    <w:multiLevelType w:val="hybridMultilevel"/>
    <w:lvl w:ilvl="0">
      <w:lvlJc w:val="left"/>
      <w:lvlText w:val="(%1)"/>
      <w:numFmt w:val="decimal"/>
      <w:start w:val="1"/>
    </w:lvl>
  </w:abstractNum>
  <w:abstractNum w:abstractNumId="103">
    <w:nsid w:val="2C27173B"/>
    <w:multiLevelType w:val="hybridMultilevel"/>
    <w:lvl w:ilvl="0">
      <w:lvlJc w:val="left"/>
      <w:lvlText w:val="(%1)"/>
      <w:numFmt w:val="decimal"/>
      <w:start w:val="2"/>
    </w:lvl>
  </w:abstractNum>
  <w:abstractNum w:abstractNumId="104">
    <w:nsid w:val="4C9B0904"/>
    <w:multiLevelType w:val="hybridMultilevel"/>
    <w:lvl w:ilvl="0">
      <w:lvlJc w:val="left"/>
      <w:lvlText w:val="(%1)"/>
      <w:numFmt w:val="upperLetter"/>
      <w:start w:val="1"/>
    </w:lvl>
  </w:abstractNum>
  <w:abstractNum w:abstractNumId="105">
    <w:nsid w:val="6AA7B75C"/>
    <w:multiLevelType w:val="hybridMultilevel"/>
    <w:lvl w:ilvl="0">
      <w:lvlJc w:val="left"/>
      <w:lvlText w:val="%1."/>
      <w:numFmt w:val="decimal"/>
      <w:start w:val="1"/>
    </w:lvl>
  </w:abstractNum>
  <w:abstractNum w:abstractNumId="106">
    <w:nsid w:val="1DF029D3"/>
    <w:multiLevelType w:val="hybridMultilevel"/>
    <w:lvl w:ilvl="0">
      <w:lvlJc w:val="left"/>
      <w:lvlText w:val="(%1)"/>
      <w:numFmt w:val="lowerLetter"/>
      <w:start w:val="1"/>
    </w:lvl>
  </w:abstractNum>
  <w:abstractNum w:abstractNumId="107">
    <w:nsid w:val="5675FF36"/>
    <w:multiLevelType w:val="hybridMultilevel"/>
    <w:lvl w:ilvl="0">
      <w:lvlJc w:val="left"/>
      <w:lvlText w:val="%1."/>
      <w:numFmt w:val="decimal"/>
      <w:start w:val="2"/>
    </w:lvl>
  </w:abstractNum>
  <w:abstractNum w:abstractNumId="108">
    <w:nsid w:val="3DD15094"/>
    <w:multiLevelType w:val="hybridMultilevel"/>
    <w:lvl w:ilvl="0">
      <w:lvlJc w:val="left"/>
      <w:lvlText w:val="(%1)"/>
      <w:numFmt w:val="lowerLetter"/>
      <w:start w:val="1"/>
    </w:lvl>
  </w:abstractNum>
  <w:abstractNum w:abstractNumId="109">
    <w:nsid w:val="3DB012B3"/>
    <w:multiLevelType w:val="hybridMultilevel"/>
    <w:lvl w:ilvl="0">
      <w:lvlJc w:val="left"/>
      <w:lvlText w:val="(%1)"/>
      <w:numFmt w:val="lowerLetter"/>
      <w:start w:val="2"/>
    </w:lvl>
    <w:lvl w:ilvl="1">
      <w:lvlJc w:val="left"/>
      <w:lvlText w:val="(%2)"/>
      <w:numFmt w:val="lowerRoman"/>
      <w:start w:val="1"/>
    </w:lvl>
  </w:abstractNum>
  <w:abstractNum w:abstractNumId="110">
    <w:nsid w:val="2708C9AF"/>
    <w:multiLevelType w:val="hybridMultilevel"/>
    <w:lvl w:ilvl="0">
      <w:lvlJc w:val="left"/>
      <w:lvlText w:val="(%1)"/>
      <w:numFmt w:val="lowerLetter"/>
      <w:start w:val="4"/>
    </w:lvl>
    <w:lvl w:ilvl="1">
      <w:lvlJc w:val="left"/>
      <w:lvlText w:val="(%2)"/>
      <w:numFmt w:val="lowerRoman"/>
      <w:start w:val="1"/>
    </w:lvl>
  </w:abstractNum>
  <w:abstractNum w:abstractNumId="111">
    <w:nsid w:val="5B25ACE2"/>
    <w:multiLevelType w:val="hybridMultilevel"/>
    <w:lvl w:ilvl="0">
      <w:lvlJc w:val="left"/>
      <w:lvlText w:val="(%1)"/>
      <w:numFmt w:val="lowerLetter"/>
      <w:start w:val="1"/>
    </w:lvl>
  </w:abstractNum>
  <w:abstractNum w:abstractNumId="112">
    <w:nsid w:val="175DFCF0"/>
    <w:multiLevelType w:val="hybridMultilevel"/>
    <w:lvl w:ilvl="0">
      <w:lvlJc w:val="left"/>
      <w:lvlText w:val="%1."/>
      <w:numFmt w:val="decimal"/>
      <w:start w:val="3"/>
    </w:lvl>
  </w:abstractNum>
  <w:abstractNum w:abstractNumId="113">
    <w:nsid w:val="4F97E3E4"/>
    <w:multiLevelType w:val="hybridMultilevel"/>
    <w:lvl w:ilvl="0">
      <w:lvlJc w:val="left"/>
      <w:lvlText w:val="(%1)"/>
      <w:numFmt w:val="lowerLetter"/>
      <w:start w:val="1"/>
    </w:lvl>
  </w:abstractNum>
  <w:abstractNum w:abstractNumId="114">
    <w:nsid w:val="53B0A9E"/>
    <w:multiLevelType w:val="hybridMultilevel"/>
    <w:lvl w:ilvl="0">
      <w:lvlJc w:val="left"/>
      <w:lvlText w:val="(%1)"/>
      <w:numFmt w:val="lowerLetter"/>
      <w:start w:val="2"/>
    </w:lvl>
  </w:abstractNum>
  <w:abstractNum w:abstractNumId="115">
    <w:nsid w:val="34FD6B4F"/>
    <w:multiLevelType w:val="hybridMultilevel"/>
    <w:lvl w:ilvl="0">
      <w:lvlJc w:val="left"/>
      <w:lvlText w:val="(%1)"/>
      <w:numFmt w:val="lowerLetter"/>
      <w:start w:val="1"/>
    </w:lvl>
  </w:abstractNum>
  <w:abstractNum w:abstractNumId="116">
    <w:nsid w:val="5915FF32"/>
    <w:multiLevelType w:val="hybridMultilevel"/>
    <w:lvl w:ilvl="0">
      <w:lvlJc w:val="left"/>
      <w:lvlText w:val="(%1)"/>
      <w:numFmt w:val="lowerRoman"/>
      <w:start w:val="1"/>
    </w:lvl>
  </w:abstractNum>
  <w:abstractNum w:abstractNumId="117">
    <w:nsid w:val="56438D15"/>
    <w:multiLevelType w:val="hybridMultilevel"/>
    <w:lvl w:ilvl="0">
      <w:lvlJc w:val="left"/>
      <w:lvlText w:val="(%1)"/>
      <w:numFmt w:val="decimal"/>
      <w:start w:val="2"/>
    </w:lvl>
    <w:lvl w:ilvl="1">
      <w:lvlJc w:val="left"/>
      <w:lvlText w:val="(%2)"/>
      <w:numFmt w:val="lowerLetter"/>
      <w:start w:val="2"/>
    </w:lvl>
  </w:abstractNum>
  <w:abstractNum w:abstractNumId="118">
    <w:nsid w:val="519E3149"/>
    <w:multiLevelType w:val="hybridMultilevel"/>
    <w:lvl w:ilvl="0">
      <w:lvlJc w:val="left"/>
      <w:lvlText w:val="(%1)"/>
      <w:numFmt w:val="lowerRoman"/>
      <w:start w:val="1"/>
    </w:lvl>
  </w:abstractNum>
  <w:abstractNum w:abstractNumId="119">
    <w:nsid w:val="2C6E4AFD"/>
    <w:multiLevelType w:val="hybridMultilevel"/>
    <w:lvl w:ilvl="0">
      <w:lvlJc w:val="left"/>
      <w:lvlText w:val="%1."/>
      <w:numFmt w:val="decimal"/>
      <w:start w:val="4"/>
    </w:lvl>
  </w:abstractNum>
  <w:abstractNum w:abstractNumId="120">
    <w:nsid w:val="17A1B582"/>
    <w:multiLevelType w:val="hybridMultilevel"/>
    <w:lvl w:ilvl="0">
      <w:lvlJc w:val="left"/>
      <w:lvlText w:val="%1."/>
      <w:numFmt w:val="decimal"/>
      <w:start w:val="5"/>
    </w:lvl>
  </w:abstractNum>
  <w:abstractNum w:abstractNumId="121">
    <w:nsid w:val="4DF72E4E"/>
    <w:multiLevelType w:val="hybridMultilevel"/>
    <w:lvl w:ilvl="0">
      <w:lvlJc w:val="left"/>
      <w:lvlText w:val="%1."/>
      <w:numFmt w:val="decimal"/>
      <w:start w:val="6"/>
    </w:lvl>
  </w:abstractNum>
  <w:abstractNum w:abstractNumId="122">
    <w:nsid w:val="5046B5A9"/>
    <w:multiLevelType w:val="hybridMultilevel"/>
    <w:lvl w:ilvl="0">
      <w:lvlJc w:val="left"/>
      <w:lvlText w:val="(%1)"/>
      <w:numFmt w:val="lowerLetter"/>
      <w:start w:val="1"/>
    </w:lvl>
  </w:abstractNum>
  <w:abstractNum w:abstractNumId="123">
    <w:nsid w:val="5D888A08"/>
    <w:multiLevelType w:val="hybridMultilevel"/>
    <w:lvl w:ilvl="0">
      <w:lvlJc w:val="left"/>
      <w:lvlText w:val="(%1)"/>
      <w:numFmt w:val="lowerLetter"/>
      <w:start w:val="2"/>
    </w:lvl>
  </w:abstractNum>
  <w:abstractNum w:abstractNumId="124">
    <w:nsid w:val="2A082C70"/>
    <w:multiLevelType w:val="hybridMultilevel"/>
    <w:lvl w:ilvl="0">
      <w:lvlJc w:val="left"/>
      <w:lvlText w:val="%1."/>
      <w:numFmt w:val="decimal"/>
      <w:start w:val="7"/>
    </w:lvl>
  </w:abstractNum>
  <w:abstractNum w:abstractNumId="125">
    <w:nsid w:val="5EC6AFD4"/>
    <w:multiLevelType w:val="hybridMultilevel"/>
    <w:lvl w:ilvl="0">
      <w:lvlJc w:val="left"/>
      <w:lvlText w:val="%1."/>
      <w:numFmt w:val="decimal"/>
      <w:start w:val="9"/>
    </w:lvl>
  </w:abstractNum>
  <w:abstractNum w:abstractNumId="126">
    <w:nsid w:val="19E21BB2"/>
    <w:multiLevelType w:val="hybridMultilevel"/>
    <w:lvl w:ilvl="0">
      <w:lvlJc w:val="left"/>
      <w:lvlText w:val="%1."/>
      <w:numFmt w:val="decimal"/>
      <w:start w:val="10"/>
    </w:lvl>
  </w:abstractNum>
  <w:abstractNum w:abstractNumId="127">
    <w:nsid w:val="75E0858A"/>
    <w:multiLevelType w:val="hybridMultilevel"/>
    <w:lvl w:ilvl="0">
      <w:lvlJc w:val="left"/>
      <w:lvlText w:val="(%1)"/>
      <w:numFmt w:val="lowerLetter"/>
      <w:start w:val="2"/>
    </w:lvl>
  </w:abstractNum>
  <w:abstractNum w:abstractNumId="128">
    <w:nsid w:val="57A61A29"/>
    <w:multiLevelType w:val="hybridMultilevel"/>
    <w:lvl w:ilvl="0">
      <w:lvlJc w:val="left"/>
      <w:lvlText w:val="(%1)"/>
      <w:numFmt w:val="lowerRoman"/>
      <w:start w:val="1"/>
    </w:lvl>
  </w:abstractNum>
  <w:abstractNum w:abstractNumId="129">
    <w:nsid w:val="5399C654"/>
    <w:multiLevelType w:val="hybridMultilevel"/>
    <w:lvl w:ilvl="0">
      <w:lvlJc w:val="left"/>
      <w:lvlText w:val="%1."/>
      <w:numFmt w:val="decimal"/>
      <w:start w:val="1"/>
    </w:lvl>
    <w:lvl w:ilvl="1">
      <w:lvlJc w:val="left"/>
      <w:lvlText w:val="%2)"/>
      <w:numFmt w:val="lowerLetter"/>
      <w:start w:val="1"/>
    </w:lvl>
  </w:abstractNum>
  <w:abstractNum w:abstractNumId="130">
    <w:nsid w:val="20EE1348"/>
    <w:multiLevelType w:val="hybridMultilevel"/>
    <w:lvl w:ilvl="0">
      <w:lvlJc w:val="left"/>
      <w:lvlText w:val="%1."/>
      <w:numFmt w:val="decimal"/>
      <w:start w:val="1"/>
    </w:lvl>
    <w:lvl w:ilvl="1">
      <w:lvlJc w:val="left"/>
      <w:lvlText w:val="%2)"/>
      <w:numFmt w:val="lowerLetter"/>
      <w:start w:val="1"/>
    </w:lvl>
  </w:abstractNum>
  <w:abstractNum w:abstractNumId="131">
    <w:nsid w:val="4427069A"/>
    <w:multiLevelType w:val="hybridMultilevel"/>
    <w:lvl w:ilvl="0">
      <w:lvlJc w:val="left"/>
      <w:lvlText w:val="(%1)"/>
      <w:numFmt w:val="lowerRoman"/>
      <w:start w:val="1"/>
    </w:lvl>
  </w:abstractNum>
  <w:abstractNum w:abstractNumId="132">
    <w:nsid w:val="B37E80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96" Type="http://schemas.openxmlformats.org/officeDocument/2006/relationships/image" Target="media/image75.png"/><Relationship Id="rId113" Type="http://schemas.openxmlformats.org/officeDocument/2006/relationships/image" Target="media/image76.png"/><Relationship Id="rId122" Type="http://schemas.openxmlformats.org/officeDocument/2006/relationships/image" Target="media/image77.png"/><Relationship Id="rId125" Type="http://schemas.openxmlformats.org/officeDocument/2006/relationships/image" Target="media/image78.png"/><Relationship Id="rId126" Type="http://schemas.openxmlformats.org/officeDocument/2006/relationships/image" Target="media/image79.png"/><Relationship Id="rId127" Type="http://schemas.openxmlformats.org/officeDocument/2006/relationships/image" Target="media/image80.png"/><Relationship Id="rId128"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82" Type="http://schemas.openxmlformats.org/officeDocument/2006/relationships/hyperlink" Target="http://www.sec.gov/Archives/edgar/data/78239/000007823919000042/amendedcertofinc.htm" TargetMode="External"/><Relationship Id="rId83" Type="http://schemas.openxmlformats.org/officeDocument/2006/relationships/hyperlink" Target="https://www.sec.gov/Archives/edgar/data/78239/000007823923000117/ex3220232q10q.htm" TargetMode="External"/><Relationship Id="rId84" Type="http://schemas.openxmlformats.org/officeDocument/2006/relationships/hyperlink" Target="https://www.sec.gov/Archives/edgar/data/78239/000007823926000010/bylaws32026-draft3x11x26pm.htm" TargetMode="External"/><Relationship Id="rId85" Type="http://schemas.openxmlformats.org/officeDocument/2006/relationships/hyperlink" Target="http://www.sec.gov/Archives/edgar/data/78239/000007823911000054/ex4120112q10q.htm" TargetMode="External"/><Relationship Id="rId86" Type="http://schemas.openxmlformats.org/officeDocument/2006/relationships/hyperlink" Target="http://www.sec.gov/Archives/edgar/data/78239/000007823902000023/firstsupp415.txt" TargetMode="External"/><Relationship Id="rId87" Type="http://schemas.openxmlformats.org/officeDocument/2006/relationships/hyperlink" Target="http://www.sec.gov/Archives/edgar/data/78239/000095013603000445/file004.txt" TargetMode="External"/><Relationship Id="rId88" Type="http://schemas.openxmlformats.org/officeDocument/2006/relationships/hyperlink" Target="http://www.sec.gov/Archives/edgar/data/78239/000007823910000057/exh4162023notesthirdsuppleme.htm" TargetMode="External"/><Relationship Id="rId89" Type="http://schemas.openxmlformats.org/officeDocument/2006/relationships/hyperlink" Target="http://www.sec.gov/Archives/edgar/data/78239/000007823913000028/ex41120131q10q.htm" TargetMode="External"/><Relationship Id="rId90" Type="http://schemas.openxmlformats.org/officeDocument/2006/relationships/hyperlink" Target="http://www.sec.gov/Archives/edgar/data/78239/000007823916000084/indenturewithusbank62016.htm" TargetMode="External"/><Relationship Id="rId91" Type="http://schemas.openxmlformats.org/officeDocument/2006/relationships/hyperlink" Target="http://www.sec.gov/Archives/edgar/data/78239/000007823917000048/ex41indenturedated122117.htm" TargetMode="External"/><Relationship Id="rId92" Type="http://schemas.openxmlformats.org/officeDocument/2006/relationships/hyperlink" Target="https://www.sec.gov/Archives/edgar/data/0000078239/000007823920000075/ex41seniornotesindenture.htm" TargetMode="External"/><Relationship Id="rId93" Type="http://schemas.openxmlformats.org/officeDocument/2006/relationships/hyperlink" Target="https://www.sec.gov/Archives/edgar/data/78239/000121390024032947/ea020361201ex4-1_pvh.htm" TargetMode="External"/><Relationship Id="rId94" Type="http://schemas.openxmlformats.org/officeDocument/2006/relationships/hyperlink" Target="https://www.sec.gov/Archives/edgar/data/78239/000121390024032947/ea020361201ex4-2_pvh.htm" TargetMode="External"/><Relationship Id="rId95" Type="http://schemas.openxmlformats.org/officeDocument/2006/relationships/hyperlink" Target="https://www.sec.gov/Archives/edgar/data/78239/000121390025054368/ea024539001ex4-2_pvhcorp.htm" TargetMode="External"/><Relationship Id="rId97" Type="http://schemas.openxmlformats.org/officeDocument/2006/relationships/hyperlink" Target="https://www.sec.gov/Archives/edgar/data/78239/000007823925000018/pvh10k2024ex48.htm" TargetMode="External"/><Relationship Id="rId98" Type="http://schemas.openxmlformats.org/officeDocument/2006/relationships/hyperlink" Target="http://www.sec.gov/Archives/edgar/data/78239/0000078239-95-000020.txt" TargetMode="External"/><Relationship Id="rId99" Type="http://schemas.openxmlformats.org/officeDocument/2006/relationships/hyperlink" Target="http://www.sec.gov/Archives/edgar/data/78239/000007823907000052/exhibit103thirdqtr10q.htm" TargetMode="External"/><Relationship Id="rId100" Type="http://schemas.openxmlformats.org/officeDocument/2006/relationships/hyperlink" Target="http://www.sec.gov/Archives/edgar/data/78239/000007823907000052/exhibit104thirdqtr10q.htm" TargetMode="External"/><Relationship Id="rId101" Type="http://schemas.openxmlformats.org/officeDocument/2006/relationships/hyperlink" Target="http://www.sec.gov/Archives/edgar/data/78239/000007823913000030/exhibit101ltip.htm" TargetMode="External"/><Relationship Id="rId102" Type="http://schemas.openxmlformats.org/officeDocument/2006/relationships/hyperlink" Target="https://www.sec.gov/Archives/edgar/data/78239/000007823923000100/exhbit101pvhcorpstockincen.htm" TargetMode="External"/><Relationship Id="rId103" Type="http://schemas.openxmlformats.org/officeDocument/2006/relationships/hyperlink" Target="https://www.sec.gov/Archives/edgar/data/0000078239/000007823921000017/pvh10k2020ex108.htm" TargetMode="External"/><Relationship Id="rId104" Type="http://schemas.openxmlformats.org/officeDocument/2006/relationships/hyperlink" Target="http://www.sec.gov/Archives/edgar/data/78239/000007823907000026/exh1022006incentiveplanemplo.htm" TargetMode="External"/><Relationship Id="rId105" Type="http://schemas.openxmlformats.org/officeDocument/2006/relationships/hyperlink" Target="http://www.sec.gov/Archives/edgar/data/78239/000007823912000036/ex10320121q10q.htm" TargetMode="External"/><Relationship Id="rId106" Type="http://schemas.openxmlformats.org/officeDocument/2006/relationships/hyperlink" Target="http://www.sec.gov/Archives/edgar/data/78239/000007823913000028/ex10220131q10q.htm" TargetMode="External"/><Relationship Id="rId107" Type="http://schemas.openxmlformats.org/officeDocument/2006/relationships/hyperlink" Target="http://www.sec.gov/Archives/edgar/data/78239/000007823910000057/exh1032006incenplan.htm" TargetMode="External"/><Relationship Id="rId108" Type="http://schemas.openxmlformats.org/officeDocument/2006/relationships/hyperlink" Target="https://www.sec.gov/Archives/edgar/data/78239/000007823922000119/ex10120222q10q.htm" TargetMode="External"/><Relationship Id="rId109" Type="http://schemas.openxmlformats.org/officeDocument/2006/relationships/hyperlink" Target="http://www.sec.gov/Archives/edgar/data/78239/000007823919000017/ex101larssonagreement.htm" TargetMode="External"/><Relationship Id="rId110" Type="http://schemas.openxmlformats.org/officeDocument/2006/relationships/hyperlink" Target="https://www.sec.gov/Archives/edgar/data/78239/000007823921000002/firstamendmentlarsson.htm" TargetMode="External"/><Relationship Id="rId111" Type="http://schemas.openxmlformats.org/officeDocument/2006/relationships/hyperlink" Target="https://www.sec.gov/Archives/edgar/data/78239/000007823920000061/ex10320201q10q.htm" TargetMode="External"/><Relationship Id="rId112" Type="http://schemas.openxmlformats.org/officeDocument/2006/relationships/hyperlink" Target="https://www.sec.gov/Archives/edgar/data/78239/000007823922000004/exh101.htm" TargetMode="External"/><Relationship Id="rId114" Type="http://schemas.openxmlformats.org/officeDocument/2006/relationships/hyperlink" Target="https://www.sec.gov/Archives/edgar/data/78239/000007823923000014/pvh10k2022ex1025.htm" TargetMode="External"/><Relationship Id="rId115" Type="http://schemas.openxmlformats.org/officeDocument/2006/relationships/hyperlink" Target="https://www.sec.gov/Archives/edgar/data/78239/000007823924000074/ex10120242q10q.htm" TargetMode="External"/><Relationship Id="rId116" Type="http://schemas.openxmlformats.org/officeDocument/2006/relationships/hyperlink" Target="https://www.sec.gov/Archives/edgar/data/78239/000007823924000013/pvh10k2023ex1022.htm" TargetMode="External"/><Relationship Id="rId117" Type="http://schemas.openxmlformats.org/officeDocument/2006/relationships/hyperlink" Target="https://www.sec.gov/Archives/edgar/data/78239/000007823925000018/pvh10k2024ex1022.htm" TargetMode="External"/><Relationship Id="rId118" Type="http://schemas.openxmlformats.org/officeDocument/2006/relationships/hyperlink" Target="https://www.sec.gov/Archives/edgar/data/78239/000007823925000018/pvh10k2024ex1023.htm" TargetMode="External"/><Relationship Id="rId119" Type="http://schemas.openxmlformats.org/officeDocument/2006/relationships/hyperlink" Target="https://www.sec.gov/Archives/edgar/data/78239/000007823925000021/exhibit101.htm" TargetMode="External"/><Relationship Id="rId120" Type="http://schemas.openxmlformats.org/officeDocument/2006/relationships/hyperlink" Target="https://www.sec.gov/Archives/edgar/data/78239/000007823925000024/exhibit101ddtl.htm" TargetMode="External"/><Relationship Id="rId121" Type="http://schemas.openxmlformats.org/officeDocument/2006/relationships/hyperlink" Target="https://www.sec.gov/Archives/edgar/data/78239/000007823925000028/exhibit101ddtlno2.htm" TargetMode="External"/><Relationship Id="rId123" Type="http://schemas.openxmlformats.org/officeDocument/2006/relationships/hyperlink" Target="https://www.sec.gov/Archives/edgar/data/78239/000007823925000018/pvh10k2024ex19.htm" TargetMode="External"/><Relationship Id="rId124" Type="http://schemas.openxmlformats.org/officeDocument/2006/relationships/hyperlink" Target="https://www.sec.gov/Archives/edgar/data/78239/000007823924000013/pvh10k2023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2026-03-31T15:51:59Z</dcterms:created>
  <dcterms:modified xsi:type="dcterms:W3CDTF">2026-03-31T15:51:59Z</dcterms:modified>
</cp:coreProperties>
</file>