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Gulliver Kate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PVH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PVH CORP. /DE/</w:t>
              </w:r>
            </w:hyperlink>
            <w:r>
              <w:rPr/>
              <w:t xml:space="preserve"> [ </w:t>
            </w:r>
            <w:r>
              <w:rPr>
                <w:rFonts w:ascii="Times;serif" w:hAnsi="Times;serif"/>
                <w:color w:val="0000FF"/>
                <w:sz w:val="24"/>
                <w:shd w:fill="FFFFFF" w:val="clear"/>
              </w:rPr>
              <w:t>PVH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5,112</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subject to an award of restricted stock units. The award vests in full on the earlier of the first anniversary of the grant and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2,336 shares of Common Stock subject to awards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 Gulliver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170" TargetMode="External"/><Relationship Id="rId5" Type="http://schemas.openxmlformats.org/officeDocument/2006/relationships/hyperlink" Target="http://www.sec.gov/cgi-bin/browse-edgar?action=getcompany&amp;CIK=0000078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3269</Characters>
  <CharactersWithSpaces>3822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