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07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Kohler Donald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PVH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285 MADISON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PVH CORP.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PVH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45"/>
        <w:spacing w:after="0"/>
        <w:rPr>
          <w:sz w:val="20"/>
          <w:szCs w:val="20"/>
          <w:color w:val="auto"/>
        </w:rPr>
      </w:pPr>
      <w:r>
        <w:rPr>
          <w:rFonts w:ascii="Times New Roman" w:cs="Times New Roman" w:eastAsia="Times New Roman" w:hAnsi="Times New Roman"/>
          <w:sz w:val="17"/>
          <w:szCs w:val="17"/>
          <w:color w:val="0000FF"/>
        </w:rPr>
        <w:t>CEO, PVH Americas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center"/>
              <w:ind w:left="58"/>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4"/>
                <w:szCs w:val="14"/>
                <w:color w:val="auto"/>
              </w:rPr>
            </w:pPr>
          </w:p>
        </w:tc>
        <w:tc>
          <w:tcPr>
            <w:tcW w:w="3540" w:type="dxa"/>
            <w:vAlign w:val="bottom"/>
            <w:gridSpan w:val="9"/>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jc w:val="center"/>
              <w:ind w:left="64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$1 par value</w:t>
            </w:r>
          </w:p>
        </w:tc>
        <w:tc>
          <w:tcPr>
            <w:tcW w:w="1820" w:type="dxa"/>
            <w:vAlign w:val="bottom"/>
            <w:tcBorders>
              <w:bottom w:val="single" w:sz="8" w:color="2C2C2C"/>
            </w:tcBorders>
            <w:gridSpan w:val="3"/>
          </w:tcPr>
          <w:p>
            <w:pPr>
              <w:jc w:val="center"/>
              <w:ind w:left="666"/>
              <w:spacing w:after="0"/>
              <w:rPr>
                <w:sz w:val="20"/>
                <w:szCs w:val="20"/>
                <w:color w:val="auto"/>
              </w:rPr>
            </w:pPr>
            <w:r>
              <w:rPr>
                <w:rFonts w:ascii="Times New Roman" w:cs="Times New Roman" w:eastAsia="Times New Roman" w:hAnsi="Times New Roman"/>
                <w:sz w:val="17"/>
                <w:szCs w:val="17"/>
                <w:color w:val="0000FF"/>
              </w:rPr>
              <w:t>04/06/2026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8"/>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ind w:left="32"/>
              <w:spacing w:after="0"/>
              <w:rPr>
                <w:sz w:val="20"/>
                <w:szCs w:val="20"/>
                <w:color w:val="auto"/>
              </w:rPr>
            </w:pPr>
            <w:r>
              <w:rPr>
                <w:rFonts w:ascii="Times New Roman" w:cs="Times New Roman" w:eastAsia="Times New Roman" w:hAnsi="Times New Roman"/>
                <w:sz w:val="17"/>
                <w:szCs w:val="17"/>
                <w:color w:val="0000FF"/>
                <w:w w:val="93"/>
              </w:rPr>
              <w:t>8,352</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left="6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27,817</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$1 par value</w:t>
            </w:r>
          </w:p>
        </w:tc>
        <w:tc>
          <w:tcPr>
            <w:tcW w:w="1820" w:type="dxa"/>
            <w:vAlign w:val="bottom"/>
            <w:tcBorders>
              <w:bottom w:val="single" w:sz="8" w:color="2C2C2C"/>
            </w:tcBorders>
            <w:gridSpan w:val="3"/>
          </w:tcPr>
          <w:p>
            <w:pPr>
              <w:jc w:val="center"/>
              <w:ind w:left="666"/>
              <w:spacing w:after="0"/>
              <w:rPr>
                <w:sz w:val="20"/>
                <w:szCs w:val="20"/>
                <w:color w:val="auto"/>
              </w:rPr>
            </w:pPr>
            <w:r>
              <w:rPr>
                <w:rFonts w:ascii="Times New Roman" w:cs="Times New Roman" w:eastAsia="Times New Roman" w:hAnsi="Times New Roman"/>
                <w:sz w:val="17"/>
                <w:szCs w:val="17"/>
                <w:color w:val="0000FF"/>
              </w:rPr>
              <w:t>04/06/2026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left="32"/>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661</w:t>
            </w:r>
            <w:r>
              <w:rPr>
                <w:rFonts w:ascii="Times New Roman" w:cs="Times New Roman" w:eastAsia="Times New Roman" w:hAnsi="Times New Roman"/>
                <w:sz w:val="11"/>
                <w:szCs w:val="11"/>
                <w:color w:val="008000"/>
                <w:w w:val="85"/>
              </w:rPr>
              <w:t>(3)</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80.83</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27,156</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$1 par value</w:t>
            </w:r>
          </w:p>
        </w:tc>
        <w:tc>
          <w:tcPr>
            <w:tcW w:w="1820" w:type="dxa"/>
            <w:vAlign w:val="bottom"/>
            <w:tcBorders>
              <w:bottom w:val="single" w:sz="8" w:color="2C2C2C"/>
            </w:tcBorders>
            <w:gridSpan w:val="3"/>
          </w:tcPr>
          <w:p>
            <w:pPr>
              <w:jc w:val="center"/>
              <w:ind w:left="666"/>
              <w:spacing w:after="0"/>
              <w:rPr>
                <w:sz w:val="20"/>
                <w:szCs w:val="20"/>
                <w:color w:val="auto"/>
              </w:rPr>
            </w:pPr>
            <w:r>
              <w:rPr>
                <w:rFonts w:ascii="Times New Roman" w:cs="Times New Roman" w:eastAsia="Times New Roman" w:hAnsi="Times New Roman"/>
                <w:sz w:val="17"/>
                <w:szCs w:val="17"/>
                <w:color w:val="0000FF"/>
              </w:rPr>
              <w:t>04/06/2026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8"/>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ind w:left="32"/>
              <w:spacing w:after="0"/>
              <w:rPr>
                <w:sz w:val="20"/>
                <w:szCs w:val="20"/>
                <w:color w:val="auto"/>
              </w:rPr>
            </w:pPr>
            <w:r>
              <w:rPr>
                <w:rFonts w:ascii="Times New Roman" w:cs="Times New Roman" w:eastAsia="Times New Roman" w:hAnsi="Times New Roman"/>
                <w:sz w:val="17"/>
                <w:szCs w:val="17"/>
                <w:color w:val="0000FF"/>
                <w:w w:val="93"/>
              </w:rPr>
              <w:t>3,439</w:t>
            </w:r>
            <w:r>
              <w:rPr>
                <w:rFonts w:ascii="Times New Roman" w:cs="Times New Roman" w:eastAsia="Times New Roman" w:hAnsi="Times New Roman"/>
                <w:sz w:val="22"/>
                <w:szCs w:val="22"/>
                <w:color w:val="008000"/>
                <w:w w:val="93"/>
                <w:vertAlign w:val="superscript"/>
              </w:rPr>
              <w:t>(5)</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left="6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30,595</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$1 par value</w:t>
            </w:r>
          </w:p>
        </w:tc>
        <w:tc>
          <w:tcPr>
            <w:tcW w:w="1820" w:type="dxa"/>
            <w:vAlign w:val="bottom"/>
            <w:tcBorders>
              <w:bottom w:val="single" w:sz="8" w:color="2C2C2C"/>
            </w:tcBorders>
            <w:gridSpan w:val="3"/>
          </w:tcPr>
          <w:p>
            <w:pPr>
              <w:jc w:val="center"/>
              <w:ind w:left="666"/>
              <w:spacing w:after="0"/>
              <w:rPr>
                <w:sz w:val="20"/>
                <w:szCs w:val="20"/>
                <w:color w:val="auto"/>
              </w:rPr>
            </w:pPr>
            <w:r>
              <w:rPr>
                <w:rFonts w:ascii="Times New Roman" w:cs="Times New Roman" w:eastAsia="Times New Roman" w:hAnsi="Times New Roman"/>
                <w:sz w:val="17"/>
                <w:szCs w:val="17"/>
                <w:color w:val="0000FF"/>
              </w:rPr>
              <w:t>04/06/2026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left="32"/>
              <w:spacing w:after="0"/>
              <w:rPr>
                <w:sz w:val="20"/>
                <w:szCs w:val="20"/>
                <w:color w:val="auto"/>
              </w:rPr>
            </w:pPr>
            <w:r>
              <w:rPr>
                <w:rFonts w:ascii="Times New Roman" w:cs="Times New Roman" w:eastAsia="Times New Roman" w:hAnsi="Times New Roman"/>
                <w:sz w:val="17"/>
                <w:szCs w:val="17"/>
                <w:color w:val="0000FF"/>
                <w:w w:val="93"/>
              </w:rPr>
              <w:t>1,902</w:t>
            </w:r>
            <w:r>
              <w:rPr>
                <w:rFonts w:ascii="Times New Roman" w:cs="Times New Roman" w:eastAsia="Times New Roman" w:hAnsi="Times New Roman"/>
                <w:sz w:val="22"/>
                <w:szCs w:val="22"/>
                <w:color w:val="008000"/>
                <w:w w:val="93"/>
                <w:vertAlign w:val="superscript"/>
              </w:rPr>
              <w:t>(6)</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80.83</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28,693</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subject to an award of restricted stock units. Each unit represents a contingent right to receive one share of Issuer's Common Stock. The units vest 25% (2,088 shares) on each anniversary of grant. Vested shares are delivered as soon as practicable after they vest.</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23,921 shares of Common Stock subject to unvested awards of restricted stock units.</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satisfy the Reporting Person's tax obligations in connection with the vesting of 1,194 restricted stock units. The restricted stock units previously were reported as directly owned shares.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22,727 shares of Common Stock subject to unvested awards of restricted stock units.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received upon vesting of a performance share unit award granted to the reporting person on April 6, 2023.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satisfy the Reporting Person's tax obligations in connection with the receipt of all shares described in Note (5) above.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Donald Kohler</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04/08/2026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50200" TargetMode="External"/><Relationship Id="rId14" Type="http://schemas.openxmlformats.org/officeDocument/2006/relationships/hyperlink" Target="http://www.sec.gov/cgi-bin/browse-edgar?action=getcompany&amp;CIK=00000782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2026-04-08T18:06:16Z</dcterms:created>
  <dcterms:modified xsi:type="dcterms:W3CDTF">2026-04-08T18:06:16Z</dcterms:modified>
</cp:coreProperties>
</file>