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00" w:right="1380" w:hanging="2546"/>
        <w:spacing w:after="0" w:line="490" w:lineRule="auto"/>
        <w:tabs>
          <w:tab w:leader="none" w:pos="1556"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2025</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400" w:right="1180" w:hanging="2231"/>
        <w:spacing w:after="0" w:line="500" w:lineRule="auto"/>
        <w:tabs>
          <w:tab w:leader="none" w:pos="137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001-07572</w:t>
      </w:r>
    </w:p>
    <w:p>
      <w:pPr>
        <w:spacing w:after="0" w:line="225" w:lineRule="exact"/>
        <w:rPr>
          <w:rFonts w:ascii="MS PGothic" w:cs="MS PGothic" w:eastAsia="MS PGothic" w:hAnsi="MS PGothic"/>
          <w:sz w:val="18"/>
          <w:szCs w:val="18"/>
          <w:color w:val="auto"/>
        </w:rPr>
      </w:pPr>
    </w:p>
    <w:p>
      <w:pPr>
        <w:ind w:left="-20" w:firstLine="656"/>
        <w:spacing w:after="0" w:line="286" w:lineRule="auto"/>
        <w:tabs>
          <w:tab w:leader="none" w:pos="85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Full title of the plan and the address of the plan, if different from that of the issuer named below: </w:t>
      </w:r>
      <w:r>
        <w:rPr>
          <w:rFonts w:ascii="Times New Roman" w:cs="Times New Roman" w:eastAsia="Times New Roman" w:hAnsi="Times New Roman"/>
          <w:sz w:val="18"/>
          <w:szCs w:val="18"/>
          <w:b w:val="1"/>
          <w:bCs w:val="1"/>
          <w:u w:val="single" w:color="auto"/>
          <w:color w:val="auto"/>
        </w:rPr>
        <w:t>PVH Associates Investment Plan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Residents Of The Commonwealth Of Puerto Rico</w:t>
      </w:r>
    </w:p>
    <w:p>
      <w:pPr>
        <w:spacing w:after="0" w:line="154" w:lineRule="exact"/>
        <w:rPr>
          <w:rFonts w:ascii="Times New Roman" w:cs="Times New Roman" w:eastAsia="Times New Roman" w:hAnsi="Times New Roman"/>
          <w:sz w:val="18"/>
          <w:szCs w:val="18"/>
          <w:b w:val="1"/>
          <w:bCs w:val="1"/>
          <w:color w:val="auto"/>
        </w:rPr>
      </w:pPr>
    </w:p>
    <w:p>
      <w:pPr>
        <w:ind w:left="-20" w:right="20" w:firstLine="656"/>
        <w:spacing w:after="0" w:line="286" w:lineRule="auto"/>
        <w:tabs>
          <w:tab w:leader="none" w:pos="851"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of the securities held pursuant to the plan and the address of its principal executive office: </w:t>
      </w:r>
      <w:r>
        <w:rPr>
          <w:rFonts w:ascii="Times New Roman" w:cs="Times New Roman" w:eastAsia="Times New Roman" w:hAnsi="Times New Roman"/>
          <w:sz w:val="18"/>
          <w:szCs w:val="18"/>
          <w:b w:val="1"/>
          <w:bCs w:val="1"/>
          <w:u w:val="single" w:color="auto"/>
          <w:color w:val="auto"/>
        </w:rPr>
        <w:t>PVH Corp., 285 Madison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Avenue, New York, New York 10017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0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Plan Committee has duly caused this annual report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signed on its behalf by the undersigned hereunto duly authorized.</w:t>
      </w:r>
    </w:p>
    <w:p>
      <w:pPr>
        <w:spacing w:after="0" w:line="15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PVH ASSOCIATES INVESTMENT PLAN FOR</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RESIDENTS OF THE COMMONWEALTH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PUERTO RICO</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 /s/ Carlos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Carlos Carvalho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Member of Plan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ANNUAL REPORT ON FORM 11-K ITEM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PVH ASSOCIATES INVESTMENT PLAN FOR</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RESIDENTS OF THE COMMONWEALTH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840105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40" w:type="dxa"/>
            <w:vAlign w:val="bottom"/>
            <w:gridSpan w:val="4"/>
          </w:tcPr>
          <w:p>
            <w:pPr>
              <w:jc w:val="center"/>
              <w:ind w:right="2700"/>
              <w:spacing w:after="0"/>
              <w:rPr>
                <w:sz w:val="20"/>
                <w:szCs w:val="20"/>
                <w:color w:val="auto"/>
              </w:rPr>
            </w:pPr>
            <w:r>
              <w:rPr>
                <w:rFonts w:ascii="Times New Roman" w:cs="Times New Roman" w:eastAsia="Times New Roman" w:hAnsi="Times New Roman"/>
                <w:sz w:val="18"/>
                <w:szCs w:val="18"/>
                <w:color w:val="auto"/>
                <w:w w:val="99"/>
              </w:rPr>
              <w:t>ANNUAL REPORT ON FORM 11-K ITEM 4</w:t>
            </w:r>
          </w:p>
        </w:tc>
        <w:tc>
          <w:tcPr>
            <w:tcW w:w="90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PVH ASSOCIATES INVESTMENT PLAN FOR RESIDENTS</w:t>
            </w:r>
          </w:p>
        </w:tc>
        <w:tc>
          <w:tcPr>
            <w:tcW w:w="90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40" w:type="dxa"/>
            <w:vAlign w:val="bottom"/>
            <w:gridSpan w:val="4"/>
          </w:tcPr>
          <w:p>
            <w:pPr>
              <w:jc w:val="center"/>
              <w:ind w:right="2700"/>
              <w:spacing w:after="0"/>
              <w:rPr>
                <w:sz w:val="20"/>
                <w:szCs w:val="20"/>
                <w:color w:val="auto"/>
              </w:rPr>
            </w:pPr>
            <w:r>
              <w:rPr>
                <w:rFonts w:ascii="Times New Roman" w:cs="Times New Roman" w:eastAsia="Times New Roman" w:hAnsi="Times New Roman"/>
                <w:sz w:val="18"/>
                <w:szCs w:val="18"/>
                <w:color w:val="auto"/>
                <w:w w:val="99"/>
              </w:rPr>
              <w:t>OF THE COMMONWEALTH OF PUERTO RICO</w:t>
            </w:r>
          </w:p>
        </w:tc>
        <w:tc>
          <w:tcPr>
            <w:tcW w:w="9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60" w:type="dxa"/>
            <w:vAlign w:val="bottom"/>
            <w:gridSpan w:val="2"/>
          </w:tcPr>
          <w:p>
            <w:pPr>
              <w:jc w:val="center"/>
              <w:ind w:right="346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60" w:type="dxa"/>
            <w:vAlign w:val="bottom"/>
            <w:gridSpan w:val="2"/>
          </w:tcPr>
          <w:p>
            <w:pPr>
              <w:jc w:val="center"/>
              <w:ind w:right="3480"/>
              <w:spacing w:after="0"/>
              <w:rPr>
                <w:sz w:val="20"/>
                <w:szCs w:val="20"/>
                <w:color w:val="auto"/>
              </w:rPr>
            </w:pPr>
            <w:r>
              <w:rPr>
                <w:rFonts w:ascii="Times New Roman" w:cs="Times New Roman" w:eastAsia="Times New Roman" w:hAnsi="Times New Roman"/>
                <w:sz w:val="18"/>
                <w:szCs w:val="18"/>
                <w:color w:val="auto"/>
                <w:w w:val="99"/>
              </w:rPr>
              <w:t>December 31, 2025 and 2024</w:t>
            </w:r>
          </w:p>
        </w:tc>
        <w:tc>
          <w:tcPr>
            <w:tcW w:w="90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120" w:type="dxa"/>
            <w:vAlign w:val="bottom"/>
            <w:tcBorders>
              <w:top w:val="single" w:sz="8" w:color="CCEEFF"/>
            </w:tcBorders>
            <w:gridSpan w:val="3"/>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0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1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90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0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5500, Schedule H, Part IV, Line 4i—Schedule of Assets (Held at End of Year)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Other schedules required by Section 2520.103-10 of the Department of Labor’s Rules and Regulations for Reporting and Disclosure under the Employee Retirement Income Security Act of 1974, as amended, have been omitted because they are not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5874385</wp:posOffset>
            </wp:positionH>
            <wp:positionV relativeFrom="page">
              <wp:posOffset>226060</wp:posOffset>
            </wp:positionV>
            <wp:extent cx="146558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65580" cy="49720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ind w:right="5540"/>
        <w:spacing w:after="0" w:line="266" w:lineRule="auto"/>
        <w:rPr>
          <w:sz w:val="20"/>
          <w:szCs w:val="20"/>
          <w:color w:val="auto"/>
        </w:rPr>
      </w:pPr>
      <w:r>
        <w:rPr>
          <w:rFonts w:ascii="Times New Roman" w:cs="Times New Roman" w:eastAsia="Times New Roman" w:hAnsi="Times New Roman"/>
          <w:sz w:val="18"/>
          <w:szCs w:val="18"/>
          <w:color w:val="auto"/>
        </w:rPr>
        <w:t>To the Participants of the PVH Associates Investment Plan for Residents of the Commonwealth of Puerto Rico and the Plan Committee for the PVH Pension Plans and the PVH Associates Investment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PVH Associates Investment Plan for Residents of the Commonwealth of Puerto Rico (the “Plan”) as of December 31, 2025 and 2024,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PVH Associates Investment Plan for Residents of the Commonwealth of Puerto Rico as of December 31, 2025 and 2024, and the changes in net assets available for benefits for the year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PVH Associates Investment Plan for Residents of the Commonwealth of Puerto Rico’s management. Our responsibility is to express an opinion on these financial statements based on our audits. We are a public accounting firm registered with the Public Company Accounting Oversight Board (United States) (“PCAOB”) and are required to be independent with respect to the PVH Associates Investment Plan for Residents of the Commonwealth of Puerto Rico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5874385</wp:posOffset>
            </wp:positionH>
            <wp:positionV relativeFrom="page">
              <wp:posOffset>226060</wp:posOffset>
            </wp:positionV>
            <wp:extent cx="146558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65580" cy="497205"/>
                    </a:xfrm>
                    <a:prstGeom prst="rect">
                      <a:avLst/>
                    </a:prstGeom>
                    <a:noFill/>
                  </pic:spPr>
                </pic:pic>
              </a:graphicData>
            </a:graphic>
          </wp:anchor>
        </w:drawing>
        <w:t>Supplemental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4i, Schedule of Assets (Held at End of Year) as of December 31, 2025 has been subjected to audit procedures performed in conjunction with the audit of the PVH Associates Investment Plan for Residents of the Commonwealth of Puerto Rico’s financial statements. The supplemental information is the responsibility of the PVH Associates Investment Plan for Residents of the Commonwealth of Puerto Rico’s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PVH Associates Investment Plan for Residents of the Commonwealth of Puerto Rico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Participant-directed investments, at fair value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1,506,122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1,232,980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63,432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66,408</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66,494</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1,569,721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1,299,474</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1,569,721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1,299,474</w:t>
            </w:r>
          </w:p>
        </w:tc>
        <w:tc>
          <w:tcPr>
            <w:tcW w:w="8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left="1940"/>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color w:val="auto"/>
        </w:rPr>
        <w:t>STATEMENT OF CHANGES IN NET ASSETS AVAILABLE FOR BENEFITS</w:t>
      </w:r>
    </w:p>
    <w:p>
      <w:pPr>
        <w:spacing w:after="0" w:line="2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Employer, net of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Participants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51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135,983</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36,556</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172,539</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4,129</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51,592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61,519</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113,111</w:t>
      </w: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289,779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16,522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3,010</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19,532</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270,247</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1,299,474</w:t>
      </w:r>
    </w:p>
    <w:p>
      <w:pPr>
        <w:spacing w:after="0" w:line="293"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1,569,721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00" w:space="720"/>
            <w:col w:w="1120"/>
          </w:cols>
          <w:pgMar w:left="320" w:top="337"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PVH Associates Investment Plan for Residents of the Commonwealth of Puerto Rico (the “Plan”) provides only general information. Participants should refer to the Plan document for a more complete description of the Plan’s provisions.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covering salaried and hourly retail field workers of PVH Corp. (the “Company”) who are residents of the Commonwealth of Puerto Rico, who are at least age 21 or older, have completed the earlier of at least three consecutive months of service and are regularly scheduled to work at least 20 hours per week or have completed at least 500 hours of service during the first 12 months of employment or in any subsequent calendar year. However, a part-time associate is not eligible to receive Company contributions until they complete 1,000 hours of service in a calendar year.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Associates whose principal terms and conditions of employment are subject to the provisions of a collective bargaining agreement which does not provide for active participation in the Plan are excluded. The Plan is subject to the reporting and disclosure requirements of the Employee Retirement Income Security Act of 1974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is administered by a plan committee (the “Committee”) of two employees appointed by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Trustee and Recordkeeper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Plan’s trustee is Banco Popular. The Plan’s directed employee benefit custodian and recordkeeper are Empower Trust Company, LLC and Empower Retirement,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Participant Contributions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Participants may contribute up to 75% of eligible annual compensation, as defined by the Plan, limited to $15,000 per annum for the 2025 and 2024 Plan years by the Puerto Rico Internal Revenue Code (“IRC”). In addition, eligible participants who have attained age 50 before the close of the Plan year are eligible to make catch-up contributions up to $1,500 for the 2025 and 2024 Plan years. Participants can make after-tax non-Roth contributions to the Plan, subject to Puerto Rico IRC limits. The Company does not match such after-tax contributions.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Participants are automatically enrolled on the first of the month following the completion of three consecutive months of service with a before-tax base pay contribution rate of 3% unless they affirmatively elect not to participate in the Plan or elect to contribute at a different rate. Contributions for an automatically enrolled participant are invested in the qualified default investment alternative designated by the Plan administrator, until changed by the participant. In addition, each participant who is automatically enrolled in the Plan will be enrolled in the annual automatic increase program at a rate of 1% and capped at 10%.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Employer Contributions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matches 100% of the first 1% of eligible compensation that a participant contributes to the Plan, plus 50% of the next 5% of eligible compensation contributed by the participant. The Company makes an additional employer contribution of 3.5% of eligible compensation on behalf of each eligible participant who is hired or rehired by the Company on or after January 1, 2022. The additional employer contribution is intended as a substitute for pension accruals under the Company’s pension plan for associates who are residents of the Commonwealth of Puerto Rico, which was closed to employees hired or rehired after December 31, 2021. Effective July 1, 2024, all eligible plan participants receive the 3.5% automatic employer contribution, due to the freeze of pension plan accruals effective June 30, 2024.</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ensure that participants receive the maximum Company match under the Plan’s contribution provisions, the Company makes an additional “true-up” contribution to all participant accounts who did not receive the full match amount to which they are entitled. True-up contributions are included in employer contributions receivable and are made in the following Plan year prior to the Company’s tax filing date. The true-up contributions as of December 31, 2025 and 2024 were $167 and $86,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rollovers, the Company’s contributions, expenses and an allocation of Plan investment income or losses based on the participant’s election of investment options. Forfeited balances of terminated participants’ non-vested accounts are used to reduce future Company contributions.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attributable to employee contributions and the allocated earnings thereon are immediately vested. Participants become 100% vested in Company contributions and the allocated earnings thereon after two years of service. Upon death, permanent disability, or reaching age 65, participants or their beneficiaries become 100% vested in Company contributions.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 Options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enrollment in the Plan, a participant may direct employee and Company contributions into any of the various investment options. A participant may contribute a maximum of 25% of contributions in PVH Corp. common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 Upon termination of employment, a participant is given 90 days to repay the loan in full or to establish loan repayments through an ACH debit origination before it is considered to be in default. Delinquent loans are considered to be distributions based on the terms of the Plan document. Participant notes receivable are measured at the unpaid principal balance plus any accrued but unpaid interest.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outstanding notes receivable from participants totaled $63,432, with maturity dates through 2030 at interest rates ranging from 4.25% to 9.50%.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Contributions made on behalf of non-vested employees who have terminated employment are retained by the Plan and are used to reduce the Company’s future contributions. In 2025 and 2024, forfeitures of $1,333 and $4,167, respectively, were used to reduce the Company’s contributions. At December 31, 2025 and 2024, forfeited non-vested accounts totaled $2 and $68, respectively.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Participants electing final distributions will receive payment in the form of a lump sum amount or installment payments equal to the value of their vested account unless the participant notifies the Company of their intent to receive all or a portion of their investment balance in PVH Corp. common stock in the form of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 Termination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58" w:lineRule="exact"/>
        <w:rPr>
          <w:sz w:val="20"/>
          <w:szCs w:val="20"/>
          <w:color w:val="auto"/>
        </w:rPr>
      </w:pPr>
    </w:p>
    <w:p>
      <w:pPr>
        <w:ind w:left="660" w:right="8680" w:hanging="652"/>
        <w:spacing w:after="0" w:line="532" w:lineRule="auto"/>
        <w:tabs>
          <w:tab w:leader="none" w:pos="192"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w:t>
      </w:r>
      <w:r>
        <w:rPr>
          <w:rFonts w:ascii="Times New Roman" w:cs="Times New Roman" w:eastAsia="Times New Roman" w:hAnsi="Times New Roman"/>
          <w:sz w:val="17"/>
          <w:szCs w:val="17"/>
          <w:b w:val="1"/>
          <w:bCs w:val="1"/>
          <w:i w:val="1"/>
          <w:iCs w:val="1"/>
          <w:color w:val="auto"/>
        </w:rPr>
        <w:t>Basis of Accounting</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accompanying financial statements of the Plan were prepared using the accrual basis of accounting.</w:t>
      </w:r>
    </w:p>
    <w:p>
      <w:pPr>
        <w:spacing w:after="0" w:line="22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Payment of Benefits</w:t>
      </w:r>
    </w:p>
    <w:p>
      <w:pPr>
        <w:spacing w:after="0" w:line="225"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Benefits are recorded when paid</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requires Plan management to make estimates and assumptions that affect the reported amounts of assets and liabilities therein, and disclosures of contingent assets and liabilities. Accordingly, actual results may differ from those estimates.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Plan’s administrative expenses are primarily paid by participants. Fees related to the administration of notes receivable from participants are charged directly to the participant’s account and are included in administrative expenses. Investment management or related fees associated with certain investment fund options are paid by participants.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Investments are recorded in the accompanying financial statements at fair value, as disclosed in Note 4. All assets of the Plan are held by the Plan custodian and are segregated from the assets of the Company. Purchases and sales of securities are reflected on a trade-date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Dividend income is recognized on the ex-dividend date. Interest earned on investments is recognized on an accrual basis. Net appreciation (depreciation) in the fair value of investments includes the Plan’s gains and losses on investments bought and sold as well as held during the year.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investments represent more than 10% of the Plan’s net assets available for benefits at December 31, 2025 and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Galliard Stable Return Fund 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159,261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Target Retirement 2045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256,278</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2050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Party-In-Interest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Plan assets may be invested in PVH Corp. stock directly. The Company is the Plan sponsor, therefore transactions involving the Company’s stock qualify as party-in-interest transactions. During the year ended December 31, 2025, the Plan purchased 59 shares and sold 0 shares of the Company’s common stock. The Plan also received $138 during 2025 from the Company as payment of dividends on its common stock. Certain legal and accounting fees, and administrative expenses are paid by the Company, and accordingly, are not included in the financial statements of the Plan. Additionally, notes receivable from participants also qualify as exempt party-in-interest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Accounting Standards Board defines fair value as the price that would be received to sell an asset or paid to transfer a liability in the principal or most advantageous market in an orderly transaction between market participants at the measurement date. The guidance establishes a three level fair value hierarchy that prioritizes the inputs used to measure fair value. The three levels of the hierarchy are defined as follows: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Plan has the ability to access at the measurement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identical assets or liabilities in inactive markets, quoted prices for similar assets or liabilities in active markets, inputs other than quoted prices that are observable for the asset or liability and inputs derived principally from or corroborated by observable market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Plan’s own assumptions about the inputs that market participants would use in pricing the asset or liability based on the best information available.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inputs used to measure the financial instruments fall within different levels of the hierarchy, the categorization is based on the lowest level input that is significant to the fair value measurement of the instrument. There were no transfers between levels in the years ended December 31, 2025 or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financial assets of the Plan by level within the fair value hierarchy, as of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color w:val="auto"/>
              </w:rPr>
              <w:t>Fair Value Measurements at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 Active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Markets for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Significant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Identical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Inputs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24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63,649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1,213,287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1,213,287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2"/>
                <w:szCs w:val="22"/>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83,984</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83,984</w:t>
            </w:r>
          </w:p>
        </w:tc>
        <w:tc>
          <w:tcPr>
            <w:tcW w:w="10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1,360,920</w:t>
            </w:r>
          </w:p>
        </w:tc>
        <w:tc>
          <w:tcPr>
            <w:tcW w:w="2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1,276,936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83,984</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0"/>
        </w:trPr>
        <w:tc>
          <w:tcPr>
            <w:tcW w:w="5980" w:type="dxa"/>
            <w:vAlign w:val="bottom"/>
            <w:tcBorders>
              <w:top w:val="single" w:sz="8" w:color="CCEEFF"/>
              <w:bottom w:val="single" w:sz="8" w:color="CCEEFF"/>
            </w:tcBorders>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Galliard stable value fund at NAV</w:t>
            </w:r>
            <w:r>
              <w:rPr>
                <w:rFonts w:ascii="Times New Roman" w:cs="Times New Roman" w:eastAsia="Times New Roman" w:hAnsi="Times New Roman"/>
                <w:sz w:val="29"/>
                <w:szCs w:val="29"/>
                <w:color w:val="auto"/>
                <w:vertAlign w:val="superscript"/>
              </w:rPr>
              <w:t>(4)</w:t>
            </w:r>
          </w:p>
        </w:tc>
        <w:tc>
          <w:tcPr>
            <w:tcW w:w="240" w:type="dxa"/>
            <w:vAlign w:val="bottom"/>
            <w:tcBorders>
              <w:top w:val="single" w:sz="8" w:color="CCEEFF"/>
              <w:bottom w:val="single" w:sz="8" w:color="auto"/>
            </w:tcBorders>
            <w:shd w:val="clear" w:color="auto" w:fill="CCEEFF"/>
          </w:tcPr>
          <w:p>
            <w:pPr>
              <w:spacing w:after="0"/>
              <w:rPr>
                <w:sz w:val="24"/>
                <w:szCs w:val="24"/>
                <w:color w:val="auto"/>
              </w:rPr>
            </w:pP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145,202</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1,506,122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Measurements at</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 Active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Markets for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Significant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Identical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Inputs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24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936,536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936,536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2"/>
                <w:szCs w:val="22"/>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66,965</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66,965</w:t>
            </w:r>
          </w:p>
        </w:tc>
        <w:tc>
          <w:tcPr>
            <w:tcW w:w="10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1,097,710</w:t>
            </w:r>
          </w:p>
        </w:tc>
        <w:tc>
          <w:tcPr>
            <w:tcW w:w="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1,030,745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66,965</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0"/>
        </w:trPr>
        <w:tc>
          <w:tcPr>
            <w:tcW w:w="5980" w:type="dxa"/>
            <w:vAlign w:val="bottom"/>
            <w:tcBorders>
              <w:top w:val="single" w:sz="8" w:color="CCEEFF"/>
              <w:bottom w:val="single" w:sz="8" w:color="CCEEFF"/>
            </w:tcBorders>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Galliard stable value fund at NAV</w:t>
            </w:r>
            <w:r>
              <w:rPr>
                <w:rFonts w:ascii="Times New Roman" w:cs="Times New Roman" w:eastAsia="Times New Roman" w:hAnsi="Times New Roman"/>
                <w:sz w:val="29"/>
                <w:szCs w:val="29"/>
                <w:color w:val="auto"/>
                <w:vertAlign w:val="superscript"/>
              </w:rPr>
              <w:t>(4)</w:t>
            </w:r>
          </w:p>
        </w:tc>
        <w:tc>
          <w:tcPr>
            <w:tcW w:w="240" w:type="dxa"/>
            <w:vAlign w:val="bottom"/>
            <w:tcBorders>
              <w:top w:val="single" w:sz="8" w:color="CCEEFF"/>
              <w:bottom w:val="single" w:sz="8" w:color="auto"/>
            </w:tcBorders>
            <w:shd w:val="clear" w:color="auto" w:fill="CCEEFF"/>
          </w:tcPr>
          <w:p>
            <w:pPr>
              <w:spacing w:after="0"/>
              <w:rPr>
                <w:sz w:val="24"/>
                <w:szCs w:val="24"/>
                <w:color w:val="auto"/>
              </w:rPr>
            </w:pP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1,232,980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closing price of PVH Corp. common stock as determined by the closing price in the active market in which the securities are traded.</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net asset value (“NAV”) of the fund, as determined by the closing price in the active market in which the individual fund is traded.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NAV of the fund as determined and published daily by the fund family. Fund is redeemable on a daily basis at the NAV without restriction.</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NAV of units of the Galliard Stable Return Fund E (“Fund E”), a collective trust fund which invests all of its assets in Galliard Stable Return Fund Core. Galliard Stable Return Fund Core invests in fully benefits-responsive investment contracts. The net asset value of Fund E is used as a practical expedient to estimate its fair value. This practical expedient would not be used if it is determined to be probable that the fund will sell the investment for an amount different from the reported net asset value. Participant transactions (purchases and sales) may occur daily unless payments are being delayed to all fund unit holders. If the Plan initiates a full redemption of the collective trust fund, the issuer reserves the right to require 12 months’ notification in order to ensure that securities’ liquidations will be carried out in an orderly business manner.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Risks and Uncertainties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including the Company’s stock.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 reported in the Statements of Net Assets Available for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 Status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Puerto Rico Department of the Treasury has determined and informed the Company by letter dated February 24, 2014 and effective January 1, 2011, that the Plan and related trust is designed in accordance with the applicable sections of the IRC. Subsequent to this determination by the Treasury, the Plan was amended. Once qualified, the Plan is required to operate in conformity with the IRC to maintain its qualification. The Plan obtained letters dated March 14, 2025, June 14, 2024, and April 26, 2023, in which the Puerto Rico Department of the Treasury ruled that the amendments did not affect the qualified status of the Plan. The Committee believes that the Plan is designed and currently being operated in compliance with the applicable requirements of the IRC and therefore believes that the Plan is qualified and the related trust is tax-exempt.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uncertain tax positions taken by the Plan. The financial statement effects of a tax position are recognized when the position is more likely than not, based on the technical merits, to be sustained upon examination by the taxing authority. There are no uncertain tax positions taken or expected to be taken by the Plan. The Plan has recognized no interest or penalties related to uncertain tax positions. The Plan is subject to routine audits by tax jurisdictions; however, there are currently no audits for any tax periods in progress.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from the Statement of Net Assets Available for Benefits date through the date the financial statements were issued and no events were noted which warrant adjustments to or disclosure in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987425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EIN: 13-1166910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Plan No: 014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PVH ASSOCIATES INVESTMENT PLAN FOR RESIDENTS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COMMONWEALTH OF PUERTO RICO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5500, SCHEDULE H, PART IV, LINE 4i—SCHEDULE OF ASSETS (HELD AT END OF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Description of investment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Identity of issuer, borrower,</w:t>
            </w:r>
          </w:p>
        </w:tc>
        <w:tc>
          <w:tcPr>
            <w:tcW w:w="120" w:type="dxa"/>
            <w:vAlign w:val="bottom"/>
          </w:tcPr>
          <w:p>
            <w:pPr>
              <w:spacing w:after="0"/>
              <w:rPr>
                <w:sz w:val="18"/>
                <w:szCs w:val="18"/>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including maturity date, rate of</w:t>
            </w:r>
          </w:p>
        </w:tc>
        <w:tc>
          <w:tcPr>
            <w:tcW w:w="12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5"/>
              </w:rPr>
              <w: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w:t>
            </w:r>
          </w:p>
        </w:tc>
      </w:tr>
      <w:tr>
        <w:trPr>
          <w:trHeight w:val="241"/>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lessor or similar party</w:t>
            </w:r>
          </w:p>
        </w:tc>
        <w:tc>
          <w:tcPr>
            <w:tcW w:w="120" w:type="dxa"/>
            <w:vAlign w:val="bottom"/>
          </w:tcPr>
          <w:p>
            <w:pPr>
              <w:spacing w:after="0"/>
              <w:rPr>
                <w:sz w:val="20"/>
                <w:szCs w:val="20"/>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collateral, par or maturity value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6"/>
              </w:rPr>
              <w:t>Cost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432"/>
        </w:trPr>
        <w:tc>
          <w:tcPr>
            <w:tcW w:w="1140" w:type="dxa"/>
            <w:vAlign w:val="bottom"/>
          </w:tcPr>
          <w:p>
            <w:pPr>
              <w:spacing w:after="0"/>
              <w:rPr>
                <w:sz w:val="24"/>
                <w:szCs w:val="24"/>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PVH Corp.</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PVH Corp. Common Stock, 949.696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63,649</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American Funds</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American EuroPacific Growth Fund R5; 467.765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DFA U.S. Targeted Value Portfolio Institutional; 434.658</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Dimensional Fund Advisors</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Dodge &amp; Cox</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Dodge &amp; Cox stock fund; 2,705.433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44,883</w:t>
            </w: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Extended Market Index; 22.684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Index Institutional Plus; 57.447</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w:t>
            </w: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2030; 1,352.337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w:t>
            </w: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2035; 135.297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2040; 4,195.633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209,572</w:t>
            </w: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2045; 9,914.576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344,432</w:t>
            </w: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2050; 4,815.165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285,443</w:t>
            </w: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2055; 1,807.962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119,615</w:t>
            </w: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2060; 376.898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2065; 206.689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2070; 12.033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Total Bond Market Index Institutional;</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1,563.910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Total International Stock Index Institutional;</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101.094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William Blair Small-Mid Cap Growth R6; 194.564</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 Blair</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Collective Funds</w:t>
            </w: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JPMorgan Chase</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JPMorgan Large Cap Growth C2; 363.718 shares</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w:t>
            </w: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Wellington</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WTC CIF II Core Bond Plus Series 4; 4,142.543 shares</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37,904</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Stable Value Fund</w:t>
            </w: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11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Galliard Capital Management</w:t>
            </w:r>
          </w:p>
        </w:tc>
        <w:tc>
          <w:tcPr>
            <w:tcW w:w="43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Galliard Stable Return Fund E; 2,291.497 shares</w:t>
            </w:r>
          </w:p>
        </w:tc>
        <w:tc>
          <w:tcPr>
            <w:tcW w:w="124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145,202</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3"/>
        </w:trPr>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12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1,506,122</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Participant notes receivable; loans maturing at various</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dates through 2030 and bearing interest at rates ranging</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82"/>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Participant Loans</w:t>
            </w:r>
          </w:p>
        </w:tc>
        <w:tc>
          <w:tcPr>
            <w:tcW w:w="4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from 4.25% to 9.50%</w:t>
            </w:r>
          </w:p>
        </w:tc>
        <w:tc>
          <w:tcPr>
            <w:tcW w:w="1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63,432</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5540" w:right="3840" w:hanging="5532"/>
        <w:spacing w:after="0" w:line="761" w:lineRule="auto"/>
        <w:tabs>
          <w:tab w:leader="none" w:pos="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0"/>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4880" w:type="dxa"/>
            <w:vAlign w:val="bottom"/>
            <w:tcBorders>
              <w:bottom w:val="single" w:sz="8" w:color="CCEEFF"/>
            </w:tcBorders>
          </w:tcPr>
          <w:p>
            <w:pPr>
              <w:spacing w:after="0"/>
              <w:rPr>
                <w:sz w:val="24"/>
                <w:szCs w:val="24"/>
                <w:color w:val="auto"/>
              </w:rPr>
            </w:pPr>
          </w:p>
        </w:tc>
      </w:tr>
      <w:tr>
        <w:trPr>
          <w:trHeight w:val="196"/>
        </w:trPr>
        <w:tc>
          <w:tcPr>
            <w:tcW w:w="10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4320" w:type="dxa"/>
            <w:vAlign w:val="bottom"/>
            <w:tcBorders>
              <w:bottom w:val="single" w:sz="8" w:color="0000EE"/>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Consent of Independent Registered Public Accounting Firm</w:t>
            </w:r>
          </w:p>
        </w:tc>
        <w:tc>
          <w:tcPr>
            <w:tcW w:w="5780" w:type="dxa"/>
            <w:vAlign w:val="bottom"/>
            <w:tcBorders>
              <w:bottom w:val="single" w:sz="8" w:color="CCEEFF"/>
            </w:tcBorders>
            <w:gridSpan w:val="2"/>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15</w:t>
            </w: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333-125694 on Form S-8 of our report dated June 24, 2026, appearing in the Annual Report on Form 11-K relating to the financial statements and supplemental schedule of PVH Associates Investment Plan for Residents of the Commonwealth of Puerto Rico as of and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lvl>
    <w:lvl w:ilvl="1">
      <w:lvlJc w:val="left"/>
      <w:lvlText w:val="☐"/>
      <w:numFmt w:val="bullet"/>
      <w:start w:val="1"/>
    </w:lvl>
    <w:lvl w:ilvl="2">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2026-06-24T17:32:00Z</dcterms:created>
  <dcterms:modified xsi:type="dcterms:W3CDTF">2026-06-24T17:32:00Z</dcterms:modified>
</cp:coreProperties>
</file>