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HAGMAN MARTIJN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PVH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285 MADISON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PVH CORP. /DE/</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PVH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07/01/2022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45"/>
        <w:spacing w:after="0"/>
        <w:rPr>
          <w:sz w:val="20"/>
          <w:szCs w:val="20"/>
          <w:color w:val="auto"/>
        </w:rPr>
      </w:pPr>
      <w:r>
        <w:rPr>
          <w:rFonts w:ascii="Times New Roman" w:cs="Times New Roman" w:eastAsia="Times New Roman" w:hAnsi="Times New Roman"/>
          <w:sz w:val="17"/>
          <w:szCs w:val="17"/>
          <w:color w:val="0000FF"/>
        </w:rPr>
        <w:t>CEO TH Global/PVH Europe</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20" w:type="dxa"/>
            <w:vAlign w:val="bottom"/>
            <w:gridSpan w:val="9"/>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$1 par value</w:t>
            </w: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07/01/2022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1,300</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5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56.8</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52,583</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satisfy the Reporting Person's tax obligations in connection with the vesting of 2,625 restricted stock units. The restricted stock units were reported as directly owned shares at the time they were granted.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46,908 shares of Common Stock subject to unvested awards of restricted stock units and 2,452 shares of Common Stock subject to unvested performance share units.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Martijn Hagman</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07/05/2022</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14431" TargetMode="External"/><Relationship Id="rId13" Type="http://schemas.openxmlformats.org/officeDocument/2006/relationships/hyperlink" Target="http://www.sec.gov/cgi-bin/browse-edgar?action=getcompany&amp;CIK=00000782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2022-07-05T15:04:35Z</dcterms:created>
  <dcterms:modified xsi:type="dcterms:W3CDTF">2022-07-05T15:04:35Z</dcterms:modified>
</cp:coreProperties>
</file>