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04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0408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Stone Melissa Ann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PVH CORP.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PVH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2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PVH CORP</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285 MADISON AVENUE</w:t>
            </w:r>
          </w:p>
        </w:tc>
        <w:tc>
          <w:tcPr>
            <w:tcW w:w="0" w:type="dxa"/>
            <w:vAlign w:val="bottom"/>
          </w:tcPr>
          <w:p>
            <w:pPr>
              <w:spacing w:after="0"/>
              <w:rPr>
                <w:sz w:val="1"/>
                <w:szCs w:val="1"/>
                <w:color w:val="auto"/>
              </w:rPr>
            </w:pPr>
          </w:p>
        </w:tc>
      </w:tr>
      <w:tr>
        <w:trPr>
          <w:trHeight w:val="177"/>
        </w:trPr>
        <w:tc>
          <w:tcPr>
            <w:tcW w:w="10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NY</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7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20" w:type="dxa"/>
            <w:vAlign w:val="bottom"/>
          </w:tcPr>
          <w:p>
            <w:pPr>
              <w:ind w:left="40"/>
              <w:spacing w:after="0"/>
              <w:rPr>
                <w:sz w:val="20"/>
                <w:szCs w:val="20"/>
                <w:color w:val="auto"/>
              </w:rPr>
            </w:pPr>
            <w:r>
              <w:rPr>
                <w:rFonts w:ascii="Arial" w:cs="Arial" w:eastAsia="Arial" w:hAnsi="Arial"/>
                <w:sz w:val="15"/>
                <w:szCs w:val="15"/>
                <w:color w:val="auto"/>
              </w:rPr>
              <w:t>(City)</w:t>
            </w:r>
          </w:p>
        </w:tc>
        <w:tc>
          <w:tcPr>
            <w:tcW w:w="780" w:type="dxa"/>
            <w:vAlign w:val="bottom"/>
          </w:tcPr>
          <w:p>
            <w:pPr>
              <w:ind w:left="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and Interim CFO</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01/08/2026</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00" w:type="dxa"/>
            <w:vAlign w:val="bottom"/>
          </w:tcPr>
          <w:p>
            <w:pPr>
              <w:spacing w:after="0"/>
              <w:rPr>
                <w:sz w:val="14"/>
                <w:szCs w:val="14"/>
                <w:color w:val="auto"/>
              </w:rPr>
            </w:pPr>
          </w:p>
        </w:tc>
        <w:tc>
          <w:tcPr>
            <w:tcW w:w="9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00"/>
              <w:spacing w:after="0"/>
              <w:rPr>
                <w:sz w:val="20"/>
                <w:szCs w:val="20"/>
                <w:color w:val="auto"/>
              </w:rPr>
            </w:pPr>
            <w:r>
              <w:rPr>
                <w:rFonts w:ascii="Arial" w:cs="Arial" w:eastAsia="Arial" w:hAnsi="Arial"/>
                <w:sz w:val="15"/>
                <w:szCs w:val="15"/>
                <w:b w:val="1"/>
                <w:bCs w:val="1"/>
                <w:color w:val="auto"/>
              </w:rPr>
              <w:t>of 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Phantom Stock</w:t>
            </w:r>
            <w:r>
              <w:rPr>
                <w:rFonts w:ascii="Times New Roman" w:cs="Times New Roman" w:eastAsia="Times New Roman" w:hAnsi="Times New Roman"/>
                <w:sz w:val="25"/>
                <w:szCs w:val="25"/>
                <w:color w:val="008000"/>
                <w:vertAlign w:val="superscript"/>
              </w:rPr>
              <w:t>(1)</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Common Stock, par</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926.5841</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value $1 per share</w:t>
            </w: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are "phantom" shares held in a supplemental savings plan account. They were not included in the reporting person's original Form 3 due to administrative error.</w:t>
      </w:r>
    </w:p>
    <w:p>
      <w:pPr>
        <w:spacing w:after="0" w:line="52"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phantom stock are payable in cash following termination of employment with the Issuer. Each phantom share represents the right to receive the cash value of one share of Issuer's Common Stock. The reporting person generally may transfer the value of her phantom stock into an alternative investment at any time.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Melissa A. Stone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03/02/2026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1913" TargetMode="External"/><Relationship Id="rId11"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2026-03-03T16:17:26Z</dcterms:created>
  <dcterms:modified xsi:type="dcterms:W3CDTF">2026-03-03T16:17:26Z</dcterms:modified>
</cp:coreProperties>
</file>