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HAGMAN MARTIJN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PVH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 MADISON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PVH CORP.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PVH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04/14/2023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CEO TH Global/PVH Europe</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04/14/2023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58,677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590 restricted stock units. The restricted stock units were reported as directly owned shares at the time they were granted.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44,520 shares of Common Stock subject to unvested awards of restricted stock units and 2,452 shares of Common Stock subject to unvested performance share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Martijn Hagman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04/17/2023</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431" TargetMode="External"/><Relationship Id="rId13"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2023-04-18T15:11:59Z</dcterms:created>
  <dcterms:modified xsi:type="dcterms:W3CDTF">2023-04-18T15:11:59Z</dcterms:modified>
</cp:coreProperties>
</file>