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53"/>
        </w:trPr>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760" w:type="dxa"/>
            <w:vAlign w:val="bottom"/>
            <w:gridSpan w:val="10"/>
          </w:tcPr>
          <w:p>
            <w:pPr>
              <w:jc w:val="center"/>
              <w:spacing w:after="0"/>
              <w:rPr>
                <w:sz w:val="20"/>
                <w:szCs w:val="20"/>
                <w:color w:val="auto"/>
              </w:rPr>
            </w:pPr>
            <w:r>
              <w:rPr>
                <w:rFonts w:ascii="Arial" w:cs="Arial" w:eastAsia="Arial" w:hAnsi="Arial"/>
                <w:sz w:val="22"/>
                <w:szCs w:val="22"/>
                <w:b w:val="1"/>
                <w:bCs w:val="1"/>
                <w:color w:val="auto"/>
                <w:w w:val="99"/>
              </w:rPr>
              <w:t>SECURITIES AND EXCHANGE COMMISSION</w:t>
            </w:r>
          </w:p>
        </w:tc>
      </w:tr>
      <w:tr>
        <w:trPr>
          <w:trHeight w:val="281"/>
        </w:trPr>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80" w:type="dxa"/>
            <w:vAlign w:val="bottom"/>
            <w:gridSpan w:val="8"/>
          </w:tcPr>
          <w:p>
            <w:pPr>
              <w:jc w:val="center"/>
              <w:ind w:right="380"/>
              <w:spacing w:after="0"/>
              <w:rPr>
                <w:sz w:val="20"/>
                <w:szCs w:val="20"/>
                <w:color w:val="auto"/>
              </w:rPr>
            </w:pPr>
            <w:r>
              <w:rPr>
                <w:rFonts w:ascii="Arial" w:cs="Arial" w:eastAsia="Arial" w:hAnsi="Arial"/>
                <w:sz w:val="22"/>
                <w:szCs w:val="22"/>
                <w:b w:val="1"/>
                <w:bCs w:val="1"/>
                <w:color w:val="auto"/>
                <w:w w:val="88"/>
              </w:rPr>
              <w:t>Washington, D.C. 20549</w:t>
            </w:r>
          </w:p>
        </w:tc>
      </w:tr>
      <w:tr>
        <w:trPr>
          <w:trHeight w:val="459"/>
        </w:trPr>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380" w:type="dxa"/>
            <w:vAlign w:val="bottom"/>
            <w:gridSpan w:val="8"/>
          </w:tcPr>
          <w:p>
            <w:pPr>
              <w:jc w:val="center"/>
              <w:ind w:left="372"/>
              <w:spacing w:after="0"/>
              <w:rPr>
                <w:sz w:val="20"/>
                <w:szCs w:val="20"/>
                <w:color w:val="auto"/>
              </w:rPr>
            </w:pPr>
            <w:r>
              <w:rPr>
                <w:rFonts w:ascii="Arial" w:cs="Arial" w:eastAsia="Arial" w:hAnsi="Arial"/>
                <w:sz w:val="22"/>
                <w:szCs w:val="22"/>
                <w:b w:val="1"/>
                <w:bCs w:val="1"/>
                <w:color w:val="auto"/>
                <w:w w:val="88"/>
              </w:rPr>
              <w:t>_____________________________</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675"/>
        </w:trPr>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80" w:type="dxa"/>
            <w:vAlign w:val="bottom"/>
            <w:gridSpan w:val="7"/>
          </w:tcPr>
          <w:p>
            <w:pPr>
              <w:jc w:val="center"/>
              <w:ind w:right="1560"/>
              <w:spacing w:after="0"/>
              <w:rPr>
                <w:sz w:val="20"/>
                <w:szCs w:val="20"/>
                <w:color w:val="auto"/>
              </w:rPr>
            </w:pPr>
            <w:r>
              <w:rPr>
                <w:rFonts w:ascii="Arial" w:cs="Arial" w:eastAsia="Arial" w:hAnsi="Arial"/>
                <w:sz w:val="22"/>
                <w:szCs w:val="22"/>
                <w:b w:val="1"/>
                <w:bCs w:val="1"/>
                <w:color w:val="auto"/>
                <w:w w:val="99"/>
              </w:rPr>
              <w:t>FORM 8-K/A</w:t>
            </w:r>
          </w:p>
        </w:tc>
      </w:tr>
      <w:tr>
        <w:trPr>
          <w:trHeight w:val="422"/>
        </w:trPr>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80" w:type="dxa"/>
            <w:vAlign w:val="bottom"/>
            <w:gridSpan w:val="8"/>
          </w:tcPr>
          <w:p>
            <w:pPr>
              <w:jc w:val="center"/>
              <w:ind w:right="380"/>
              <w:spacing w:after="0"/>
              <w:rPr>
                <w:sz w:val="20"/>
                <w:szCs w:val="20"/>
                <w:color w:val="auto"/>
              </w:rPr>
            </w:pPr>
            <w:r>
              <w:rPr>
                <w:rFonts w:ascii="Arial" w:cs="Arial" w:eastAsia="Arial" w:hAnsi="Arial"/>
                <w:sz w:val="22"/>
                <w:szCs w:val="22"/>
                <w:b w:val="1"/>
                <w:bCs w:val="1"/>
                <w:color w:val="auto"/>
                <w:w w:val="98"/>
              </w:rPr>
              <w:t>CURRENT REPORT</w:t>
            </w:r>
          </w:p>
        </w:tc>
      </w:tr>
      <w:tr>
        <w:trPr>
          <w:trHeight w:val="243"/>
        </w:trPr>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80" w:type="dxa"/>
            <w:vAlign w:val="bottom"/>
            <w:gridSpan w:val="8"/>
          </w:tcPr>
          <w:p>
            <w:pPr>
              <w:jc w:val="center"/>
              <w:ind w:right="380"/>
              <w:spacing w:after="0" w:line="243" w:lineRule="exact"/>
              <w:rPr>
                <w:sz w:val="20"/>
                <w:szCs w:val="20"/>
                <w:color w:val="auto"/>
              </w:rPr>
            </w:pPr>
            <w:r>
              <w:rPr>
                <w:rFonts w:ascii="Arial" w:cs="Arial" w:eastAsia="Arial" w:hAnsi="Arial"/>
                <w:sz w:val="22"/>
                <w:szCs w:val="22"/>
                <w:b w:val="1"/>
                <w:bCs w:val="1"/>
                <w:color w:val="auto"/>
                <w:w w:val="88"/>
              </w:rPr>
              <w:t>Pursuant to Section 13 or 15(d) of the</w:t>
            </w:r>
          </w:p>
        </w:tc>
      </w:tr>
      <w:tr>
        <w:trPr>
          <w:trHeight w:val="281"/>
        </w:trPr>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80" w:type="dxa"/>
            <w:vAlign w:val="bottom"/>
            <w:gridSpan w:val="8"/>
          </w:tcPr>
          <w:p>
            <w:pPr>
              <w:jc w:val="center"/>
              <w:ind w:right="360"/>
              <w:spacing w:after="0"/>
              <w:rPr>
                <w:sz w:val="20"/>
                <w:szCs w:val="20"/>
                <w:color w:val="auto"/>
              </w:rPr>
            </w:pPr>
            <w:r>
              <w:rPr>
                <w:rFonts w:ascii="Arial" w:cs="Arial" w:eastAsia="Arial" w:hAnsi="Arial"/>
                <w:sz w:val="22"/>
                <w:szCs w:val="22"/>
                <w:b w:val="1"/>
                <w:bCs w:val="1"/>
                <w:color w:val="auto"/>
                <w:w w:val="87"/>
              </w:rPr>
              <w:t>Securities Exchange Act of 1934</w:t>
            </w:r>
          </w:p>
        </w:tc>
      </w:tr>
      <w:tr>
        <w:trPr>
          <w:trHeight w:val="941"/>
        </w:trPr>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40" w:type="dxa"/>
            <w:vAlign w:val="bottom"/>
            <w:gridSpan w:val="9"/>
          </w:tcPr>
          <w:p>
            <w:pPr>
              <w:jc w:val="center"/>
              <w:ind w:right="120"/>
              <w:spacing w:after="0"/>
              <w:rPr>
                <w:sz w:val="20"/>
                <w:szCs w:val="20"/>
                <w:color w:val="auto"/>
              </w:rPr>
            </w:pPr>
            <w:r>
              <w:rPr>
                <w:rFonts w:ascii="Arial" w:cs="Arial" w:eastAsia="Arial" w:hAnsi="Arial"/>
                <w:sz w:val="22"/>
                <w:szCs w:val="22"/>
                <w:color w:val="auto"/>
                <w:w w:val="89"/>
              </w:rPr>
              <w:t>Date of Report (Date of earliest event reported)</w:t>
            </w:r>
          </w:p>
        </w:tc>
      </w:tr>
      <w:tr>
        <w:trPr>
          <w:trHeight w:val="224"/>
        </w:trPr>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80" w:type="dxa"/>
            <w:vAlign w:val="bottom"/>
            <w:gridSpan w:val="7"/>
          </w:tcPr>
          <w:p>
            <w:pPr>
              <w:jc w:val="center"/>
              <w:ind w:right="1580"/>
              <w:spacing w:after="0" w:line="224" w:lineRule="exact"/>
              <w:rPr>
                <w:sz w:val="20"/>
                <w:szCs w:val="20"/>
                <w:color w:val="auto"/>
              </w:rPr>
            </w:pPr>
            <w:r>
              <w:rPr>
                <w:rFonts w:ascii="Arial" w:cs="Arial" w:eastAsia="Arial" w:hAnsi="Arial"/>
                <w:sz w:val="22"/>
                <w:szCs w:val="22"/>
                <w:color w:val="auto"/>
                <w:w w:val="88"/>
              </w:rPr>
              <w:t>October 11, 2006</w:t>
            </w:r>
          </w:p>
        </w:tc>
      </w:tr>
      <w:tr>
        <w:trPr>
          <w:trHeight w:val="20"/>
        </w:trPr>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09"/>
        </w:trPr>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80" w:type="dxa"/>
            <w:vAlign w:val="bottom"/>
            <w:gridSpan w:val="8"/>
          </w:tcPr>
          <w:p>
            <w:pPr>
              <w:jc w:val="center"/>
              <w:ind w:right="380"/>
              <w:spacing w:after="0"/>
              <w:rPr>
                <w:sz w:val="20"/>
                <w:szCs w:val="20"/>
                <w:color w:val="auto"/>
              </w:rPr>
            </w:pPr>
            <w:r>
              <w:rPr>
                <w:rFonts w:ascii="Arial" w:cs="Arial" w:eastAsia="Arial" w:hAnsi="Arial"/>
                <w:sz w:val="22"/>
                <w:szCs w:val="22"/>
                <w:color w:val="auto"/>
                <w:w w:val="93"/>
              </w:rPr>
              <w:t>PHILLIPS-VAN HEUSEN CORPORATION</w:t>
            </w:r>
          </w:p>
        </w:tc>
      </w:tr>
      <w:tr>
        <w:trPr>
          <w:trHeight w:val="20"/>
        </w:trPr>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4"/>
        </w:trPr>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760" w:type="dxa"/>
            <w:vAlign w:val="bottom"/>
            <w:gridSpan w:val="10"/>
          </w:tcPr>
          <w:p>
            <w:pPr>
              <w:jc w:val="center"/>
              <w:spacing w:after="0"/>
              <w:rPr>
                <w:sz w:val="20"/>
                <w:szCs w:val="20"/>
                <w:color w:val="auto"/>
              </w:rPr>
            </w:pPr>
            <w:r>
              <w:rPr>
                <w:rFonts w:ascii="Arial" w:cs="Arial" w:eastAsia="Arial" w:hAnsi="Arial"/>
                <w:sz w:val="22"/>
                <w:szCs w:val="22"/>
                <w:color w:val="auto"/>
                <w:w w:val="88"/>
              </w:rPr>
              <w:t>(Exact name of registrant as specified in its charter)</w:t>
            </w:r>
          </w:p>
        </w:tc>
      </w:tr>
      <w:tr>
        <w:trPr>
          <w:trHeight w:val="409"/>
        </w:trPr>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6"/>
          </w:tcPr>
          <w:p>
            <w:pPr>
              <w:jc w:val="center"/>
              <w:ind w:right="1920"/>
              <w:spacing w:after="0"/>
              <w:rPr>
                <w:sz w:val="20"/>
                <w:szCs w:val="20"/>
                <w:color w:val="auto"/>
              </w:rPr>
            </w:pPr>
            <w:r>
              <w:rPr>
                <w:rFonts w:ascii="Arial" w:cs="Arial" w:eastAsia="Arial" w:hAnsi="Arial"/>
                <w:sz w:val="22"/>
                <w:szCs w:val="22"/>
                <w:color w:val="auto"/>
                <w:w w:val="88"/>
              </w:rPr>
              <w:t>Delaware</w:t>
            </w:r>
          </w:p>
        </w:tc>
      </w:tr>
      <w:tr>
        <w:trPr>
          <w:trHeight w:val="20"/>
        </w:trPr>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4"/>
        </w:trPr>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280" w:type="dxa"/>
            <w:vAlign w:val="bottom"/>
            <w:gridSpan w:val="8"/>
          </w:tcPr>
          <w:p>
            <w:pPr>
              <w:jc w:val="center"/>
              <w:ind w:right="360"/>
              <w:spacing w:after="0"/>
              <w:rPr>
                <w:sz w:val="20"/>
                <w:szCs w:val="20"/>
                <w:color w:val="auto"/>
              </w:rPr>
            </w:pPr>
            <w:r>
              <w:rPr>
                <w:rFonts w:ascii="Arial" w:cs="Arial" w:eastAsia="Arial" w:hAnsi="Arial"/>
                <w:sz w:val="22"/>
                <w:szCs w:val="22"/>
                <w:color w:val="auto"/>
                <w:w w:val="91"/>
              </w:rPr>
              <w:t>(State or other jurisdiction of incorporation)</w:t>
            </w:r>
          </w:p>
        </w:tc>
      </w:tr>
      <w:tr>
        <w:trPr>
          <w:trHeight w:val="719"/>
        </w:trPr>
        <w:tc>
          <w:tcPr>
            <w:tcW w:w="7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2"/>
                <w:szCs w:val="22"/>
                <w:color w:val="auto"/>
                <w:w w:val="87"/>
              </w:rPr>
              <w:t>001-07572</w:t>
            </w:r>
          </w:p>
        </w:tc>
        <w:tc>
          <w:tcPr>
            <w:tcW w:w="840" w:type="dxa"/>
            <w:vAlign w:val="bottom"/>
          </w:tcPr>
          <w:p>
            <w:pPr>
              <w:spacing w:after="0"/>
              <w:rPr>
                <w:sz w:val="24"/>
                <w:szCs w:val="24"/>
                <w:color w:val="auto"/>
              </w:rPr>
            </w:pPr>
          </w:p>
        </w:tc>
        <w:tc>
          <w:tcPr>
            <w:tcW w:w="2100" w:type="dxa"/>
            <w:vAlign w:val="bottom"/>
            <w:gridSpan w:val="5"/>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w w:val="86"/>
              </w:rPr>
              <w:t>13-1166910</w:t>
            </w: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4"/>
        </w:trPr>
        <w:tc>
          <w:tcPr>
            <w:tcW w:w="2500" w:type="dxa"/>
            <w:vAlign w:val="bottom"/>
            <w:gridSpan w:val="3"/>
          </w:tcPr>
          <w:p>
            <w:pPr>
              <w:jc w:val="center"/>
              <w:ind w:right="120"/>
              <w:spacing w:after="0"/>
              <w:rPr>
                <w:sz w:val="20"/>
                <w:szCs w:val="20"/>
                <w:color w:val="auto"/>
              </w:rPr>
            </w:pPr>
            <w:r>
              <w:rPr>
                <w:rFonts w:ascii="Arial" w:cs="Arial" w:eastAsia="Arial" w:hAnsi="Arial"/>
                <w:sz w:val="22"/>
                <w:szCs w:val="22"/>
                <w:color w:val="auto"/>
                <w:w w:val="90"/>
              </w:rPr>
              <w:t>(Commission File Number)</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280" w:type="dxa"/>
            <w:vAlign w:val="bottom"/>
            <w:gridSpan w:val="8"/>
          </w:tcPr>
          <w:p>
            <w:pPr>
              <w:jc w:val="center"/>
              <w:spacing w:after="0"/>
              <w:rPr>
                <w:sz w:val="20"/>
                <w:szCs w:val="20"/>
                <w:color w:val="auto"/>
              </w:rPr>
            </w:pPr>
            <w:r>
              <w:rPr>
                <w:rFonts w:ascii="Arial" w:cs="Arial" w:eastAsia="Arial" w:hAnsi="Arial"/>
                <w:sz w:val="22"/>
                <w:szCs w:val="22"/>
                <w:color w:val="auto"/>
                <w:w w:val="92"/>
              </w:rPr>
              <w:t>(IRS Employer Identification Number)</w:t>
            </w:r>
          </w:p>
        </w:tc>
      </w:tr>
      <w:tr>
        <w:trPr>
          <w:trHeight w:val="422"/>
        </w:trPr>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40" w:type="dxa"/>
            <w:vAlign w:val="bottom"/>
            <w:gridSpan w:val="9"/>
          </w:tcPr>
          <w:p>
            <w:pPr>
              <w:jc w:val="center"/>
              <w:ind w:right="120"/>
              <w:spacing w:after="0"/>
              <w:rPr>
                <w:sz w:val="20"/>
                <w:szCs w:val="20"/>
                <w:color w:val="auto"/>
              </w:rPr>
            </w:pPr>
            <w:r>
              <w:rPr>
                <w:rFonts w:ascii="Arial" w:cs="Arial" w:eastAsia="Arial" w:hAnsi="Arial"/>
                <w:sz w:val="22"/>
                <w:szCs w:val="22"/>
                <w:color w:val="auto"/>
                <w:w w:val="90"/>
              </w:rPr>
              <w:t>200 Madison Avenue, New York, New York 10016</w:t>
            </w:r>
          </w:p>
        </w:tc>
      </w:tr>
      <w:tr>
        <w:trPr>
          <w:trHeight w:val="274"/>
        </w:trPr>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4160" w:type="dxa"/>
            <w:vAlign w:val="bottom"/>
            <w:tcBorders>
              <w:top w:val="single" w:sz="8" w:color="auto"/>
            </w:tcBorders>
            <w:gridSpan w:val="7"/>
          </w:tcPr>
          <w:p>
            <w:pPr>
              <w:ind w:left="20"/>
              <w:spacing w:after="0"/>
              <w:rPr>
                <w:sz w:val="20"/>
                <w:szCs w:val="20"/>
                <w:color w:val="auto"/>
              </w:rPr>
            </w:pPr>
            <w:r>
              <w:rPr>
                <w:rFonts w:ascii="Arial" w:cs="Arial" w:eastAsia="Arial" w:hAnsi="Arial"/>
                <w:sz w:val="22"/>
                <w:szCs w:val="22"/>
                <w:color w:val="auto"/>
              </w:rPr>
              <w:t>(Address of Principal Executive Offices)</w:t>
            </w:r>
          </w:p>
        </w:tc>
        <w:tc>
          <w:tcPr>
            <w:tcW w:w="120" w:type="dxa"/>
            <w:vAlign w:val="bottom"/>
          </w:tcPr>
          <w:p>
            <w:pPr>
              <w:spacing w:after="0"/>
              <w:rPr>
                <w:sz w:val="23"/>
                <w:szCs w:val="23"/>
                <w:color w:val="auto"/>
              </w:rPr>
            </w:pPr>
          </w:p>
        </w:tc>
      </w:tr>
    </w:tbl>
    <w:p>
      <w:pPr>
        <w:spacing w:after="0" w:line="200" w:lineRule="exact"/>
        <w:rPr>
          <w:sz w:val="24"/>
          <w:szCs w:val="24"/>
          <w:color w:val="auto"/>
        </w:rPr>
      </w:pPr>
    </w:p>
    <w:p>
      <w:pPr>
        <w:spacing w:after="0" w:line="228" w:lineRule="exact"/>
        <w:rPr>
          <w:sz w:val="24"/>
          <w:szCs w:val="24"/>
          <w:color w:val="auto"/>
        </w:rPr>
      </w:pPr>
    </w:p>
    <w:p>
      <w:pPr>
        <w:ind w:left="2900"/>
        <w:spacing w:after="0"/>
        <w:rPr>
          <w:sz w:val="20"/>
          <w:szCs w:val="20"/>
          <w:color w:val="auto"/>
        </w:rPr>
      </w:pPr>
      <w:r>
        <w:rPr>
          <w:rFonts w:ascii="Arial" w:cs="Arial" w:eastAsia="Arial" w:hAnsi="Arial"/>
          <w:sz w:val="22"/>
          <w:szCs w:val="22"/>
          <w:color w:val="auto"/>
        </w:rPr>
        <w:t xml:space="preserve">Registrant’s telephone number </w:t>
      </w:r>
      <w:r>
        <w:rPr>
          <w:rFonts w:ascii="Arial" w:cs="Arial" w:eastAsia="Arial" w:hAnsi="Arial"/>
          <w:sz w:val="22"/>
          <w:szCs w:val="22"/>
          <w:u w:val="single" w:color="auto"/>
          <w:color w:val="auto"/>
        </w:rPr>
        <w:t>(212)-381-3500</w:t>
      </w:r>
    </w:p>
    <w:p>
      <w:pPr>
        <w:spacing w:after="0" w:line="206" w:lineRule="exact"/>
        <w:rPr>
          <w:sz w:val="24"/>
          <w:szCs w:val="24"/>
          <w:color w:val="auto"/>
        </w:rPr>
      </w:pPr>
    </w:p>
    <w:p>
      <w:pPr>
        <w:ind w:left="4280"/>
        <w:spacing w:after="0"/>
        <w:rPr>
          <w:sz w:val="20"/>
          <w:szCs w:val="20"/>
          <w:color w:val="auto"/>
        </w:rPr>
      </w:pPr>
      <w:r>
        <w:rPr>
          <w:rFonts w:ascii="Arial" w:cs="Arial" w:eastAsia="Arial" w:hAnsi="Arial"/>
          <w:sz w:val="22"/>
          <w:szCs w:val="22"/>
          <w:u w:val="single" w:color="auto"/>
          <w:color w:val="auto"/>
        </w:rPr>
        <w:t>Not Applicable</w:t>
      </w:r>
    </w:p>
    <w:p>
      <w:pPr>
        <w:spacing w:after="0" w:line="8" w:lineRule="exact"/>
        <w:rPr>
          <w:sz w:val="24"/>
          <w:szCs w:val="24"/>
          <w:color w:val="auto"/>
        </w:rPr>
      </w:pPr>
    </w:p>
    <w:p>
      <w:pPr>
        <w:jc w:val="right"/>
        <w:ind w:right="1659"/>
        <w:spacing w:after="0"/>
        <w:rPr>
          <w:sz w:val="20"/>
          <w:szCs w:val="20"/>
          <w:color w:val="auto"/>
        </w:rPr>
      </w:pPr>
      <w:r>
        <w:rPr>
          <w:rFonts w:ascii="Arial" w:cs="Arial" w:eastAsia="Arial" w:hAnsi="Arial"/>
          <w:sz w:val="22"/>
          <w:szCs w:val="22"/>
          <w:color w:val="auto"/>
        </w:rPr>
        <w:t>(Former Name or Former Address, if Changed Since Last Report)</w:t>
      </w:r>
    </w:p>
    <w:p>
      <w:pPr>
        <w:sectPr>
          <w:pgSz w:w="11900" w:h="16838" w:orient="portrait"/>
          <w:cols w:equalWidth="0" w:num="1">
            <w:col w:w="9439"/>
          </w:cols>
          <w:pgMar w:left="1020" w:top="1156" w:right="1440" w:bottom="1440" w:gutter="0" w:footer="0" w:header="0"/>
        </w:sectPr>
      </w:pPr>
    </w:p>
    <w:bookmarkStart w:id="1" w:name="page2"/>
    <w:bookmarkEnd w:id="1"/>
    <w:p>
      <w:pPr>
        <w:spacing w:after="0" w:line="11" w:lineRule="exact"/>
        <w:rPr>
          <w:sz w:val="20"/>
          <w:szCs w:val="20"/>
          <w:color w:val="auto"/>
        </w:rPr>
      </w:pPr>
    </w:p>
    <w:p>
      <w:pPr>
        <w:ind w:right="320"/>
        <w:spacing w:after="0" w:line="241" w:lineRule="auto"/>
        <w:rPr>
          <w:sz w:val="20"/>
          <w:szCs w:val="20"/>
          <w:color w:val="auto"/>
        </w:rPr>
      </w:pPr>
      <w:r>
        <w:rPr>
          <w:rFonts w:ascii="Arial" w:cs="Arial" w:eastAsia="Arial" w:hAnsi="Arial"/>
          <w:sz w:val="22"/>
          <w:szCs w:val="22"/>
          <w:color w:val="auto"/>
        </w:rPr>
        <w:t>This amendment is being filed because, when this 8-K was originally filed on October 11, 2006, the text of the HTML 8-K document did not transmit due to technical reasons. The text of exhibits 10.1 and 99.1, however, did transmit and, therefore, are not being retransmitted with this amendment.</w:t>
      </w:r>
    </w:p>
    <w:p>
      <w:pPr>
        <w:spacing w:after="0" w:line="3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1.01. Entry into a Material Definitive Agreement.</w:t>
      </w:r>
    </w:p>
    <w:p>
      <w:pPr>
        <w:spacing w:after="0" w:line="239" w:lineRule="exact"/>
        <w:rPr>
          <w:sz w:val="20"/>
          <w:szCs w:val="20"/>
          <w:color w:val="auto"/>
        </w:rPr>
      </w:pPr>
    </w:p>
    <w:p>
      <w:pPr>
        <w:ind w:right="80"/>
        <w:spacing w:after="0" w:line="248" w:lineRule="auto"/>
        <w:rPr>
          <w:sz w:val="20"/>
          <w:szCs w:val="20"/>
          <w:color w:val="auto"/>
        </w:rPr>
      </w:pPr>
      <w:r>
        <w:rPr>
          <w:rFonts w:ascii="Arial" w:cs="Arial" w:eastAsia="Arial" w:hAnsi="Arial"/>
          <w:sz w:val="21"/>
          <w:szCs w:val="21"/>
          <w:color w:val="auto"/>
        </w:rPr>
        <w:t>On October 11, 2006, Phillips-Van Heusen Corporation entered into an Asset Purchase Agreement (the “Agreement”), with Suberba, Inc., a California corporation (“Superba”), and A. Mervyn Mandelbaum, the Chief Executive Officer and controlling shareholder of Superba. Pursuant to the Agreement, the Company will acquire substantially all of the assets of Superba, a privately-held manufacturer and distributor of neckwear in the United States and Canada. The purchase price for the assets is $110 million, subject to adjustment, plus an earn-out over a three-year period based on the earnings of the acquired business for each of the first three years after the closing, with a maximum value of $70 million.</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The Agreement contains customary representations, warranties and covenants. The consummation of the transactions contemplated under the Agreement is subject to the satisfaction or waiver of certain conditions, including regulatory approval. The closing is expected to occur on or about January 1, 2007.</w:t>
      </w:r>
    </w:p>
    <w:p>
      <w:pPr>
        <w:spacing w:after="0" w:line="213" w:lineRule="exact"/>
        <w:rPr>
          <w:sz w:val="20"/>
          <w:szCs w:val="20"/>
          <w:color w:val="auto"/>
        </w:rPr>
      </w:pPr>
    </w:p>
    <w:p>
      <w:pPr>
        <w:ind w:right="540"/>
        <w:spacing w:after="0" w:line="251" w:lineRule="auto"/>
        <w:rPr>
          <w:sz w:val="20"/>
          <w:szCs w:val="20"/>
          <w:color w:val="auto"/>
        </w:rPr>
      </w:pPr>
      <w:r>
        <w:rPr>
          <w:rFonts w:ascii="Arial" w:cs="Arial" w:eastAsia="Arial" w:hAnsi="Arial"/>
          <w:sz w:val="22"/>
          <w:szCs w:val="22"/>
          <w:color w:val="auto"/>
        </w:rPr>
        <w:t>This description of the Agreement is qualified in its entirety by reference to the full text thereof, a copy of which is filed as an exhibit to this Current Report on Form 8-K.</w:t>
      </w:r>
    </w:p>
    <w:p>
      <w:pPr>
        <w:spacing w:after="0" w:line="200" w:lineRule="exact"/>
        <w:rPr>
          <w:sz w:val="20"/>
          <w:szCs w:val="20"/>
          <w:color w:val="auto"/>
        </w:rPr>
      </w:pP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21"/>
          <w:szCs w:val="21"/>
          <w:b w:val="1"/>
          <w:bCs w:val="1"/>
          <w:color w:val="auto"/>
        </w:rPr>
        <w:t>FINANCIAL STATEMENTS AND EXHIBITS</w:t>
      </w:r>
    </w:p>
    <w:p>
      <w:pPr>
        <w:spacing w:after="0" w:line="199" w:lineRule="exact"/>
        <w:rPr>
          <w:sz w:val="20"/>
          <w:szCs w:val="20"/>
          <w:color w:val="auto"/>
        </w:rPr>
      </w:pPr>
    </w:p>
    <w:p>
      <w:pPr>
        <w:ind w:left="660" w:hanging="598"/>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Exhibits:</w:t>
      </w:r>
    </w:p>
    <w:p>
      <w:pPr>
        <w:spacing w:after="0" w:line="227"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b w:val="1"/>
          <w:bCs w:val="1"/>
          <w:color w:val="auto"/>
        </w:rPr>
        <w:t>Exhibit</w:t>
      </w:r>
      <w:r>
        <w:rPr>
          <w:sz w:val="20"/>
          <w:szCs w:val="20"/>
          <w:color w:val="auto"/>
        </w:rPr>
        <w:tab/>
      </w:r>
      <w:r>
        <w:rPr>
          <w:rFonts w:ascii="Arial" w:cs="Arial" w:eastAsia="Arial" w:hAnsi="Arial"/>
          <w:sz w:val="22"/>
          <w:szCs w:val="22"/>
          <w:b w:val="1"/>
          <w:bCs w:val="1"/>
          <w:color w:val="auto"/>
        </w:rPr>
        <w:t>Description</w:t>
      </w:r>
    </w:p>
    <w:p>
      <w:pPr>
        <w:spacing w:after="0" w:line="226" w:lineRule="exact"/>
        <w:rPr>
          <w:sz w:val="20"/>
          <w:szCs w:val="20"/>
          <w:color w:val="auto"/>
        </w:rPr>
      </w:pPr>
    </w:p>
    <w:p>
      <w:pPr>
        <w:ind w:left="660" w:right="60" w:hanging="647"/>
        <w:spacing w:after="0" w:line="251" w:lineRule="auto"/>
        <w:tabs>
          <w:tab w:leader="none" w:pos="640" w:val="left"/>
        </w:tabs>
        <w:rPr>
          <w:sz w:val="20"/>
          <w:szCs w:val="20"/>
          <w:color w:val="auto"/>
        </w:rPr>
      </w:pPr>
      <w:r>
        <w:rPr>
          <w:rFonts w:ascii="Arial" w:cs="Arial" w:eastAsia="Arial" w:hAnsi="Arial"/>
          <w:sz w:val="22"/>
          <w:szCs w:val="22"/>
          <w:color w:val="auto"/>
        </w:rPr>
        <w:t>10.1</w:t>
        <w:tab/>
        <w:t>Asset Purchase Agreement, dated October 11, 2006, among Phillips-Van Heusen Corporation, Superba, Inc. and A. Mervyn Mandelbaum.</w:t>
      </w:r>
    </w:p>
    <w:p>
      <w:pPr>
        <w:spacing w:after="0" w:line="16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8"/>
          <w:szCs w:val="18"/>
          <w:color w:val="auto"/>
        </w:rPr>
        <w:t>Press Release, dated October 11,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SIGNATURES</w:t>
      </w:r>
    </w:p>
    <w:p>
      <w:pPr>
        <w:spacing w:after="0" w:line="8" w:lineRule="exact"/>
        <w:rPr>
          <w:sz w:val="20"/>
          <w:szCs w:val="20"/>
          <w:color w:val="auto"/>
        </w:rPr>
      </w:pPr>
    </w:p>
    <w:p>
      <w:pPr>
        <w:ind w:right="40" w:firstLine="1297"/>
        <w:spacing w:after="0" w:line="237"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PHILLIPS-VAN HEUSEN CORPORATION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By:</w:t>
      </w:r>
    </w:p>
    <w:p>
      <w:pPr>
        <w:ind w:left="4120"/>
        <w:spacing w:after="0" w:line="238" w:lineRule="auto"/>
        <w:rPr>
          <w:sz w:val="20"/>
          <w:szCs w:val="20"/>
          <w:color w:val="auto"/>
        </w:rPr>
      </w:pPr>
      <w:r>
        <w:rPr>
          <w:rFonts w:ascii="Arial" w:cs="Arial" w:eastAsia="Arial" w:hAnsi="Arial"/>
          <w:sz w:val="22"/>
          <w:szCs w:val="22"/>
          <w:u w:val="single" w:color="auto"/>
          <w:color w:val="auto"/>
        </w:rPr>
        <w:t>/s/ Mark D. Fischer</w:t>
      </w:r>
    </w:p>
    <w:p>
      <w:pPr>
        <w:ind w:left="4060"/>
        <w:spacing w:after="0"/>
        <w:rPr>
          <w:sz w:val="20"/>
          <w:szCs w:val="20"/>
          <w:color w:val="auto"/>
        </w:rPr>
      </w:pPr>
      <w:r>
        <w:rPr>
          <w:rFonts w:ascii="Arial" w:cs="Arial" w:eastAsia="Arial" w:hAnsi="Arial"/>
          <w:sz w:val="22"/>
          <w:szCs w:val="22"/>
          <w:color w:val="auto"/>
        </w:rPr>
        <w:t>Mark D. Fischer, Vice President</w:t>
      </w:r>
    </w:p>
    <w:p>
      <w:pPr>
        <w:sectPr>
          <w:pgSz w:w="11900" w:h="16850" w:orient="portrait"/>
          <w:cols w:equalWidth="0" w:num="1">
            <w:col w:w="11420"/>
          </w:cols>
          <w:pgMar w:left="240" w:top="118" w:right="239" w:bottom="0" w:gutter="0" w:footer="0" w:header="0"/>
        </w:sectPr>
      </w:pPr>
    </w:p>
    <w:bookmarkStart w:id="2" w:name="page3"/>
    <w:bookmarkEnd w:id="2"/>
    <w:p>
      <w:pPr>
        <w:spacing w:after="0"/>
        <w:rPr>
          <w:sz w:val="20"/>
          <w:szCs w:val="20"/>
          <w:color w:val="auto"/>
        </w:rPr>
      </w:pPr>
      <w:r>
        <w:rPr>
          <w:rFonts w:ascii="Arial" w:cs="Arial" w:eastAsia="Arial" w:hAnsi="Arial"/>
          <w:sz w:val="19"/>
          <w:szCs w:val="19"/>
          <w:color w:val="auto"/>
        </w:rPr>
        <w:t>Date:  October 13, 2006</w:t>
      </w:r>
    </w:p>
    <w:sectPr>
      <w:pgSz w:w="11900" w:h="16838" w:orient="portrait"/>
      <w:cols w:equalWidth="0" w:num="1">
        <w:col w:w="10199"/>
      </w:cols>
      <w:pgMar w:left="260" w:top="5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2019-12-13T06:08:42Z</dcterms:created>
  <dcterms:modified xsi:type="dcterms:W3CDTF">2019-12-13T06:08:42Z</dcterms:modified>
</cp:coreProperties>
</file>