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3800" w:type="dxa"/>
            <w:vAlign w:val="bottom"/>
          </w:tcPr>
          <w:p>
            <w:pPr>
              <w:jc w:val="center"/>
              <w:ind w:left="423"/>
              <w:spacing w:after="0"/>
              <w:rPr>
                <w:sz w:val="20"/>
                <w:szCs w:val="20"/>
                <w:color w:val="auto"/>
              </w:rPr>
            </w:pPr>
            <w:r>
              <w:rPr>
                <w:rFonts w:ascii="Arial" w:cs="Arial" w:eastAsia="Arial" w:hAnsi="Arial"/>
                <w:sz w:val="16"/>
                <w:szCs w:val="16"/>
                <w:b w:val="1"/>
                <w:bCs w:val="1"/>
                <w:color w:val="auto"/>
                <w:w w:val="95"/>
              </w:rPr>
              <w:t>UNITED STATES</w:t>
            </w:r>
          </w:p>
        </w:tc>
      </w:tr>
      <w:tr>
        <w:trPr>
          <w:trHeight w:val="177"/>
        </w:trPr>
        <w:tc>
          <w:tcPr>
            <w:tcW w:w="3320" w:type="dxa"/>
            <w:vAlign w:val="bottom"/>
          </w:tcPr>
          <w:p>
            <w:pPr>
              <w:spacing w:after="0"/>
              <w:rPr>
                <w:sz w:val="15"/>
                <w:szCs w:val="15"/>
                <w:color w:val="auto"/>
              </w:rPr>
            </w:pPr>
          </w:p>
        </w:tc>
        <w:tc>
          <w:tcPr>
            <w:tcW w:w="3800" w:type="dxa"/>
            <w:vAlign w:val="bottom"/>
          </w:tcPr>
          <w:p>
            <w:pPr>
              <w:jc w:val="center"/>
              <w:ind w:left="403"/>
              <w:spacing w:after="0" w:line="177" w:lineRule="exact"/>
              <w:rPr>
                <w:sz w:val="20"/>
                <w:szCs w:val="20"/>
                <w:color w:val="auto"/>
              </w:rPr>
            </w:pPr>
            <w:r>
              <w:rPr>
                <w:rFonts w:ascii="Arial" w:cs="Arial" w:eastAsia="Arial" w:hAnsi="Arial"/>
                <w:sz w:val="16"/>
                <w:szCs w:val="16"/>
                <w:b w:val="1"/>
                <w:bCs w:val="1"/>
                <w:color w:val="auto"/>
                <w:w w:val="97"/>
              </w:rPr>
              <w:t>SECURITIES AND EXCHANGE COMMISSION</w:t>
            </w:r>
          </w:p>
        </w:tc>
      </w:tr>
      <w:tr>
        <w:trPr>
          <w:trHeight w:val="216"/>
        </w:trPr>
        <w:tc>
          <w:tcPr>
            <w:tcW w:w="3320" w:type="dxa"/>
            <w:vAlign w:val="bottom"/>
          </w:tcPr>
          <w:p>
            <w:pPr>
              <w:spacing w:after="0"/>
              <w:rPr>
                <w:sz w:val="18"/>
                <w:szCs w:val="18"/>
                <w:color w:val="auto"/>
              </w:rPr>
            </w:pPr>
          </w:p>
        </w:tc>
        <w:tc>
          <w:tcPr>
            <w:tcW w:w="3800" w:type="dxa"/>
            <w:vAlign w:val="bottom"/>
          </w:tcPr>
          <w:p>
            <w:pPr>
              <w:jc w:val="center"/>
              <w:ind w:left="423"/>
              <w:spacing w:after="0"/>
              <w:rPr>
                <w:sz w:val="20"/>
                <w:szCs w:val="20"/>
                <w:color w:val="auto"/>
              </w:rPr>
            </w:pPr>
            <w:r>
              <w:rPr>
                <w:rFonts w:ascii="Arial" w:cs="Arial" w:eastAsia="Arial" w:hAnsi="Arial"/>
                <w:sz w:val="16"/>
                <w:szCs w:val="16"/>
                <w:b w:val="1"/>
                <w:bCs w:val="1"/>
                <w:color w:val="auto"/>
                <w:w w:val="98"/>
              </w:rPr>
              <w:t>Washington, D.C. 20549</w:t>
            </w:r>
          </w:p>
        </w:tc>
      </w:tr>
      <w:tr>
        <w:trPr>
          <w:trHeight w:val="292"/>
        </w:trPr>
        <w:tc>
          <w:tcPr>
            <w:tcW w:w="3320" w:type="dxa"/>
            <w:vAlign w:val="bottom"/>
          </w:tcPr>
          <w:p>
            <w:pPr>
              <w:spacing w:after="0"/>
              <w:rPr>
                <w:sz w:val="24"/>
                <w:szCs w:val="24"/>
                <w:color w:val="auto"/>
              </w:rPr>
            </w:pPr>
          </w:p>
        </w:tc>
        <w:tc>
          <w:tcPr>
            <w:tcW w:w="3800" w:type="dxa"/>
            <w:vAlign w:val="bottom"/>
          </w:tcPr>
          <w:p>
            <w:pPr>
              <w:jc w:val="center"/>
              <w:ind w:left="423"/>
              <w:spacing w:after="0"/>
              <w:rPr>
                <w:sz w:val="20"/>
                <w:szCs w:val="20"/>
                <w:color w:val="auto"/>
              </w:rPr>
            </w:pPr>
            <w:r>
              <w:rPr>
                <w:rFonts w:ascii="Arial" w:cs="Arial" w:eastAsia="Arial" w:hAnsi="Arial"/>
                <w:sz w:val="14"/>
                <w:szCs w:val="14"/>
                <w:color w:val="auto"/>
              </w:rPr>
              <w:t>________________</w:t>
            </w:r>
          </w:p>
        </w:tc>
      </w:tr>
      <w:tr>
        <w:trPr>
          <w:trHeight w:val="226"/>
        </w:trPr>
        <w:tc>
          <w:tcPr>
            <w:tcW w:w="3320" w:type="dxa"/>
            <w:vAlign w:val="bottom"/>
          </w:tcPr>
          <w:p>
            <w:pPr>
              <w:spacing w:after="0"/>
              <w:rPr>
                <w:sz w:val="19"/>
                <w:szCs w:val="19"/>
                <w:color w:val="auto"/>
              </w:rPr>
            </w:pPr>
          </w:p>
        </w:tc>
        <w:tc>
          <w:tcPr>
            <w:tcW w:w="3800" w:type="dxa"/>
            <w:vAlign w:val="bottom"/>
          </w:tcPr>
          <w:p>
            <w:pPr>
              <w:jc w:val="center"/>
              <w:ind w:left="403"/>
              <w:spacing w:after="0"/>
              <w:rPr>
                <w:sz w:val="20"/>
                <w:szCs w:val="20"/>
                <w:color w:val="auto"/>
              </w:rPr>
            </w:pPr>
            <w:r>
              <w:rPr>
                <w:rFonts w:ascii="Arial" w:cs="Arial" w:eastAsia="Arial" w:hAnsi="Arial"/>
                <w:sz w:val="16"/>
                <w:szCs w:val="16"/>
                <w:b w:val="1"/>
                <w:bCs w:val="1"/>
                <w:color w:val="auto"/>
                <w:w w:val="98"/>
              </w:rPr>
              <w:t>SCHEDULE 14A</w:t>
            </w:r>
          </w:p>
        </w:tc>
      </w:tr>
      <w:tr>
        <w:trPr>
          <w:trHeight w:val="186"/>
        </w:trPr>
        <w:tc>
          <w:tcPr>
            <w:tcW w:w="3320" w:type="dxa"/>
            <w:vAlign w:val="bottom"/>
          </w:tcPr>
          <w:p>
            <w:pPr>
              <w:spacing w:after="0"/>
              <w:rPr>
                <w:sz w:val="16"/>
                <w:szCs w:val="16"/>
                <w:color w:val="auto"/>
              </w:rPr>
            </w:pPr>
          </w:p>
        </w:tc>
        <w:tc>
          <w:tcPr>
            <w:tcW w:w="3800" w:type="dxa"/>
            <w:vAlign w:val="bottom"/>
          </w:tcPr>
          <w:p>
            <w:pPr>
              <w:jc w:val="center"/>
              <w:ind w:left="423"/>
              <w:spacing w:after="0"/>
              <w:rPr>
                <w:sz w:val="20"/>
                <w:szCs w:val="20"/>
                <w:color w:val="auto"/>
              </w:rPr>
            </w:pPr>
            <w:r>
              <w:rPr>
                <w:rFonts w:ascii="Arial" w:cs="Arial" w:eastAsia="Arial" w:hAnsi="Arial"/>
                <w:sz w:val="14"/>
                <w:szCs w:val="14"/>
                <w:color w:val="auto"/>
              </w:rPr>
              <w:t>________________</w:t>
            </w:r>
          </w:p>
        </w:tc>
      </w:tr>
      <w:tr>
        <w:trPr>
          <w:trHeight w:val="271"/>
        </w:trPr>
        <w:tc>
          <w:tcPr>
            <w:tcW w:w="3320" w:type="dxa"/>
            <w:vAlign w:val="bottom"/>
          </w:tcPr>
          <w:p>
            <w:pPr>
              <w:spacing w:after="0"/>
              <w:rPr>
                <w:sz w:val="23"/>
                <w:szCs w:val="23"/>
                <w:color w:val="auto"/>
              </w:rPr>
            </w:pPr>
          </w:p>
        </w:tc>
        <w:tc>
          <w:tcPr>
            <w:tcW w:w="3800" w:type="dxa"/>
            <w:vAlign w:val="bottom"/>
          </w:tcPr>
          <w:p>
            <w:pPr>
              <w:jc w:val="center"/>
              <w:ind w:left="403"/>
              <w:spacing w:after="0"/>
              <w:rPr>
                <w:sz w:val="20"/>
                <w:szCs w:val="20"/>
                <w:color w:val="auto"/>
              </w:rPr>
            </w:pPr>
            <w:r>
              <w:rPr>
                <w:rFonts w:ascii="Arial" w:cs="Arial" w:eastAsia="Arial" w:hAnsi="Arial"/>
                <w:sz w:val="16"/>
                <w:szCs w:val="16"/>
                <w:color w:val="auto"/>
                <w:w w:val="98"/>
              </w:rPr>
              <w:t>Proxy Statement Pursuant to Section 14(a) of</w:t>
            </w:r>
          </w:p>
        </w:tc>
      </w:tr>
      <w:tr>
        <w:trPr>
          <w:trHeight w:val="206"/>
        </w:trPr>
        <w:tc>
          <w:tcPr>
            <w:tcW w:w="3320" w:type="dxa"/>
            <w:vAlign w:val="bottom"/>
          </w:tcPr>
          <w:p>
            <w:pPr>
              <w:spacing w:after="0"/>
              <w:rPr>
                <w:sz w:val="17"/>
                <w:szCs w:val="17"/>
                <w:color w:val="auto"/>
              </w:rPr>
            </w:pPr>
          </w:p>
        </w:tc>
        <w:tc>
          <w:tcPr>
            <w:tcW w:w="3800" w:type="dxa"/>
            <w:vAlign w:val="bottom"/>
          </w:tcPr>
          <w:p>
            <w:pPr>
              <w:jc w:val="center"/>
              <w:ind w:left="403"/>
              <w:spacing w:after="0"/>
              <w:rPr>
                <w:sz w:val="20"/>
                <w:szCs w:val="20"/>
                <w:color w:val="auto"/>
              </w:rPr>
            </w:pPr>
            <w:r>
              <w:rPr>
                <w:rFonts w:ascii="Arial" w:cs="Arial" w:eastAsia="Arial" w:hAnsi="Arial"/>
                <w:sz w:val="16"/>
                <w:szCs w:val="16"/>
                <w:color w:val="auto"/>
                <w:w w:val="97"/>
              </w:rPr>
              <w:t>the Securities Exchange Act of 1934</w:t>
            </w:r>
          </w:p>
        </w:tc>
      </w:tr>
      <w:tr>
        <w:trPr>
          <w:trHeight w:val="335"/>
        </w:trPr>
        <w:tc>
          <w:tcPr>
            <w:tcW w:w="3320" w:type="dxa"/>
            <w:vAlign w:val="bottom"/>
          </w:tcPr>
          <w:p>
            <w:pPr>
              <w:spacing w:after="0"/>
              <w:rPr>
                <w:sz w:val="20"/>
                <w:szCs w:val="20"/>
                <w:color w:val="auto"/>
              </w:rPr>
            </w:pPr>
            <w:r>
              <w:rPr>
                <w:rFonts w:ascii="Arial" w:cs="Arial" w:eastAsia="Arial" w:hAnsi="Arial"/>
                <w:sz w:val="16"/>
                <w:szCs w:val="16"/>
                <w:color w:val="auto"/>
              </w:rPr>
              <w:t>Filed by the Registrant</w:t>
            </w:r>
          </w:p>
        </w:tc>
        <w:tc>
          <w:tcPr>
            <w:tcW w:w="38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r>
      <w:tr>
        <w:trPr>
          <w:trHeight w:val="264"/>
        </w:trPr>
        <w:tc>
          <w:tcPr>
            <w:tcW w:w="3320" w:type="dxa"/>
            <w:vAlign w:val="bottom"/>
          </w:tcPr>
          <w:p>
            <w:pPr>
              <w:spacing w:after="0"/>
              <w:rPr>
                <w:sz w:val="20"/>
                <w:szCs w:val="20"/>
                <w:color w:val="auto"/>
              </w:rPr>
            </w:pPr>
            <w:r>
              <w:rPr>
                <w:rFonts w:ascii="Arial" w:cs="Arial" w:eastAsia="Arial" w:hAnsi="Arial"/>
                <w:sz w:val="16"/>
                <w:szCs w:val="16"/>
                <w:color w:val="auto"/>
              </w:rPr>
              <w:t>Filed by a Party other than the Registrant</w:t>
            </w:r>
          </w:p>
        </w:tc>
        <w:tc>
          <w:tcPr>
            <w:tcW w:w="38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r>
      <w:tr>
        <w:trPr>
          <w:trHeight w:val="378"/>
        </w:trPr>
        <w:tc>
          <w:tcPr>
            <w:tcW w:w="3320" w:type="dxa"/>
            <w:vAlign w:val="bottom"/>
          </w:tcPr>
          <w:p>
            <w:pPr>
              <w:spacing w:after="0"/>
              <w:rPr>
                <w:sz w:val="20"/>
                <w:szCs w:val="20"/>
                <w:color w:val="auto"/>
              </w:rPr>
            </w:pPr>
            <w:r>
              <w:rPr>
                <w:rFonts w:ascii="Arial" w:cs="Arial" w:eastAsia="Arial" w:hAnsi="Arial"/>
                <w:sz w:val="16"/>
                <w:szCs w:val="16"/>
                <w:color w:val="auto"/>
              </w:rPr>
              <w:t>Check the appropriate box:</w:t>
            </w:r>
          </w:p>
        </w:tc>
        <w:tc>
          <w:tcPr>
            <w:tcW w:w="3800" w:type="dxa"/>
            <w:vAlign w:val="bottom"/>
          </w:tcPr>
          <w:p>
            <w:pPr>
              <w:spacing w:after="0"/>
              <w:rPr>
                <w:sz w:val="24"/>
                <w:szCs w:val="24"/>
                <w:color w:val="auto"/>
              </w:rPr>
            </w:pPr>
          </w:p>
        </w:tc>
      </w:tr>
    </w:tbl>
    <w:p>
      <w:pPr>
        <w:spacing w:after="0" w:line="13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296545</wp:posOffset>
            </wp:positionH>
            <wp:positionV relativeFrom="page">
              <wp:posOffset>380365</wp:posOffset>
            </wp:positionV>
            <wp:extent cx="6955155"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5155" cy="22225"/>
                    </a:xfrm>
                    <a:prstGeom prst="rect">
                      <a:avLst/>
                    </a:prstGeom>
                    <a:noFill/>
                  </pic:spPr>
                </pic:pic>
              </a:graphicData>
            </a:graphic>
          </wp:anchor>
        </w:drawing>
        <w:drawing>
          <wp:anchor simplePos="0" relativeHeight="251657728" behindDoc="1" locked="0" layoutInCell="0" allowOverlap="1">
            <wp:simplePos x="0" y="0"/>
            <wp:positionH relativeFrom="page">
              <wp:posOffset>296545</wp:posOffset>
            </wp:positionH>
            <wp:positionV relativeFrom="page">
              <wp:posOffset>417830</wp:posOffset>
            </wp:positionV>
            <wp:extent cx="6955155" cy="22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22225"/>
                    </a:xfrm>
                    <a:prstGeom prst="rect">
                      <a:avLst/>
                    </a:prstGeom>
                    <a:noFill/>
                  </pic:spPr>
                </pic:pic>
              </a:graphicData>
            </a:graphic>
          </wp:anchor>
        </w:drawing>
      </w:r>
    </w:p>
    <w:p>
      <w:pPr>
        <w:ind w:left="529" w:hanging="529"/>
        <w:spacing w:after="0"/>
        <w:tabs>
          <w:tab w:leader="none" w:pos="529" w:val="left"/>
        </w:tabs>
        <w:numPr>
          <w:ilvl w:val="0"/>
          <w:numId w:val="1"/>
        </w:numPr>
        <w:rPr>
          <w:rFonts w:ascii="MS PGothic" w:cs="MS PGothic" w:eastAsia="MS PGothic" w:hAnsi="MS PGothic"/>
          <w:sz w:val="14"/>
          <w:szCs w:val="14"/>
          <w:color w:val="auto"/>
        </w:rPr>
      </w:pPr>
      <w:r>
        <w:rPr>
          <w:rFonts w:ascii="Arial" w:cs="Arial" w:eastAsia="Arial" w:hAnsi="Arial"/>
          <w:sz w:val="16"/>
          <w:szCs w:val="16"/>
          <w:color w:val="auto"/>
        </w:rPr>
        <w:t>Preliminary Proxy Statement</w:t>
      </w:r>
    </w:p>
    <w:p>
      <w:pPr>
        <w:spacing w:after="0" w:line="63" w:lineRule="exact"/>
        <w:rPr>
          <w:rFonts w:ascii="MS PGothic" w:cs="MS PGothic" w:eastAsia="MS PGothic" w:hAnsi="MS PGothic"/>
          <w:sz w:val="14"/>
          <w:szCs w:val="14"/>
          <w:color w:val="auto"/>
        </w:rPr>
      </w:pPr>
    </w:p>
    <w:p>
      <w:pPr>
        <w:ind w:left="9" w:right="3919" w:hanging="9"/>
        <w:spacing w:after="0" w:line="228" w:lineRule="exact"/>
        <w:tabs>
          <w:tab w:leader="none" w:pos="539" w:val="left"/>
        </w:tabs>
        <w:numPr>
          <w:ilvl w:val="0"/>
          <w:numId w:val="1"/>
        </w:numPr>
        <w:rPr>
          <w:rFonts w:ascii="MS PGothic" w:cs="MS PGothic" w:eastAsia="MS PGothic" w:hAnsi="MS PGothic"/>
          <w:sz w:val="14"/>
          <w:szCs w:val="14"/>
          <w:color w:val="auto"/>
        </w:rPr>
      </w:pPr>
      <w:r>
        <w:rPr>
          <w:rFonts w:ascii="Arial" w:cs="Arial" w:eastAsia="Arial" w:hAnsi="Arial"/>
          <w:sz w:val="16"/>
          <w:szCs w:val="16"/>
          <w:color w:val="auto"/>
        </w:rPr>
        <w:t xml:space="preserve">Confidential, for Use of the Commission Only (as permitted by Rule 14a-6(e)(2)) </w:t>
      </w:r>
      <w:r>
        <w:rPr>
          <w:rFonts w:ascii="MS PGothic" w:cs="MS PGothic" w:eastAsia="MS PGothic" w:hAnsi="MS PGothic"/>
          <w:sz w:val="14"/>
          <w:szCs w:val="14"/>
          <w:color w:val="auto"/>
        </w:rPr>
        <w:t>☒</w:t>
      </w:r>
      <w:r>
        <w:rPr>
          <w:rFonts w:ascii="Arial" w:cs="Arial" w:eastAsia="Arial" w:hAnsi="Arial"/>
          <w:sz w:val="16"/>
          <w:szCs w:val="16"/>
          <w:color w:val="auto"/>
        </w:rPr>
        <w:t xml:space="preserve"> Definitive Proxy Statement</w:t>
      </w:r>
    </w:p>
    <w:p>
      <w:pPr>
        <w:spacing w:after="0" w:line="39" w:lineRule="exact"/>
        <w:rPr>
          <w:rFonts w:ascii="MS PGothic" w:cs="MS PGothic" w:eastAsia="MS PGothic" w:hAnsi="MS PGothic"/>
          <w:sz w:val="14"/>
          <w:szCs w:val="14"/>
          <w:color w:val="auto"/>
        </w:rPr>
      </w:pPr>
    </w:p>
    <w:p>
      <w:pPr>
        <w:ind w:left="529" w:hanging="529"/>
        <w:spacing w:after="0"/>
        <w:tabs>
          <w:tab w:leader="none" w:pos="529" w:val="left"/>
        </w:tabs>
        <w:numPr>
          <w:ilvl w:val="0"/>
          <w:numId w:val="1"/>
        </w:numPr>
        <w:rPr>
          <w:rFonts w:ascii="MS PGothic" w:cs="MS PGothic" w:eastAsia="MS PGothic" w:hAnsi="MS PGothic"/>
          <w:sz w:val="14"/>
          <w:szCs w:val="14"/>
          <w:color w:val="auto"/>
        </w:rPr>
      </w:pPr>
      <w:r>
        <w:rPr>
          <w:rFonts w:ascii="Arial" w:cs="Arial" w:eastAsia="Arial" w:hAnsi="Arial"/>
          <w:sz w:val="16"/>
          <w:szCs w:val="16"/>
          <w:color w:val="auto"/>
        </w:rPr>
        <w:t>Definitive Additional Materials</w:t>
      </w:r>
    </w:p>
    <w:p>
      <w:pPr>
        <w:spacing w:after="0" w:line="63" w:lineRule="exact"/>
        <w:rPr>
          <w:rFonts w:ascii="MS PGothic" w:cs="MS PGothic" w:eastAsia="MS PGothic" w:hAnsi="MS PGothic"/>
          <w:sz w:val="14"/>
          <w:szCs w:val="14"/>
          <w:color w:val="auto"/>
        </w:rPr>
      </w:pPr>
    </w:p>
    <w:p>
      <w:pPr>
        <w:ind w:left="529" w:hanging="529"/>
        <w:spacing w:after="0"/>
        <w:tabs>
          <w:tab w:leader="none" w:pos="529" w:val="left"/>
        </w:tabs>
        <w:numPr>
          <w:ilvl w:val="0"/>
          <w:numId w:val="1"/>
        </w:numPr>
        <w:rPr>
          <w:rFonts w:ascii="MS PGothic" w:cs="MS PGothic" w:eastAsia="MS PGothic" w:hAnsi="MS PGothic"/>
          <w:sz w:val="14"/>
          <w:szCs w:val="14"/>
          <w:color w:val="auto"/>
        </w:rPr>
      </w:pPr>
      <w:r>
        <w:rPr>
          <w:rFonts w:ascii="Arial" w:cs="Arial" w:eastAsia="Arial" w:hAnsi="Arial"/>
          <w:sz w:val="16"/>
          <w:szCs w:val="16"/>
          <w:color w:val="auto"/>
        </w:rPr>
        <w:t>Soliciting Material under §240.14a-12</w:t>
      </w:r>
    </w:p>
    <w:p>
      <w:pPr>
        <w:spacing w:after="0" w:line="237" w:lineRule="exact"/>
        <w:rPr>
          <w:sz w:val="24"/>
          <w:szCs w:val="24"/>
          <w:color w:val="auto"/>
        </w:rPr>
      </w:pPr>
    </w:p>
    <w:p>
      <w:pPr>
        <w:jc w:val="center"/>
        <w:ind w:right="-969"/>
        <w:spacing w:after="0"/>
        <w:rPr>
          <w:sz w:val="20"/>
          <w:szCs w:val="20"/>
          <w:color w:val="auto"/>
        </w:rPr>
      </w:pPr>
      <w:r>
        <w:rPr>
          <w:rFonts w:ascii="Arial" w:cs="Arial" w:eastAsia="Arial" w:hAnsi="Arial"/>
          <w:sz w:val="25"/>
          <w:szCs w:val="25"/>
          <w:b w:val="1"/>
          <w:bCs w:val="1"/>
          <w:color w:val="auto"/>
        </w:rPr>
        <w:t>PVH Corp.</w:t>
      </w:r>
    </w:p>
    <w:p>
      <w:pPr>
        <w:spacing w:after="0" w:line="36" w:lineRule="exact"/>
        <w:rPr>
          <w:sz w:val="24"/>
          <w:szCs w:val="24"/>
          <w:color w:val="auto"/>
        </w:rPr>
      </w:pPr>
    </w:p>
    <w:p>
      <w:pPr>
        <w:jc w:val="center"/>
        <w:ind w:right="-969"/>
        <w:spacing w:after="0"/>
        <w:rPr>
          <w:sz w:val="20"/>
          <w:szCs w:val="20"/>
          <w:color w:val="auto"/>
        </w:rPr>
      </w:pPr>
      <w:r>
        <w:rPr>
          <w:rFonts w:ascii="Arial" w:cs="Arial" w:eastAsia="Arial" w:hAnsi="Arial"/>
          <w:sz w:val="16"/>
          <w:szCs w:val="16"/>
          <w:color w:val="auto"/>
        </w:rPr>
        <w:t>(Name of Registrant as Specified In Its Charter)</w:t>
      </w:r>
    </w:p>
    <w:p>
      <w:pPr>
        <w:spacing w:after="0" w:line="170" w:lineRule="exact"/>
        <w:rPr>
          <w:sz w:val="24"/>
          <w:szCs w:val="24"/>
          <w:color w:val="auto"/>
        </w:rPr>
      </w:pPr>
    </w:p>
    <w:p>
      <w:pPr>
        <w:ind w:left="2569"/>
        <w:spacing w:after="0"/>
        <w:rPr>
          <w:sz w:val="20"/>
          <w:szCs w:val="20"/>
          <w:color w:val="auto"/>
        </w:rPr>
      </w:pPr>
      <w:r>
        <w:rPr>
          <w:rFonts w:ascii="Arial" w:cs="Arial" w:eastAsia="Arial" w:hAnsi="Arial"/>
          <w:sz w:val="14"/>
          <w:szCs w:val="14"/>
          <w:color w:val="auto"/>
        </w:rPr>
        <w:t>__________________________________________________________________________</w:t>
      </w:r>
    </w:p>
    <w:p>
      <w:pPr>
        <w:spacing w:after="0" w:line="15" w:lineRule="exact"/>
        <w:rPr>
          <w:sz w:val="24"/>
          <w:szCs w:val="24"/>
          <w:color w:val="auto"/>
        </w:rPr>
      </w:pPr>
    </w:p>
    <w:p>
      <w:pPr>
        <w:ind w:left="2989"/>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85" w:lineRule="exact"/>
        <w:rPr>
          <w:sz w:val="24"/>
          <w:szCs w:val="24"/>
          <w:color w:val="auto"/>
        </w:rPr>
      </w:pPr>
    </w:p>
    <w:p>
      <w:pPr>
        <w:ind w:left="9"/>
        <w:spacing w:after="0"/>
        <w:rPr>
          <w:sz w:val="20"/>
          <w:szCs w:val="20"/>
          <w:color w:val="auto"/>
        </w:rPr>
      </w:pPr>
      <w:r>
        <w:rPr>
          <w:rFonts w:ascii="Arial" w:cs="Arial" w:eastAsia="Arial" w:hAnsi="Arial"/>
          <w:sz w:val="16"/>
          <w:szCs w:val="16"/>
          <w:color w:val="auto"/>
        </w:rPr>
        <w:t>Payment of Filing Fee (Check the appropriate box):</w:t>
      </w:r>
    </w:p>
    <w:p>
      <w:pPr>
        <w:spacing w:after="0" w:line="146" w:lineRule="exact"/>
        <w:rPr>
          <w:sz w:val="24"/>
          <w:szCs w:val="24"/>
          <w:color w:val="auto"/>
        </w:rPr>
      </w:pPr>
    </w:p>
    <w:p>
      <w:pPr>
        <w:ind w:left="529" w:hanging="529"/>
        <w:spacing w:after="0"/>
        <w:tabs>
          <w:tab w:leader="none" w:pos="529"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63" w:lineRule="exact"/>
        <w:rPr>
          <w:sz w:val="24"/>
          <w:szCs w:val="24"/>
          <w:color w:val="auto"/>
        </w:rPr>
      </w:pPr>
    </w:p>
    <w:p>
      <w:pPr>
        <w:ind w:left="529" w:hanging="529"/>
        <w:spacing w:after="0"/>
        <w:tabs>
          <w:tab w:leader="none" w:pos="529"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63" w:lineRule="exact"/>
        <w:rPr>
          <w:rFonts w:ascii="MS PGothic" w:cs="MS PGothic" w:eastAsia="MS PGothic" w:hAnsi="MS PGothic"/>
          <w:sz w:val="16"/>
          <w:szCs w:val="16"/>
          <w:color w:val="auto"/>
        </w:rPr>
      </w:pPr>
    </w:p>
    <w:p>
      <w:pPr>
        <w:ind w:left="529" w:hanging="529"/>
        <w:spacing w:after="0"/>
        <w:tabs>
          <w:tab w:leader="none" w:pos="529"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213995</wp:posOffset>
            </wp:positionV>
            <wp:extent cx="6955155" cy="22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222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251460</wp:posOffset>
            </wp:positionV>
            <wp:extent cx="6955155" cy="2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222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483235</wp:posOffset>
            </wp:positionV>
            <wp:extent cx="69551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9988"/>
          </w:cols>
          <w:pgMar w:left="471" w:top="799"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55155" cy="762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762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7"/>
          <w:szCs w:val="47"/>
          <w:b w:val="1"/>
          <w:bCs w:val="1"/>
          <w:color w:val="auto"/>
        </w:rPr>
        <w:t>PVH+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40"/>
        <w:spacing w:after="0" w:line="282" w:lineRule="auto"/>
        <w:rPr>
          <w:sz w:val="20"/>
          <w:szCs w:val="20"/>
          <w:color w:val="auto"/>
        </w:rPr>
      </w:pPr>
      <w:r>
        <w:rPr>
          <w:rFonts w:ascii="Arial" w:cs="Arial" w:eastAsia="Arial" w:hAnsi="Arial"/>
          <w:sz w:val="25"/>
          <w:szCs w:val="25"/>
          <w:color w:val="auto"/>
        </w:rPr>
        <w:t xml:space="preserve">Build </w:t>
      </w:r>
      <w:r>
        <w:rPr>
          <w:rFonts w:ascii="Arial" w:cs="Arial" w:eastAsia="Arial" w:hAnsi="Arial"/>
          <w:sz w:val="25"/>
          <w:szCs w:val="25"/>
          <w:i w:val="1"/>
          <w:iCs w:val="1"/>
          <w:color w:val="auto"/>
        </w:rPr>
        <w:t>Calvin Klein</w:t>
      </w:r>
      <w:r>
        <w:rPr>
          <w:rFonts w:ascii="Arial" w:cs="Arial" w:eastAsia="Arial" w:hAnsi="Arial"/>
          <w:sz w:val="25"/>
          <w:szCs w:val="25"/>
          <w:color w:val="auto"/>
        </w:rPr>
        <w:t xml:space="preserve"> and </w:t>
      </w:r>
      <w:r>
        <w:rPr>
          <w:rFonts w:ascii="Arial" w:cs="Arial" w:eastAsia="Arial" w:hAnsi="Arial"/>
          <w:sz w:val="25"/>
          <w:szCs w:val="25"/>
          <w:i w:val="1"/>
          <w:iCs w:val="1"/>
          <w:color w:val="auto"/>
        </w:rPr>
        <w:t>TOMMY HILFIGER</w:t>
      </w:r>
      <w:r>
        <w:rPr>
          <w:rFonts w:ascii="Arial" w:cs="Arial" w:eastAsia="Arial" w:hAnsi="Arial"/>
          <w:sz w:val="25"/>
          <w:szCs w:val="25"/>
          <w:color w:val="auto"/>
        </w:rPr>
        <w:t xml:space="preserve"> into their full potential and make PVH one of the highest performing brand groups in our sector.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GROWTH DRIVERS</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789"/>
        </w:trPr>
        <w:tc>
          <w:tcPr>
            <w:tcW w:w="184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63"/>
                <w:szCs w:val="63"/>
                <w:b w:val="1"/>
                <w:bCs w:val="1"/>
                <w:color w:val="auto"/>
              </w:rPr>
              <w:t>1</w:t>
            </w:r>
          </w:p>
        </w:tc>
        <w:tc>
          <w:tcPr>
            <w:tcW w:w="300" w:type="dxa"/>
            <w:vAlign w:val="bottom"/>
            <w:tcBorders>
              <w:right w:val="single" w:sz="8" w:color="auto"/>
            </w:tcBorders>
          </w:tcPr>
          <w:p>
            <w:pPr>
              <w:spacing w:after="0"/>
              <w:rPr>
                <w:sz w:val="24"/>
                <w:szCs w:val="24"/>
                <w:color w:val="auto"/>
              </w:rPr>
            </w:pPr>
          </w:p>
        </w:tc>
        <w:tc>
          <w:tcPr>
            <w:tcW w:w="17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63"/>
                <w:szCs w:val="63"/>
                <w:b w:val="1"/>
                <w:bCs w:val="1"/>
                <w:color w:val="auto"/>
              </w:rPr>
              <w:t>2</w:t>
            </w:r>
          </w:p>
        </w:tc>
        <w:tc>
          <w:tcPr>
            <w:tcW w:w="300" w:type="dxa"/>
            <w:vAlign w:val="bottom"/>
            <w:tcBorders>
              <w:right w:val="single" w:sz="8" w:color="auto"/>
            </w:tcBorders>
          </w:tcPr>
          <w:p>
            <w:pPr>
              <w:spacing w:after="0"/>
              <w:rPr>
                <w:sz w:val="24"/>
                <w:szCs w:val="24"/>
                <w:color w:val="auto"/>
              </w:rPr>
            </w:pPr>
          </w:p>
        </w:tc>
        <w:tc>
          <w:tcPr>
            <w:tcW w:w="18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63"/>
                <w:szCs w:val="63"/>
                <w:b w:val="1"/>
                <w:bCs w:val="1"/>
                <w:color w:val="auto"/>
              </w:rPr>
              <w:t>3</w:t>
            </w:r>
          </w:p>
        </w:tc>
        <w:tc>
          <w:tcPr>
            <w:tcW w:w="280" w:type="dxa"/>
            <w:vAlign w:val="bottom"/>
            <w:tcBorders>
              <w:right w:val="single" w:sz="8" w:color="auto"/>
            </w:tcBorders>
          </w:tcPr>
          <w:p>
            <w:pPr>
              <w:spacing w:after="0"/>
              <w:rPr>
                <w:sz w:val="24"/>
                <w:szCs w:val="24"/>
                <w:color w:val="auto"/>
              </w:rPr>
            </w:pPr>
          </w:p>
        </w:tc>
        <w:tc>
          <w:tcPr>
            <w:tcW w:w="18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63"/>
                <w:szCs w:val="63"/>
                <w:b w:val="1"/>
                <w:bCs w:val="1"/>
                <w:color w:val="auto"/>
              </w:rPr>
              <w:t>4</w:t>
            </w:r>
          </w:p>
        </w:tc>
        <w:tc>
          <w:tcPr>
            <w:tcW w:w="300" w:type="dxa"/>
            <w:vAlign w:val="bottom"/>
            <w:tcBorders>
              <w:right w:val="single" w:sz="8" w:color="auto"/>
            </w:tcBorders>
          </w:tcPr>
          <w:p>
            <w:pPr>
              <w:spacing w:after="0"/>
              <w:rPr>
                <w:sz w:val="24"/>
                <w:szCs w:val="24"/>
                <w:color w:val="auto"/>
              </w:rPr>
            </w:pPr>
          </w:p>
        </w:tc>
        <w:tc>
          <w:tcPr>
            <w:tcW w:w="18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63"/>
                <w:szCs w:val="63"/>
                <w:b w:val="1"/>
                <w:bCs w:val="1"/>
                <w:color w:val="auto"/>
              </w:rPr>
              <w:t>5</w:t>
            </w:r>
          </w:p>
        </w:tc>
      </w:tr>
      <w:tr>
        <w:trPr>
          <w:trHeight w:val="212"/>
        </w:trPr>
        <w:tc>
          <w:tcPr>
            <w:tcW w:w="1840" w:type="dxa"/>
            <w:vAlign w:val="bottom"/>
            <w:tcBorders>
              <w:left w:val="single" w:sz="8" w:color="auto"/>
              <w:right w:val="single" w:sz="8" w:color="auto"/>
            </w:tcBorders>
          </w:tcPr>
          <w:p>
            <w:pPr>
              <w:ind w:left="100"/>
              <w:spacing w:after="0" w:line="212" w:lineRule="exact"/>
              <w:rPr>
                <w:sz w:val="20"/>
                <w:szCs w:val="20"/>
                <w:color w:val="auto"/>
              </w:rPr>
            </w:pPr>
            <w:r>
              <w:rPr>
                <w:rFonts w:ascii="Arial" w:cs="Arial" w:eastAsia="Arial" w:hAnsi="Arial"/>
                <w:sz w:val="19"/>
                <w:szCs w:val="19"/>
                <w:b w:val="1"/>
                <w:bCs w:val="1"/>
                <w:color w:val="auto"/>
              </w:rPr>
              <w:t>Win with</w:t>
            </w:r>
          </w:p>
        </w:tc>
        <w:tc>
          <w:tcPr>
            <w:tcW w:w="3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ind w:left="80"/>
              <w:spacing w:after="0" w:line="212" w:lineRule="exact"/>
              <w:rPr>
                <w:sz w:val="20"/>
                <w:szCs w:val="20"/>
                <w:color w:val="auto"/>
              </w:rPr>
            </w:pPr>
            <w:r>
              <w:rPr>
                <w:rFonts w:ascii="Arial" w:cs="Arial" w:eastAsia="Arial" w:hAnsi="Arial"/>
                <w:sz w:val="19"/>
                <w:szCs w:val="19"/>
                <w:b w:val="1"/>
                <w:bCs w:val="1"/>
                <w:color w:val="auto"/>
              </w:rPr>
              <w:t>Win with</w:t>
            </w:r>
          </w:p>
        </w:tc>
        <w:tc>
          <w:tcPr>
            <w:tcW w:w="3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80"/>
              <w:spacing w:after="0" w:line="212" w:lineRule="exact"/>
              <w:rPr>
                <w:sz w:val="20"/>
                <w:szCs w:val="20"/>
                <w:color w:val="auto"/>
              </w:rPr>
            </w:pPr>
            <w:r>
              <w:rPr>
                <w:rFonts w:ascii="Arial" w:cs="Arial" w:eastAsia="Arial" w:hAnsi="Arial"/>
                <w:sz w:val="19"/>
                <w:szCs w:val="19"/>
                <w:b w:val="1"/>
                <w:bCs w:val="1"/>
                <w:color w:val="auto"/>
              </w:rPr>
              <w:t>Win in the</w:t>
            </w:r>
          </w:p>
        </w:tc>
        <w:tc>
          <w:tcPr>
            <w:tcW w:w="2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80"/>
              <w:spacing w:after="0" w:line="212" w:lineRule="exact"/>
              <w:rPr>
                <w:sz w:val="20"/>
                <w:szCs w:val="20"/>
                <w:color w:val="auto"/>
              </w:rPr>
            </w:pPr>
            <w:r>
              <w:rPr>
                <w:rFonts w:ascii="Arial" w:cs="Arial" w:eastAsia="Arial" w:hAnsi="Arial"/>
                <w:sz w:val="19"/>
                <w:szCs w:val="19"/>
                <w:b w:val="1"/>
                <w:bCs w:val="1"/>
                <w:color w:val="auto"/>
              </w:rPr>
              <w:t>Develop a</w:t>
            </w:r>
          </w:p>
        </w:tc>
        <w:tc>
          <w:tcPr>
            <w:tcW w:w="3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60"/>
              <w:spacing w:after="0" w:line="212" w:lineRule="exact"/>
              <w:rPr>
                <w:sz w:val="20"/>
                <w:szCs w:val="20"/>
                <w:color w:val="auto"/>
              </w:rPr>
            </w:pPr>
            <w:r>
              <w:rPr>
                <w:rFonts w:ascii="Arial" w:cs="Arial" w:eastAsia="Arial" w:hAnsi="Arial"/>
                <w:sz w:val="19"/>
                <w:szCs w:val="19"/>
                <w:b w:val="1"/>
                <w:bCs w:val="1"/>
                <w:color w:val="auto"/>
              </w:rPr>
              <w:t>Drive</w:t>
            </w:r>
          </w:p>
        </w:tc>
      </w:tr>
      <w:tr>
        <w:trPr>
          <w:trHeight w:val="212"/>
        </w:trPr>
        <w:tc>
          <w:tcPr>
            <w:tcW w:w="1840" w:type="dxa"/>
            <w:vAlign w:val="bottom"/>
            <w:tcBorders>
              <w:left w:val="single" w:sz="8" w:color="auto"/>
              <w:right w:val="single" w:sz="8" w:color="auto"/>
            </w:tcBorders>
          </w:tcPr>
          <w:p>
            <w:pPr>
              <w:ind w:left="100"/>
              <w:spacing w:after="0" w:line="212" w:lineRule="exact"/>
              <w:rPr>
                <w:sz w:val="20"/>
                <w:szCs w:val="20"/>
                <w:color w:val="auto"/>
              </w:rPr>
            </w:pPr>
            <w:r>
              <w:rPr>
                <w:rFonts w:ascii="Arial" w:cs="Arial" w:eastAsia="Arial" w:hAnsi="Arial"/>
                <w:sz w:val="19"/>
                <w:szCs w:val="19"/>
                <w:b w:val="1"/>
                <w:bCs w:val="1"/>
                <w:color w:val="auto"/>
              </w:rPr>
              <w:t>the best</w:t>
            </w:r>
          </w:p>
        </w:tc>
        <w:tc>
          <w:tcPr>
            <w:tcW w:w="3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ind w:left="80"/>
              <w:spacing w:after="0" w:line="212" w:lineRule="exact"/>
              <w:rPr>
                <w:sz w:val="20"/>
                <w:szCs w:val="20"/>
                <w:color w:val="auto"/>
              </w:rPr>
            </w:pPr>
            <w:r>
              <w:rPr>
                <w:rFonts w:ascii="Arial" w:cs="Arial" w:eastAsia="Arial" w:hAnsi="Arial"/>
                <w:sz w:val="19"/>
                <w:szCs w:val="19"/>
                <w:b w:val="1"/>
                <w:bCs w:val="1"/>
                <w:color w:val="auto"/>
              </w:rPr>
              <w:t>the best</w:t>
            </w:r>
          </w:p>
        </w:tc>
        <w:tc>
          <w:tcPr>
            <w:tcW w:w="3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80"/>
              <w:spacing w:after="0" w:line="212" w:lineRule="exact"/>
              <w:rPr>
                <w:sz w:val="20"/>
                <w:szCs w:val="20"/>
                <w:color w:val="auto"/>
              </w:rPr>
            </w:pPr>
            <w:r>
              <w:rPr>
                <w:rFonts w:ascii="Arial" w:cs="Arial" w:eastAsia="Arial" w:hAnsi="Arial"/>
                <w:sz w:val="19"/>
                <w:szCs w:val="19"/>
                <w:b w:val="1"/>
                <w:bCs w:val="1"/>
                <w:color w:val="auto"/>
              </w:rPr>
              <w:t>digitally-led</w:t>
            </w:r>
          </w:p>
        </w:tc>
        <w:tc>
          <w:tcPr>
            <w:tcW w:w="2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80"/>
              <w:spacing w:after="0" w:line="212" w:lineRule="exact"/>
              <w:rPr>
                <w:sz w:val="20"/>
                <w:szCs w:val="20"/>
                <w:color w:val="auto"/>
              </w:rPr>
            </w:pPr>
            <w:r>
              <w:rPr>
                <w:rFonts w:ascii="Arial" w:cs="Arial" w:eastAsia="Arial" w:hAnsi="Arial"/>
                <w:sz w:val="19"/>
                <w:szCs w:val="19"/>
                <w:b w:val="1"/>
                <w:bCs w:val="1"/>
                <w:color w:val="auto"/>
              </w:rPr>
              <w:t>demand- and</w:t>
            </w:r>
          </w:p>
        </w:tc>
        <w:tc>
          <w:tcPr>
            <w:tcW w:w="3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60"/>
              <w:spacing w:after="0" w:line="212" w:lineRule="exact"/>
              <w:rPr>
                <w:sz w:val="20"/>
                <w:szCs w:val="20"/>
                <w:color w:val="auto"/>
              </w:rPr>
            </w:pPr>
            <w:r>
              <w:rPr>
                <w:rFonts w:ascii="Arial" w:cs="Arial" w:eastAsia="Arial" w:hAnsi="Arial"/>
                <w:sz w:val="19"/>
                <w:szCs w:val="19"/>
                <w:b w:val="1"/>
                <w:bCs w:val="1"/>
                <w:color w:val="auto"/>
              </w:rPr>
              <w:t>efficiencies</w:t>
            </w:r>
          </w:p>
        </w:tc>
      </w:tr>
      <w:tr>
        <w:trPr>
          <w:trHeight w:val="212"/>
        </w:trPr>
        <w:tc>
          <w:tcPr>
            <w:tcW w:w="1840" w:type="dxa"/>
            <w:vAlign w:val="bottom"/>
            <w:tcBorders>
              <w:left w:val="single" w:sz="8" w:color="auto"/>
              <w:right w:val="single" w:sz="8" w:color="auto"/>
            </w:tcBorders>
          </w:tcPr>
          <w:p>
            <w:pPr>
              <w:ind w:left="100"/>
              <w:spacing w:after="0" w:line="212" w:lineRule="exact"/>
              <w:rPr>
                <w:sz w:val="20"/>
                <w:szCs w:val="20"/>
                <w:color w:val="auto"/>
              </w:rPr>
            </w:pPr>
            <w:r>
              <w:rPr>
                <w:rFonts w:ascii="Arial" w:cs="Arial" w:eastAsia="Arial" w:hAnsi="Arial"/>
                <w:sz w:val="19"/>
                <w:szCs w:val="19"/>
                <w:b w:val="1"/>
                <w:bCs w:val="1"/>
                <w:color w:val="auto"/>
              </w:rPr>
              <w:t>product</w:t>
            </w:r>
          </w:p>
        </w:tc>
        <w:tc>
          <w:tcPr>
            <w:tcW w:w="3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ind w:left="80"/>
              <w:spacing w:after="0" w:line="212" w:lineRule="exact"/>
              <w:rPr>
                <w:sz w:val="20"/>
                <w:szCs w:val="20"/>
                <w:color w:val="auto"/>
              </w:rPr>
            </w:pPr>
            <w:r>
              <w:rPr>
                <w:rFonts w:ascii="Arial" w:cs="Arial" w:eastAsia="Arial" w:hAnsi="Arial"/>
                <w:sz w:val="19"/>
                <w:szCs w:val="19"/>
                <w:b w:val="1"/>
                <w:bCs w:val="1"/>
                <w:color w:val="auto"/>
              </w:rPr>
              <w:t>consumer</w:t>
            </w:r>
          </w:p>
        </w:tc>
        <w:tc>
          <w:tcPr>
            <w:tcW w:w="3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80"/>
              <w:spacing w:after="0" w:line="212" w:lineRule="exact"/>
              <w:rPr>
                <w:sz w:val="20"/>
                <w:szCs w:val="20"/>
                <w:color w:val="auto"/>
              </w:rPr>
            </w:pPr>
            <w:r>
              <w:rPr>
                <w:rFonts w:ascii="Arial" w:cs="Arial" w:eastAsia="Arial" w:hAnsi="Arial"/>
                <w:sz w:val="19"/>
                <w:szCs w:val="19"/>
                <w:b w:val="1"/>
                <w:bCs w:val="1"/>
                <w:color w:val="auto"/>
              </w:rPr>
              <w:t>marketplace</w:t>
            </w:r>
          </w:p>
        </w:tc>
        <w:tc>
          <w:tcPr>
            <w:tcW w:w="2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80"/>
              <w:spacing w:after="0" w:line="212" w:lineRule="exact"/>
              <w:rPr>
                <w:sz w:val="20"/>
                <w:szCs w:val="20"/>
                <w:color w:val="auto"/>
              </w:rPr>
            </w:pPr>
            <w:r>
              <w:rPr>
                <w:rFonts w:ascii="Arial" w:cs="Arial" w:eastAsia="Arial" w:hAnsi="Arial"/>
                <w:sz w:val="19"/>
                <w:szCs w:val="19"/>
                <w:b w:val="1"/>
                <w:bCs w:val="1"/>
                <w:color w:val="auto"/>
              </w:rPr>
              <w:t>data-driven</w:t>
            </w:r>
          </w:p>
        </w:tc>
        <w:tc>
          <w:tcPr>
            <w:tcW w:w="3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60"/>
              <w:spacing w:after="0" w:line="212" w:lineRule="exact"/>
              <w:rPr>
                <w:sz w:val="20"/>
                <w:szCs w:val="20"/>
                <w:color w:val="auto"/>
              </w:rPr>
            </w:pPr>
            <w:r>
              <w:rPr>
                <w:rFonts w:ascii="Arial" w:cs="Arial" w:eastAsia="Arial" w:hAnsi="Arial"/>
                <w:sz w:val="19"/>
                <w:szCs w:val="19"/>
                <w:b w:val="1"/>
                <w:bCs w:val="1"/>
                <w:color w:val="auto"/>
              </w:rPr>
              <w:t>and invest in</w:t>
            </w:r>
          </w:p>
        </w:tc>
      </w:tr>
      <w:tr>
        <w:trPr>
          <w:trHeight w:val="212"/>
        </w:trPr>
        <w:tc>
          <w:tcPr>
            <w:tcW w:w="1840" w:type="dxa"/>
            <w:vAlign w:val="bottom"/>
            <w:tcBorders>
              <w:left w:val="single" w:sz="8" w:color="auto"/>
              <w:right w:val="single" w:sz="8" w:color="auto"/>
            </w:tcBorders>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ind w:left="80"/>
              <w:spacing w:after="0" w:line="212" w:lineRule="exact"/>
              <w:rPr>
                <w:sz w:val="20"/>
                <w:szCs w:val="20"/>
                <w:color w:val="auto"/>
              </w:rPr>
            </w:pPr>
            <w:r>
              <w:rPr>
                <w:rFonts w:ascii="Arial" w:cs="Arial" w:eastAsia="Arial" w:hAnsi="Arial"/>
                <w:sz w:val="19"/>
                <w:szCs w:val="19"/>
                <w:b w:val="1"/>
                <w:bCs w:val="1"/>
                <w:color w:val="auto"/>
              </w:rPr>
              <w:t>engagement</w:t>
            </w:r>
          </w:p>
        </w:tc>
        <w:tc>
          <w:tcPr>
            <w:tcW w:w="3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80"/>
              <w:spacing w:after="0" w:line="212" w:lineRule="exact"/>
              <w:rPr>
                <w:sz w:val="20"/>
                <w:szCs w:val="20"/>
                <w:color w:val="auto"/>
              </w:rPr>
            </w:pPr>
            <w:r>
              <w:rPr>
                <w:rFonts w:ascii="Arial" w:cs="Arial" w:eastAsia="Arial" w:hAnsi="Arial"/>
                <w:sz w:val="19"/>
                <w:szCs w:val="19"/>
                <w:b w:val="1"/>
                <w:bCs w:val="1"/>
                <w:color w:val="auto"/>
              </w:rPr>
              <w:t>operating</w:t>
            </w:r>
          </w:p>
        </w:tc>
        <w:tc>
          <w:tcPr>
            <w:tcW w:w="30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ind w:left="60"/>
              <w:spacing w:after="0" w:line="212" w:lineRule="exact"/>
              <w:rPr>
                <w:sz w:val="20"/>
                <w:szCs w:val="20"/>
                <w:color w:val="auto"/>
              </w:rPr>
            </w:pPr>
            <w:r>
              <w:rPr>
                <w:rFonts w:ascii="Arial" w:cs="Arial" w:eastAsia="Arial" w:hAnsi="Arial"/>
                <w:sz w:val="19"/>
                <w:szCs w:val="19"/>
                <w:b w:val="1"/>
                <w:bCs w:val="1"/>
                <w:color w:val="auto"/>
              </w:rPr>
              <w:t>growth</w:t>
            </w:r>
          </w:p>
        </w:tc>
      </w:tr>
      <w:tr>
        <w:trPr>
          <w:trHeight w:val="259"/>
        </w:trPr>
        <w:tc>
          <w:tcPr>
            <w:tcW w:w="1840" w:type="dxa"/>
            <w:vAlign w:val="bottom"/>
            <w:tcBorders>
              <w:left w:val="single" w:sz="8" w:color="auto"/>
              <w:righ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c>
          <w:tcPr>
            <w:tcW w:w="280" w:type="dxa"/>
            <w:vAlign w:val="bottom"/>
            <w:tcBorders>
              <w:right w:val="single" w:sz="8" w:color="auto"/>
            </w:tcBorders>
          </w:tcPr>
          <w:p>
            <w:pPr>
              <w:spacing w:after="0"/>
              <w:rPr>
                <w:sz w:val="22"/>
                <w:szCs w:val="22"/>
                <w:color w:val="auto"/>
              </w:rPr>
            </w:pPr>
          </w:p>
        </w:tc>
        <w:tc>
          <w:tcPr>
            <w:tcW w:w="1800" w:type="dxa"/>
            <w:vAlign w:val="bottom"/>
            <w:tcBorders>
              <w:right w:val="single" w:sz="8" w:color="auto"/>
            </w:tcBorders>
          </w:tcPr>
          <w:p>
            <w:pPr>
              <w:ind w:left="80"/>
              <w:spacing w:after="0"/>
              <w:rPr>
                <w:sz w:val="20"/>
                <w:szCs w:val="20"/>
                <w:color w:val="auto"/>
              </w:rPr>
            </w:pPr>
            <w:r>
              <w:rPr>
                <w:rFonts w:ascii="Arial" w:cs="Arial" w:eastAsia="Arial" w:hAnsi="Arial"/>
                <w:sz w:val="19"/>
                <w:szCs w:val="19"/>
                <w:b w:val="1"/>
                <w:bCs w:val="1"/>
                <w:color w:val="auto"/>
              </w:rPr>
              <w:t>model</w:t>
            </w:r>
          </w:p>
        </w:tc>
        <w:tc>
          <w:tcPr>
            <w:tcW w:w="300" w:type="dxa"/>
            <w:vAlign w:val="bottom"/>
            <w:tcBorders>
              <w:right w:val="single" w:sz="8" w:color="auto"/>
            </w:tcBorders>
          </w:tcPr>
          <w:p>
            <w:pPr>
              <w:spacing w:after="0"/>
              <w:rPr>
                <w:sz w:val="22"/>
                <w:szCs w:val="22"/>
                <w:color w:val="auto"/>
              </w:rPr>
            </w:pPr>
          </w:p>
        </w:tc>
        <w:tc>
          <w:tcPr>
            <w:tcW w:w="1800" w:type="dxa"/>
            <w:vAlign w:val="bottom"/>
            <w:tcBorders>
              <w:right w:val="single" w:sz="8" w:color="auto"/>
            </w:tcBorders>
          </w:tcPr>
          <w:p>
            <w:pPr>
              <w:spacing w:after="0"/>
              <w:rPr>
                <w:sz w:val="22"/>
                <w:szCs w:val="22"/>
                <w:color w:val="auto"/>
              </w:rPr>
            </w:pPr>
          </w:p>
        </w:tc>
      </w:tr>
      <w:tr>
        <w:trPr>
          <w:trHeight w:val="83"/>
        </w:trPr>
        <w:tc>
          <w:tcPr>
            <w:tcW w:w="1840" w:type="dxa"/>
            <w:vAlign w:val="bottom"/>
            <w:tcBorders>
              <w:left w:val="single" w:sz="8" w:color="auto"/>
              <w:bottom w:val="single" w:sz="8" w:color="auto"/>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800" w:type="dxa"/>
            <w:vAlign w:val="bottom"/>
            <w:tcBorders>
              <w:bottom w:val="single" w:sz="8" w:color="auto"/>
              <w:right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800" w:type="dxa"/>
            <w:vAlign w:val="bottom"/>
            <w:tcBorders>
              <w:bottom w:val="single" w:sz="8" w:color="auto"/>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80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REGIONAL GROWTH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4509770" cy="650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09770" cy="65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ENGAGE, EMPOWER &amp; ENERGIZE OUR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454140" cy="254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54140" cy="254000"/>
                    </a:xfrm>
                    <a:prstGeom prst="rect">
                      <a:avLst/>
                    </a:prstGeom>
                    <a:noFill/>
                  </pic:spPr>
                </pic:pic>
              </a:graphicData>
            </a:graphic>
          </wp:anchor>
        </w:drawing>
      </w:r>
    </w:p>
    <w:p>
      <w:pPr>
        <w:spacing w:after="0" w:line="244" w:lineRule="exact"/>
        <w:rPr>
          <w:sz w:val="20"/>
          <w:szCs w:val="20"/>
          <w:color w:val="auto"/>
        </w:rPr>
      </w:pPr>
    </w:p>
    <w:p>
      <w:pPr>
        <w:ind w:left="1200"/>
        <w:spacing w:after="0"/>
        <w:tabs>
          <w:tab w:leader="none" w:pos="4480" w:val="left"/>
          <w:tab w:leader="none" w:pos="7900" w:val="left"/>
        </w:tabs>
        <w:rPr>
          <w:sz w:val="20"/>
          <w:szCs w:val="20"/>
          <w:color w:val="auto"/>
        </w:rPr>
      </w:pPr>
      <w:r>
        <w:rPr>
          <w:rFonts w:ascii="Arial" w:cs="Arial" w:eastAsia="Arial" w:hAnsi="Arial"/>
          <w:sz w:val="19"/>
          <w:szCs w:val="19"/>
          <w:b w:val="1"/>
          <w:bCs w:val="1"/>
          <w:color w:val="auto"/>
        </w:rPr>
        <w:t>Our Work</w:t>
      </w:r>
      <w:r>
        <w:rPr>
          <w:sz w:val="20"/>
          <w:szCs w:val="20"/>
          <w:color w:val="auto"/>
        </w:rPr>
        <w:tab/>
      </w:r>
      <w:r>
        <w:rPr>
          <w:rFonts w:ascii="Arial" w:cs="Arial" w:eastAsia="Arial" w:hAnsi="Arial"/>
          <w:sz w:val="19"/>
          <w:szCs w:val="19"/>
          <w:b w:val="1"/>
          <w:bCs w:val="1"/>
          <w:color w:val="auto"/>
        </w:rPr>
        <w:t>Our People</w:t>
      </w:r>
      <w:r>
        <w:rPr>
          <w:sz w:val="20"/>
          <w:szCs w:val="20"/>
          <w:color w:val="auto"/>
        </w:rPr>
        <w:tab/>
      </w:r>
      <w:r>
        <w:rPr>
          <w:rFonts w:ascii="Arial" w:cs="Arial" w:eastAsia="Arial" w:hAnsi="Arial"/>
          <w:sz w:val="18"/>
          <w:szCs w:val="18"/>
          <w:b w:val="1"/>
          <w:bCs w:val="1"/>
          <w:color w:val="auto"/>
        </w:rPr>
        <w:t>Our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295275</wp:posOffset>
            </wp:positionV>
            <wp:extent cx="69551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200"/>
          </w:cols>
          <w:pgMar w:left="880" w:top="242" w:right="819" w:bottom="1440" w:gutter="0" w:footer="0" w:header="0"/>
        </w:sectPr>
      </w:pPr>
    </w:p>
    <w:bookmarkStart w:id="3" w:name="page4"/>
    <w:bookmarkEnd w:id="3"/>
    <w:p>
      <w:pPr>
        <w:spacing w:after="0"/>
        <w:rPr>
          <w:sz w:val="20"/>
          <w:szCs w:val="20"/>
          <w:color w:val="auto"/>
        </w:rPr>
      </w:pPr>
      <w:r>
        <w:rPr>
          <w:rFonts w:ascii="Arial" w:cs="Arial" w:eastAsia="Arial" w:hAnsi="Arial"/>
          <w:sz w:val="41"/>
          <w:szCs w:val="41"/>
          <w:b w:val="1"/>
          <w:bCs w:val="1"/>
          <w:color w:val="auto"/>
        </w:rPr>
        <w:t>Notice of 2026</w:t>
      </w:r>
    </w:p>
    <w:p>
      <w:pPr>
        <w:spacing w:after="0" w:line="3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Annual Meeting of Stockholders</w:t>
      </w:r>
    </w:p>
    <w:p>
      <w:pPr>
        <w:sectPr>
          <w:pgSz w:w="11900" w:h="16838" w:orient="portrait"/>
          <w:cols w:equalWidth="0" w:num="1">
            <w:col w:w="10940"/>
          </w:cols>
          <w:pgMar w:left="480" w:top="9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6D98AD"/>
        </w:rPr>
        <w:t>The meeting will be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-154940</wp:posOffset>
            </wp:positionV>
            <wp:extent cx="21990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b w:val="1"/>
          <w:bCs w:val="1"/>
          <w:color w:val="6D98AD"/>
        </w:rPr>
        <w:t>Thursday,</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6D98AD"/>
        </w:rPr>
        <w:t>June 18, 2026</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color w:val="6D98AD"/>
        </w:rPr>
        <w:t>8:45 am (EDT)</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Online via live webcast</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Registered holders at: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www.proxydocs.com/pvh</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Beneficial holders at:</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www.proxydocs.com/brokers/pvh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135890</wp:posOffset>
            </wp:positionV>
            <wp:extent cx="21990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to vote</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Your vote is important</w:t>
      </w:r>
    </w:p>
    <w:p>
      <w:pPr>
        <w:spacing w:after="0" w:line="3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Even if you plan to attend the Annual Meeting virtually, we encourage you to vote your shares in advance to ensure they are counted.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Purpose</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 xml:space="preserve">1 </w:t>
      </w:r>
      <w:r>
        <w:rPr>
          <w:rFonts w:ascii="Arial" w:cs="Arial" w:eastAsia="Arial" w:hAnsi="Arial"/>
          <w:sz w:val="14"/>
          <w:szCs w:val="14"/>
          <w:color w:val="auto"/>
        </w:rPr>
        <w:t>Vote on the election of ten nominees for director to serve a one-year term</w:t>
      </w:r>
    </w:p>
    <w:p>
      <w:pPr>
        <w:spacing w:after="0" w:line="63"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 xml:space="preserve">2 </w:t>
      </w:r>
      <w:r>
        <w:rPr>
          <w:rFonts w:ascii="Arial" w:cs="Arial" w:eastAsia="Arial" w:hAnsi="Arial"/>
          <w:sz w:val="14"/>
          <w:szCs w:val="14"/>
          <w:color w:val="auto"/>
        </w:rPr>
        <w:t>Vote on an advisory resolution to approve our executive compensation</w:t>
      </w:r>
    </w:p>
    <w:p>
      <w:pPr>
        <w:spacing w:after="0" w:line="63" w:lineRule="exact"/>
        <w:rPr>
          <w:sz w:val="20"/>
          <w:szCs w:val="20"/>
          <w:color w:val="auto"/>
        </w:rPr>
      </w:pPr>
    </w:p>
    <w:p>
      <w:pPr>
        <w:ind w:left="127" w:right="20" w:hanging="109"/>
        <w:spacing w:after="0" w:line="264" w:lineRule="auto"/>
        <w:rPr>
          <w:sz w:val="20"/>
          <w:szCs w:val="20"/>
          <w:color w:val="auto"/>
        </w:rPr>
      </w:pPr>
      <w:r>
        <w:rPr>
          <w:rFonts w:ascii="Arial" w:cs="Arial" w:eastAsia="Arial" w:hAnsi="Arial"/>
          <w:sz w:val="14"/>
          <w:szCs w:val="14"/>
          <w:b w:val="1"/>
          <w:bCs w:val="1"/>
          <w:color w:val="auto"/>
        </w:rPr>
        <w:t xml:space="preserve">3 </w:t>
      </w:r>
      <w:r>
        <w:rPr>
          <w:rFonts w:ascii="Arial" w:cs="Arial" w:eastAsia="Arial" w:hAnsi="Arial"/>
          <w:sz w:val="14"/>
          <w:szCs w:val="14"/>
          <w:color w:val="auto"/>
        </w:rPr>
        <w:t>Vote to approve amendments to our Stock Incentive Plan to increase the number of shares available for issuance</w:t>
      </w:r>
      <w:r>
        <w:rPr>
          <w:rFonts w:ascii="Arial" w:cs="Arial" w:eastAsia="Arial" w:hAnsi="Arial"/>
          <w:sz w:val="14"/>
          <w:szCs w:val="14"/>
          <w:b w:val="1"/>
          <w:bCs w:val="1"/>
          <w:color w:val="auto"/>
        </w:rPr>
        <w:t xml:space="preserve"> </w:t>
      </w:r>
      <w:r>
        <w:rPr>
          <w:rFonts w:ascii="Arial" w:cs="Arial" w:eastAsia="Arial" w:hAnsi="Arial"/>
          <w:sz w:val="14"/>
          <w:szCs w:val="14"/>
          <w:color w:val="auto"/>
        </w:rPr>
        <w:t>under the Plan and modify the method of counting shares underlying full value awards for the purpose of the limits on awards that may be granted under the Plan</w:t>
      </w:r>
    </w:p>
    <w:p>
      <w:pPr>
        <w:spacing w:after="0" w:line="34"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 xml:space="preserve">4 </w:t>
      </w:r>
      <w:r>
        <w:rPr>
          <w:rFonts w:ascii="Arial" w:cs="Arial" w:eastAsia="Arial" w:hAnsi="Arial"/>
          <w:sz w:val="14"/>
          <w:szCs w:val="14"/>
          <w:color w:val="auto"/>
        </w:rPr>
        <w:t>Vote to ratify the appointment of auditors to serve for the current fiscal year</w:t>
      </w:r>
    </w:p>
    <w:p>
      <w:pPr>
        <w:spacing w:after="0" w:line="98"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 xml:space="preserve">We also will transact any other business </w:t>
      </w:r>
      <w:r>
        <w:rPr>
          <w:rFonts w:ascii="Arial" w:cs="Arial" w:eastAsia="Arial" w:hAnsi="Arial"/>
          <w:sz w:val="14"/>
          <w:szCs w:val="14"/>
          <w:color w:val="auto"/>
        </w:rPr>
        <w:t>that properly comes before the meeting.</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Who can attend</w:t>
      </w:r>
    </w:p>
    <w:p>
      <w:pPr>
        <w:spacing w:after="0" w:line="62" w:lineRule="exact"/>
        <w:rPr>
          <w:sz w:val="20"/>
          <w:szCs w:val="20"/>
          <w:color w:val="auto"/>
        </w:rPr>
      </w:pPr>
    </w:p>
    <w:p>
      <w:pPr>
        <w:ind w:left="147" w:hanging="147"/>
        <w:spacing w:after="0"/>
        <w:tabs>
          <w:tab w:leader="none" w:pos="147" w:val="left"/>
        </w:tabs>
        <w:numPr>
          <w:ilvl w:val="0"/>
          <w:numId w:val="4"/>
        </w:numPr>
        <w:rPr>
          <w:rFonts w:ascii="Arial" w:cs="Arial" w:eastAsia="Arial" w:hAnsi="Arial"/>
          <w:sz w:val="14"/>
          <w:szCs w:val="14"/>
          <w:color w:val="auto"/>
        </w:rPr>
      </w:pPr>
      <w:r>
        <w:rPr>
          <w:rFonts w:ascii="Arial" w:cs="Arial" w:eastAsia="Arial" w:hAnsi="Arial"/>
          <w:sz w:val="14"/>
          <w:szCs w:val="14"/>
          <w:color w:val="auto"/>
        </w:rPr>
        <w:t>Holders of record as of April 20, 2026, of PVH Corp. common stock or their proxies</w:t>
      </w:r>
    </w:p>
    <w:p>
      <w:pPr>
        <w:spacing w:after="0" w:line="51" w:lineRule="exact"/>
        <w:rPr>
          <w:rFonts w:ascii="Arial" w:cs="Arial" w:eastAsia="Arial" w:hAnsi="Arial"/>
          <w:sz w:val="14"/>
          <w:szCs w:val="14"/>
          <w:color w:val="auto"/>
        </w:rPr>
      </w:pPr>
    </w:p>
    <w:p>
      <w:pPr>
        <w:ind w:left="147" w:hanging="147"/>
        <w:spacing w:after="0"/>
        <w:tabs>
          <w:tab w:leader="none" w:pos="147" w:val="left"/>
        </w:tabs>
        <w:numPr>
          <w:ilvl w:val="0"/>
          <w:numId w:val="4"/>
        </w:numPr>
        <w:rPr>
          <w:rFonts w:ascii="Arial" w:cs="Arial" w:eastAsia="Arial" w:hAnsi="Arial"/>
          <w:sz w:val="14"/>
          <w:szCs w:val="14"/>
          <w:color w:val="auto"/>
        </w:rPr>
      </w:pPr>
      <w:r>
        <w:rPr>
          <w:rFonts w:ascii="Arial" w:cs="Arial" w:eastAsia="Arial" w:hAnsi="Arial"/>
          <w:sz w:val="14"/>
          <w:szCs w:val="14"/>
          <w:color w:val="auto"/>
        </w:rPr>
        <w:t>Beneficial owners</w:t>
      </w:r>
    </w:p>
    <w:p>
      <w:pPr>
        <w:spacing w:after="0" w:line="51" w:lineRule="exact"/>
        <w:rPr>
          <w:rFonts w:ascii="Arial" w:cs="Arial" w:eastAsia="Arial" w:hAnsi="Arial"/>
          <w:sz w:val="14"/>
          <w:szCs w:val="14"/>
          <w:color w:val="auto"/>
        </w:rPr>
      </w:pPr>
    </w:p>
    <w:p>
      <w:pPr>
        <w:ind w:left="147" w:hanging="147"/>
        <w:spacing w:after="0"/>
        <w:tabs>
          <w:tab w:leader="none" w:pos="147" w:val="left"/>
        </w:tabs>
        <w:numPr>
          <w:ilvl w:val="0"/>
          <w:numId w:val="4"/>
        </w:numPr>
        <w:rPr>
          <w:rFonts w:ascii="Arial" w:cs="Arial" w:eastAsia="Arial" w:hAnsi="Arial"/>
          <w:sz w:val="14"/>
          <w:szCs w:val="14"/>
          <w:color w:val="auto"/>
        </w:rPr>
      </w:pPr>
      <w:r>
        <w:rPr>
          <w:rFonts w:ascii="Arial" w:cs="Arial" w:eastAsia="Arial" w:hAnsi="Arial"/>
          <w:sz w:val="14"/>
          <w:szCs w:val="14"/>
          <w:color w:val="auto"/>
        </w:rPr>
        <w:t>Invited guests of PVH</w:t>
      </w:r>
    </w:p>
    <w:p>
      <w:pPr>
        <w:spacing w:after="0" w:line="160"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Who can vote</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4"/>
          <w:szCs w:val="14"/>
          <w:color w:val="auto"/>
        </w:rPr>
        <w:t>Stockholders of record at the close of business on April 20, 2026.</w:t>
      </w:r>
    </w:p>
    <w:p>
      <w:pPr>
        <w:spacing w:after="0" w:line="148" w:lineRule="exact"/>
        <w:rPr>
          <w:sz w:val="20"/>
          <w:szCs w:val="20"/>
          <w:color w:val="auto"/>
        </w:rPr>
      </w:pPr>
    </w:p>
    <w:p>
      <w:pPr>
        <w:sectPr>
          <w:pgSz w:w="11900" w:h="16838" w:orient="portrait"/>
          <w:cols w:equalWidth="0" w:num="2">
            <w:col w:w="3400" w:space="313"/>
            <w:col w:w="7227"/>
          </w:cols>
          <w:pgMar w:left="480" w:top="94" w:right="479" w:bottom="1440" w:gutter="0" w:footer="0" w:header="0"/>
          <w:type w:val="continuous"/>
        </w:sectPr>
      </w:pPr>
    </w:p>
    <w:p>
      <w:pPr>
        <w:spacing w:after="0" w:line="35"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6D98AD"/>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-109855</wp:posOffset>
            </wp:positionV>
            <wp:extent cx="291465" cy="261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261620"/>
                    </a:xfrm>
                    <a:prstGeom prst="rect">
                      <a:avLst/>
                    </a:prstGeom>
                    <a:noFill/>
                  </pic:spPr>
                </pic:pic>
              </a:graphicData>
            </a:graphic>
          </wp:anchor>
        </w:drawing>
      </w:r>
    </w:p>
    <w:p>
      <w:pPr>
        <w:spacing w:after="0" w:line="33" w:lineRule="exact"/>
        <w:rPr>
          <w:sz w:val="20"/>
          <w:szCs w:val="20"/>
          <w:color w:val="auto"/>
        </w:rPr>
      </w:pPr>
    </w:p>
    <w:p>
      <w:pPr>
        <w:ind w:left="880"/>
        <w:spacing w:after="0"/>
        <w:rPr>
          <w:sz w:val="20"/>
          <w:szCs w:val="20"/>
          <w:color w:val="auto"/>
        </w:rPr>
      </w:pPr>
      <w:r>
        <w:rPr>
          <w:rFonts w:ascii="Arial" w:cs="Arial" w:eastAsia="Arial" w:hAnsi="Arial"/>
          <w:sz w:val="13"/>
          <w:szCs w:val="13"/>
          <w:b w:val="1"/>
          <w:bCs w:val="1"/>
          <w:color w:val="auto"/>
        </w:rPr>
        <w:t>In advance of meeting</w:t>
      </w:r>
    </w:p>
    <w:p>
      <w:pPr>
        <w:spacing w:after="0" w:line="4" w:lineRule="exact"/>
        <w:rPr>
          <w:sz w:val="20"/>
          <w:szCs w:val="20"/>
          <w:color w:val="auto"/>
        </w:rPr>
      </w:pPr>
    </w:p>
    <w:p>
      <w:pPr>
        <w:ind w:left="880"/>
        <w:spacing w:after="0"/>
        <w:rPr>
          <w:sz w:val="20"/>
          <w:szCs w:val="20"/>
          <w:color w:val="auto"/>
        </w:rPr>
      </w:pPr>
      <w:r>
        <w:rPr>
          <w:rFonts w:ascii="Arial" w:cs="Arial" w:eastAsia="Arial" w:hAnsi="Arial"/>
          <w:sz w:val="13"/>
          <w:szCs w:val="13"/>
          <w:color w:val="auto"/>
        </w:rPr>
        <w:t>www.proxydocs.com/pvh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22225</wp:posOffset>
            </wp:positionV>
            <wp:extent cx="426085" cy="426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6085" cy="42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80"/>
        <w:spacing w:after="0"/>
        <w:rPr>
          <w:sz w:val="20"/>
          <w:szCs w:val="20"/>
          <w:color w:val="auto"/>
        </w:rPr>
      </w:pPr>
      <w:r>
        <w:rPr>
          <w:rFonts w:ascii="Arial" w:cs="Arial" w:eastAsia="Arial" w:hAnsi="Arial"/>
          <w:sz w:val="13"/>
          <w:szCs w:val="13"/>
          <w:b w:val="1"/>
          <w:bCs w:val="1"/>
          <w:color w:val="auto"/>
        </w:rPr>
        <w:t>During the meeting</w:t>
      </w:r>
    </w:p>
    <w:p>
      <w:pPr>
        <w:spacing w:after="0" w:line="4" w:lineRule="exact"/>
        <w:rPr>
          <w:sz w:val="20"/>
          <w:szCs w:val="20"/>
          <w:color w:val="auto"/>
        </w:rPr>
      </w:pPr>
    </w:p>
    <w:p>
      <w:pPr>
        <w:ind w:left="880"/>
        <w:spacing w:after="0" w:line="236" w:lineRule="auto"/>
        <w:rPr>
          <w:sz w:val="20"/>
          <w:szCs w:val="20"/>
          <w:color w:val="auto"/>
        </w:rPr>
      </w:pPr>
      <w:r>
        <w:rPr>
          <w:rFonts w:ascii="Arial" w:cs="Arial" w:eastAsia="Arial" w:hAnsi="Arial"/>
          <w:sz w:val="13"/>
          <w:szCs w:val="13"/>
          <w:color w:val="auto"/>
        </w:rPr>
        <w:t>Attend the meeting virtually and cast your vote electronically</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6D98AD"/>
        </w:rPr>
        <w:t>By 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-109855</wp:posOffset>
            </wp:positionV>
            <wp:extent cx="164465"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465" cy="291465"/>
                    </a:xfrm>
                    <a:prstGeom prst="rect">
                      <a:avLst/>
                    </a:prstGeom>
                    <a:noFill/>
                  </pic:spPr>
                </pic:pic>
              </a:graphicData>
            </a:graphic>
          </wp:anchor>
        </w:drawing>
      </w:r>
    </w:p>
    <w:p>
      <w:pPr>
        <w:spacing w:after="0" w:line="33" w:lineRule="exact"/>
        <w:rPr>
          <w:sz w:val="20"/>
          <w:szCs w:val="20"/>
          <w:color w:val="auto"/>
        </w:rPr>
      </w:pPr>
    </w:p>
    <w:p>
      <w:pPr>
        <w:ind w:left="880"/>
        <w:spacing w:after="0"/>
        <w:rPr>
          <w:sz w:val="20"/>
          <w:szCs w:val="20"/>
          <w:color w:val="auto"/>
        </w:rPr>
      </w:pPr>
      <w:r>
        <w:rPr>
          <w:rFonts w:ascii="Arial" w:cs="Arial" w:eastAsia="Arial" w:hAnsi="Arial"/>
          <w:sz w:val="13"/>
          <w:szCs w:val="13"/>
          <w:color w:val="auto"/>
        </w:rPr>
        <w:t>In the U.S. or Canada dial</w:t>
      </w:r>
    </w:p>
    <w:p>
      <w:pPr>
        <w:spacing w:after="0" w:line="4" w:lineRule="exact"/>
        <w:rPr>
          <w:sz w:val="20"/>
          <w:szCs w:val="20"/>
          <w:color w:val="auto"/>
        </w:rPr>
      </w:pPr>
    </w:p>
    <w:p>
      <w:pPr>
        <w:ind w:left="880"/>
        <w:spacing w:after="0"/>
        <w:rPr>
          <w:sz w:val="20"/>
          <w:szCs w:val="20"/>
          <w:color w:val="auto"/>
        </w:rPr>
      </w:pPr>
      <w:r>
        <w:rPr>
          <w:rFonts w:ascii="Arial" w:cs="Arial" w:eastAsia="Arial" w:hAnsi="Arial"/>
          <w:sz w:val="13"/>
          <w:szCs w:val="13"/>
          <w:color w:val="auto"/>
        </w:rPr>
        <w:t>toll-free 1-866-883-3382</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6D98AD"/>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-109855</wp:posOffset>
            </wp:positionV>
            <wp:extent cx="321310" cy="224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1310" cy="224155"/>
                    </a:xfrm>
                    <a:prstGeom prst="rect">
                      <a:avLst/>
                    </a:prstGeom>
                    <a:noFill/>
                  </pic:spPr>
                </pic:pic>
              </a:graphicData>
            </a:graphic>
          </wp:anchor>
        </w:drawing>
      </w:r>
    </w:p>
    <w:p>
      <w:pPr>
        <w:spacing w:after="0" w:line="33" w:lineRule="exact"/>
        <w:rPr>
          <w:sz w:val="20"/>
          <w:szCs w:val="20"/>
          <w:color w:val="auto"/>
        </w:rPr>
      </w:pPr>
    </w:p>
    <w:p>
      <w:pPr>
        <w:ind w:left="880" w:right="220"/>
        <w:spacing w:after="0" w:line="252" w:lineRule="auto"/>
        <w:rPr>
          <w:sz w:val="20"/>
          <w:szCs w:val="20"/>
          <w:color w:val="auto"/>
        </w:rPr>
      </w:pPr>
      <w:r>
        <w:rPr>
          <w:rFonts w:ascii="Arial" w:cs="Arial" w:eastAsia="Arial" w:hAnsi="Arial"/>
          <w:sz w:val="13"/>
          <w:szCs w:val="13"/>
          <w:color w:val="auto"/>
        </w:rPr>
        <w:t>Cast your ballot, sign your proxy card, and send in our prepaid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149860</wp:posOffset>
            </wp:positionV>
            <wp:extent cx="219900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333"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b w:val="1"/>
          <w:bCs w:val="1"/>
          <w:color w:val="auto"/>
        </w:rPr>
        <w:t>Important notice regarding the availability of proxy materials for the Annual Meeting of Stockholders to be held on June 18, 2026:</w:t>
      </w:r>
    </w:p>
    <w:p>
      <w:pPr>
        <w:spacing w:after="0" w:line="69"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Our Annual Report to Stockholders for our fiscal year ended February 1, 2026, the Proxy Statement, and all other proxy materials are available at www.proxydocs.com/pvh.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How to attend</w:t>
      </w:r>
    </w:p>
    <w:p>
      <w:pPr>
        <w:spacing w:after="0" w:line="62"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Our Annual Meeting will be conducted exclusively online via live webcast. Stockholders will be able to attend, vote and submit questions via the Internet by participating in the live webcast.</w:t>
      </w:r>
    </w:p>
    <w:p>
      <w:pPr>
        <w:spacing w:after="0" w:line="46"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The webcast will begin promptly at 8:45 a.m. EDT on June 18, 2026. Online check-in will be available beginning at 8:30 a.m. EDT. You should allow ample time for the online check-in procedures.</w:t>
      </w:r>
    </w:p>
    <w:p>
      <w:pPr>
        <w:spacing w:after="0" w:line="46"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Holders of record can participate in the virtual meeting by using the control number shown on their Notice Regarding the Availability of Proxy Materials or proxy card. If you hold your PVH shares in a bank or brokerage account, you must obtain a legal proxy and a control number from your bank, broker or other nominee if you wish to participate in or vote at the Annual Meeting.</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 xml:space="preserve">Stockholders will be able to view the stockholder list during the 10 days prior to the Annual Meeting and may submit questions before the Annual Meeting by sending an email to CorporateSecretary@pvh.com. For additional information, please </w:t>
      </w:r>
      <w:r>
        <w:rPr>
          <w:rFonts w:ascii="Arial" w:cs="Arial" w:eastAsia="Arial" w:hAnsi="Arial"/>
          <w:sz w:val="14"/>
          <w:szCs w:val="14"/>
          <w:i w:val="1"/>
          <w:iCs w:val="1"/>
          <w:color w:val="auto"/>
        </w:rPr>
        <w:t>see</w:t>
      </w:r>
      <w:r>
        <w:rPr>
          <w:rFonts w:ascii="Arial" w:cs="Arial" w:eastAsia="Arial" w:hAnsi="Arial"/>
          <w:sz w:val="14"/>
          <w:szCs w:val="14"/>
          <w:color w:val="auto"/>
        </w:rPr>
        <w:t xml:space="preserve"> “General Information About the Annual Meeting” on page 100.</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1159510" cy="276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59510" cy="2768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 D. Fischer</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Secretary</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May 8, 2026</w:t>
      </w:r>
    </w:p>
    <w:p>
      <w:pPr>
        <w:spacing w:after="0" w:line="1247" w:lineRule="exact"/>
        <w:rPr>
          <w:sz w:val="20"/>
          <w:szCs w:val="20"/>
          <w:color w:val="auto"/>
        </w:rPr>
      </w:pPr>
    </w:p>
    <w:p>
      <w:pPr>
        <w:sectPr>
          <w:pgSz w:w="11900" w:h="16838" w:orient="portrait"/>
          <w:cols w:equalWidth="0" w:num="2">
            <w:col w:w="3440" w:space="280"/>
            <w:col w:w="7220"/>
          </w:cols>
          <w:pgMar w:left="480" w:top="94" w:right="479" w:bottom="1440" w:gutter="0" w:footer="0" w:header="0"/>
          <w:type w:val="continuous"/>
        </w:sectPr>
      </w:pPr>
    </w:p>
    <w:p>
      <w:pPr>
        <w:spacing w:after="0" w:line="400" w:lineRule="exact"/>
        <w:rPr>
          <w:sz w:val="20"/>
          <w:szCs w:val="20"/>
          <w:color w:val="auto"/>
        </w:rPr>
      </w:pPr>
    </w:p>
    <w:p>
      <w:pPr>
        <w:ind w:left="8820"/>
        <w:spacing w:after="0"/>
        <w:rPr>
          <w:sz w:val="20"/>
          <w:szCs w:val="20"/>
          <w:color w:val="auto"/>
        </w:rPr>
      </w:pPr>
      <w:r>
        <w:rPr>
          <w:rFonts w:ascii="Arial" w:cs="Arial" w:eastAsia="Arial" w:hAnsi="Arial"/>
          <w:sz w:val="10"/>
          <w:szCs w:val="10"/>
          <w:color w:val="auto"/>
        </w:rPr>
        <w:t xml:space="preserve">PVH CORP. 2026 PROXY STATEMENT / </w:t>
      </w: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695515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94" w:right="4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41"/>
          <w:szCs w:val="41"/>
          <w:b w:val="1"/>
          <w:bCs w:val="1"/>
          <w:color w:val="auto"/>
        </w:rPr>
        <w:t>Dear Fellow Stockholders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360"/>
        <w:spacing w:after="0"/>
        <w:rPr>
          <w:sz w:val="20"/>
          <w:szCs w:val="20"/>
          <w:color w:val="auto"/>
        </w:rPr>
      </w:pPr>
      <w:r>
        <w:rPr>
          <w:rFonts w:ascii="Arial" w:cs="Arial" w:eastAsia="Arial" w:hAnsi="Arial"/>
          <w:sz w:val="14"/>
          <w:szCs w:val="14"/>
          <w:color w:val="auto"/>
        </w:rPr>
        <w:t>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-93980</wp:posOffset>
            </wp:positionV>
            <wp:extent cx="2363470" cy="3462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63470" cy="3462655"/>
                    </a:xfrm>
                    <a:prstGeom prst="rect">
                      <a:avLst/>
                    </a:prstGeom>
                    <a:noFill/>
                  </pic:spPr>
                </pic:pic>
              </a:graphicData>
            </a:graphic>
          </wp:anchor>
        </w:drawing>
      </w:r>
    </w:p>
    <w:p>
      <w:pPr>
        <w:spacing w:after="0" w:line="90" w:lineRule="exact"/>
        <w:rPr>
          <w:sz w:val="20"/>
          <w:szCs w:val="20"/>
          <w:color w:val="auto"/>
        </w:rPr>
      </w:pPr>
    </w:p>
    <w:p>
      <w:pPr>
        <w:ind w:left="4360"/>
        <w:spacing w:after="0"/>
        <w:rPr>
          <w:sz w:val="20"/>
          <w:szCs w:val="20"/>
          <w:color w:val="auto"/>
        </w:rPr>
      </w:pPr>
      <w:r>
        <w:rPr>
          <w:rFonts w:ascii="Arial" w:cs="Arial" w:eastAsia="Arial" w:hAnsi="Arial"/>
          <w:sz w:val="14"/>
          <w:szCs w:val="14"/>
          <w:color w:val="auto"/>
        </w:rPr>
        <w:t>Dear Fellow Stockholders,</w:t>
      </w:r>
    </w:p>
    <w:p>
      <w:pPr>
        <w:spacing w:after="0" w:line="122" w:lineRule="exact"/>
        <w:rPr>
          <w:sz w:val="20"/>
          <w:szCs w:val="20"/>
          <w:color w:val="auto"/>
        </w:rPr>
      </w:pPr>
    </w:p>
    <w:p>
      <w:pPr>
        <w:jc w:val="both"/>
        <w:ind w:left="4360" w:right="140"/>
        <w:spacing w:after="0" w:line="264" w:lineRule="auto"/>
        <w:rPr>
          <w:sz w:val="20"/>
          <w:szCs w:val="20"/>
          <w:color w:val="auto"/>
        </w:rPr>
      </w:pPr>
      <w:r>
        <w:rPr>
          <w:rFonts w:ascii="Arial" w:cs="Arial" w:eastAsia="Arial" w:hAnsi="Arial"/>
          <w:sz w:val="14"/>
          <w:szCs w:val="14"/>
          <w:color w:val="auto"/>
        </w:rPr>
        <w:t xml:space="preserve">In 2025, we made meaningful progress on our multi-year journey to build </w:t>
      </w:r>
      <w:r>
        <w:rPr>
          <w:rFonts w:ascii="Arial" w:cs="Arial" w:eastAsia="Arial" w:hAnsi="Arial"/>
          <w:sz w:val="14"/>
          <w:szCs w:val="14"/>
          <w:i w:val="1"/>
          <w:iCs w:val="1"/>
          <w:color w:val="auto"/>
        </w:rPr>
        <w:t>Calvin</w:t>
      </w:r>
      <w:r>
        <w:rPr>
          <w:rFonts w:ascii="Arial" w:cs="Arial" w:eastAsia="Arial" w:hAnsi="Arial"/>
          <w:sz w:val="14"/>
          <w:szCs w:val="14"/>
          <w:color w:val="auto"/>
        </w:rPr>
        <w:t xml:space="preserve"> and </w:t>
      </w:r>
      <w:r>
        <w:rPr>
          <w:rFonts w:ascii="Arial" w:cs="Arial" w:eastAsia="Arial" w:hAnsi="Arial"/>
          <w:sz w:val="14"/>
          <w:szCs w:val="14"/>
          <w:i w:val="1"/>
          <w:iCs w:val="1"/>
          <w:color w:val="auto"/>
        </w:rPr>
        <w:t>TOMMY</w:t>
      </w:r>
      <w:r>
        <w:rPr>
          <w:rFonts w:ascii="Arial" w:cs="Arial" w:eastAsia="Arial" w:hAnsi="Arial"/>
          <w:sz w:val="14"/>
          <w:szCs w:val="14"/>
          <w:color w:val="auto"/>
        </w:rPr>
        <w:t xml:space="preserve"> into their full potential, and position PVH as one of the highest performing brand groups in our sector. While we still have work to do, I’m excited about the opportunities ahead.</w:t>
      </w:r>
    </w:p>
    <w:p>
      <w:pPr>
        <w:spacing w:after="0" w:line="69" w:lineRule="exact"/>
        <w:rPr>
          <w:sz w:val="20"/>
          <w:szCs w:val="20"/>
          <w:color w:val="auto"/>
        </w:rPr>
      </w:pPr>
    </w:p>
    <w:p>
      <w:pPr>
        <w:ind w:left="4360" w:right="40"/>
        <w:spacing w:after="0" w:line="258" w:lineRule="auto"/>
        <w:rPr>
          <w:sz w:val="20"/>
          <w:szCs w:val="20"/>
          <w:color w:val="auto"/>
        </w:rPr>
      </w:pPr>
      <w:r>
        <w:rPr>
          <w:rFonts w:ascii="Arial" w:cs="Arial" w:eastAsia="Arial" w:hAnsi="Arial"/>
          <w:sz w:val="14"/>
          <w:szCs w:val="14"/>
          <w:color w:val="auto"/>
        </w:rPr>
        <w:t>Despite an uneven consumer and macroeconomic environment, we delivered a strong finish to the year, driven by the continued disciplined execution of our PVH+ Plan. We returned to revenue growth for the year, as planned, and delivered a non-GAAP operating margin of 8.8%*, including a negative 80 basis point impact from gross tariffs.</w:t>
      </w:r>
    </w:p>
    <w:p>
      <w:pPr>
        <w:spacing w:after="0" w:line="73" w:lineRule="exact"/>
        <w:rPr>
          <w:sz w:val="20"/>
          <w:szCs w:val="20"/>
          <w:color w:val="auto"/>
        </w:rPr>
      </w:pPr>
    </w:p>
    <w:p>
      <w:pPr>
        <w:ind w:left="4360" w:right="40"/>
        <w:spacing w:after="0" w:line="282" w:lineRule="auto"/>
        <w:rPr>
          <w:sz w:val="20"/>
          <w:szCs w:val="20"/>
          <w:color w:val="auto"/>
        </w:rPr>
      </w:pPr>
      <w:r>
        <w:rPr>
          <w:rFonts w:ascii="Arial" w:cs="Arial" w:eastAsia="Arial" w:hAnsi="Arial"/>
          <w:sz w:val="14"/>
          <w:szCs w:val="14"/>
          <w:color w:val="auto"/>
        </w:rPr>
        <w:t>We generated over 200 basis points of annualized cost savings, and we further strengthened our supply chain, ending the year in a good inventory position and positioning us well for Spring 2026.</w:t>
      </w:r>
    </w:p>
    <w:p>
      <w:pPr>
        <w:spacing w:after="0" w:line="69" w:lineRule="exact"/>
        <w:rPr>
          <w:sz w:val="20"/>
          <w:szCs w:val="20"/>
          <w:color w:val="auto"/>
        </w:rPr>
      </w:pPr>
    </w:p>
    <w:p>
      <w:pPr>
        <w:ind w:left="4360" w:right="140"/>
        <w:spacing w:after="0" w:line="282" w:lineRule="auto"/>
        <w:rPr>
          <w:sz w:val="20"/>
          <w:szCs w:val="20"/>
          <w:color w:val="auto"/>
        </w:rPr>
      </w:pPr>
      <w:r>
        <w:rPr>
          <w:rFonts w:ascii="Arial" w:cs="Arial" w:eastAsia="Arial" w:hAnsi="Arial"/>
          <w:sz w:val="14"/>
          <w:szCs w:val="14"/>
          <w:color w:val="auto"/>
        </w:rPr>
        <w:t>We also returned over $560 million of capital through stock repurchases, underscoring our belief in our long-term value creation potential.</w:t>
      </w:r>
    </w:p>
    <w:p>
      <w:pPr>
        <w:spacing w:after="0" w:line="57" w:lineRule="exact"/>
        <w:rPr>
          <w:sz w:val="20"/>
          <w:szCs w:val="20"/>
          <w:color w:val="auto"/>
        </w:rPr>
      </w:pPr>
    </w:p>
    <w:p>
      <w:pPr>
        <w:ind w:left="4360" w:right="80"/>
        <w:spacing w:after="0" w:line="251" w:lineRule="auto"/>
        <w:rPr>
          <w:sz w:val="20"/>
          <w:szCs w:val="20"/>
          <w:color w:val="auto"/>
        </w:rPr>
      </w:pPr>
      <w:r>
        <w:rPr>
          <w:rFonts w:ascii="Arial" w:cs="Arial" w:eastAsia="Arial" w:hAnsi="Arial"/>
          <w:sz w:val="14"/>
          <w:szCs w:val="14"/>
          <w:color w:val="auto"/>
        </w:rPr>
        <w:t xml:space="preserve">At the core of our performance is the strength of our two iconic global brands. Throughout the year, we further sharpened our focus on product, marketing and marketplace execution, driving consumer engagement and cultural relevance into commercial success. For </w:t>
      </w:r>
      <w:r>
        <w:rPr>
          <w:rFonts w:ascii="Arial" w:cs="Arial" w:eastAsia="Arial" w:hAnsi="Arial"/>
          <w:sz w:val="14"/>
          <w:szCs w:val="14"/>
          <w:i w:val="1"/>
          <w:iCs w:val="1"/>
          <w:color w:val="auto"/>
        </w:rPr>
        <w:t>Calvin Klein</w:t>
      </w:r>
      <w:r>
        <w:rPr>
          <w:rFonts w:ascii="Arial" w:cs="Arial" w:eastAsia="Arial" w:hAnsi="Arial"/>
          <w:sz w:val="14"/>
          <w:szCs w:val="14"/>
          <w:color w:val="auto"/>
        </w:rPr>
        <w:t>, innovation in underwear and denim — supported by powerful global campaigns with superstars Bad Bunny and</w:t>
      </w:r>
    </w:p>
    <w:p>
      <w:pPr>
        <w:ind w:left="4360" w:right="40"/>
        <w:spacing w:after="0" w:line="262" w:lineRule="auto"/>
        <w:rPr>
          <w:sz w:val="20"/>
          <w:szCs w:val="20"/>
          <w:color w:val="auto"/>
        </w:rPr>
      </w:pPr>
      <w:r>
        <w:rPr>
          <w:rFonts w:ascii="Arial" w:cs="Arial" w:eastAsia="Arial" w:hAnsi="Arial"/>
          <w:sz w:val="14"/>
          <w:szCs w:val="14"/>
          <w:color w:val="auto"/>
        </w:rPr>
        <w:t xml:space="preserve">ROSALÍA — drove growth in these core franchises. </w:t>
      </w:r>
      <w:r>
        <w:rPr>
          <w:rFonts w:ascii="Arial" w:cs="Arial" w:eastAsia="Arial" w:hAnsi="Arial"/>
          <w:sz w:val="14"/>
          <w:szCs w:val="14"/>
          <w:i w:val="1"/>
          <w:iCs w:val="1"/>
          <w:color w:val="auto"/>
        </w:rPr>
        <w:t>Calvin</w:t>
      </w:r>
      <w:r>
        <w:rPr>
          <w:rFonts w:ascii="Arial" w:cs="Arial" w:eastAsia="Arial" w:hAnsi="Arial"/>
          <w:sz w:val="14"/>
          <w:szCs w:val="14"/>
          <w:color w:val="auto"/>
        </w:rPr>
        <w:t xml:space="preserve"> also returned to the runway in 2025, creating a strong brand halo, and we opened new flagship stores in Tokyo and New York City.</w:t>
      </w:r>
    </w:p>
    <w:p>
      <w:pPr>
        <w:spacing w:after="0" w:line="70" w:lineRule="exact"/>
        <w:rPr>
          <w:sz w:val="20"/>
          <w:szCs w:val="20"/>
          <w:color w:val="auto"/>
        </w:rPr>
      </w:pPr>
    </w:p>
    <w:p>
      <w:pPr>
        <w:ind w:left="4360"/>
        <w:spacing w:after="0" w:line="246" w:lineRule="auto"/>
        <w:rPr>
          <w:sz w:val="20"/>
          <w:szCs w:val="20"/>
          <w:color w:val="auto"/>
        </w:rPr>
      </w:pPr>
      <w:r>
        <w:rPr>
          <w:rFonts w:ascii="Arial" w:cs="Arial" w:eastAsia="Arial" w:hAnsi="Arial"/>
          <w:sz w:val="14"/>
          <w:szCs w:val="14"/>
          <w:color w:val="auto"/>
        </w:rPr>
        <w:t xml:space="preserve">For </w:t>
      </w:r>
      <w:r>
        <w:rPr>
          <w:rFonts w:ascii="Arial" w:cs="Arial" w:eastAsia="Arial" w:hAnsi="Arial"/>
          <w:sz w:val="14"/>
          <w:szCs w:val="14"/>
          <w:i w:val="1"/>
          <w:iCs w:val="1"/>
          <w:color w:val="auto"/>
        </w:rPr>
        <w:t>TOMMY HILFIGER</w:t>
      </w:r>
      <w:r>
        <w:rPr>
          <w:rFonts w:ascii="Arial" w:cs="Arial" w:eastAsia="Arial" w:hAnsi="Arial"/>
          <w:sz w:val="14"/>
          <w:szCs w:val="14"/>
          <w:color w:val="auto"/>
        </w:rPr>
        <w:t>, we brought the brand’s classic American Cool DNA to life through impactful cultural moments, including F1</w:t>
      </w:r>
      <w:r>
        <w:rPr>
          <w:rFonts w:ascii="Arial" w:cs="Arial" w:eastAsia="Arial" w:hAnsi="Arial"/>
          <w:sz w:val="16"/>
          <w:szCs w:val="16"/>
          <w:color w:val="auto"/>
          <w:vertAlign w:val="superscript"/>
        </w:rPr>
        <w:t>®</w:t>
      </w:r>
      <w:r>
        <w:rPr>
          <w:rFonts w:ascii="Arial" w:cs="Arial" w:eastAsia="Arial" w:hAnsi="Arial"/>
          <w:sz w:val="14"/>
          <w:szCs w:val="14"/>
          <w:color w:val="auto"/>
        </w:rPr>
        <w:t xml:space="preserve"> The Movie, a new partnership with Cadillac Formula 1</w:t>
      </w:r>
      <w:r>
        <w:rPr>
          <w:rFonts w:ascii="Arial" w:cs="Arial" w:eastAsia="Arial" w:hAnsi="Arial"/>
          <w:sz w:val="16"/>
          <w:szCs w:val="16"/>
          <w:color w:val="auto"/>
          <w:vertAlign w:val="superscript"/>
        </w:rPr>
        <w:t>®</w:t>
      </w:r>
      <w:r>
        <w:rPr>
          <w:rFonts w:ascii="Arial" w:cs="Arial" w:eastAsia="Arial" w:hAnsi="Arial"/>
          <w:sz w:val="14"/>
          <w:szCs w:val="14"/>
          <w:color w:val="auto"/>
        </w:rPr>
        <w:t xml:space="preserve"> and our first football partnership with Liverpool Football Club, driving strong consumer engagement globally. We also further improved our e-commerce experience, opened new stores globally, and in wholesale we unveiled our new shop-in-shop concept at the iconic Galeries Lafayette in Paris.</w:t>
      </w:r>
    </w:p>
    <w:p>
      <w:pPr>
        <w:spacing w:after="0" w:line="94" w:lineRule="exact"/>
        <w:rPr>
          <w:sz w:val="20"/>
          <w:szCs w:val="20"/>
          <w:color w:val="auto"/>
        </w:rPr>
      </w:pPr>
    </w:p>
    <w:p>
      <w:pPr>
        <w:ind w:left="4360"/>
        <w:spacing w:after="0" w:line="251" w:lineRule="auto"/>
        <w:rPr>
          <w:sz w:val="20"/>
          <w:szCs w:val="20"/>
          <w:color w:val="auto"/>
        </w:rPr>
      </w:pPr>
      <w:r>
        <w:rPr>
          <w:rFonts w:ascii="Arial" w:cs="Arial" w:eastAsia="Arial" w:hAnsi="Arial"/>
          <w:sz w:val="14"/>
          <w:szCs w:val="14"/>
          <w:color w:val="auto"/>
        </w:rPr>
        <w:t>In the Americas, we delivered mid-single-digit top-line growth, driven by our wholesale channel and strength in our e-commerce business; in Asia, we delivered sequential improvements in our top-line performance each quarter over the course of the year; and in Europe, we delivered sequentially improving order books each season in wholesale, returning to growth beginning with our Fall ‘25 season.</w:t>
      </w:r>
    </w:p>
    <w:p>
      <w:pPr>
        <w:spacing w:after="0"/>
        <w:rPr>
          <w:sz w:val="20"/>
          <w:szCs w:val="20"/>
          <w:color w:val="auto"/>
        </w:rPr>
      </w:pPr>
      <w:r>
        <w:rPr>
          <w:rFonts w:ascii="Arial" w:cs="Arial" w:eastAsia="Arial" w:hAnsi="Arial"/>
          <w:sz w:val="14"/>
          <w:szCs w:val="14"/>
          <w:b w:val="1"/>
          <w:bCs w:val="1"/>
          <w:color w:val="auto"/>
        </w:rPr>
        <w:t>Stefan Larsson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Stefan Larsson, Chief Executive Officer</w:t>
      </w:r>
    </w:p>
    <w:p>
      <w:pPr>
        <w:spacing w:after="0" w:line="17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2 </w:t>
      </w:r>
      <w:r>
        <w:rPr>
          <w:rFonts w:ascii="Arial" w:cs="Arial" w:eastAsia="Arial" w:hAnsi="Arial"/>
          <w:sz w:val="11"/>
          <w:szCs w:val="11"/>
          <w:color w:val="auto"/>
        </w:rPr>
        <w:t>/ PVH CORP.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695515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00"/>
          </w:cols>
          <w:pgMar w:left="480" w:top="94" w:right="519" w:bottom="1440" w:gutter="0" w:footer="0" w:header="0"/>
        </w:sectPr>
      </w:pPr>
    </w:p>
    <w:bookmarkStart w:id="5" w:name="page6"/>
    <w:bookmarkEnd w:id="5"/>
    <w:p>
      <w:pPr>
        <w:spacing w:after="0" w:line="254" w:lineRule="exact"/>
        <w:rPr>
          <w:sz w:val="20"/>
          <w:szCs w:val="20"/>
          <w:color w:val="auto"/>
        </w:rPr>
      </w:pPr>
    </w:p>
    <w:p>
      <w:pPr>
        <w:ind w:left="9" w:right="100"/>
        <w:spacing w:after="0" w:line="258" w:lineRule="auto"/>
        <w:rPr>
          <w:sz w:val="20"/>
          <w:szCs w:val="20"/>
          <w:color w:val="auto"/>
        </w:rPr>
      </w:pPr>
      <w:r>
        <w:rPr>
          <w:rFonts w:ascii="Arial" w:cs="Arial" w:eastAsia="Arial" w:hAnsi="Arial"/>
          <w:sz w:val="14"/>
          <w:szCs w:val="14"/>
          <w:color w:val="auto"/>
        </w:rPr>
        <w:t>I would like to take a moment to reflect on the progress we’ve made through our multi-year PVH+ Plan journey. Since 2022, we have navigated a series of external headwinds and we have delivered significant operational progress across all five critical areas of the PVH+ Plan:</w:t>
      </w:r>
    </w:p>
    <w:p>
      <w:pPr>
        <w:spacing w:after="0" w:line="14" w:lineRule="exact"/>
        <w:rPr>
          <w:sz w:val="20"/>
          <w:szCs w:val="20"/>
          <w:color w:val="auto"/>
        </w:rPr>
      </w:pPr>
    </w:p>
    <w:p>
      <w:pPr>
        <w:ind w:left="89" w:hanging="89"/>
        <w:spacing w:after="0"/>
        <w:tabs>
          <w:tab w:leader="none" w:pos="89" w:val="left"/>
        </w:tabs>
        <w:numPr>
          <w:ilvl w:val="0"/>
          <w:numId w:val="5"/>
        </w:numPr>
        <w:rPr>
          <w:rFonts w:ascii="Arial" w:cs="Arial" w:eastAsia="Arial" w:hAnsi="Arial"/>
          <w:sz w:val="14"/>
          <w:szCs w:val="14"/>
          <w:color w:val="auto"/>
        </w:rPr>
      </w:pPr>
      <w:r>
        <w:rPr>
          <w:rFonts w:ascii="Arial" w:cs="Arial" w:eastAsia="Arial" w:hAnsi="Arial"/>
          <w:sz w:val="14"/>
          <w:szCs w:val="14"/>
          <w:color w:val="auto"/>
        </w:rPr>
        <w:t>Winning with our hero products and key growth categories;</w:t>
      </w:r>
    </w:p>
    <w:p>
      <w:pPr>
        <w:spacing w:after="0" w:line="51" w:lineRule="exact"/>
        <w:rPr>
          <w:rFonts w:ascii="Arial" w:cs="Arial" w:eastAsia="Arial" w:hAnsi="Arial"/>
          <w:sz w:val="14"/>
          <w:szCs w:val="14"/>
          <w:color w:val="auto"/>
        </w:rPr>
      </w:pPr>
    </w:p>
    <w:p>
      <w:pPr>
        <w:ind w:left="89" w:hanging="89"/>
        <w:spacing w:after="0"/>
        <w:tabs>
          <w:tab w:leader="none" w:pos="89" w:val="left"/>
        </w:tabs>
        <w:numPr>
          <w:ilvl w:val="0"/>
          <w:numId w:val="5"/>
        </w:numPr>
        <w:rPr>
          <w:rFonts w:ascii="Arial" w:cs="Arial" w:eastAsia="Arial" w:hAnsi="Arial"/>
          <w:sz w:val="14"/>
          <w:szCs w:val="14"/>
          <w:color w:val="auto"/>
        </w:rPr>
      </w:pPr>
      <w:r>
        <w:rPr>
          <w:rFonts w:ascii="Arial" w:cs="Arial" w:eastAsia="Arial" w:hAnsi="Arial"/>
          <w:sz w:val="14"/>
          <w:szCs w:val="14"/>
          <w:color w:val="auto"/>
        </w:rPr>
        <w:t>Driving strong consumer engagement with a full-funnel 360 approach;</w:t>
      </w:r>
    </w:p>
    <w:p>
      <w:pPr>
        <w:spacing w:after="0" w:line="51" w:lineRule="exact"/>
        <w:rPr>
          <w:rFonts w:ascii="Arial" w:cs="Arial" w:eastAsia="Arial" w:hAnsi="Arial"/>
          <w:sz w:val="14"/>
          <w:szCs w:val="14"/>
          <w:color w:val="auto"/>
        </w:rPr>
      </w:pPr>
    </w:p>
    <w:p>
      <w:pPr>
        <w:ind w:left="149" w:right="120" w:hanging="149"/>
        <w:spacing w:after="0" w:line="280" w:lineRule="auto"/>
        <w:tabs>
          <w:tab w:leader="none" w:pos="96" w:val="left"/>
        </w:tabs>
        <w:numPr>
          <w:ilvl w:val="0"/>
          <w:numId w:val="5"/>
        </w:numPr>
        <w:rPr>
          <w:rFonts w:ascii="Arial" w:cs="Arial" w:eastAsia="Arial" w:hAnsi="Arial"/>
          <w:sz w:val="14"/>
          <w:szCs w:val="14"/>
          <w:color w:val="auto"/>
        </w:rPr>
      </w:pPr>
      <w:r>
        <w:rPr>
          <w:rFonts w:ascii="Arial" w:cs="Arial" w:eastAsia="Arial" w:hAnsi="Arial"/>
          <w:sz w:val="14"/>
          <w:szCs w:val="14"/>
          <w:color w:val="auto"/>
        </w:rPr>
        <w:t>Strengthening our distribution in the marketplace, by deepening our partnerships with key wholesale partners and expanding our DTC business;</w:t>
      </w:r>
    </w:p>
    <w:p>
      <w:pPr>
        <w:spacing w:after="0" w:line="1" w:lineRule="exact"/>
        <w:rPr>
          <w:rFonts w:ascii="Arial" w:cs="Arial" w:eastAsia="Arial" w:hAnsi="Arial"/>
          <w:sz w:val="14"/>
          <w:szCs w:val="14"/>
          <w:color w:val="auto"/>
        </w:rPr>
      </w:pPr>
    </w:p>
    <w:p>
      <w:pPr>
        <w:ind w:left="89" w:hanging="89"/>
        <w:spacing w:after="0"/>
        <w:tabs>
          <w:tab w:leader="none" w:pos="89" w:val="left"/>
        </w:tabs>
        <w:numPr>
          <w:ilvl w:val="0"/>
          <w:numId w:val="5"/>
        </w:numPr>
        <w:rPr>
          <w:rFonts w:ascii="Arial" w:cs="Arial" w:eastAsia="Arial" w:hAnsi="Arial"/>
          <w:sz w:val="14"/>
          <w:szCs w:val="14"/>
          <w:color w:val="auto"/>
        </w:rPr>
      </w:pPr>
      <w:r>
        <w:rPr>
          <w:rFonts w:ascii="Arial" w:cs="Arial" w:eastAsia="Arial" w:hAnsi="Arial"/>
          <w:sz w:val="14"/>
          <w:szCs w:val="14"/>
          <w:color w:val="auto"/>
        </w:rPr>
        <w:t>Building a global, more demand-driven operating model; and</w:t>
      </w:r>
    </w:p>
    <w:p>
      <w:pPr>
        <w:spacing w:after="0" w:line="51" w:lineRule="exact"/>
        <w:rPr>
          <w:rFonts w:ascii="Arial" w:cs="Arial" w:eastAsia="Arial" w:hAnsi="Arial"/>
          <w:sz w:val="14"/>
          <w:szCs w:val="14"/>
          <w:color w:val="auto"/>
        </w:rPr>
      </w:pPr>
    </w:p>
    <w:p>
      <w:pPr>
        <w:ind w:left="89" w:hanging="89"/>
        <w:spacing w:after="0"/>
        <w:tabs>
          <w:tab w:leader="none" w:pos="89" w:val="left"/>
        </w:tabs>
        <w:numPr>
          <w:ilvl w:val="0"/>
          <w:numId w:val="5"/>
        </w:numPr>
        <w:rPr>
          <w:rFonts w:ascii="Arial" w:cs="Arial" w:eastAsia="Arial" w:hAnsi="Arial"/>
          <w:sz w:val="14"/>
          <w:szCs w:val="14"/>
          <w:color w:val="auto"/>
        </w:rPr>
      </w:pPr>
      <w:r>
        <w:rPr>
          <w:rFonts w:ascii="Arial" w:cs="Arial" w:eastAsia="Arial" w:hAnsi="Arial"/>
          <w:sz w:val="14"/>
          <w:szCs w:val="14"/>
          <w:color w:val="auto"/>
        </w:rPr>
        <w:t>Driving operational efficiencies to power our investments in growth and marketing.</w:t>
      </w:r>
    </w:p>
    <w:p>
      <w:pPr>
        <w:spacing w:after="0" w:line="110" w:lineRule="exact"/>
        <w:rPr>
          <w:sz w:val="20"/>
          <w:szCs w:val="20"/>
          <w:color w:val="auto"/>
        </w:rPr>
      </w:pPr>
    </w:p>
    <w:p>
      <w:pPr>
        <w:jc w:val="both"/>
        <w:ind w:left="9" w:right="200"/>
        <w:spacing w:after="0" w:line="264" w:lineRule="auto"/>
        <w:rPr>
          <w:sz w:val="20"/>
          <w:szCs w:val="20"/>
          <w:color w:val="auto"/>
        </w:rPr>
      </w:pPr>
      <w:r>
        <w:rPr>
          <w:rFonts w:ascii="Arial" w:cs="Arial" w:eastAsia="Arial" w:hAnsi="Arial"/>
          <w:sz w:val="14"/>
          <w:szCs w:val="14"/>
          <w:color w:val="auto"/>
        </w:rPr>
        <w:t xml:space="preserve">We divested non-core businesses, focusing 100% of our attention behind </w:t>
      </w:r>
      <w:r>
        <w:rPr>
          <w:rFonts w:ascii="Arial" w:cs="Arial" w:eastAsia="Arial" w:hAnsi="Arial"/>
          <w:sz w:val="14"/>
          <w:szCs w:val="14"/>
          <w:i w:val="1"/>
          <w:iCs w:val="1"/>
          <w:color w:val="auto"/>
        </w:rPr>
        <w:t>Calvin</w:t>
      </w:r>
      <w:r>
        <w:rPr>
          <w:rFonts w:ascii="Arial" w:cs="Arial" w:eastAsia="Arial" w:hAnsi="Arial"/>
          <w:sz w:val="14"/>
          <w:szCs w:val="14"/>
          <w:color w:val="auto"/>
        </w:rPr>
        <w:t xml:space="preserve"> and </w:t>
      </w:r>
      <w:r>
        <w:rPr>
          <w:rFonts w:ascii="Arial" w:cs="Arial" w:eastAsia="Arial" w:hAnsi="Arial"/>
          <w:sz w:val="14"/>
          <w:szCs w:val="14"/>
          <w:i w:val="1"/>
          <w:iCs w:val="1"/>
          <w:color w:val="auto"/>
        </w:rPr>
        <w:t>TOMMY</w:t>
      </w:r>
      <w:r>
        <w:rPr>
          <w:rFonts w:ascii="Arial" w:cs="Arial" w:eastAsia="Arial" w:hAnsi="Arial"/>
          <w:sz w:val="14"/>
          <w:szCs w:val="14"/>
          <w:color w:val="auto"/>
        </w:rPr>
        <w:t xml:space="preserve"> and, on an underlying basis, we have grown those brands at a low-single-digit CAGR in constant currency since 2021.</w:t>
      </w:r>
    </w:p>
    <w:p>
      <w:pPr>
        <w:spacing w:after="0" w:line="69" w:lineRule="exact"/>
        <w:rPr>
          <w:sz w:val="20"/>
          <w:szCs w:val="20"/>
          <w:color w:val="auto"/>
        </w:rPr>
      </w:pPr>
    </w:p>
    <w:p>
      <w:pPr>
        <w:ind w:left="9"/>
        <w:spacing w:after="0" w:line="255" w:lineRule="auto"/>
        <w:rPr>
          <w:sz w:val="20"/>
          <w:szCs w:val="20"/>
          <w:color w:val="auto"/>
        </w:rPr>
      </w:pPr>
      <w:r>
        <w:rPr>
          <w:rFonts w:ascii="Arial" w:cs="Arial" w:eastAsia="Arial" w:hAnsi="Arial"/>
          <w:sz w:val="14"/>
          <w:szCs w:val="14"/>
          <w:color w:val="auto"/>
        </w:rPr>
        <w:t>Across our regions, we increased our Americas profitability to double digits, excluding tariffs; drove higher quality of sales through our initiative in Europe; and in APAC, we drove a mid-single-digit growth CAGR in constant currency over the period. We also announced a new collaboration with OpenAI to accelerate our goal of becoming a more data and demand-driven company.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right="160"/>
        <w:spacing w:after="0" w:line="251" w:lineRule="auto"/>
        <w:rPr>
          <w:sz w:val="20"/>
          <w:szCs w:val="20"/>
          <w:color w:val="auto"/>
        </w:rPr>
      </w:pPr>
      <w:r>
        <w:rPr>
          <w:rFonts w:ascii="Arial" w:cs="Arial" w:eastAsia="Arial" w:hAnsi="Arial"/>
          <w:sz w:val="14"/>
          <w:szCs w:val="14"/>
          <w:color w:val="auto"/>
        </w:rPr>
        <w:t xml:space="preserve">What is most exciting about the journey ahead of us is the strength we have built with our consumers, especially with some of the most important consumer segments in the market. Our most recent consumer research confirms that </w:t>
      </w:r>
      <w:r>
        <w:rPr>
          <w:rFonts w:ascii="Arial" w:cs="Arial" w:eastAsia="Arial" w:hAnsi="Arial"/>
          <w:sz w:val="14"/>
          <w:szCs w:val="14"/>
          <w:i w:val="1"/>
          <w:iCs w:val="1"/>
          <w:color w:val="auto"/>
        </w:rPr>
        <w:t>Calvin</w:t>
      </w:r>
      <w:r>
        <w:rPr>
          <w:rFonts w:ascii="Arial" w:cs="Arial" w:eastAsia="Arial" w:hAnsi="Arial"/>
          <w:sz w:val="14"/>
          <w:szCs w:val="14"/>
          <w:color w:val="auto"/>
        </w:rPr>
        <w:t xml:space="preserve"> and </w:t>
      </w:r>
      <w:r>
        <w:rPr>
          <w:rFonts w:ascii="Arial" w:cs="Arial" w:eastAsia="Arial" w:hAnsi="Arial"/>
          <w:sz w:val="14"/>
          <w:szCs w:val="14"/>
          <w:i w:val="1"/>
          <w:iCs w:val="1"/>
          <w:color w:val="auto"/>
        </w:rPr>
        <w:t>TOMMY</w:t>
      </w:r>
      <w:r>
        <w:rPr>
          <w:rFonts w:ascii="Arial" w:cs="Arial" w:eastAsia="Arial" w:hAnsi="Arial"/>
          <w:sz w:val="14"/>
          <w:szCs w:val="14"/>
          <w:color w:val="auto"/>
        </w:rPr>
        <w:t xml:space="preserve"> are two of the most recognized and loved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-1242060</wp:posOffset>
            </wp:positionV>
            <wp:extent cx="478790" cy="478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8790" cy="478790"/>
                    </a:xfrm>
                    <a:prstGeom prst="rect">
                      <a:avLst/>
                    </a:prstGeom>
                    <a:noFill/>
                  </pic:spPr>
                </pic:pic>
              </a:graphicData>
            </a:graphic>
          </wp:anchor>
        </w:drawing>
      </w:r>
    </w:p>
    <w:p>
      <w:pPr>
        <w:ind w:right="40"/>
        <w:spacing w:after="0" w:line="251" w:lineRule="auto"/>
        <w:rPr>
          <w:sz w:val="20"/>
          <w:szCs w:val="20"/>
          <w:color w:val="auto"/>
        </w:rPr>
      </w:pPr>
      <w:r>
        <w:rPr>
          <w:rFonts w:ascii="Arial" w:cs="Arial" w:eastAsia="Arial" w:hAnsi="Arial"/>
          <w:sz w:val="14"/>
          <w:szCs w:val="14"/>
          <w:color w:val="auto"/>
        </w:rPr>
        <w:t xml:space="preserve">globally — particularly with Gen Z and younger Millennial consumers — and have clear product authority in some of the biggest and growing categories in the market. This is a result of our multi-year work to ignite </w:t>
      </w:r>
      <w:r>
        <w:rPr>
          <w:rFonts w:ascii="Arial" w:cs="Arial" w:eastAsia="Arial" w:hAnsi="Arial"/>
          <w:sz w:val="14"/>
          <w:szCs w:val="14"/>
          <w:i w:val="1"/>
          <w:iCs w:val="1"/>
          <w:color w:val="auto"/>
        </w:rPr>
        <w:t>Calvin</w:t>
      </w:r>
      <w:r>
        <w:rPr>
          <w:rFonts w:ascii="Arial" w:cs="Arial" w:eastAsia="Arial" w:hAnsi="Arial"/>
          <w:sz w:val="14"/>
          <w:szCs w:val="14"/>
          <w:color w:val="auto"/>
        </w:rPr>
        <w:t xml:space="preserve"> and </w:t>
      </w:r>
      <w:r>
        <w:rPr>
          <w:rFonts w:ascii="Arial" w:cs="Arial" w:eastAsia="Arial" w:hAnsi="Arial"/>
          <w:sz w:val="14"/>
          <w:szCs w:val="14"/>
          <w:i w:val="1"/>
          <w:iCs w:val="1"/>
          <w:color w:val="auto"/>
        </w:rPr>
        <w:t>TOMMY</w:t>
      </w:r>
      <w:r>
        <w:rPr>
          <w:rFonts w:ascii="Arial" w:cs="Arial" w:eastAsia="Arial" w:hAnsi="Arial"/>
          <w:sz w:val="14"/>
          <w:szCs w:val="14"/>
          <w:color w:val="auto"/>
        </w:rPr>
        <w:t>’s brand DNA and make them even more relevant for today.</w:t>
      </w:r>
    </w:p>
    <w:p>
      <w:pPr>
        <w:spacing w:after="0" w:line="78"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 xml:space="preserve">We are entering 2026 with positive momentum and remain focused on driving sustainable, profitable growth. While the macro environment remains uneven, our strategy is clear: to build on the strong foundation we have created to unlock the full potential of </w:t>
      </w:r>
      <w:r>
        <w:rPr>
          <w:rFonts w:ascii="Arial" w:cs="Arial" w:eastAsia="Arial" w:hAnsi="Arial"/>
          <w:sz w:val="14"/>
          <w:szCs w:val="14"/>
          <w:i w:val="1"/>
          <w:iCs w:val="1"/>
          <w:color w:val="auto"/>
        </w:rPr>
        <w:t>Calvin Klein</w:t>
      </w:r>
      <w:r>
        <w:rPr>
          <w:rFonts w:ascii="Arial" w:cs="Arial" w:eastAsia="Arial" w:hAnsi="Arial"/>
          <w:sz w:val="14"/>
          <w:szCs w:val="14"/>
          <w:color w:val="auto"/>
        </w:rPr>
        <w:t xml:space="preserve"> and </w:t>
      </w:r>
      <w:r>
        <w:rPr>
          <w:rFonts w:ascii="Arial" w:cs="Arial" w:eastAsia="Arial" w:hAnsi="Arial"/>
          <w:sz w:val="14"/>
          <w:szCs w:val="14"/>
          <w:i w:val="1"/>
          <w:iCs w:val="1"/>
          <w:color w:val="auto"/>
        </w:rPr>
        <w:t>TOMMY HILFIGER</w:t>
      </w:r>
      <w:r>
        <w:rPr>
          <w:rFonts w:ascii="Arial" w:cs="Arial" w:eastAsia="Arial" w:hAnsi="Arial"/>
          <w:sz w:val="14"/>
          <w:szCs w:val="14"/>
          <w:color w:val="auto"/>
        </w:rPr>
        <w:t xml:space="preserve"> and deliver long-term value to our stockholders.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Thank you for your partnership on this journey.</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233805" cy="3213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33805" cy="321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Stefan Larsson, Chief Executive Officer</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 Reconciliations to GAAP amounts appear on Exhibit A</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DEAR FELLOW STOCKHOLDERS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213360</wp:posOffset>
            </wp:positionV>
            <wp:extent cx="695515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2">
            <w:col w:w="5229" w:space="460"/>
            <w:col w:w="5260"/>
          </w:cols>
          <w:pgMar w:left="471" w:top="1440" w:right="479" w:bottom="1440" w:gutter="0" w:footer="0" w:header="0"/>
        </w:sectPr>
      </w:pPr>
    </w:p>
    <w:bookmarkStart w:id="6" w:name="page7"/>
    <w:bookmarkEnd w:id="6"/>
    <w:p>
      <w:pPr>
        <w:spacing w:after="0"/>
        <w:rPr>
          <w:sz w:val="20"/>
          <w:szCs w:val="20"/>
          <w:color w:val="auto"/>
        </w:rPr>
      </w:pPr>
      <w:r>
        <w:rPr>
          <w:rFonts w:ascii="Arial" w:cs="Arial" w:eastAsia="Arial" w:hAnsi="Arial"/>
          <w:sz w:val="40"/>
          <w:szCs w:val="40"/>
          <w:b w:val="1"/>
          <w:bCs w:val="1"/>
          <w:color w:val="auto"/>
        </w:rPr>
        <w:t>Table of Contents</w:t>
      </w:r>
    </w:p>
    <w:p>
      <w:pPr>
        <w:sectPr>
          <w:pgSz w:w="11900" w:h="16838" w:orient="portrait"/>
          <w:cols w:equalWidth="0" w:num="1">
            <w:col w:w="10940"/>
          </w:cols>
          <w:pgMar w:left="480" w:top="9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gridSpan w:val="30"/>
          </w:tcPr>
          <w:p>
            <w:pPr>
              <w:spacing w:after="0"/>
              <w:rPr>
                <w:sz w:val="20"/>
                <w:szCs w:val="20"/>
                <w:color w:val="auto"/>
              </w:rPr>
            </w:pPr>
            <w:r>
              <w:rPr>
                <w:rFonts w:ascii="Arial" w:cs="Arial" w:eastAsia="Arial" w:hAnsi="Arial"/>
                <w:sz w:val="14"/>
                <w:szCs w:val="14"/>
                <w:b w:val="1"/>
                <w:bCs w:val="1"/>
                <w:color w:val="0000EE"/>
              </w:rPr>
              <w:t>Notice of 2026 Annual Meeting of Stockholders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86"/>
        </w:trPr>
        <w:tc>
          <w:tcPr>
            <w:tcW w:w="3140" w:type="dxa"/>
            <w:vAlign w:val="bottom"/>
            <w:tcBorders>
              <w:top w:val="single" w:sz="8" w:color="0000EE"/>
            </w:tcBorders>
            <w:gridSpan w:val="28"/>
          </w:tcPr>
          <w:p>
            <w:pPr>
              <w:spacing w:after="0"/>
              <w:rPr>
                <w:sz w:val="20"/>
                <w:szCs w:val="20"/>
                <w:color w:val="auto"/>
              </w:rPr>
            </w:pPr>
            <w:r>
              <w:rPr>
                <w:rFonts w:ascii="Arial" w:cs="Arial" w:eastAsia="Arial" w:hAnsi="Arial"/>
                <w:sz w:val="14"/>
                <w:szCs w:val="14"/>
                <w:b w:val="1"/>
                <w:bCs w:val="1"/>
                <w:color w:val="6D98AD"/>
              </w:rPr>
              <w:t>Proxy Summary</w:t>
            </w:r>
          </w:p>
        </w:tc>
        <w:tc>
          <w:tcPr>
            <w:tcW w:w="146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6D98AD"/>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600" w:type="dxa"/>
            <w:vAlign w:val="bottom"/>
            <w:gridSpan w:val="30"/>
          </w:tcPr>
          <w:p>
            <w:pPr>
              <w:spacing w:after="0"/>
              <w:rPr>
                <w:sz w:val="20"/>
                <w:szCs w:val="20"/>
                <w:color w:val="auto"/>
              </w:rPr>
            </w:pPr>
            <w:r>
              <w:rPr>
                <w:rFonts w:ascii="Arial" w:cs="Arial" w:eastAsia="Arial" w:hAnsi="Arial"/>
                <w:sz w:val="14"/>
                <w:szCs w:val="14"/>
                <w:b w:val="1"/>
                <w:bCs w:val="1"/>
                <w:color w:val="0000EE"/>
              </w:rPr>
              <w:t>Proposal 1: Election of Directors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286"/>
        </w:trPr>
        <w:tc>
          <w:tcPr>
            <w:tcW w:w="2180" w:type="dxa"/>
            <w:vAlign w:val="bottom"/>
            <w:tcBorders>
              <w:top w:val="single" w:sz="8" w:color="0000EE"/>
            </w:tcBorders>
            <w:gridSpan w:val="20"/>
          </w:tcPr>
          <w:p>
            <w:pPr>
              <w:spacing w:after="0"/>
              <w:rPr>
                <w:sz w:val="20"/>
                <w:szCs w:val="20"/>
                <w:color w:val="auto"/>
              </w:rPr>
            </w:pPr>
            <w:r>
              <w:rPr>
                <w:rFonts w:ascii="Arial" w:cs="Arial" w:eastAsia="Arial" w:hAnsi="Arial"/>
                <w:sz w:val="14"/>
                <w:szCs w:val="14"/>
                <w:b w:val="1"/>
                <w:bCs w:val="1"/>
                <w:color w:val="0000EE"/>
              </w:rPr>
              <w:t>Corporate Governance</w:t>
            </w:r>
          </w:p>
        </w:tc>
        <w:tc>
          <w:tcPr>
            <w:tcW w:w="2420" w:type="dxa"/>
            <w:vAlign w:val="bottom"/>
            <w:gridSpan w:val="10"/>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286"/>
        </w:trPr>
        <w:tc>
          <w:tcPr>
            <w:tcW w:w="1520" w:type="dxa"/>
            <w:vAlign w:val="bottom"/>
            <w:tcBorders>
              <w:top w:val="single" w:sz="8" w:color="0000EE"/>
            </w:tcBorders>
            <w:gridSpan w:val="10"/>
          </w:tcPr>
          <w:p>
            <w:pPr>
              <w:spacing w:after="0"/>
              <w:rPr>
                <w:sz w:val="20"/>
                <w:szCs w:val="20"/>
                <w:color w:val="auto"/>
              </w:rPr>
            </w:pPr>
            <w:r>
              <w:rPr>
                <w:rFonts w:ascii="Arial" w:cs="Arial" w:eastAsia="Arial" w:hAnsi="Arial"/>
                <w:sz w:val="14"/>
                <w:szCs w:val="14"/>
                <w:color w:val="0000EE"/>
              </w:rPr>
              <w:t>Independence</w:t>
            </w:r>
          </w:p>
        </w:tc>
        <w:tc>
          <w:tcPr>
            <w:tcW w:w="3080" w:type="dxa"/>
            <w:vAlign w:val="bottom"/>
            <w:gridSpan w:val="20"/>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2140" w:type="dxa"/>
            <w:vAlign w:val="bottom"/>
            <w:tcBorders>
              <w:bottom w:val="single" w:sz="8" w:color="0000EE"/>
            </w:tcBorders>
            <w:gridSpan w:val="18"/>
          </w:tcPr>
          <w:p>
            <w:pPr>
              <w:spacing w:after="0"/>
              <w:rPr>
                <w:sz w:val="20"/>
                <w:szCs w:val="20"/>
                <w:color w:val="auto"/>
              </w:rPr>
            </w:pPr>
            <w:r>
              <w:rPr>
                <w:rFonts w:ascii="Arial" w:cs="Arial" w:eastAsia="Arial" w:hAnsi="Arial"/>
                <w:sz w:val="14"/>
                <w:szCs w:val="14"/>
                <w:color w:val="0000EE"/>
                <w:w w:val="99"/>
              </w:rPr>
              <w:t>Leadership Structure of the Board</w:t>
            </w:r>
          </w:p>
        </w:tc>
        <w:tc>
          <w:tcPr>
            <w:tcW w:w="246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86"/>
        </w:trPr>
        <w:tc>
          <w:tcPr>
            <w:tcW w:w="92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w w:val="98"/>
              </w:rPr>
              <w:t>Risk Oversight</w:t>
            </w:r>
          </w:p>
        </w:tc>
        <w:tc>
          <w:tcPr>
            <w:tcW w:w="3680" w:type="dxa"/>
            <w:vAlign w:val="bottom"/>
            <w:gridSpan w:val="2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86"/>
        </w:trPr>
        <w:tc>
          <w:tcPr>
            <w:tcW w:w="4600" w:type="dxa"/>
            <w:vAlign w:val="bottom"/>
            <w:gridSpan w:val="30"/>
          </w:tcPr>
          <w:p>
            <w:pPr>
              <w:spacing w:after="0"/>
              <w:rPr>
                <w:sz w:val="20"/>
                <w:szCs w:val="20"/>
                <w:color w:val="auto"/>
              </w:rPr>
            </w:pPr>
            <w:r>
              <w:rPr>
                <w:rFonts w:ascii="Arial" w:cs="Arial" w:eastAsia="Arial" w:hAnsi="Arial"/>
                <w:sz w:val="14"/>
                <w:szCs w:val="14"/>
                <w:color w:val="0000EE"/>
              </w:rPr>
              <w:t>Board, Committee and Director Evaluations</w:t>
            </w:r>
          </w:p>
        </w:tc>
        <w:tc>
          <w:tcPr>
            <w:tcW w:w="64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86"/>
        </w:trPr>
        <w:tc>
          <w:tcPr>
            <w:tcW w:w="122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4"/>
                <w:szCs w:val="14"/>
                <w:color w:val="0000EE"/>
                <w:w w:val="98"/>
              </w:rPr>
              <w:t>Board Refreshment</w:t>
            </w:r>
          </w:p>
        </w:tc>
        <w:tc>
          <w:tcPr>
            <w:tcW w:w="1480" w:type="dxa"/>
            <w:vAlign w:val="bottom"/>
            <w:tcBorders>
              <w:top w:val="single" w:sz="8" w:color="0000EE"/>
            </w:tcBorders>
            <w:gridSpan w:val="20"/>
          </w:tcPr>
          <w:p>
            <w:pPr>
              <w:spacing w:after="0"/>
              <w:rPr>
                <w:sz w:val="24"/>
                <w:szCs w:val="24"/>
                <w:color w:val="auto"/>
              </w:rPr>
            </w:pPr>
          </w:p>
        </w:tc>
        <w:tc>
          <w:tcPr>
            <w:tcW w:w="190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86"/>
        </w:trPr>
        <w:tc>
          <w:tcPr>
            <w:tcW w:w="2380" w:type="dxa"/>
            <w:vAlign w:val="bottom"/>
            <w:tcBorders>
              <w:bottom w:val="single" w:sz="8" w:color="0000EE"/>
            </w:tcBorders>
            <w:gridSpan w:val="24"/>
          </w:tcPr>
          <w:p>
            <w:pPr>
              <w:spacing w:after="0"/>
              <w:rPr>
                <w:sz w:val="20"/>
                <w:szCs w:val="20"/>
                <w:color w:val="auto"/>
              </w:rPr>
            </w:pPr>
            <w:r>
              <w:rPr>
                <w:rFonts w:ascii="Arial" w:cs="Arial" w:eastAsia="Arial" w:hAnsi="Arial"/>
                <w:sz w:val="14"/>
                <w:szCs w:val="14"/>
                <w:color w:val="0000EE"/>
              </w:rPr>
              <w:t>Evaluating current Board Composition</w:t>
            </w:r>
          </w:p>
        </w:tc>
        <w:tc>
          <w:tcPr>
            <w:tcW w:w="222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86"/>
        </w:trPr>
        <w:tc>
          <w:tcPr>
            <w:tcW w:w="132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0000EE"/>
                <w:w w:val="93"/>
              </w:rPr>
              <w:t>Director Qualifications</w:t>
            </w:r>
          </w:p>
        </w:tc>
        <w:tc>
          <w:tcPr>
            <w:tcW w:w="3280" w:type="dxa"/>
            <w:vAlign w:val="bottom"/>
            <w:gridSpan w:val="2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86"/>
        </w:trPr>
        <w:tc>
          <w:tcPr>
            <w:tcW w:w="2160" w:type="dxa"/>
            <w:vAlign w:val="bottom"/>
            <w:tcBorders>
              <w:bottom w:val="single" w:sz="8" w:color="0000EE"/>
            </w:tcBorders>
            <w:gridSpan w:val="19"/>
          </w:tcPr>
          <w:p>
            <w:pPr>
              <w:spacing w:after="0"/>
              <w:rPr>
                <w:sz w:val="20"/>
                <w:szCs w:val="20"/>
                <w:color w:val="auto"/>
              </w:rPr>
            </w:pPr>
            <w:r>
              <w:rPr>
                <w:rFonts w:ascii="Arial" w:cs="Arial" w:eastAsia="Arial" w:hAnsi="Arial"/>
                <w:sz w:val="14"/>
                <w:szCs w:val="14"/>
                <w:color w:val="0000EE"/>
                <w:w w:val="99"/>
              </w:rPr>
              <w:t>Identifying Potential New Directors</w:t>
            </w:r>
          </w:p>
        </w:tc>
        <w:tc>
          <w:tcPr>
            <w:tcW w:w="244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86"/>
        </w:trPr>
        <w:tc>
          <w:tcPr>
            <w:tcW w:w="4600" w:type="dxa"/>
            <w:vAlign w:val="bottom"/>
            <w:gridSpan w:val="30"/>
          </w:tcPr>
          <w:p>
            <w:pPr>
              <w:spacing w:after="0"/>
              <w:rPr>
                <w:sz w:val="20"/>
                <w:szCs w:val="20"/>
                <w:color w:val="auto"/>
              </w:rPr>
            </w:pPr>
            <w:r>
              <w:rPr>
                <w:rFonts w:ascii="Arial" w:cs="Arial" w:eastAsia="Arial" w:hAnsi="Arial"/>
                <w:sz w:val="14"/>
                <w:szCs w:val="14"/>
                <w:color w:val="0000EE"/>
              </w:rPr>
              <w:t>Proxy Access</w:t>
            </w:r>
          </w:p>
        </w:tc>
        <w:tc>
          <w:tcPr>
            <w:tcW w:w="6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600" w:type="dxa"/>
            <w:vAlign w:val="bottom"/>
            <w:gridSpan w:val="30"/>
          </w:tcPr>
          <w:p>
            <w:pPr>
              <w:spacing w:after="0"/>
              <w:rPr>
                <w:sz w:val="20"/>
                <w:szCs w:val="20"/>
                <w:color w:val="auto"/>
              </w:rPr>
            </w:pPr>
            <w:r>
              <w:rPr>
                <w:rFonts w:ascii="Arial" w:cs="Arial" w:eastAsia="Arial" w:hAnsi="Arial"/>
                <w:sz w:val="14"/>
                <w:szCs w:val="14"/>
                <w:color w:val="0000EE"/>
              </w:rPr>
              <w:t>Mandatory Retirement</w:t>
            </w:r>
          </w:p>
        </w:tc>
        <w:tc>
          <w:tcPr>
            <w:tcW w:w="6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58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color w:val="0000EE"/>
                <w:w w:val="99"/>
              </w:rPr>
              <w:t>Stockholder Engagement</w:t>
            </w:r>
          </w:p>
        </w:tc>
        <w:tc>
          <w:tcPr>
            <w:tcW w:w="3020" w:type="dxa"/>
            <w:vAlign w:val="bottom"/>
            <w:gridSpan w:val="18"/>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86"/>
        </w:trPr>
        <w:tc>
          <w:tcPr>
            <w:tcW w:w="4600" w:type="dxa"/>
            <w:vAlign w:val="bottom"/>
            <w:gridSpan w:val="30"/>
          </w:tcPr>
          <w:p>
            <w:pPr>
              <w:spacing w:after="0"/>
              <w:rPr>
                <w:sz w:val="20"/>
                <w:szCs w:val="20"/>
                <w:color w:val="auto"/>
              </w:rPr>
            </w:pPr>
            <w:r>
              <w:rPr>
                <w:rFonts w:ascii="Arial" w:cs="Arial" w:eastAsia="Arial" w:hAnsi="Arial"/>
                <w:sz w:val="14"/>
                <w:szCs w:val="14"/>
                <w:color w:val="0000EE"/>
              </w:rPr>
              <w:t>Director On-Boarding</w:t>
            </w:r>
          </w:p>
        </w:tc>
        <w:tc>
          <w:tcPr>
            <w:tcW w:w="6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600" w:type="dxa"/>
            <w:vAlign w:val="bottom"/>
            <w:gridSpan w:val="30"/>
          </w:tcPr>
          <w:p>
            <w:pPr>
              <w:spacing w:after="0"/>
              <w:rPr>
                <w:sz w:val="20"/>
                <w:szCs w:val="20"/>
                <w:color w:val="auto"/>
              </w:rPr>
            </w:pPr>
            <w:r>
              <w:rPr>
                <w:rFonts w:ascii="Arial" w:cs="Arial" w:eastAsia="Arial" w:hAnsi="Arial"/>
                <w:sz w:val="14"/>
                <w:szCs w:val="14"/>
                <w:color w:val="0000EE"/>
              </w:rPr>
              <w:t>Ongoing Director Education</w:t>
            </w:r>
          </w:p>
        </w:tc>
        <w:tc>
          <w:tcPr>
            <w:tcW w:w="6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2280" w:type="dxa"/>
            <w:vAlign w:val="bottom"/>
            <w:tcBorders>
              <w:bottom w:val="single" w:sz="8" w:color="0000EE"/>
            </w:tcBorders>
            <w:gridSpan w:val="23"/>
          </w:tcPr>
          <w:p>
            <w:pPr>
              <w:spacing w:after="0"/>
              <w:rPr>
                <w:sz w:val="20"/>
                <w:szCs w:val="20"/>
                <w:color w:val="auto"/>
              </w:rPr>
            </w:pPr>
            <w:r>
              <w:rPr>
                <w:rFonts w:ascii="Arial" w:cs="Arial" w:eastAsia="Arial" w:hAnsi="Arial"/>
                <w:sz w:val="14"/>
                <w:szCs w:val="14"/>
                <w:color w:val="0000EE"/>
              </w:rPr>
              <w:t>Restrictions on Other Board Service</w:t>
            </w:r>
          </w:p>
        </w:tc>
        <w:tc>
          <w:tcPr>
            <w:tcW w:w="232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86"/>
        </w:trPr>
        <w:tc>
          <w:tcPr>
            <w:tcW w:w="4600" w:type="dxa"/>
            <w:vAlign w:val="bottom"/>
            <w:gridSpan w:val="30"/>
          </w:tcPr>
          <w:p>
            <w:pPr>
              <w:spacing w:after="0"/>
              <w:rPr>
                <w:sz w:val="20"/>
                <w:szCs w:val="20"/>
                <w:color w:val="auto"/>
              </w:rPr>
            </w:pPr>
            <w:r>
              <w:rPr>
                <w:rFonts w:ascii="Arial" w:cs="Arial" w:eastAsia="Arial" w:hAnsi="Arial"/>
                <w:sz w:val="14"/>
                <w:szCs w:val="14"/>
                <w:color w:val="0000EE"/>
              </w:rPr>
              <w:t>Management Succession Planning</w:t>
            </w:r>
          </w:p>
        </w:tc>
        <w:tc>
          <w:tcPr>
            <w:tcW w:w="64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86"/>
        </w:trPr>
        <w:tc>
          <w:tcPr>
            <w:tcW w:w="2160" w:type="dxa"/>
            <w:vAlign w:val="bottom"/>
            <w:tcBorders>
              <w:top w:val="single" w:sz="8" w:color="0000EE"/>
            </w:tcBorders>
            <w:gridSpan w:val="19"/>
          </w:tcPr>
          <w:p>
            <w:pPr>
              <w:spacing w:after="0"/>
              <w:rPr>
                <w:sz w:val="20"/>
                <w:szCs w:val="20"/>
                <w:color w:val="auto"/>
              </w:rPr>
            </w:pPr>
            <w:r>
              <w:rPr>
                <w:rFonts w:ascii="Arial" w:cs="Arial" w:eastAsia="Arial" w:hAnsi="Arial"/>
                <w:sz w:val="14"/>
                <w:szCs w:val="14"/>
                <w:color w:val="0000EE"/>
              </w:rPr>
              <w:t>Committees</w:t>
            </w:r>
          </w:p>
        </w:tc>
        <w:tc>
          <w:tcPr>
            <w:tcW w:w="244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86"/>
        </w:trPr>
        <w:tc>
          <w:tcPr>
            <w:tcW w:w="740" w:type="dxa"/>
            <w:vAlign w:val="bottom"/>
            <w:tcBorders>
              <w:top w:val="single" w:sz="8" w:color="0000EE"/>
            </w:tcBorders>
            <w:gridSpan w:val="2"/>
          </w:tcPr>
          <w:p>
            <w:pPr>
              <w:spacing w:after="0"/>
              <w:rPr>
                <w:sz w:val="20"/>
                <w:szCs w:val="20"/>
                <w:color w:val="auto"/>
              </w:rPr>
            </w:pPr>
            <w:r>
              <w:rPr>
                <w:rFonts w:ascii="Arial" w:cs="Arial" w:eastAsia="Arial" w:hAnsi="Arial"/>
                <w:sz w:val="14"/>
                <w:szCs w:val="14"/>
                <w:color w:val="0000EE"/>
              </w:rPr>
              <w:t>Meetings</w:t>
            </w:r>
          </w:p>
        </w:tc>
        <w:tc>
          <w:tcPr>
            <w:tcW w:w="3860" w:type="dxa"/>
            <w:vAlign w:val="bottom"/>
            <w:gridSpan w:val="28"/>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22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0000EE"/>
                <w:w w:val="98"/>
              </w:rPr>
              <w:t>Executive Sessions</w:t>
            </w:r>
          </w:p>
        </w:tc>
        <w:tc>
          <w:tcPr>
            <w:tcW w:w="3380" w:type="dxa"/>
            <w:vAlign w:val="bottom"/>
            <w:gridSpan w:val="2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86"/>
        </w:trPr>
        <w:tc>
          <w:tcPr>
            <w:tcW w:w="106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rPr>
              <w:t>CEO Evaluation</w:t>
            </w:r>
          </w:p>
        </w:tc>
        <w:tc>
          <w:tcPr>
            <w:tcW w:w="3540" w:type="dxa"/>
            <w:vAlign w:val="bottom"/>
            <w:gridSpan w:val="2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86"/>
        </w:trPr>
        <w:tc>
          <w:tcPr>
            <w:tcW w:w="4600" w:type="dxa"/>
            <w:vAlign w:val="bottom"/>
            <w:gridSpan w:val="30"/>
          </w:tcPr>
          <w:p>
            <w:pPr>
              <w:spacing w:after="0"/>
              <w:rPr>
                <w:sz w:val="20"/>
                <w:szCs w:val="20"/>
                <w:color w:val="auto"/>
              </w:rPr>
            </w:pPr>
            <w:r>
              <w:rPr>
                <w:rFonts w:ascii="Arial" w:cs="Arial" w:eastAsia="Arial" w:hAnsi="Arial"/>
                <w:sz w:val="14"/>
                <w:szCs w:val="14"/>
                <w:color w:val="0000EE"/>
              </w:rPr>
              <w:t>Transactions with Related Persons</w:t>
            </w:r>
          </w:p>
        </w:tc>
        <w:tc>
          <w:tcPr>
            <w:tcW w:w="64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86"/>
        </w:trPr>
        <w:tc>
          <w:tcPr>
            <w:tcW w:w="2160" w:type="dxa"/>
            <w:vAlign w:val="bottom"/>
            <w:tcBorders>
              <w:top w:val="single" w:sz="8" w:color="0000EE"/>
            </w:tcBorders>
            <w:gridSpan w:val="19"/>
          </w:tcPr>
          <w:p>
            <w:pPr>
              <w:spacing w:after="0"/>
              <w:rPr>
                <w:sz w:val="20"/>
                <w:szCs w:val="20"/>
                <w:color w:val="auto"/>
              </w:rPr>
            </w:pPr>
            <w:r>
              <w:rPr>
                <w:rFonts w:ascii="Arial" w:cs="Arial" w:eastAsia="Arial" w:hAnsi="Arial"/>
                <w:sz w:val="14"/>
                <w:szCs w:val="14"/>
                <w:color w:val="0000EE"/>
              </w:rPr>
              <w:t>Insider Trading Policy</w:t>
            </w:r>
          </w:p>
        </w:tc>
        <w:tc>
          <w:tcPr>
            <w:tcW w:w="244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1080" w:type="dxa"/>
            <w:vAlign w:val="bottom"/>
            <w:gridSpan w:val="6"/>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40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w w:val="99"/>
              </w:rPr>
              <w:t>Governing Documents</w:t>
            </w:r>
          </w:p>
        </w:tc>
        <w:tc>
          <w:tcPr>
            <w:tcW w:w="3200" w:type="dxa"/>
            <w:vAlign w:val="bottom"/>
            <w:gridSpan w:val="21"/>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86"/>
        </w:trPr>
        <w:tc>
          <w:tcPr>
            <w:tcW w:w="4600" w:type="dxa"/>
            <w:vAlign w:val="bottom"/>
            <w:gridSpan w:val="30"/>
          </w:tcPr>
          <w:p>
            <w:pPr>
              <w:spacing w:after="0"/>
              <w:rPr>
                <w:sz w:val="20"/>
                <w:szCs w:val="20"/>
                <w:color w:val="auto"/>
              </w:rPr>
            </w:pPr>
            <w:r>
              <w:rPr>
                <w:rFonts w:ascii="Arial" w:cs="Arial" w:eastAsia="Arial" w:hAnsi="Arial"/>
                <w:sz w:val="14"/>
                <w:szCs w:val="14"/>
                <w:color w:val="0000EE"/>
              </w:rPr>
              <w:t>How to Contact the Board</w:t>
            </w:r>
          </w:p>
        </w:tc>
        <w:tc>
          <w:tcPr>
            <w:tcW w:w="64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1080" w:type="dxa"/>
            <w:vAlign w:val="bottom"/>
            <w:gridSpan w:val="6"/>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600" w:type="dxa"/>
            <w:vAlign w:val="bottom"/>
            <w:tcBorders>
              <w:bottom w:val="single" w:sz="8" w:color="0000EE"/>
            </w:tcBorders>
            <w:gridSpan w:val="30"/>
          </w:tcPr>
          <w:p>
            <w:pPr>
              <w:spacing w:after="0"/>
              <w:rPr>
                <w:sz w:val="20"/>
                <w:szCs w:val="20"/>
                <w:color w:val="auto"/>
              </w:rPr>
            </w:pPr>
            <w:r>
              <w:rPr>
                <w:rFonts w:ascii="Arial" w:cs="Arial" w:eastAsia="Arial" w:hAnsi="Arial"/>
                <w:sz w:val="14"/>
                <w:szCs w:val="14"/>
                <w:color w:val="0000EE"/>
                <w:w w:val="99"/>
              </w:rPr>
              <w:t>Values, Governance, Human Capital Resources, Corporate Responsibility</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5"/>
        </w:trPr>
        <w:tc>
          <w:tcPr>
            <w:tcW w:w="2260" w:type="dxa"/>
            <w:vAlign w:val="bottom"/>
            <w:tcBorders>
              <w:bottom w:val="single" w:sz="8" w:color="0000EE"/>
            </w:tcBorders>
            <w:gridSpan w:val="22"/>
          </w:tcPr>
          <w:p>
            <w:pPr>
              <w:spacing w:after="0" w:line="145" w:lineRule="exact"/>
              <w:rPr>
                <w:sz w:val="20"/>
                <w:szCs w:val="20"/>
                <w:color w:val="auto"/>
              </w:rPr>
            </w:pPr>
            <w:r>
              <w:rPr>
                <w:rFonts w:ascii="Arial" w:cs="Arial" w:eastAsia="Arial" w:hAnsi="Arial"/>
                <w:sz w:val="14"/>
                <w:szCs w:val="14"/>
                <w:color w:val="0000EE"/>
              </w:rPr>
              <w:t>and Political and Lobbying Activities</w:t>
            </w:r>
          </w:p>
        </w:tc>
        <w:tc>
          <w:tcPr>
            <w:tcW w:w="2340" w:type="dxa"/>
            <w:vAlign w:val="bottom"/>
            <w:gridSpan w:val="8"/>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156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b w:val="1"/>
                <w:bCs w:val="1"/>
                <w:color w:val="0000EE"/>
                <w:w w:val="99"/>
              </w:rPr>
              <w:t>Director Compensation</w:t>
            </w:r>
          </w:p>
        </w:tc>
        <w:tc>
          <w:tcPr>
            <w:tcW w:w="3040" w:type="dxa"/>
            <w:vAlign w:val="bottom"/>
            <w:gridSpan w:val="19"/>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286"/>
        </w:trPr>
        <w:tc>
          <w:tcPr>
            <w:tcW w:w="108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w w:val="98"/>
              </w:rPr>
              <w:t>Annual Retainers</w:t>
            </w:r>
          </w:p>
        </w:tc>
        <w:tc>
          <w:tcPr>
            <w:tcW w:w="3520" w:type="dxa"/>
            <w:vAlign w:val="bottom"/>
            <w:gridSpan w:val="2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86"/>
        </w:trPr>
        <w:tc>
          <w:tcPr>
            <w:tcW w:w="4600" w:type="dxa"/>
            <w:vAlign w:val="bottom"/>
            <w:gridSpan w:val="30"/>
          </w:tcPr>
          <w:p>
            <w:pPr>
              <w:spacing w:after="0"/>
              <w:rPr>
                <w:sz w:val="20"/>
                <w:szCs w:val="20"/>
                <w:color w:val="auto"/>
              </w:rPr>
            </w:pPr>
            <w:r>
              <w:rPr>
                <w:rFonts w:ascii="Arial" w:cs="Arial" w:eastAsia="Arial" w:hAnsi="Arial"/>
                <w:sz w:val="14"/>
                <w:szCs w:val="14"/>
                <w:color w:val="0000EE"/>
              </w:rPr>
              <w:t>Stock Ownership Guidelines</w:t>
            </w:r>
          </w:p>
        </w:tc>
        <w:tc>
          <w:tcPr>
            <w:tcW w:w="64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86"/>
        </w:trPr>
        <w:tc>
          <w:tcPr>
            <w:tcW w:w="132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4"/>
                <w:szCs w:val="14"/>
                <w:color w:val="0000EE"/>
              </w:rPr>
              <w:t>2025 Compensation</w:t>
            </w:r>
          </w:p>
        </w:tc>
        <w:tc>
          <w:tcPr>
            <w:tcW w:w="440" w:type="dxa"/>
            <w:vAlign w:val="bottom"/>
            <w:tcBorders>
              <w:top w:val="single" w:sz="8" w:color="0000EE"/>
            </w:tcBorders>
            <w:gridSpan w:val="7"/>
          </w:tcPr>
          <w:p>
            <w:pPr>
              <w:spacing w:after="0"/>
              <w:rPr>
                <w:sz w:val="24"/>
                <w:szCs w:val="24"/>
                <w:color w:val="auto"/>
              </w:rPr>
            </w:pPr>
          </w:p>
        </w:tc>
        <w:tc>
          <w:tcPr>
            <w:tcW w:w="2840" w:type="dxa"/>
            <w:vAlign w:val="bottom"/>
            <w:gridSpan w:val="1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86"/>
        </w:trPr>
        <w:tc>
          <w:tcPr>
            <w:tcW w:w="3680" w:type="dxa"/>
            <w:vAlign w:val="bottom"/>
            <w:tcBorders>
              <w:bottom w:val="single" w:sz="8" w:color="0000EE"/>
            </w:tcBorders>
            <w:gridSpan w:val="29"/>
          </w:tcPr>
          <w:p>
            <w:pPr>
              <w:spacing w:after="0"/>
              <w:rPr>
                <w:sz w:val="20"/>
                <w:szCs w:val="20"/>
                <w:color w:val="auto"/>
              </w:rPr>
            </w:pPr>
            <w:r>
              <w:rPr>
                <w:rFonts w:ascii="Arial" w:cs="Arial" w:eastAsia="Arial" w:hAnsi="Arial"/>
                <w:sz w:val="14"/>
                <w:szCs w:val="14"/>
                <w:b w:val="1"/>
                <w:bCs w:val="1"/>
                <w:color w:val="0000EE"/>
              </w:rPr>
              <w:t>Proposal 2: Advisory Vote on Executive Compensation</w:t>
            </w:r>
          </w:p>
        </w:tc>
        <w:tc>
          <w:tcPr>
            <w:tcW w:w="9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286"/>
        </w:trPr>
        <w:tc>
          <w:tcPr>
            <w:tcW w:w="4600" w:type="dxa"/>
            <w:vAlign w:val="bottom"/>
            <w:gridSpan w:val="30"/>
          </w:tcPr>
          <w:p>
            <w:pPr>
              <w:spacing w:after="0"/>
              <w:rPr>
                <w:sz w:val="20"/>
                <w:szCs w:val="20"/>
                <w:color w:val="auto"/>
              </w:rPr>
            </w:pPr>
            <w:r>
              <w:rPr>
                <w:rFonts w:ascii="Arial" w:cs="Arial" w:eastAsia="Arial" w:hAnsi="Arial"/>
                <w:sz w:val="14"/>
                <w:szCs w:val="14"/>
                <w:b w:val="1"/>
                <w:bCs w:val="1"/>
                <w:color w:val="6D98AD"/>
              </w:rPr>
              <w:t>Compensation Discussion &amp; Analysis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6D98AD"/>
              </w:rPr>
              <w:t>38</w:t>
            </w:r>
          </w:p>
        </w:tc>
        <w:tc>
          <w:tcPr>
            <w:tcW w:w="0" w:type="dxa"/>
            <w:vAlign w:val="bottom"/>
          </w:tcPr>
          <w:p>
            <w:pPr>
              <w:spacing w:after="0"/>
              <w:rPr>
                <w:sz w:val="1"/>
                <w:szCs w:val="1"/>
                <w:color w:val="auto"/>
              </w:rPr>
            </w:pPr>
          </w:p>
        </w:tc>
      </w:tr>
      <w:tr>
        <w:trPr>
          <w:trHeight w:val="286"/>
        </w:trPr>
        <w:tc>
          <w:tcPr>
            <w:tcW w:w="192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4"/>
                <w:szCs w:val="14"/>
                <w:color w:val="0000EE"/>
                <w:w w:val="99"/>
              </w:rPr>
              <w:t>2025 Compensation Highlights</w:t>
            </w:r>
          </w:p>
        </w:tc>
        <w:tc>
          <w:tcPr>
            <w:tcW w:w="600" w:type="dxa"/>
            <w:vAlign w:val="bottom"/>
            <w:tcBorders>
              <w:top w:val="single" w:sz="8" w:color="0000EE"/>
            </w:tcBorders>
            <w:gridSpan w:val="10"/>
          </w:tcPr>
          <w:p>
            <w:pPr>
              <w:spacing w:after="0"/>
              <w:rPr>
                <w:sz w:val="24"/>
                <w:szCs w:val="24"/>
                <w:color w:val="auto"/>
              </w:rPr>
            </w:pPr>
          </w:p>
        </w:tc>
        <w:tc>
          <w:tcPr>
            <w:tcW w:w="208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86"/>
        </w:trPr>
        <w:tc>
          <w:tcPr>
            <w:tcW w:w="4600" w:type="dxa"/>
            <w:vAlign w:val="bottom"/>
            <w:gridSpan w:val="30"/>
          </w:tcPr>
          <w:p>
            <w:pPr>
              <w:spacing w:after="0"/>
              <w:rPr>
                <w:sz w:val="20"/>
                <w:szCs w:val="20"/>
                <w:color w:val="auto"/>
              </w:rPr>
            </w:pPr>
            <w:r>
              <w:rPr>
                <w:rFonts w:ascii="Arial" w:cs="Arial" w:eastAsia="Arial" w:hAnsi="Arial"/>
                <w:sz w:val="14"/>
                <w:szCs w:val="14"/>
                <w:color w:val="0000EE"/>
              </w:rPr>
              <w:t>2025 Executive Compensation Program</w:t>
            </w:r>
          </w:p>
        </w:tc>
        <w:tc>
          <w:tcPr>
            <w:tcW w:w="64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86"/>
        </w:trPr>
        <w:tc>
          <w:tcPr>
            <w:tcW w:w="2480" w:type="dxa"/>
            <w:vAlign w:val="bottom"/>
            <w:tcBorders>
              <w:top w:val="single" w:sz="8" w:color="0000EE"/>
            </w:tcBorders>
            <w:gridSpan w:val="25"/>
          </w:tcPr>
          <w:p>
            <w:pPr>
              <w:spacing w:after="0"/>
              <w:rPr>
                <w:sz w:val="20"/>
                <w:szCs w:val="20"/>
                <w:color w:val="auto"/>
              </w:rPr>
            </w:pPr>
            <w:r>
              <w:rPr>
                <w:rFonts w:ascii="Arial" w:cs="Arial" w:eastAsia="Arial" w:hAnsi="Arial"/>
                <w:sz w:val="14"/>
                <w:szCs w:val="14"/>
                <w:color w:val="0000EE"/>
              </w:rPr>
              <w:t>Executive Compensation Overview</w:t>
            </w:r>
          </w:p>
        </w:tc>
        <w:tc>
          <w:tcPr>
            <w:tcW w:w="212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86"/>
        </w:trPr>
        <w:tc>
          <w:tcPr>
            <w:tcW w:w="2140" w:type="dxa"/>
            <w:vAlign w:val="bottom"/>
            <w:tcBorders>
              <w:top w:val="single" w:sz="8" w:color="0000EE"/>
              <w:bottom w:val="single" w:sz="8" w:color="0000EE"/>
            </w:tcBorders>
            <w:gridSpan w:val="18"/>
          </w:tcPr>
          <w:p>
            <w:pPr>
              <w:spacing w:after="0"/>
              <w:rPr>
                <w:sz w:val="20"/>
                <w:szCs w:val="20"/>
                <w:color w:val="auto"/>
              </w:rPr>
            </w:pPr>
            <w:r>
              <w:rPr>
                <w:rFonts w:ascii="Arial" w:cs="Arial" w:eastAsia="Arial" w:hAnsi="Arial"/>
                <w:sz w:val="14"/>
                <w:szCs w:val="14"/>
                <w:color w:val="0000EE"/>
                <w:w w:val="99"/>
              </w:rPr>
              <w:t>Compensation Decisions for 2025</w:t>
            </w:r>
          </w:p>
        </w:tc>
        <w:tc>
          <w:tcPr>
            <w:tcW w:w="40" w:type="dxa"/>
            <w:vAlign w:val="bottom"/>
            <w:tcBorders>
              <w:top w:val="single" w:sz="8" w:color="0000EE"/>
            </w:tcBorders>
            <w:gridSpan w:val="2"/>
          </w:tcPr>
          <w:p>
            <w:pPr>
              <w:spacing w:after="0"/>
              <w:rPr>
                <w:sz w:val="24"/>
                <w:szCs w:val="24"/>
                <w:color w:val="auto"/>
              </w:rPr>
            </w:pPr>
          </w:p>
        </w:tc>
        <w:tc>
          <w:tcPr>
            <w:tcW w:w="2420" w:type="dxa"/>
            <w:vAlign w:val="bottom"/>
            <w:gridSpan w:val="10"/>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86"/>
        </w:trPr>
        <w:tc>
          <w:tcPr>
            <w:tcW w:w="2080" w:type="dxa"/>
            <w:vAlign w:val="bottom"/>
            <w:tcBorders>
              <w:bottom w:val="single" w:sz="8" w:color="0000EE"/>
            </w:tcBorders>
            <w:gridSpan w:val="17"/>
          </w:tcPr>
          <w:p>
            <w:pPr>
              <w:spacing w:after="0"/>
              <w:rPr>
                <w:sz w:val="20"/>
                <w:szCs w:val="20"/>
                <w:color w:val="auto"/>
              </w:rPr>
            </w:pPr>
            <w:r>
              <w:rPr>
                <w:rFonts w:ascii="Arial" w:cs="Arial" w:eastAsia="Arial" w:hAnsi="Arial"/>
                <w:sz w:val="14"/>
                <w:szCs w:val="14"/>
                <w:color w:val="0000EE"/>
                <w:w w:val="99"/>
              </w:rPr>
              <w:t>Competitive Pay for Performance</w:t>
            </w:r>
          </w:p>
        </w:tc>
        <w:tc>
          <w:tcPr>
            <w:tcW w:w="2520" w:type="dxa"/>
            <w:vAlign w:val="bottom"/>
            <w:gridSpan w:val="1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86"/>
        </w:trPr>
        <w:tc>
          <w:tcPr>
            <w:tcW w:w="2240" w:type="dxa"/>
            <w:vAlign w:val="bottom"/>
            <w:tcBorders>
              <w:bottom w:val="single" w:sz="8" w:color="0000EE"/>
            </w:tcBorders>
            <w:gridSpan w:val="21"/>
          </w:tcPr>
          <w:p>
            <w:pPr>
              <w:spacing w:after="0"/>
              <w:rPr>
                <w:sz w:val="20"/>
                <w:szCs w:val="20"/>
                <w:color w:val="auto"/>
              </w:rPr>
            </w:pPr>
            <w:r>
              <w:rPr>
                <w:rFonts w:ascii="Arial" w:cs="Arial" w:eastAsia="Arial" w:hAnsi="Arial"/>
                <w:sz w:val="14"/>
                <w:szCs w:val="14"/>
                <w:b w:val="1"/>
                <w:bCs w:val="1"/>
                <w:color w:val="0000EE"/>
                <w:w w:val="99"/>
              </w:rPr>
              <w:t>Compensation Committee Report</w:t>
            </w:r>
          </w:p>
        </w:tc>
        <w:tc>
          <w:tcPr>
            <w:tcW w:w="2360" w:type="dxa"/>
            <w:vAlign w:val="bottom"/>
            <w:gridSpan w:val="9"/>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286"/>
        </w:trPr>
        <w:tc>
          <w:tcPr>
            <w:tcW w:w="4600" w:type="dxa"/>
            <w:vAlign w:val="bottom"/>
            <w:gridSpan w:val="30"/>
          </w:tcPr>
          <w:p>
            <w:pPr>
              <w:spacing w:after="0"/>
              <w:rPr>
                <w:sz w:val="20"/>
                <w:szCs w:val="20"/>
                <w:color w:val="auto"/>
              </w:rPr>
            </w:pPr>
            <w:r>
              <w:rPr>
                <w:rFonts w:ascii="Arial" w:cs="Arial" w:eastAsia="Arial" w:hAnsi="Arial"/>
                <w:sz w:val="14"/>
                <w:szCs w:val="14"/>
                <w:b w:val="1"/>
                <w:bCs w:val="1"/>
                <w:color w:val="0000EE"/>
              </w:rPr>
              <w:t>Executive Compensation Tables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4 </w:t>
      </w:r>
      <w:r>
        <w:rPr>
          <w:rFonts w:ascii="Arial" w:cs="Arial" w:eastAsia="Arial" w:hAnsi="Arial"/>
          <w:sz w:val="11"/>
          <w:szCs w:val="11"/>
          <w:color w:val="auto"/>
        </w:rPr>
        <w:t>/ PVH CORP. 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0000EE"/>
                <w:w w:val="99"/>
              </w:rPr>
              <w:t>Summary Compensation Table</w:t>
            </w:r>
          </w:p>
        </w:tc>
        <w:tc>
          <w:tcPr>
            <w:tcW w:w="2580" w:type="dxa"/>
            <w:vAlign w:val="bottom"/>
            <w:gridSpan w:val="15"/>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86"/>
        </w:trPr>
        <w:tc>
          <w:tcPr>
            <w:tcW w:w="4520" w:type="dxa"/>
            <w:vAlign w:val="bottom"/>
            <w:gridSpan w:val="22"/>
          </w:tcPr>
          <w:p>
            <w:pPr>
              <w:spacing w:after="0"/>
              <w:rPr>
                <w:sz w:val="20"/>
                <w:szCs w:val="20"/>
                <w:color w:val="auto"/>
              </w:rPr>
            </w:pPr>
            <w:r>
              <w:rPr>
                <w:rFonts w:ascii="Arial" w:cs="Arial" w:eastAsia="Arial" w:hAnsi="Arial"/>
                <w:sz w:val="14"/>
                <w:szCs w:val="14"/>
                <w:color w:val="0000EE"/>
              </w:rPr>
              <w:t>Grants of Plan-Based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520" w:type="dxa"/>
            <w:vAlign w:val="bottom"/>
            <w:gridSpan w:val="22"/>
          </w:tcPr>
          <w:p>
            <w:pPr>
              <w:spacing w:after="0"/>
              <w:rPr>
                <w:sz w:val="20"/>
                <w:szCs w:val="20"/>
                <w:color w:val="auto"/>
              </w:rPr>
            </w:pPr>
            <w:r>
              <w:rPr>
                <w:rFonts w:ascii="Arial" w:cs="Arial" w:eastAsia="Arial" w:hAnsi="Arial"/>
                <w:sz w:val="14"/>
                <w:szCs w:val="14"/>
                <w:color w:val="0000EE"/>
              </w:rPr>
              <w:t>Narrative Disclosure to Summary Compensation Table and Grants of</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5"/>
        </w:trPr>
        <w:tc>
          <w:tcPr>
            <w:tcW w:w="1620" w:type="dxa"/>
            <w:vAlign w:val="bottom"/>
            <w:tcBorders>
              <w:top w:val="single" w:sz="8" w:color="0000EE"/>
              <w:bottom w:val="single" w:sz="8" w:color="0000EE"/>
            </w:tcBorders>
            <w:gridSpan w:val="5"/>
          </w:tcPr>
          <w:p>
            <w:pPr>
              <w:spacing w:after="0" w:line="145" w:lineRule="exact"/>
              <w:rPr>
                <w:sz w:val="20"/>
                <w:szCs w:val="20"/>
                <w:color w:val="auto"/>
              </w:rPr>
            </w:pPr>
            <w:r>
              <w:rPr>
                <w:rFonts w:ascii="Arial" w:cs="Arial" w:eastAsia="Arial" w:hAnsi="Arial"/>
                <w:sz w:val="14"/>
                <w:szCs w:val="14"/>
                <w:color w:val="0000EE"/>
                <w:w w:val="98"/>
              </w:rPr>
              <w:t>Plan-Based Awards Table</w:t>
            </w:r>
          </w:p>
        </w:tc>
        <w:tc>
          <w:tcPr>
            <w:tcW w:w="2680" w:type="dxa"/>
            <w:vAlign w:val="bottom"/>
            <w:tcBorders>
              <w:top w:val="single" w:sz="8" w:color="0000EE"/>
            </w:tcBorders>
            <w:gridSpan w:val="15"/>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4520" w:type="dxa"/>
            <w:vAlign w:val="bottom"/>
            <w:gridSpan w:val="22"/>
          </w:tcPr>
          <w:p>
            <w:pPr>
              <w:spacing w:after="0"/>
              <w:rPr>
                <w:sz w:val="20"/>
                <w:szCs w:val="20"/>
                <w:color w:val="auto"/>
              </w:rPr>
            </w:pPr>
            <w:r>
              <w:rPr>
                <w:rFonts w:ascii="Arial" w:cs="Arial" w:eastAsia="Arial" w:hAnsi="Arial"/>
                <w:sz w:val="14"/>
                <w:szCs w:val="14"/>
                <w:color w:val="0000EE"/>
              </w:rPr>
              <w:t>Outstanding Equity at Fiscal Year-End</w:t>
            </w:r>
          </w:p>
        </w:tc>
        <w:tc>
          <w:tcPr>
            <w:tcW w:w="74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86"/>
        </w:trPr>
        <w:tc>
          <w:tcPr>
            <w:tcW w:w="222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4"/>
                <w:szCs w:val="14"/>
                <w:color w:val="0000EE"/>
              </w:rPr>
              <w:t>Option Exercises and Stock Vested</w:t>
            </w:r>
          </w:p>
        </w:tc>
        <w:tc>
          <w:tcPr>
            <w:tcW w:w="160" w:type="dxa"/>
            <w:vAlign w:val="bottom"/>
            <w:tcBorders>
              <w:top w:val="single" w:sz="8" w:color="0000EE"/>
            </w:tcBorders>
          </w:tcPr>
          <w:p>
            <w:pPr>
              <w:spacing w:after="0"/>
              <w:rPr>
                <w:sz w:val="24"/>
                <w:szCs w:val="24"/>
                <w:color w:val="auto"/>
              </w:rPr>
            </w:pPr>
          </w:p>
        </w:tc>
        <w:tc>
          <w:tcPr>
            <w:tcW w:w="2140" w:type="dxa"/>
            <w:vAlign w:val="bottom"/>
            <w:gridSpan w:val="1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86"/>
        </w:trPr>
        <w:tc>
          <w:tcPr>
            <w:tcW w:w="108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Pension Benefits</w:t>
            </w:r>
          </w:p>
        </w:tc>
        <w:tc>
          <w:tcPr>
            <w:tcW w:w="3440" w:type="dxa"/>
            <w:vAlign w:val="bottom"/>
            <w:gridSpan w:val="19"/>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86"/>
        </w:trPr>
        <w:tc>
          <w:tcPr>
            <w:tcW w:w="4520" w:type="dxa"/>
            <w:vAlign w:val="bottom"/>
            <w:gridSpan w:val="22"/>
          </w:tcPr>
          <w:p>
            <w:pPr>
              <w:spacing w:after="0"/>
              <w:rPr>
                <w:sz w:val="20"/>
                <w:szCs w:val="20"/>
                <w:color w:val="auto"/>
              </w:rPr>
            </w:pPr>
            <w:r>
              <w:rPr>
                <w:rFonts w:ascii="Arial" w:cs="Arial" w:eastAsia="Arial" w:hAnsi="Arial"/>
                <w:sz w:val="14"/>
                <w:szCs w:val="14"/>
                <w:color w:val="0000EE"/>
              </w:rPr>
              <w:t>Defined Benefit Plans</w:t>
            </w:r>
          </w:p>
        </w:tc>
        <w:tc>
          <w:tcPr>
            <w:tcW w:w="74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520" w:type="dxa"/>
            <w:vAlign w:val="bottom"/>
            <w:gridSpan w:val="22"/>
          </w:tcPr>
          <w:p>
            <w:pPr>
              <w:spacing w:after="0"/>
              <w:rPr>
                <w:sz w:val="20"/>
                <w:szCs w:val="20"/>
                <w:color w:val="auto"/>
              </w:rPr>
            </w:pPr>
            <w:r>
              <w:rPr>
                <w:rFonts w:ascii="Arial" w:cs="Arial" w:eastAsia="Arial" w:hAnsi="Arial"/>
                <w:sz w:val="14"/>
                <w:szCs w:val="14"/>
                <w:color w:val="0000EE"/>
              </w:rPr>
              <w:t>Non-Qualified Deferred Compensation</w:t>
            </w:r>
          </w:p>
        </w:tc>
        <w:tc>
          <w:tcPr>
            <w:tcW w:w="74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520" w:type="dxa"/>
            <w:vAlign w:val="bottom"/>
            <w:tcBorders>
              <w:bottom w:val="single" w:sz="8" w:color="0000EE"/>
            </w:tcBorders>
            <w:gridSpan w:val="22"/>
          </w:tcPr>
          <w:p>
            <w:pPr>
              <w:spacing w:after="0"/>
              <w:rPr>
                <w:sz w:val="20"/>
                <w:szCs w:val="20"/>
                <w:color w:val="auto"/>
              </w:rPr>
            </w:pPr>
            <w:r>
              <w:rPr>
                <w:rFonts w:ascii="Arial" w:cs="Arial" w:eastAsia="Arial" w:hAnsi="Arial"/>
                <w:sz w:val="14"/>
                <w:szCs w:val="14"/>
                <w:color w:val="0000EE"/>
              </w:rPr>
              <w:t>Potential Payments Upon Termination and Change in Control Provisions</w:t>
            </w:r>
          </w:p>
        </w:tc>
        <w:tc>
          <w:tcPr>
            <w:tcW w:w="74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86"/>
        </w:trPr>
        <w:tc>
          <w:tcPr>
            <w:tcW w:w="1000" w:type="dxa"/>
            <w:vAlign w:val="bottom"/>
            <w:tcBorders>
              <w:bottom w:val="single" w:sz="8" w:color="0000EE"/>
            </w:tcBorders>
          </w:tcPr>
          <w:p>
            <w:pPr>
              <w:spacing w:after="0"/>
              <w:rPr>
                <w:sz w:val="20"/>
                <w:szCs w:val="20"/>
                <w:color w:val="auto"/>
              </w:rPr>
            </w:pPr>
            <w:r>
              <w:rPr>
                <w:rFonts w:ascii="Arial" w:cs="Arial" w:eastAsia="Arial" w:hAnsi="Arial"/>
                <w:sz w:val="14"/>
                <w:szCs w:val="14"/>
                <w:b w:val="1"/>
                <w:bCs w:val="1"/>
                <w:color w:val="0000EE"/>
                <w:w w:val="99"/>
              </w:rPr>
              <w:t>CEO Pay Ratio</w:t>
            </w:r>
          </w:p>
        </w:tc>
        <w:tc>
          <w:tcPr>
            <w:tcW w:w="3520" w:type="dxa"/>
            <w:vAlign w:val="bottom"/>
            <w:gridSpan w:val="21"/>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0" w:type="dxa"/>
            <w:vAlign w:val="bottom"/>
          </w:tcPr>
          <w:p>
            <w:pPr>
              <w:spacing w:after="0"/>
              <w:rPr>
                <w:sz w:val="1"/>
                <w:szCs w:val="1"/>
                <w:color w:val="auto"/>
              </w:rPr>
            </w:pPr>
          </w:p>
        </w:tc>
      </w:tr>
      <w:tr>
        <w:trPr>
          <w:trHeight w:val="286"/>
        </w:trPr>
        <w:tc>
          <w:tcPr>
            <w:tcW w:w="206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b w:val="1"/>
                <w:bCs w:val="1"/>
                <w:color w:val="0000EE"/>
                <w:w w:val="99"/>
              </w:rPr>
              <w:t>Pay Versus Performance Table</w:t>
            </w:r>
          </w:p>
        </w:tc>
        <w:tc>
          <w:tcPr>
            <w:tcW w:w="246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81</w:t>
            </w:r>
          </w:p>
        </w:tc>
        <w:tc>
          <w:tcPr>
            <w:tcW w:w="0" w:type="dxa"/>
            <w:vAlign w:val="bottom"/>
          </w:tcPr>
          <w:p>
            <w:pPr>
              <w:spacing w:after="0"/>
              <w:rPr>
                <w:sz w:val="1"/>
                <w:szCs w:val="1"/>
                <w:color w:val="auto"/>
              </w:rPr>
            </w:pPr>
          </w:p>
        </w:tc>
      </w:tr>
      <w:tr>
        <w:trPr>
          <w:trHeight w:val="286"/>
        </w:trPr>
        <w:tc>
          <w:tcPr>
            <w:tcW w:w="262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b w:val="1"/>
                <w:bCs w:val="1"/>
                <w:color w:val="0000EE"/>
              </w:rPr>
              <w:t>Equity Compensation Plan Information</w:t>
            </w:r>
          </w:p>
        </w:tc>
        <w:tc>
          <w:tcPr>
            <w:tcW w:w="190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84</w:t>
            </w:r>
          </w:p>
        </w:tc>
        <w:tc>
          <w:tcPr>
            <w:tcW w:w="0" w:type="dxa"/>
            <w:vAlign w:val="bottom"/>
          </w:tcPr>
          <w:p>
            <w:pPr>
              <w:spacing w:after="0"/>
              <w:rPr>
                <w:sz w:val="1"/>
                <w:szCs w:val="1"/>
                <w:color w:val="auto"/>
              </w:rPr>
            </w:pPr>
          </w:p>
        </w:tc>
      </w:tr>
      <w:tr>
        <w:trPr>
          <w:trHeight w:val="286"/>
        </w:trPr>
        <w:tc>
          <w:tcPr>
            <w:tcW w:w="4120" w:type="dxa"/>
            <w:vAlign w:val="bottom"/>
            <w:tcBorders>
              <w:bottom w:val="single" w:sz="8" w:color="0000EE"/>
            </w:tcBorders>
            <w:gridSpan w:val="18"/>
          </w:tcPr>
          <w:p>
            <w:pPr>
              <w:spacing w:after="0"/>
              <w:rPr>
                <w:sz w:val="20"/>
                <w:szCs w:val="20"/>
                <w:color w:val="auto"/>
              </w:rPr>
            </w:pPr>
            <w:r>
              <w:rPr>
                <w:rFonts w:ascii="Arial" w:cs="Arial" w:eastAsia="Arial" w:hAnsi="Arial"/>
                <w:sz w:val="14"/>
                <w:szCs w:val="14"/>
                <w:b w:val="1"/>
                <w:bCs w:val="1"/>
                <w:color w:val="0000EE"/>
              </w:rPr>
              <w:t>Proposal 3: Approval of Amendments to Stock Incentive Plan</w:t>
            </w:r>
          </w:p>
        </w:tc>
        <w:tc>
          <w:tcPr>
            <w:tcW w:w="40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85</w:t>
            </w:r>
          </w:p>
        </w:tc>
        <w:tc>
          <w:tcPr>
            <w:tcW w:w="0" w:type="dxa"/>
            <w:vAlign w:val="bottom"/>
          </w:tcPr>
          <w:p>
            <w:pPr>
              <w:spacing w:after="0"/>
              <w:rPr>
                <w:sz w:val="1"/>
                <w:szCs w:val="1"/>
                <w:color w:val="auto"/>
              </w:rPr>
            </w:pPr>
          </w:p>
        </w:tc>
      </w:tr>
      <w:tr>
        <w:trPr>
          <w:trHeight w:val="286"/>
        </w:trPr>
        <w:tc>
          <w:tcPr>
            <w:tcW w:w="4520" w:type="dxa"/>
            <w:vAlign w:val="bottom"/>
            <w:gridSpan w:val="22"/>
          </w:tcPr>
          <w:p>
            <w:pPr>
              <w:spacing w:after="0"/>
              <w:rPr>
                <w:sz w:val="20"/>
                <w:szCs w:val="20"/>
                <w:color w:val="auto"/>
              </w:rPr>
            </w:pPr>
            <w:r>
              <w:rPr>
                <w:rFonts w:ascii="Arial" w:cs="Arial" w:eastAsia="Arial" w:hAnsi="Arial"/>
                <w:sz w:val="14"/>
                <w:szCs w:val="14"/>
                <w:b w:val="1"/>
                <w:bCs w:val="1"/>
                <w:color w:val="0000EE"/>
              </w:rPr>
              <w:t>Proposal 4: Ratification of the Appointment of Auditors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0" w:type="dxa"/>
            <w:vAlign w:val="bottom"/>
          </w:tcPr>
          <w:p>
            <w:pPr>
              <w:spacing w:after="0"/>
              <w:rPr>
                <w:sz w:val="1"/>
                <w:szCs w:val="1"/>
                <w:color w:val="auto"/>
              </w:rPr>
            </w:pPr>
          </w:p>
        </w:tc>
      </w:tr>
      <w:tr>
        <w:trPr>
          <w:trHeight w:val="286"/>
        </w:trPr>
        <w:tc>
          <w:tcPr>
            <w:tcW w:w="3700" w:type="dxa"/>
            <w:vAlign w:val="bottom"/>
            <w:tcBorders>
              <w:top w:val="single" w:sz="8" w:color="0000EE"/>
            </w:tcBorders>
            <w:gridSpan w:val="17"/>
          </w:tcPr>
          <w:p>
            <w:pPr>
              <w:spacing w:after="0"/>
              <w:rPr>
                <w:sz w:val="20"/>
                <w:szCs w:val="20"/>
                <w:color w:val="auto"/>
              </w:rPr>
            </w:pPr>
            <w:r>
              <w:rPr>
                <w:rFonts w:ascii="Arial" w:cs="Arial" w:eastAsia="Arial" w:hAnsi="Arial"/>
                <w:sz w:val="14"/>
                <w:szCs w:val="14"/>
                <w:b w:val="1"/>
                <w:bCs w:val="1"/>
                <w:color w:val="0000EE"/>
              </w:rPr>
              <w:t>Audit Committee Report</w:t>
            </w:r>
          </w:p>
        </w:tc>
        <w:tc>
          <w:tcPr>
            <w:tcW w:w="82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520" w:type="dxa"/>
            <w:vAlign w:val="bottom"/>
            <w:gridSpan w:val="22"/>
          </w:tcPr>
          <w:p>
            <w:pPr>
              <w:spacing w:after="0"/>
              <w:rPr>
                <w:sz w:val="20"/>
                <w:szCs w:val="20"/>
                <w:color w:val="auto"/>
              </w:rPr>
            </w:pPr>
            <w:r>
              <w:rPr>
                <w:rFonts w:ascii="Arial" w:cs="Arial" w:eastAsia="Arial" w:hAnsi="Arial"/>
                <w:sz w:val="14"/>
                <w:szCs w:val="14"/>
                <w:b w:val="1"/>
                <w:bCs w:val="1"/>
                <w:color w:val="0000EE"/>
              </w:rPr>
              <w:t>Security Ownership of Certain Beneficial Owners and Management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96</w:t>
            </w:r>
          </w:p>
        </w:tc>
        <w:tc>
          <w:tcPr>
            <w:tcW w:w="0" w:type="dxa"/>
            <w:vAlign w:val="bottom"/>
          </w:tcPr>
          <w:p>
            <w:pPr>
              <w:spacing w:after="0"/>
              <w:rPr>
                <w:sz w:val="1"/>
                <w:szCs w:val="1"/>
                <w:color w:val="auto"/>
              </w:rPr>
            </w:pPr>
          </w:p>
        </w:tc>
      </w:tr>
      <w:tr>
        <w:trPr>
          <w:trHeight w:val="286"/>
        </w:trPr>
        <w:tc>
          <w:tcPr>
            <w:tcW w:w="4480" w:type="dxa"/>
            <w:vAlign w:val="bottom"/>
            <w:tcBorders>
              <w:top w:val="single" w:sz="8" w:color="0000EE"/>
            </w:tcBorders>
            <w:gridSpan w:val="21"/>
          </w:tcPr>
          <w:p>
            <w:pPr>
              <w:spacing w:after="0"/>
              <w:rPr>
                <w:sz w:val="20"/>
                <w:szCs w:val="20"/>
                <w:color w:val="auto"/>
              </w:rPr>
            </w:pPr>
            <w:r>
              <w:rPr>
                <w:rFonts w:ascii="Arial" w:cs="Arial" w:eastAsia="Arial" w:hAnsi="Arial"/>
                <w:sz w:val="14"/>
                <w:szCs w:val="14"/>
                <w:color w:val="0000EE"/>
              </w:rPr>
              <w:t>5% Stockholders</w:t>
            </w:r>
          </w:p>
        </w:tc>
        <w:tc>
          <w:tcPr>
            <w:tcW w:w="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520" w:type="dxa"/>
            <w:vAlign w:val="bottom"/>
            <w:gridSpan w:val="22"/>
          </w:tcPr>
          <w:p>
            <w:pPr>
              <w:spacing w:after="0"/>
              <w:rPr>
                <w:sz w:val="20"/>
                <w:szCs w:val="20"/>
                <w:color w:val="auto"/>
              </w:rPr>
            </w:pPr>
            <w:r>
              <w:rPr>
                <w:rFonts w:ascii="Arial" w:cs="Arial" w:eastAsia="Arial" w:hAnsi="Arial"/>
                <w:sz w:val="14"/>
                <w:szCs w:val="14"/>
                <w:color w:val="0000EE"/>
              </w:rPr>
              <w:t>Directors, Nominees for Director, and Executive Officers</w:t>
            </w:r>
          </w:p>
        </w:tc>
        <w:tc>
          <w:tcPr>
            <w:tcW w:w="74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86"/>
        </w:trPr>
        <w:tc>
          <w:tcPr>
            <w:tcW w:w="3500" w:type="dxa"/>
            <w:vAlign w:val="bottom"/>
            <w:tcBorders>
              <w:top w:val="single" w:sz="8" w:color="0000EE"/>
            </w:tcBorders>
            <w:gridSpan w:val="16"/>
          </w:tcPr>
          <w:p>
            <w:pPr>
              <w:spacing w:after="0"/>
              <w:rPr>
                <w:sz w:val="20"/>
                <w:szCs w:val="20"/>
                <w:color w:val="auto"/>
              </w:rPr>
            </w:pPr>
            <w:r>
              <w:rPr>
                <w:rFonts w:ascii="Arial" w:cs="Arial" w:eastAsia="Arial" w:hAnsi="Arial"/>
                <w:sz w:val="14"/>
                <w:szCs w:val="14"/>
                <w:b w:val="1"/>
                <w:bCs w:val="1"/>
                <w:color w:val="0000EE"/>
              </w:rPr>
              <w:t>Delinquent Section 16(a) Reports</w:t>
            </w:r>
          </w:p>
        </w:tc>
        <w:tc>
          <w:tcPr>
            <w:tcW w:w="102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0" w:type="dxa"/>
            <w:vAlign w:val="bottom"/>
          </w:tcPr>
          <w:p>
            <w:pPr>
              <w:spacing w:after="0"/>
              <w:rPr>
                <w:sz w:val="1"/>
                <w:szCs w:val="1"/>
                <w:color w:val="auto"/>
              </w:rPr>
            </w:pPr>
          </w:p>
        </w:tc>
      </w:tr>
      <w:tr>
        <w:trPr>
          <w:trHeight w:val="20"/>
        </w:trPr>
        <w:tc>
          <w:tcPr>
            <w:tcW w:w="2220" w:type="dxa"/>
            <w:vAlign w:val="bottom"/>
            <w:gridSpan w:val="9"/>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314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b w:val="1"/>
                <w:bCs w:val="1"/>
                <w:color w:val="0000EE"/>
              </w:rPr>
              <w:t>General Information About the Annual Meeting</w:t>
            </w:r>
          </w:p>
        </w:tc>
        <w:tc>
          <w:tcPr>
            <w:tcW w:w="138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286"/>
        </w:trPr>
        <w:tc>
          <w:tcPr>
            <w:tcW w:w="330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b w:val="1"/>
                <w:bCs w:val="1"/>
                <w:color w:val="0000EE"/>
              </w:rPr>
              <w:t>Exhibit A — GAAP To Non-GAAP Reconciliations</w:t>
            </w:r>
          </w:p>
        </w:tc>
        <w:tc>
          <w:tcPr>
            <w:tcW w:w="122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A-1</w:t>
            </w:r>
          </w:p>
        </w:tc>
        <w:tc>
          <w:tcPr>
            <w:tcW w:w="0" w:type="dxa"/>
            <w:vAlign w:val="bottom"/>
          </w:tcPr>
          <w:p>
            <w:pPr>
              <w:spacing w:after="0"/>
              <w:rPr>
                <w:sz w:val="1"/>
                <w:szCs w:val="1"/>
                <w:color w:val="auto"/>
              </w:rPr>
            </w:pPr>
          </w:p>
        </w:tc>
      </w:tr>
      <w:tr>
        <w:trPr>
          <w:trHeight w:val="286"/>
        </w:trPr>
        <w:tc>
          <w:tcPr>
            <w:tcW w:w="4520" w:type="dxa"/>
            <w:vAlign w:val="bottom"/>
            <w:gridSpan w:val="22"/>
          </w:tcPr>
          <w:p>
            <w:pPr>
              <w:spacing w:after="0"/>
              <w:rPr>
                <w:sz w:val="20"/>
                <w:szCs w:val="20"/>
                <w:color w:val="auto"/>
              </w:rPr>
            </w:pPr>
            <w:r>
              <w:rPr>
                <w:rFonts w:ascii="Arial" w:cs="Arial" w:eastAsia="Arial" w:hAnsi="Arial"/>
                <w:sz w:val="14"/>
                <w:szCs w:val="14"/>
                <w:b w:val="1"/>
                <w:bCs w:val="1"/>
                <w:color w:val="0000EE"/>
              </w:rPr>
              <w:t>Exhibit B — NEO Employment Agreements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B-1</w:t>
            </w:r>
          </w:p>
        </w:tc>
        <w:tc>
          <w:tcPr>
            <w:tcW w:w="0" w:type="dxa"/>
            <w:vAlign w:val="bottom"/>
          </w:tcPr>
          <w:p>
            <w:pPr>
              <w:spacing w:after="0"/>
              <w:rPr>
                <w:sz w:val="1"/>
                <w:szCs w:val="1"/>
                <w:color w:val="auto"/>
              </w:rPr>
            </w:pPr>
          </w:p>
        </w:tc>
      </w:tr>
      <w:tr>
        <w:trPr>
          <w:trHeight w:val="20"/>
        </w:trPr>
        <w:tc>
          <w:tcPr>
            <w:tcW w:w="2880" w:type="dxa"/>
            <w:vAlign w:val="bottom"/>
            <w:gridSpan w:val="13"/>
            <w:shd w:val="clear" w:color="auto" w:fill="0000EE"/>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260" w:type="dxa"/>
            <w:vAlign w:val="bottom"/>
            <w:tcBorders>
              <w:bottom w:val="single" w:sz="8" w:color="0000EE"/>
            </w:tcBorders>
            <w:gridSpan w:val="19"/>
          </w:tcPr>
          <w:p>
            <w:pPr>
              <w:spacing w:after="0"/>
              <w:rPr>
                <w:sz w:val="20"/>
                <w:szCs w:val="20"/>
                <w:color w:val="auto"/>
              </w:rPr>
            </w:pPr>
            <w:r>
              <w:rPr>
                <w:rFonts w:ascii="Arial" w:cs="Arial" w:eastAsia="Arial" w:hAnsi="Arial"/>
                <w:sz w:val="14"/>
                <w:szCs w:val="14"/>
                <w:b w:val="1"/>
                <w:bCs w:val="1"/>
                <w:color w:val="0000EE"/>
              </w:rPr>
              <w:t>Exhibit C — Stock Incentive Plan (as Proposed to be Amended)</w:t>
            </w:r>
          </w:p>
        </w:tc>
        <w:tc>
          <w:tcPr>
            <w:tcW w:w="26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C-1</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Frequently Referenced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620" cy="2535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20" cy="2535555"/>
                    </a:xfrm>
                    <a:prstGeom prst="rect">
                      <a:avLst/>
                    </a:prstGeom>
                    <a:noFill/>
                  </pic:spPr>
                </pic:pic>
              </a:graphicData>
            </a:graphic>
          </wp:anchor>
        </w:drawing>
      </w:r>
    </w:p>
    <w:p>
      <w:pPr>
        <w:spacing w:after="0" w:line="12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120" w:type="dxa"/>
            <w:vAlign w:val="bottom"/>
            <w:gridSpan w:val="12"/>
          </w:tcPr>
          <w:p>
            <w:pPr>
              <w:spacing w:after="0"/>
              <w:rPr>
                <w:sz w:val="20"/>
                <w:szCs w:val="20"/>
                <w:color w:val="auto"/>
              </w:rPr>
            </w:pPr>
            <w:r>
              <w:rPr>
                <w:rFonts w:ascii="Arial" w:cs="Arial" w:eastAsia="Arial" w:hAnsi="Arial"/>
                <w:sz w:val="14"/>
                <w:szCs w:val="14"/>
                <w:b w:val="1"/>
                <w:bCs w:val="1"/>
                <w:color w:val="6D98AD"/>
              </w:rPr>
              <w:t>Risk Oversight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6D98AD"/>
              </w:rPr>
              <w:t>19</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32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b w:val="1"/>
                <w:bCs w:val="1"/>
                <w:color w:val="6D98AD"/>
              </w:rPr>
              <w:t>Board Refreshment</w:t>
            </w:r>
          </w:p>
        </w:tc>
        <w:tc>
          <w:tcPr>
            <w:tcW w:w="2800" w:type="dxa"/>
            <w:vAlign w:val="bottom"/>
            <w:gridSpan w:val="10"/>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6D98AD"/>
              </w:rPr>
              <w:t>23</w:t>
            </w:r>
          </w:p>
        </w:tc>
        <w:tc>
          <w:tcPr>
            <w:tcW w:w="0" w:type="dxa"/>
            <w:vAlign w:val="bottom"/>
          </w:tcPr>
          <w:p>
            <w:pPr>
              <w:spacing w:after="0"/>
              <w:rPr>
                <w:sz w:val="1"/>
                <w:szCs w:val="1"/>
                <w:color w:val="auto"/>
              </w:rPr>
            </w:pPr>
          </w:p>
        </w:tc>
      </w:tr>
      <w:tr>
        <w:trPr>
          <w:trHeight w:val="286"/>
        </w:trPr>
        <w:tc>
          <w:tcPr>
            <w:tcW w:w="4120" w:type="dxa"/>
            <w:vAlign w:val="bottom"/>
            <w:gridSpan w:val="12"/>
          </w:tcPr>
          <w:p>
            <w:pPr>
              <w:spacing w:after="0"/>
              <w:rPr>
                <w:sz w:val="20"/>
                <w:szCs w:val="20"/>
                <w:color w:val="auto"/>
              </w:rPr>
            </w:pPr>
            <w:r>
              <w:rPr>
                <w:rFonts w:ascii="Arial" w:cs="Arial" w:eastAsia="Arial" w:hAnsi="Arial"/>
                <w:sz w:val="14"/>
                <w:szCs w:val="14"/>
                <w:b w:val="1"/>
                <w:bCs w:val="1"/>
                <w:color w:val="6D98AD"/>
              </w:rPr>
              <w:t>Director Nominee Skills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6D98AD"/>
              </w:rPr>
              <w:t>24</w:t>
            </w:r>
          </w:p>
        </w:tc>
        <w:tc>
          <w:tcPr>
            <w:tcW w:w="0" w:type="dxa"/>
            <w:vAlign w:val="bottom"/>
          </w:tcPr>
          <w:p>
            <w:pPr>
              <w:spacing w:after="0"/>
              <w:rPr>
                <w:sz w:val="1"/>
                <w:szCs w:val="1"/>
                <w:color w:val="auto"/>
              </w:rPr>
            </w:pPr>
          </w:p>
        </w:tc>
      </w:tr>
      <w:tr>
        <w:trPr>
          <w:trHeight w:val="286"/>
        </w:trPr>
        <w:tc>
          <w:tcPr>
            <w:tcW w:w="15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4"/>
                <w:szCs w:val="14"/>
                <w:b w:val="1"/>
                <w:bCs w:val="1"/>
                <w:color w:val="6D98AD"/>
                <w:w w:val="99"/>
              </w:rPr>
              <w:t>Governing Documents</w:t>
            </w:r>
          </w:p>
        </w:tc>
        <w:tc>
          <w:tcPr>
            <w:tcW w:w="60" w:type="dxa"/>
            <w:vAlign w:val="bottom"/>
            <w:tcBorders>
              <w:top w:val="single" w:sz="8" w:color="0000EE"/>
            </w:tcBorders>
          </w:tcPr>
          <w:p>
            <w:pPr>
              <w:spacing w:after="0"/>
              <w:rPr>
                <w:sz w:val="24"/>
                <w:szCs w:val="24"/>
                <w:color w:val="auto"/>
              </w:rPr>
            </w:pPr>
          </w:p>
        </w:tc>
        <w:tc>
          <w:tcPr>
            <w:tcW w:w="2540" w:type="dxa"/>
            <w:vAlign w:val="bottom"/>
            <w:gridSpan w:val="6"/>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6D98AD"/>
              </w:rPr>
              <w:t>32</w:t>
            </w:r>
          </w:p>
        </w:tc>
        <w:tc>
          <w:tcPr>
            <w:tcW w:w="0" w:type="dxa"/>
            <w:vAlign w:val="bottom"/>
          </w:tcPr>
          <w:p>
            <w:pPr>
              <w:spacing w:after="0"/>
              <w:rPr>
                <w:sz w:val="1"/>
                <w:szCs w:val="1"/>
                <w:color w:val="auto"/>
              </w:rPr>
            </w:pPr>
          </w:p>
        </w:tc>
      </w:tr>
      <w:tr>
        <w:trPr>
          <w:trHeight w:val="286"/>
        </w:trPr>
        <w:tc>
          <w:tcPr>
            <w:tcW w:w="176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b w:val="1"/>
                <w:bCs w:val="1"/>
                <w:color w:val="6D98AD"/>
              </w:rPr>
              <w:t>Human Capital Resources</w:t>
            </w:r>
          </w:p>
        </w:tc>
        <w:tc>
          <w:tcPr>
            <w:tcW w:w="2360" w:type="dxa"/>
            <w:vAlign w:val="bottom"/>
            <w:gridSpan w:val="5"/>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6D98AD"/>
              </w:rPr>
              <w:t>33</w:t>
            </w:r>
          </w:p>
        </w:tc>
        <w:tc>
          <w:tcPr>
            <w:tcW w:w="0" w:type="dxa"/>
            <w:vAlign w:val="bottom"/>
          </w:tcPr>
          <w:p>
            <w:pPr>
              <w:spacing w:after="0"/>
              <w:rPr>
                <w:sz w:val="1"/>
                <w:szCs w:val="1"/>
                <w:color w:val="auto"/>
              </w:rPr>
            </w:pPr>
          </w:p>
        </w:tc>
      </w:tr>
      <w:tr>
        <w:trPr>
          <w:trHeight w:val="286"/>
        </w:trPr>
        <w:tc>
          <w:tcPr>
            <w:tcW w:w="344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b w:val="1"/>
                <w:bCs w:val="1"/>
                <w:color w:val="6D98AD"/>
              </w:rPr>
              <w:t>Elements of Our Executive Compensation Program</w:t>
            </w:r>
          </w:p>
        </w:tc>
        <w:tc>
          <w:tcPr>
            <w:tcW w:w="6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6D98AD"/>
              </w:rPr>
              <w:t>44</w:t>
            </w:r>
          </w:p>
        </w:tc>
        <w:tc>
          <w:tcPr>
            <w:tcW w:w="0" w:type="dxa"/>
            <w:vAlign w:val="bottom"/>
          </w:tcPr>
          <w:p>
            <w:pPr>
              <w:spacing w:after="0"/>
              <w:rPr>
                <w:sz w:val="1"/>
                <w:szCs w:val="1"/>
                <w:color w:val="auto"/>
              </w:rPr>
            </w:pPr>
          </w:p>
        </w:tc>
      </w:tr>
      <w:tr>
        <w:trPr>
          <w:trHeight w:val="286"/>
        </w:trPr>
        <w:tc>
          <w:tcPr>
            <w:tcW w:w="4120" w:type="dxa"/>
            <w:vAlign w:val="bottom"/>
            <w:gridSpan w:val="12"/>
          </w:tcPr>
          <w:p>
            <w:pPr>
              <w:spacing w:after="0"/>
              <w:rPr>
                <w:sz w:val="20"/>
                <w:szCs w:val="20"/>
                <w:color w:val="auto"/>
              </w:rPr>
            </w:pPr>
            <w:r>
              <w:rPr>
                <w:rFonts w:ascii="Arial" w:cs="Arial" w:eastAsia="Arial" w:hAnsi="Arial"/>
                <w:sz w:val="14"/>
                <w:szCs w:val="14"/>
                <w:b w:val="1"/>
                <w:bCs w:val="1"/>
                <w:color w:val="6D98AD"/>
              </w:rPr>
              <w:t>Pay for Performance</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6D98AD"/>
              </w:rPr>
              <w:t>52</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120" w:type="dxa"/>
            <w:vAlign w:val="bottom"/>
            <w:gridSpan w:val="12"/>
          </w:tcPr>
          <w:p>
            <w:pPr>
              <w:spacing w:after="0"/>
              <w:rPr>
                <w:sz w:val="20"/>
                <w:szCs w:val="20"/>
                <w:color w:val="auto"/>
              </w:rPr>
            </w:pPr>
            <w:r>
              <w:rPr>
                <w:rFonts w:ascii="Arial" w:cs="Arial" w:eastAsia="Arial" w:hAnsi="Arial"/>
                <w:sz w:val="14"/>
                <w:szCs w:val="14"/>
                <w:b w:val="1"/>
                <w:bCs w:val="1"/>
                <w:color w:val="6D98AD"/>
              </w:rPr>
              <w:t>PVH Performance and Pay Mix Compared</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6D98AD"/>
              </w:rPr>
              <w:t>54</w:t>
            </w:r>
          </w:p>
        </w:tc>
        <w:tc>
          <w:tcPr>
            <w:tcW w:w="0" w:type="dxa"/>
            <w:vAlign w:val="bottom"/>
          </w:tcPr>
          <w:p>
            <w:pPr>
              <w:spacing w:after="0"/>
              <w:rPr>
                <w:sz w:val="1"/>
                <w:szCs w:val="1"/>
                <w:color w:val="auto"/>
              </w:rPr>
            </w:pPr>
          </w:p>
        </w:tc>
      </w:tr>
      <w:tr>
        <w:trPr>
          <w:trHeight w:val="145"/>
        </w:trPr>
        <w:tc>
          <w:tcPr>
            <w:tcW w:w="2800" w:type="dxa"/>
            <w:vAlign w:val="bottom"/>
            <w:tcBorders>
              <w:top w:val="single" w:sz="8" w:color="0000EE"/>
            </w:tcBorders>
            <w:gridSpan w:val="10"/>
          </w:tcPr>
          <w:p>
            <w:pPr>
              <w:spacing w:after="0" w:line="145" w:lineRule="exact"/>
              <w:rPr>
                <w:sz w:val="20"/>
                <w:szCs w:val="20"/>
                <w:color w:val="auto"/>
              </w:rPr>
            </w:pPr>
            <w:r>
              <w:rPr>
                <w:rFonts w:ascii="Arial" w:cs="Arial" w:eastAsia="Arial" w:hAnsi="Arial"/>
                <w:sz w:val="14"/>
                <w:szCs w:val="14"/>
                <w:b w:val="1"/>
                <w:bCs w:val="1"/>
                <w:color w:val="6D98AD"/>
              </w:rPr>
              <w:t>to Peer Group</w:t>
            </w:r>
          </w:p>
        </w:tc>
        <w:tc>
          <w:tcPr>
            <w:tcW w:w="1320" w:type="dxa"/>
            <w:vAlign w:val="bottom"/>
            <w:gridSpan w:val="2"/>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120" w:type="dxa"/>
            <w:vAlign w:val="bottom"/>
            <w:gridSpan w:val="12"/>
          </w:tcPr>
          <w:p>
            <w:pPr>
              <w:spacing w:after="0"/>
              <w:rPr>
                <w:sz w:val="20"/>
                <w:szCs w:val="20"/>
                <w:color w:val="auto"/>
              </w:rPr>
            </w:pPr>
            <w:r>
              <w:rPr>
                <w:rFonts w:ascii="Arial" w:cs="Arial" w:eastAsia="Arial" w:hAnsi="Arial"/>
                <w:sz w:val="14"/>
                <w:szCs w:val="14"/>
                <w:b w:val="1"/>
                <w:bCs w:val="1"/>
                <w:color w:val="6D98AD"/>
              </w:rPr>
              <w:t>CEO Compensation Compared to Total</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6D98AD"/>
              </w:rPr>
              <w:t>54</w:t>
            </w:r>
          </w:p>
        </w:tc>
        <w:tc>
          <w:tcPr>
            <w:tcW w:w="0" w:type="dxa"/>
            <w:vAlign w:val="bottom"/>
          </w:tcPr>
          <w:p>
            <w:pPr>
              <w:spacing w:after="0"/>
              <w:rPr>
                <w:sz w:val="1"/>
                <w:szCs w:val="1"/>
                <w:color w:val="auto"/>
              </w:rPr>
            </w:pPr>
          </w:p>
        </w:tc>
      </w:tr>
      <w:tr>
        <w:trPr>
          <w:trHeight w:val="145"/>
        </w:trPr>
        <w:tc>
          <w:tcPr>
            <w:tcW w:w="1320" w:type="dxa"/>
            <w:vAlign w:val="bottom"/>
            <w:tcBorders>
              <w:top w:val="single" w:sz="8" w:color="0000EE"/>
              <w:bottom w:val="single" w:sz="8" w:color="0000EE"/>
            </w:tcBorders>
            <w:gridSpan w:val="2"/>
          </w:tcPr>
          <w:p>
            <w:pPr>
              <w:spacing w:after="0" w:line="145" w:lineRule="exact"/>
              <w:rPr>
                <w:sz w:val="20"/>
                <w:szCs w:val="20"/>
                <w:color w:val="auto"/>
              </w:rPr>
            </w:pPr>
            <w:r>
              <w:rPr>
                <w:rFonts w:ascii="Arial" w:cs="Arial" w:eastAsia="Arial" w:hAnsi="Arial"/>
                <w:sz w:val="14"/>
                <w:szCs w:val="14"/>
                <w:b w:val="1"/>
                <w:bCs w:val="1"/>
                <w:color w:val="6D98AD"/>
              </w:rPr>
              <w:t>Stockholder Return</w:t>
            </w:r>
          </w:p>
        </w:tc>
        <w:tc>
          <w:tcPr>
            <w:tcW w:w="1280" w:type="dxa"/>
            <w:vAlign w:val="bottom"/>
            <w:tcBorders>
              <w:top w:val="single" w:sz="8" w:color="0000EE"/>
            </w:tcBorders>
            <w:gridSpan w:val="7"/>
          </w:tcPr>
          <w:p>
            <w:pPr>
              <w:spacing w:after="0"/>
              <w:rPr>
                <w:sz w:val="12"/>
                <w:szCs w:val="12"/>
                <w:color w:val="auto"/>
              </w:rPr>
            </w:pPr>
          </w:p>
        </w:tc>
        <w:tc>
          <w:tcPr>
            <w:tcW w:w="1520" w:type="dxa"/>
            <w:vAlign w:val="bottom"/>
            <w:gridSpan w:val="3"/>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146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b w:val="1"/>
                <w:bCs w:val="1"/>
                <w:color w:val="6D98AD"/>
              </w:rPr>
              <w:t>Fees Paid to Auditors</w:t>
            </w:r>
          </w:p>
        </w:tc>
        <w:tc>
          <w:tcPr>
            <w:tcW w:w="2660" w:type="dxa"/>
            <w:vAlign w:val="bottom"/>
            <w:gridSpan w:val="8"/>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6D98AD"/>
              </w:rPr>
              <w:t>94</w:t>
            </w:r>
          </w:p>
        </w:tc>
        <w:tc>
          <w:tcPr>
            <w:tcW w:w="0" w:type="dxa"/>
            <w:vAlign w:val="bottom"/>
          </w:tcPr>
          <w:p>
            <w:pPr>
              <w:spacing w:after="0"/>
              <w:rPr>
                <w:sz w:val="1"/>
                <w:szCs w:val="1"/>
                <w:color w:val="auto"/>
              </w:rPr>
            </w:pPr>
          </w:p>
        </w:tc>
      </w:tr>
      <w:tr>
        <w:trPr>
          <w:trHeight w:val="286"/>
        </w:trPr>
        <w:tc>
          <w:tcPr>
            <w:tcW w:w="4120" w:type="dxa"/>
            <w:vAlign w:val="bottom"/>
            <w:gridSpan w:val="12"/>
          </w:tcPr>
          <w:p>
            <w:pPr>
              <w:spacing w:after="0"/>
              <w:rPr>
                <w:sz w:val="20"/>
                <w:szCs w:val="20"/>
                <w:color w:val="auto"/>
              </w:rPr>
            </w:pPr>
            <w:r>
              <w:rPr>
                <w:rFonts w:ascii="Arial" w:cs="Arial" w:eastAsia="Arial" w:hAnsi="Arial"/>
                <w:sz w:val="14"/>
                <w:szCs w:val="14"/>
                <w:b w:val="1"/>
                <w:bCs w:val="1"/>
                <w:color w:val="6D98AD"/>
              </w:rPr>
              <w:t>How to Attend the Annual Meeting</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6D98AD"/>
              </w:rPr>
              <w:t>100</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1346200</wp:posOffset>
            </wp:positionV>
            <wp:extent cx="695515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2">
            <w:col w:w="5240" w:space="440"/>
            <w:col w:w="5260"/>
          </w:cols>
          <w:pgMar w:left="480" w:top="94" w:right="479" w:bottom="144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79"/>
          <w:szCs w:val="79"/>
          <w:b w:val="1"/>
          <w:bCs w:val="1"/>
          <w:color w:val="749CAB"/>
        </w:rPr>
        <w:t>Proxy Summary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20"/>
        <w:spacing w:after="0" w:line="264" w:lineRule="auto"/>
        <w:rPr>
          <w:sz w:val="20"/>
          <w:szCs w:val="20"/>
          <w:color w:val="auto"/>
        </w:rPr>
      </w:pPr>
      <w:r>
        <w:rPr>
          <w:rFonts w:ascii="Arial" w:cs="Arial" w:eastAsia="Arial" w:hAnsi="Arial"/>
          <w:sz w:val="14"/>
          <w:szCs w:val="14"/>
          <w:color w:val="auto"/>
        </w:rPr>
        <w:t>This summary highlights information contained elsewhere in this Proxy Statement and does not contain all of the information you should consider. Please read the entire Proxy Statement carefully before voting. Disclosures in this Proxy Statement generally pertain to matters related to our 2025 fiscal year, which began on February 3, 2025, and ended on February 1, 2026.</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References herein to “2025” and other years refer to fiscal years, which are designated by the calendar year in which they begin.</w:t>
      </w:r>
    </w:p>
    <w:p>
      <w:pPr>
        <w:spacing w:after="0" w:line="51" w:lineRule="exact"/>
        <w:rPr>
          <w:sz w:val="20"/>
          <w:szCs w:val="20"/>
          <w:color w:val="auto"/>
        </w:rPr>
      </w:pPr>
    </w:p>
    <w:p>
      <w:pPr>
        <w:ind w:left="20" w:right="120"/>
        <w:spacing w:after="0" w:line="282" w:lineRule="auto"/>
        <w:rPr>
          <w:sz w:val="20"/>
          <w:szCs w:val="20"/>
          <w:color w:val="auto"/>
        </w:rPr>
      </w:pPr>
      <w:r>
        <w:rPr>
          <w:rFonts w:ascii="Arial" w:cs="Arial" w:eastAsia="Arial" w:hAnsi="Arial"/>
          <w:sz w:val="14"/>
          <w:szCs w:val="14"/>
          <w:color w:val="auto"/>
        </w:rPr>
        <w:t>The Notice Regarding the Availability of Proxy Materials and the Notice of Annual Meeting and Proxy Statement are first being distributed or made available, as the case may be, on or about May 8, 2026.</w:t>
      </w:r>
    </w:p>
    <w:p>
      <w:pPr>
        <w:sectPr>
          <w:pgSz w:w="11900" w:h="16838" w:orient="portrait"/>
          <w:cols w:equalWidth="0" w:num="1">
            <w:col w:w="10960"/>
          </w:cols>
          <w:pgMar w:left="460" w:top="65" w:right="479" w:bottom="1440" w:gutter="0" w:footer="0" w:header="0"/>
        </w:sectPr>
      </w:pPr>
    </w:p>
    <w:p>
      <w:pPr>
        <w:spacing w:after="0" w:line="96"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749CAB"/>
        </w:rPr>
        <w:t>The meeting will be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7620" cy="1944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20" cy="1944370"/>
                    </a:xfrm>
                    <a:prstGeom prst="rect">
                      <a:avLst/>
                    </a:prstGeom>
                    <a:noFill/>
                  </pic:spPr>
                </pic:pic>
              </a:graphicData>
            </a:graphic>
          </wp:anchor>
        </w:drawing>
      </w:r>
    </w:p>
    <w:p>
      <w:pPr>
        <w:spacing w:after="0" w:line="37"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6D98AD"/>
        </w:rPr>
        <w:t>Thursday,</w:t>
      </w:r>
    </w:p>
    <w:p>
      <w:pPr>
        <w:spacing w:after="0" w:line="37"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6D98AD"/>
        </w:rPr>
        <w:t>June 18, 2026</w:t>
      </w:r>
    </w:p>
    <w:p>
      <w:pPr>
        <w:spacing w:after="0" w:line="68"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6D98AD"/>
        </w:rPr>
        <w:t>8:45 a.m. (EDT)</w:t>
      </w:r>
    </w:p>
    <w:p>
      <w:pPr>
        <w:spacing w:after="0" w:line="5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Online via live webcast at:</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Registered Holders at:</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www.proxydocs.com/pvh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24130</wp:posOffset>
            </wp:positionV>
            <wp:extent cx="426085" cy="433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6085" cy="43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Beneficial holders at:</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www.proxydocs.com/brokers/pvh</w:t>
      </w:r>
    </w:p>
    <w:p>
      <w:pPr>
        <w:spacing w:after="0" w:line="28"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749CAB"/>
        </w:rPr>
        <w:t>Record Date</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April 20, 2026</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-146685</wp:posOffset>
            </wp:positionV>
            <wp:extent cx="7620" cy="1697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20" cy="1697990"/>
                    </a:xfrm>
                    <a:prstGeom prst="rect">
                      <a:avLst/>
                    </a:prstGeom>
                    <a:noFill/>
                  </pic:spPr>
                </pic:pic>
              </a:graphicData>
            </a:graphic>
          </wp:anchor>
        </w:drawing>
      </w:r>
    </w:p>
    <w:p>
      <w:pPr>
        <w:spacing w:after="0" w:line="42" w:lineRule="exact"/>
        <w:rPr>
          <w:sz w:val="20"/>
          <w:szCs w:val="20"/>
          <w:color w:val="auto"/>
        </w:rPr>
      </w:pPr>
    </w:p>
    <w:p>
      <w:pPr>
        <w:ind w:left="187" w:hanging="187"/>
        <w:spacing w:after="0"/>
        <w:tabs>
          <w:tab w:leader="none" w:pos="187" w:val="left"/>
        </w:tabs>
        <w:numPr>
          <w:ilvl w:val="0"/>
          <w:numId w:val="6"/>
        </w:numPr>
        <w:rPr>
          <w:rFonts w:ascii="Arial" w:cs="Arial" w:eastAsia="Arial" w:hAnsi="Arial"/>
          <w:sz w:val="14"/>
          <w:szCs w:val="14"/>
          <w:color w:val="auto"/>
        </w:rPr>
      </w:pPr>
      <w:r>
        <w:rPr>
          <w:rFonts w:ascii="Arial" w:cs="Arial" w:eastAsia="Arial" w:hAnsi="Arial"/>
          <w:sz w:val="14"/>
          <w:szCs w:val="14"/>
          <w:color w:val="auto"/>
        </w:rPr>
        <w:t>Stockholders as of the record date are entitled to vote.</w:t>
      </w:r>
    </w:p>
    <w:p>
      <w:pPr>
        <w:spacing w:after="0" w:line="51" w:lineRule="exact"/>
        <w:rPr>
          <w:rFonts w:ascii="Arial" w:cs="Arial" w:eastAsia="Arial" w:hAnsi="Arial"/>
          <w:sz w:val="14"/>
          <w:szCs w:val="14"/>
          <w:color w:val="auto"/>
        </w:rPr>
      </w:pPr>
    </w:p>
    <w:p>
      <w:pPr>
        <w:ind w:left="187" w:hanging="187"/>
        <w:spacing w:after="0"/>
        <w:tabs>
          <w:tab w:leader="none" w:pos="187" w:val="left"/>
        </w:tabs>
        <w:numPr>
          <w:ilvl w:val="0"/>
          <w:numId w:val="6"/>
        </w:numPr>
        <w:rPr>
          <w:rFonts w:ascii="Arial" w:cs="Arial" w:eastAsia="Arial" w:hAnsi="Arial"/>
          <w:sz w:val="14"/>
          <w:szCs w:val="14"/>
          <w:color w:val="auto"/>
        </w:rPr>
      </w:pPr>
      <w:r>
        <w:rPr>
          <w:rFonts w:ascii="Arial" w:cs="Arial" w:eastAsia="Arial" w:hAnsi="Arial"/>
          <w:sz w:val="14"/>
          <w:szCs w:val="14"/>
          <w:color w:val="auto"/>
        </w:rPr>
        <w:t>Each share of our common stock is entitled to one vote.</w:t>
      </w:r>
    </w:p>
    <w:p>
      <w:pPr>
        <w:spacing w:after="0" w:line="54"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Admission</w:t>
      </w:r>
    </w:p>
    <w:p>
      <w:pPr>
        <w:spacing w:after="0" w:line="62" w:lineRule="exact"/>
        <w:rPr>
          <w:sz w:val="20"/>
          <w:szCs w:val="20"/>
          <w:color w:val="auto"/>
        </w:rPr>
      </w:pPr>
    </w:p>
    <w:p>
      <w:pPr>
        <w:ind w:left="7" w:right="80"/>
        <w:spacing w:after="0" w:line="258" w:lineRule="auto"/>
        <w:rPr>
          <w:sz w:val="20"/>
          <w:szCs w:val="20"/>
          <w:color w:val="auto"/>
        </w:rPr>
      </w:pPr>
      <w:r>
        <w:rPr>
          <w:rFonts w:ascii="Arial" w:cs="Arial" w:eastAsia="Arial" w:hAnsi="Arial"/>
          <w:sz w:val="14"/>
          <w:szCs w:val="14"/>
          <w:color w:val="auto"/>
        </w:rPr>
        <w:t xml:space="preserve">Attendance at the meeting will be limited to holders of record of our common stock as of the record date or their proxies, beneficial owners and invited guests of PVH. For additional information on how to attend the virtual meeting, please </w:t>
      </w:r>
      <w:r>
        <w:rPr>
          <w:rFonts w:ascii="Arial" w:cs="Arial" w:eastAsia="Arial" w:hAnsi="Arial"/>
          <w:sz w:val="14"/>
          <w:szCs w:val="14"/>
          <w:i w:val="1"/>
          <w:iCs w:val="1"/>
          <w:color w:val="auto"/>
        </w:rPr>
        <w:t>see</w:t>
      </w:r>
      <w:r>
        <w:rPr>
          <w:rFonts w:ascii="Arial" w:cs="Arial" w:eastAsia="Arial" w:hAnsi="Arial"/>
          <w:sz w:val="14"/>
          <w:szCs w:val="14"/>
          <w:color w:val="auto"/>
        </w:rPr>
        <w:t xml:space="preserve"> “General Information About the Annual Meeting” on page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944245</wp:posOffset>
            </wp:positionV>
            <wp:extent cx="6948170" cy="1720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48170" cy="172085"/>
                    </a:xfrm>
                    <a:prstGeom prst="rect">
                      <a:avLst/>
                    </a:prstGeom>
                    <a:noFill/>
                  </pic:spPr>
                </pic:pic>
              </a:graphicData>
            </a:graphic>
          </wp:anchor>
        </w:drawing>
      </w:r>
    </w:p>
    <w:p>
      <w:pPr>
        <w:spacing w:after="0" w:line="1496" w:lineRule="exact"/>
        <w:rPr>
          <w:sz w:val="20"/>
          <w:szCs w:val="20"/>
          <w:color w:val="auto"/>
        </w:rPr>
      </w:pPr>
    </w:p>
    <w:p>
      <w:pPr>
        <w:sectPr>
          <w:pgSz w:w="11900" w:h="16838" w:orient="portrait"/>
          <w:cols w:equalWidth="0" w:num="2">
            <w:col w:w="4933" w:space="720"/>
            <w:col w:w="5307"/>
          </w:cols>
          <w:pgMar w:left="460" w:top="65" w:right="479" w:bottom="1440" w:gutter="0" w:footer="0" w:header="0"/>
          <w:type w:val="continuous"/>
        </w:sectPr>
      </w:pPr>
    </w:p>
    <w:p>
      <w:pPr>
        <w:spacing w:after="0" w:line="2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FFFFFF"/>
        </w:rPr>
        <w:t>Voting Matters and Board Recommendation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080" w:type="dxa"/>
            <w:vAlign w:val="bottom"/>
            <w:vMerge w:val="restart"/>
            <w:shd w:val="clear" w:color="auto" w:fill="99B7C6"/>
          </w:tcPr>
          <w:p>
            <w:pPr>
              <w:ind w:left="80"/>
              <w:spacing w:after="0"/>
              <w:rPr>
                <w:sz w:val="20"/>
                <w:szCs w:val="20"/>
                <w:color w:val="auto"/>
              </w:rPr>
            </w:pPr>
            <w:r>
              <w:rPr>
                <w:rFonts w:ascii="Arial" w:cs="Arial" w:eastAsia="Arial" w:hAnsi="Arial"/>
                <w:sz w:val="13"/>
                <w:szCs w:val="13"/>
                <w:b w:val="1"/>
                <w:bCs w:val="1"/>
                <w:color w:val="FFFFFF"/>
              </w:rPr>
              <w:t>Voting</w:t>
            </w:r>
          </w:p>
        </w:tc>
        <w:tc>
          <w:tcPr>
            <w:tcW w:w="6020" w:type="dxa"/>
            <w:vAlign w:val="bottom"/>
            <w:shd w:val="clear" w:color="auto" w:fill="99B7C6"/>
          </w:tcPr>
          <w:p>
            <w:pPr>
              <w:spacing w:after="0"/>
              <w:rPr>
                <w:sz w:val="17"/>
                <w:szCs w:val="17"/>
                <w:color w:val="auto"/>
              </w:rPr>
            </w:pPr>
          </w:p>
        </w:tc>
        <w:tc>
          <w:tcPr>
            <w:tcW w:w="2480" w:type="dxa"/>
            <w:vAlign w:val="bottom"/>
            <w:shd w:val="clear" w:color="auto" w:fill="99B7C6"/>
          </w:tcPr>
          <w:p>
            <w:pPr>
              <w:jc w:val="right"/>
              <w:ind w:right="469"/>
              <w:spacing w:after="0"/>
              <w:rPr>
                <w:sz w:val="20"/>
                <w:szCs w:val="20"/>
                <w:color w:val="auto"/>
              </w:rPr>
            </w:pPr>
            <w:r>
              <w:rPr>
                <w:rFonts w:ascii="Arial" w:cs="Arial" w:eastAsia="Arial" w:hAnsi="Arial"/>
                <w:sz w:val="14"/>
                <w:szCs w:val="14"/>
                <w:b w:val="1"/>
                <w:bCs w:val="1"/>
                <w:color w:val="FFFFFF"/>
              </w:rPr>
              <w:t>Board’s</w:t>
            </w:r>
          </w:p>
        </w:tc>
        <w:tc>
          <w:tcPr>
            <w:tcW w:w="1360" w:type="dxa"/>
            <w:vAlign w:val="bottom"/>
            <w:shd w:val="clear" w:color="auto" w:fill="99B7C6"/>
          </w:tcPr>
          <w:p>
            <w:pPr>
              <w:jc w:val="right"/>
              <w:spacing w:after="0"/>
              <w:rPr>
                <w:sz w:val="20"/>
                <w:szCs w:val="20"/>
                <w:color w:val="auto"/>
              </w:rPr>
            </w:pPr>
            <w:r>
              <w:rPr>
                <w:rFonts w:ascii="Arial" w:cs="Arial" w:eastAsia="Arial" w:hAnsi="Arial"/>
                <w:sz w:val="14"/>
                <w:szCs w:val="14"/>
                <w:b w:val="1"/>
                <w:bCs w:val="1"/>
                <w:color w:val="FFFFFF"/>
              </w:rPr>
              <w:t>For more</w:t>
            </w:r>
          </w:p>
        </w:tc>
        <w:tc>
          <w:tcPr>
            <w:tcW w:w="0" w:type="dxa"/>
            <w:vAlign w:val="bottom"/>
          </w:tcPr>
          <w:p>
            <w:pPr>
              <w:spacing w:after="0"/>
              <w:rPr>
                <w:sz w:val="1"/>
                <w:szCs w:val="1"/>
                <w:color w:val="auto"/>
              </w:rPr>
            </w:pPr>
          </w:p>
        </w:tc>
      </w:tr>
      <w:tr>
        <w:trPr>
          <w:trHeight w:val="63"/>
        </w:trPr>
        <w:tc>
          <w:tcPr>
            <w:tcW w:w="1080" w:type="dxa"/>
            <w:vAlign w:val="bottom"/>
            <w:vMerge w:val="continue"/>
            <w:shd w:val="clear" w:color="auto" w:fill="99B7C6"/>
          </w:tcPr>
          <w:p>
            <w:pPr>
              <w:spacing w:after="0"/>
              <w:rPr>
                <w:sz w:val="5"/>
                <w:szCs w:val="5"/>
                <w:color w:val="auto"/>
              </w:rPr>
            </w:pPr>
          </w:p>
        </w:tc>
        <w:tc>
          <w:tcPr>
            <w:tcW w:w="6020" w:type="dxa"/>
            <w:vAlign w:val="bottom"/>
            <w:shd w:val="clear" w:color="auto" w:fill="99B7C6"/>
          </w:tcPr>
          <w:p>
            <w:pPr>
              <w:spacing w:after="0"/>
              <w:rPr>
                <w:sz w:val="5"/>
                <w:szCs w:val="5"/>
                <w:color w:val="auto"/>
              </w:rPr>
            </w:pPr>
          </w:p>
        </w:tc>
        <w:tc>
          <w:tcPr>
            <w:tcW w:w="2480" w:type="dxa"/>
            <w:vAlign w:val="bottom"/>
            <w:vMerge w:val="restart"/>
            <w:shd w:val="clear" w:color="auto" w:fill="99B7C6"/>
          </w:tcPr>
          <w:p>
            <w:pPr>
              <w:jc w:val="right"/>
              <w:ind w:right="469"/>
              <w:spacing w:after="0"/>
              <w:rPr>
                <w:sz w:val="20"/>
                <w:szCs w:val="20"/>
                <w:color w:val="auto"/>
              </w:rPr>
            </w:pPr>
            <w:r>
              <w:rPr>
                <w:rFonts w:ascii="Arial" w:cs="Arial" w:eastAsia="Arial" w:hAnsi="Arial"/>
                <w:sz w:val="14"/>
                <w:szCs w:val="14"/>
                <w:b w:val="1"/>
                <w:bCs w:val="1"/>
                <w:color w:val="FFFFFF"/>
              </w:rPr>
              <w:t>recommendation</w:t>
            </w:r>
          </w:p>
        </w:tc>
        <w:tc>
          <w:tcPr>
            <w:tcW w:w="1360" w:type="dxa"/>
            <w:vAlign w:val="bottom"/>
            <w:vMerge w:val="restart"/>
            <w:shd w:val="clear" w:color="auto" w:fill="99B7C6"/>
          </w:tcPr>
          <w:p>
            <w:pPr>
              <w:jc w:val="right"/>
              <w:spacing w:after="0"/>
              <w:rPr>
                <w:sz w:val="20"/>
                <w:szCs w:val="20"/>
                <w:color w:val="auto"/>
              </w:rPr>
            </w:pPr>
            <w:r>
              <w:rPr>
                <w:rFonts w:ascii="Arial" w:cs="Arial" w:eastAsia="Arial" w:hAnsi="Arial"/>
                <w:sz w:val="14"/>
                <w:szCs w:val="14"/>
                <w:b w:val="1"/>
                <w:bCs w:val="1"/>
                <w:color w:val="FFFFFF"/>
              </w:rPr>
              <w:t>information</w:t>
            </w:r>
          </w:p>
        </w:tc>
        <w:tc>
          <w:tcPr>
            <w:tcW w:w="0" w:type="dxa"/>
            <w:vAlign w:val="bottom"/>
          </w:tcPr>
          <w:p>
            <w:pPr>
              <w:spacing w:after="0"/>
              <w:rPr>
                <w:sz w:val="1"/>
                <w:szCs w:val="1"/>
                <w:color w:val="auto"/>
              </w:rPr>
            </w:pPr>
          </w:p>
        </w:tc>
      </w:tr>
      <w:tr>
        <w:trPr>
          <w:trHeight w:val="185"/>
        </w:trPr>
        <w:tc>
          <w:tcPr>
            <w:tcW w:w="1080" w:type="dxa"/>
            <w:vAlign w:val="bottom"/>
            <w:shd w:val="clear" w:color="auto" w:fill="99B7C6"/>
          </w:tcPr>
          <w:p>
            <w:pPr>
              <w:ind w:left="80"/>
              <w:spacing w:after="0"/>
              <w:rPr>
                <w:sz w:val="20"/>
                <w:szCs w:val="20"/>
                <w:color w:val="auto"/>
              </w:rPr>
            </w:pPr>
            <w:r>
              <w:rPr>
                <w:rFonts w:ascii="Arial" w:cs="Arial" w:eastAsia="Arial" w:hAnsi="Arial"/>
                <w:sz w:val="13"/>
                <w:szCs w:val="13"/>
                <w:b w:val="1"/>
                <w:bCs w:val="1"/>
                <w:color w:val="FFFFFF"/>
              </w:rPr>
              <w:t>Matters</w:t>
            </w:r>
          </w:p>
        </w:tc>
        <w:tc>
          <w:tcPr>
            <w:tcW w:w="6020" w:type="dxa"/>
            <w:vAlign w:val="bottom"/>
            <w:shd w:val="clear" w:color="auto" w:fill="99B7C6"/>
          </w:tcPr>
          <w:p>
            <w:pPr>
              <w:spacing w:after="0"/>
              <w:rPr>
                <w:sz w:val="16"/>
                <w:szCs w:val="16"/>
                <w:color w:val="auto"/>
              </w:rPr>
            </w:pPr>
          </w:p>
        </w:tc>
        <w:tc>
          <w:tcPr>
            <w:tcW w:w="2480" w:type="dxa"/>
            <w:vAlign w:val="bottom"/>
            <w:vMerge w:val="continue"/>
            <w:shd w:val="clear" w:color="auto" w:fill="99B7C6"/>
          </w:tcPr>
          <w:p>
            <w:pPr>
              <w:spacing w:after="0"/>
              <w:rPr>
                <w:sz w:val="16"/>
                <w:szCs w:val="16"/>
                <w:color w:val="auto"/>
              </w:rPr>
            </w:pPr>
          </w:p>
        </w:tc>
        <w:tc>
          <w:tcPr>
            <w:tcW w:w="1360" w:type="dxa"/>
            <w:vAlign w:val="bottom"/>
            <w:vMerge w:val="continue"/>
            <w:shd w:val="clear" w:color="auto" w:fill="99B7C6"/>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080" w:type="dxa"/>
            <w:vAlign w:val="bottom"/>
            <w:shd w:val="clear" w:color="auto" w:fill="E9F0F3"/>
          </w:tcPr>
          <w:p>
            <w:pPr>
              <w:ind w:left="80"/>
              <w:spacing w:after="0"/>
              <w:rPr>
                <w:sz w:val="20"/>
                <w:szCs w:val="20"/>
                <w:color w:val="auto"/>
              </w:rPr>
            </w:pPr>
            <w:r>
              <w:rPr>
                <w:rFonts w:ascii="Arial" w:cs="Arial" w:eastAsia="Arial" w:hAnsi="Arial"/>
                <w:sz w:val="14"/>
                <w:szCs w:val="14"/>
                <w:b w:val="1"/>
                <w:bCs w:val="1"/>
                <w:color w:val="auto"/>
              </w:rPr>
              <w:t>Proposal 1</w:t>
            </w:r>
          </w:p>
        </w:tc>
        <w:tc>
          <w:tcPr>
            <w:tcW w:w="6020" w:type="dxa"/>
            <w:vAlign w:val="bottom"/>
            <w:shd w:val="clear" w:color="auto" w:fill="E9F0F3"/>
          </w:tcPr>
          <w:p>
            <w:pPr>
              <w:ind w:left="280"/>
              <w:spacing w:after="0"/>
              <w:rPr>
                <w:sz w:val="20"/>
                <w:szCs w:val="20"/>
                <w:color w:val="auto"/>
              </w:rPr>
            </w:pPr>
            <w:r>
              <w:rPr>
                <w:rFonts w:ascii="Arial" w:cs="Arial" w:eastAsia="Arial" w:hAnsi="Arial"/>
                <w:sz w:val="14"/>
                <w:szCs w:val="14"/>
                <w:color w:val="auto"/>
              </w:rPr>
              <w:t>Election of Directors</w:t>
            </w:r>
          </w:p>
        </w:tc>
        <w:tc>
          <w:tcPr>
            <w:tcW w:w="2480" w:type="dxa"/>
            <w:vAlign w:val="bottom"/>
            <w:shd w:val="clear" w:color="auto" w:fill="E9F0F3"/>
          </w:tcPr>
          <w:p>
            <w:pPr>
              <w:jc w:val="right"/>
              <w:ind w:right="469"/>
              <w:spacing w:after="0"/>
              <w:rPr>
                <w:sz w:val="20"/>
                <w:szCs w:val="20"/>
                <w:color w:val="auto"/>
              </w:rPr>
            </w:pPr>
            <w:r>
              <w:rPr>
                <w:rFonts w:ascii="Arial" w:cs="Arial" w:eastAsia="Arial" w:hAnsi="Arial"/>
                <w:sz w:val="14"/>
                <w:szCs w:val="14"/>
                <w:b w:val="1"/>
                <w:bCs w:val="1"/>
                <w:color w:val="auto"/>
              </w:rPr>
              <w:t>FOR each Director</w:t>
            </w:r>
          </w:p>
        </w:tc>
        <w:tc>
          <w:tcPr>
            <w:tcW w:w="13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Page 12</w:t>
            </w:r>
          </w:p>
        </w:tc>
        <w:tc>
          <w:tcPr>
            <w:tcW w:w="0" w:type="dxa"/>
            <w:vAlign w:val="bottom"/>
          </w:tcPr>
          <w:p>
            <w:pPr>
              <w:spacing w:after="0"/>
              <w:rPr>
                <w:sz w:val="1"/>
                <w:szCs w:val="1"/>
                <w:color w:val="auto"/>
              </w:rPr>
            </w:pPr>
          </w:p>
        </w:tc>
      </w:tr>
      <w:tr>
        <w:trPr>
          <w:trHeight w:val="213"/>
        </w:trPr>
        <w:tc>
          <w:tcPr>
            <w:tcW w:w="1080" w:type="dxa"/>
            <w:vAlign w:val="bottom"/>
            <w:shd w:val="clear" w:color="auto" w:fill="E9F0F3"/>
          </w:tcPr>
          <w:p>
            <w:pPr>
              <w:spacing w:after="0"/>
              <w:rPr>
                <w:sz w:val="18"/>
                <w:szCs w:val="18"/>
                <w:color w:val="auto"/>
              </w:rPr>
            </w:pPr>
          </w:p>
        </w:tc>
        <w:tc>
          <w:tcPr>
            <w:tcW w:w="6020" w:type="dxa"/>
            <w:vAlign w:val="bottom"/>
            <w:shd w:val="clear" w:color="auto" w:fill="E9F0F3"/>
          </w:tcPr>
          <w:p>
            <w:pPr>
              <w:spacing w:after="0"/>
              <w:rPr>
                <w:sz w:val="18"/>
                <w:szCs w:val="18"/>
                <w:color w:val="auto"/>
              </w:rPr>
            </w:pPr>
          </w:p>
        </w:tc>
        <w:tc>
          <w:tcPr>
            <w:tcW w:w="2480" w:type="dxa"/>
            <w:vAlign w:val="bottom"/>
            <w:shd w:val="clear" w:color="auto" w:fill="E9F0F3"/>
          </w:tcPr>
          <w:p>
            <w:pPr>
              <w:jc w:val="right"/>
              <w:ind w:right="469"/>
              <w:spacing w:after="0"/>
              <w:rPr>
                <w:sz w:val="20"/>
                <w:szCs w:val="20"/>
                <w:color w:val="auto"/>
              </w:rPr>
            </w:pPr>
            <w:r>
              <w:rPr>
                <w:rFonts w:ascii="Arial" w:cs="Arial" w:eastAsia="Arial" w:hAnsi="Arial"/>
                <w:sz w:val="14"/>
                <w:szCs w:val="14"/>
                <w:b w:val="1"/>
                <w:bCs w:val="1"/>
                <w:color w:val="auto"/>
              </w:rPr>
              <w:t>Nominee</w:t>
            </w:r>
          </w:p>
        </w:tc>
        <w:tc>
          <w:tcPr>
            <w:tcW w:w="1360" w:type="dxa"/>
            <w:vAlign w:val="bottom"/>
            <w:shd w:val="clear" w:color="auto" w:fill="E9F0F3"/>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80" w:type="dxa"/>
            <w:vAlign w:val="bottom"/>
          </w:tcPr>
          <w:p>
            <w:pPr>
              <w:ind w:left="80"/>
              <w:spacing w:after="0"/>
              <w:rPr>
                <w:sz w:val="20"/>
                <w:szCs w:val="20"/>
                <w:color w:val="auto"/>
              </w:rPr>
            </w:pPr>
            <w:r>
              <w:rPr>
                <w:rFonts w:ascii="Arial" w:cs="Arial" w:eastAsia="Arial" w:hAnsi="Arial"/>
                <w:sz w:val="14"/>
                <w:szCs w:val="14"/>
                <w:b w:val="1"/>
                <w:bCs w:val="1"/>
                <w:color w:val="auto"/>
              </w:rPr>
              <w:t>Proposal 2</w:t>
            </w:r>
          </w:p>
        </w:tc>
        <w:tc>
          <w:tcPr>
            <w:tcW w:w="6020" w:type="dxa"/>
            <w:vAlign w:val="bottom"/>
          </w:tcPr>
          <w:p>
            <w:pPr>
              <w:ind w:left="280"/>
              <w:spacing w:after="0"/>
              <w:rPr>
                <w:sz w:val="20"/>
                <w:szCs w:val="20"/>
                <w:color w:val="auto"/>
              </w:rPr>
            </w:pPr>
            <w:r>
              <w:rPr>
                <w:rFonts w:ascii="Arial" w:cs="Arial" w:eastAsia="Arial" w:hAnsi="Arial"/>
                <w:sz w:val="14"/>
                <w:szCs w:val="14"/>
                <w:color w:val="auto"/>
              </w:rPr>
              <w:t>Advisory vote on executive compensation</w:t>
            </w:r>
          </w:p>
        </w:tc>
        <w:tc>
          <w:tcPr>
            <w:tcW w:w="2480" w:type="dxa"/>
            <w:vAlign w:val="bottom"/>
          </w:tcPr>
          <w:p>
            <w:pPr>
              <w:jc w:val="right"/>
              <w:ind w:right="469"/>
              <w:spacing w:after="0"/>
              <w:rPr>
                <w:sz w:val="20"/>
                <w:szCs w:val="20"/>
                <w:color w:val="auto"/>
              </w:rPr>
            </w:pPr>
            <w:r>
              <w:rPr>
                <w:rFonts w:ascii="Arial" w:cs="Arial" w:eastAsia="Arial" w:hAnsi="Arial"/>
                <w:sz w:val="14"/>
                <w:szCs w:val="14"/>
                <w:b w:val="1"/>
                <w:bCs w:val="1"/>
                <w:color w:val="auto"/>
              </w:rPr>
              <w:t>FOR</w:t>
            </w:r>
          </w:p>
        </w:tc>
        <w:tc>
          <w:tcPr>
            <w:tcW w:w="1360" w:type="dxa"/>
            <w:vAlign w:val="bottom"/>
          </w:tcPr>
          <w:p>
            <w:pPr>
              <w:jc w:val="right"/>
              <w:spacing w:after="0"/>
              <w:rPr>
                <w:sz w:val="20"/>
                <w:szCs w:val="20"/>
                <w:color w:val="auto"/>
              </w:rPr>
            </w:pPr>
            <w:r>
              <w:rPr>
                <w:rFonts w:ascii="Arial" w:cs="Arial" w:eastAsia="Arial" w:hAnsi="Arial"/>
                <w:sz w:val="14"/>
                <w:szCs w:val="14"/>
                <w:color w:val="auto"/>
              </w:rPr>
              <w:t>Page 37</w:t>
            </w:r>
          </w:p>
        </w:tc>
        <w:tc>
          <w:tcPr>
            <w:tcW w:w="0" w:type="dxa"/>
            <w:vAlign w:val="bottom"/>
          </w:tcPr>
          <w:p>
            <w:pPr>
              <w:spacing w:after="0"/>
              <w:rPr>
                <w:sz w:val="1"/>
                <w:szCs w:val="1"/>
                <w:color w:val="auto"/>
              </w:rPr>
            </w:pPr>
          </w:p>
        </w:tc>
      </w:tr>
      <w:tr>
        <w:trPr>
          <w:trHeight w:val="257"/>
        </w:trPr>
        <w:tc>
          <w:tcPr>
            <w:tcW w:w="1080" w:type="dxa"/>
            <w:vAlign w:val="bottom"/>
            <w:shd w:val="clear" w:color="auto" w:fill="E9F0F3"/>
          </w:tcPr>
          <w:p>
            <w:pPr>
              <w:ind w:left="80"/>
              <w:spacing w:after="0"/>
              <w:rPr>
                <w:sz w:val="20"/>
                <w:szCs w:val="20"/>
                <w:color w:val="auto"/>
              </w:rPr>
            </w:pPr>
            <w:r>
              <w:rPr>
                <w:rFonts w:ascii="Arial" w:cs="Arial" w:eastAsia="Arial" w:hAnsi="Arial"/>
                <w:sz w:val="14"/>
                <w:szCs w:val="14"/>
                <w:b w:val="1"/>
                <w:bCs w:val="1"/>
                <w:color w:val="auto"/>
              </w:rPr>
              <w:t>Proposal 3</w:t>
            </w:r>
          </w:p>
        </w:tc>
        <w:tc>
          <w:tcPr>
            <w:tcW w:w="6020" w:type="dxa"/>
            <w:vAlign w:val="bottom"/>
            <w:shd w:val="clear" w:color="auto" w:fill="E9F0F3"/>
          </w:tcPr>
          <w:p>
            <w:pPr>
              <w:ind w:left="280"/>
              <w:spacing w:after="0"/>
              <w:rPr>
                <w:sz w:val="20"/>
                <w:szCs w:val="20"/>
                <w:color w:val="auto"/>
              </w:rPr>
            </w:pPr>
            <w:r>
              <w:rPr>
                <w:rFonts w:ascii="Arial" w:cs="Arial" w:eastAsia="Arial" w:hAnsi="Arial"/>
                <w:sz w:val="14"/>
                <w:szCs w:val="14"/>
                <w:color w:val="auto"/>
              </w:rPr>
              <w:t>Approval of the amendments to our Stock Incentive Plan</w:t>
            </w:r>
          </w:p>
        </w:tc>
        <w:tc>
          <w:tcPr>
            <w:tcW w:w="2480" w:type="dxa"/>
            <w:vAlign w:val="bottom"/>
            <w:shd w:val="clear" w:color="auto" w:fill="E9F0F3"/>
          </w:tcPr>
          <w:p>
            <w:pPr>
              <w:jc w:val="right"/>
              <w:ind w:right="469"/>
              <w:spacing w:after="0"/>
              <w:rPr>
                <w:sz w:val="20"/>
                <w:szCs w:val="20"/>
                <w:color w:val="auto"/>
              </w:rPr>
            </w:pPr>
            <w:r>
              <w:rPr>
                <w:rFonts w:ascii="Arial" w:cs="Arial" w:eastAsia="Arial" w:hAnsi="Arial"/>
                <w:sz w:val="14"/>
                <w:szCs w:val="14"/>
                <w:b w:val="1"/>
                <w:bCs w:val="1"/>
                <w:color w:val="auto"/>
              </w:rPr>
              <w:t>FOR</w:t>
            </w:r>
          </w:p>
        </w:tc>
        <w:tc>
          <w:tcPr>
            <w:tcW w:w="13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Page 85</w:t>
            </w:r>
          </w:p>
        </w:tc>
        <w:tc>
          <w:tcPr>
            <w:tcW w:w="0" w:type="dxa"/>
            <w:vAlign w:val="bottom"/>
          </w:tcPr>
          <w:p>
            <w:pPr>
              <w:spacing w:after="0"/>
              <w:rPr>
                <w:sz w:val="1"/>
                <w:szCs w:val="1"/>
                <w:color w:val="auto"/>
              </w:rPr>
            </w:pPr>
          </w:p>
        </w:tc>
      </w:tr>
      <w:tr>
        <w:trPr>
          <w:trHeight w:val="229"/>
        </w:trPr>
        <w:tc>
          <w:tcPr>
            <w:tcW w:w="1080" w:type="dxa"/>
            <w:vAlign w:val="bottom"/>
          </w:tcPr>
          <w:p>
            <w:pPr>
              <w:ind w:left="80"/>
              <w:spacing w:after="0"/>
              <w:rPr>
                <w:sz w:val="20"/>
                <w:szCs w:val="20"/>
                <w:color w:val="auto"/>
              </w:rPr>
            </w:pPr>
            <w:r>
              <w:rPr>
                <w:rFonts w:ascii="Arial" w:cs="Arial" w:eastAsia="Arial" w:hAnsi="Arial"/>
                <w:sz w:val="14"/>
                <w:szCs w:val="14"/>
                <w:b w:val="1"/>
                <w:bCs w:val="1"/>
                <w:color w:val="auto"/>
              </w:rPr>
              <w:t>Proposal 4</w:t>
            </w:r>
          </w:p>
        </w:tc>
        <w:tc>
          <w:tcPr>
            <w:tcW w:w="6020" w:type="dxa"/>
            <w:vAlign w:val="bottom"/>
          </w:tcPr>
          <w:p>
            <w:pPr>
              <w:ind w:left="280"/>
              <w:spacing w:after="0"/>
              <w:rPr>
                <w:sz w:val="20"/>
                <w:szCs w:val="20"/>
                <w:color w:val="auto"/>
              </w:rPr>
            </w:pPr>
            <w:r>
              <w:rPr>
                <w:rFonts w:ascii="Arial" w:cs="Arial" w:eastAsia="Arial" w:hAnsi="Arial"/>
                <w:sz w:val="14"/>
                <w:szCs w:val="14"/>
                <w:color w:val="auto"/>
              </w:rPr>
              <w:t>Ratification of Ernst &amp; Young LLP as our independent auditor for fiscal year 2026</w:t>
            </w:r>
          </w:p>
        </w:tc>
        <w:tc>
          <w:tcPr>
            <w:tcW w:w="2480" w:type="dxa"/>
            <w:vAlign w:val="bottom"/>
          </w:tcPr>
          <w:p>
            <w:pPr>
              <w:jc w:val="right"/>
              <w:ind w:right="469"/>
              <w:spacing w:after="0"/>
              <w:rPr>
                <w:sz w:val="20"/>
                <w:szCs w:val="20"/>
                <w:color w:val="auto"/>
              </w:rPr>
            </w:pPr>
            <w:r>
              <w:rPr>
                <w:rFonts w:ascii="Arial" w:cs="Arial" w:eastAsia="Arial" w:hAnsi="Arial"/>
                <w:sz w:val="14"/>
                <w:szCs w:val="14"/>
                <w:b w:val="1"/>
                <w:bCs w:val="1"/>
                <w:color w:val="auto"/>
              </w:rPr>
              <w:t>FOR</w:t>
            </w:r>
          </w:p>
        </w:tc>
        <w:tc>
          <w:tcPr>
            <w:tcW w:w="1360" w:type="dxa"/>
            <w:vAlign w:val="bottom"/>
          </w:tcPr>
          <w:p>
            <w:pPr>
              <w:jc w:val="right"/>
              <w:spacing w:after="0"/>
              <w:rPr>
                <w:sz w:val="20"/>
                <w:szCs w:val="20"/>
                <w:color w:val="auto"/>
              </w:rPr>
            </w:pPr>
            <w:r>
              <w:rPr>
                <w:rFonts w:ascii="Arial" w:cs="Arial" w:eastAsia="Arial" w:hAnsi="Arial"/>
                <w:sz w:val="14"/>
                <w:szCs w:val="14"/>
                <w:color w:val="auto"/>
              </w:rPr>
              <w:t>Page 94</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6D98AD"/>
        </w:rPr>
        <w:t>What to look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-187960</wp:posOffset>
            </wp:positionV>
            <wp:extent cx="7620" cy="1757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20" cy="1757680"/>
                    </a:xfrm>
                    <a:prstGeom prst="rect">
                      <a:avLst/>
                    </a:prstGeom>
                    <a:noFill/>
                  </pic:spPr>
                </pic:pic>
              </a:graphicData>
            </a:graphic>
          </wp:anchor>
        </w:drawing>
      </w:r>
    </w:p>
    <w:p>
      <w:pPr>
        <w:spacing w:after="0" w:line="47"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We continue to focus on good governance and strive for transparency. This Proxy Statement discusses several significant 2025 actions. Among other things:</w:t>
      </w:r>
    </w:p>
    <w:p>
      <w:pPr>
        <w:sectPr>
          <w:pgSz w:w="11900" w:h="16838" w:orient="portrait"/>
          <w:cols w:equalWidth="0" w:num="1">
            <w:col w:w="10960"/>
          </w:cols>
          <w:pgMar w:left="460" w:top="65" w:right="479" w:bottom="1440" w:gutter="0" w:footer="0" w:header="0"/>
          <w:type w:val="continuous"/>
        </w:sectPr>
      </w:pPr>
    </w:p>
    <w:p>
      <w:pPr>
        <w:spacing w:after="0" w:line="138" w:lineRule="exact"/>
        <w:rPr>
          <w:sz w:val="20"/>
          <w:szCs w:val="20"/>
          <w:color w:val="auto"/>
        </w:rPr>
      </w:pPr>
    </w:p>
    <w:p>
      <w:pPr>
        <w:ind w:left="380" w:right="180" w:hanging="133"/>
        <w:spacing w:after="0" w:line="236" w:lineRule="auto"/>
        <w:tabs>
          <w:tab w:leader="none" w:pos="377"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maintained the components of our incentive compensation program that we put in place in 2023. At that time, we changed some of the metrics used in our awards and discontinued a prior practice of using earnings metrics in both annual and long-term awards. Specifically, we use</w:t>
      </w:r>
    </w:p>
    <w:p>
      <w:pPr>
        <w:spacing w:after="0" w:line="36" w:lineRule="exact"/>
        <w:rPr>
          <w:rFonts w:ascii="Arial" w:cs="Arial" w:eastAsia="Arial" w:hAnsi="Arial"/>
          <w:sz w:val="13"/>
          <w:szCs w:val="13"/>
          <w:color w:val="auto"/>
        </w:rPr>
      </w:pPr>
    </w:p>
    <w:p>
      <w:pPr>
        <w:ind w:left="520" w:right="160" w:hanging="141"/>
        <w:spacing w:after="0" w:line="252" w:lineRule="auto"/>
        <w:rPr>
          <w:rFonts w:ascii="Arial" w:cs="Arial" w:eastAsia="Arial" w:hAnsi="Arial"/>
          <w:sz w:val="13"/>
          <w:szCs w:val="13"/>
          <w:color w:val="auto"/>
        </w:rPr>
      </w:pPr>
      <w:r>
        <w:rPr>
          <w:rFonts w:ascii="Arial" w:cs="Arial" w:eastAsia="Arial" w:hAnsi="Arial"/>
          <w:sz w:val="13"/>
          <w:szCs w:val="13"/>
          <w:color w:val="auto"/>
        </w:rPr>
        <w:t>– earnings before interest and taxes (“EBIT”) and revenue growth as the performance measures for our annual bonus awards; and</w:t>
      </w:r>
    </w:p>
    <w:p>
      <w:pPr>
        <w:spacing w:after="0" w:line="27" w:lineRule="exact"/>
        <w:rPr>
          <w:rFonts w:ascii="Arial" w:cs="Arial" w:eastAsia="Arial" w:hAnsi="Arial"/>
          <w:sz w:val="13"/>
          <w:szCs w:val="13"/>
          <w:color w:val="auto"/>
        </w:rPr>
      </w:pPr>
    </w:p>
    <w:p>
      <w:pPr>
        <w:ind w:left="520" w:right="480" w:hanging="141"/>
        <w:spacing w:after="0" w:line="252" w:lineRule="auto"/>
        <w:rPr>
          <w:rFonts w:ascii="Arial" w:cs="Arial" w:eastAsia="Arial" w:hAnsi="Arial"/>
          <w:sz w:val="13"/>
          <w:szCs w:val="13"/>
          <w:color w:val="auto"/>
        </w:rPr>
      </w:pPr>
      <w:r>
        <w:rPr>
          <w:rFonts w:ascii="Arial" w:cs="Arial" w:eastAsia="Arial" w:hAnsi="Arial"/>
          <w:sz w:val="13"/>
          <w:szCs w:val="13"/>
          <w:color w:val="auto"/>
        </w:rPr>
        <w:t>– total stockholder return (“TSR”) and return on invested capital (“ROIC”) as the performance measures for our performance share unit (“PSU”) awards.</w:t>
      </w:r>
    </w:p>
    <w:p>
      <w:pPr>
        <w:spacing w:after="0" w:line="39" w:lineRule="exact"/>
        <w:rPr>
          <w:rFonts w:ascii="Arial" w:cs="Arial" w:eastAsia="Arial" w:hAnsi="Arial"/>
          <w:sz w:val="13"/>
          <w:szCs w:val="13"/>
          <w:color w:val="auto"/>
        </w:rPr>
      </w:pPr>
    </w:p>
    <w:p>
      <w:pPr>
        <w:ind w:left="380" w:hanging="133"/>
        <w:spacing w:after="0" w:line="239" w:lineRule="auto"/>
        <w:tabs>
          <w:tab w:leader="none" w:pos="377"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stockholders overwhelmingly approved the compensation of our Named Executive Officers (“NEOs”) at our 2025 Annual Meeting, with over 96% of the votes cast in favor of the advisory proposal.</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33" w:hanging="133"/>
        <w:spacing w:after="0"/>
        <w:tabs>
          <w:tab w:leader="none" w:pos="133"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made no changes to the base salaries of any of our non-interim executive officers.</w:t>
      </w:r>
    </w:p>
    <w:p>
      <w:pPr>
        <w:spacing w:after="0" w:line="16" w:lineRule="exact"/>
        <w:rPr>
          <w:rFonts w:ascii="Arial" w:cs="Arial" w:eastAsia="Arial" w:hAnsi="Arial"/>
          <w:sz w:val="13"/>
          <w:szCs w:val="13"/>
          <w:color w:val="auto"/>
        </w:rPr>
      </w:pPr>
    </w:p>
    <w:p>
      <w:pPr>
        <w:ind w:left="133" w:right="60" w:hanging="133"/>
        <w:spacing w:after="0" w:line="250" w:lineRule="auto"/>
        <w:tabs>
          <w:tab w:leader="none" w:pos="13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discontinued the use of stock options in the compensation packages for our Chief Executive Officer (“CEO”) and Chief Financial Officer (“CFO”). The value previously used for stock option awards was added to the restricted stock unit (“RSU”) awards these executives received. We believe this new mix enhances the resiliency of these compensation packages during the current uncertain and volatile times. The use of stock options is a minority practice among our compensation peer group, and in the broader market, and the elimination of them as a part of these executives’ compensation packages aligns all NEOs under the same long-term incentive (“LTI”) mix.</w:t>
      </w:r>
    </w:p>
    <w:p>
      <w:pPr>
        <w:spacing w:after="0" w:line="3" w:lineRule="exact"/>
        <w:rPr>
          <w:rFonts w:ascii="Arial" w:cs="Arial" w:eastAsia="Arial" w:hAnsi="Arial"/>
          <w:sz w:val="12"/>
          <w:szCs w:val="12"/>
          <w:color w:val="auto"/>
        </w:rPr>
      </w:pPr>
    </w:p>
    <w:p>
      <w:pPr>
        <w:ind w:left="133" w:right="120" w:hanging="133"/>
        <w:spacing w:after="0" w:line="233" w:lineRule="auto"/>
        <w:tabs>
          <w:tab w:leader="none" w:pos="13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recently amended our By-Laws to lower the threshold required for stockholders to call a special meeting from a majority to 25% of our outstanding shares, which is consistent with peer companies.</w:t>
      </w:r>
    </w:p>
    <w:p>
      <w:pPr>
        <w:ind w:left="133" w:right="300" w:hanging="133"/>
        <w:spacing w:after="0" w:line="236" w:lineRule="auto"/>
        <w:tabs>
          <w:tab w:leader="none" w:pos="130"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continued to live our values; practice good governance; attract, develop and retain strong talent; and act as good corporate citizens.</w:t>
      </w:r>
    </w:p>
    <w:p>
      <w:pPr>
        <w:spacing w:after="0" w:line="200" w:lineRule="exact"/>
        <w:rPr>
          <w:sz w:val="20"/>
          <w:szCs w:val="20"/>
          <w:color w:val="auto"/>
        </w:rPr>
      </w:pPr>
    </w:p>
    <w:p>
      <w:pPr>
        <w:sectPr>
          <w:pgSz w:w="11900" w:h="16838" w:orient="portrait"/>
          <w:cols w:equalWidth="0" w:num="2">
            <w:col w:w="5320" w:space="427"/>
            <w:col w:w="5213"/>
          </w:cols>
          <w:pgMar w:left="460" w:top="65" w:right="479" w:bottom="1440" w:gutter="0" w:footer="0" w:header="0"/>
          <w:type w:val="continuous"/>
        </w:sectPr>
      </w:pPr>
    </w:p>
    <w:p>
      <w:pPr>
        <w:spacing w:after="0" w:line="99" w:lineRule="exact"/>
        <w:rPr>
          <w:sz w:val="20"/>
          <w:szCs w:val="20"/>
          <w:color w:val="auto"/>
        </w:rPr>
      </w:pPr>
    </w:p>
    <w:p>
      <w:pPr>
        <w:ind w:left="8780"/>
        <w:spacing w:after="0"/>
        <w:rPr>
          <w:sz w:val="20"/>
          <w:szCs w:val="20"/>
          <w:color w:val="auto"/>
        </w:rPr>
      </w:pPr>
      <w:r>
        <w:rPr>
          <w:rFonts w:ascii="Arial" w:cs="Arial" w:eastAsia="Arial" w:hAnsi="Arial"/>
          <w:sz w:val="11"/>
          <w:szCs w:val="11"/>
          <w:color w:val="auto"/>
        </w:rPr>
        <w:t xml:space="preserve">PVH CORP. 2026 PROXY STATEMENT / </w:t>
      </w:r>
      <w:r>
        <w:rPr>
          <w:rFonts w:ascii="Arial" w:cs="Arial" w:eastAsia="Arial" w:hAnsi="Arial"/>
          <w:sz w:val="11"/>
          <w:szCs w:val="11"/>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65" w:right="47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28"/>
          <w:szCs w:val="28"/>
          <w:b w:val="1"/>
          <w:bCs w:val="1"/>
          <w:color w:val="6D98AD"/>
        </w:rPr>
        <w:t xml:space="preserve">Director Election </w:t>
      </w:r>
      <w:r>
        <w:rPr>
          <w:rFonts w:ascii="Arial" w:cs="Arial" w:eastAsia="Arial" w:hAnsi="Arial"/>
          <w:sz w:val="28"/>
          <w:szCs w:val="28"/>
          <w:b w:val="1"/>
          <w:bCs w:val="1"/>
          <w:color w:val="808285"/>
        </w:rPr>
        <w:t>(page 12)</w:t>
      </w:r>
    </w:p>
    <w:p>
      <w:pPr>
        <w:spacing w:after="0" w:line="91" w:lineRule="exact"/>
        <w:rPr>
          <w:sz w:val="20"/>
          <w:szCs w:val="20"/>
          <w:color w:val="auto"/>
        </w:rPr>
      </w:pPr>
    </w:p>
    <w:p>
      <w:pPr>
        <w:ind w:left="20" w:right="120"/>
        <w:spacing w:after="0" w:line="282" w:lineRule="auto"/>
        <w:rPr>
          <w:sz w:val="20"/>
          <w:szCs w:val="20"/>
          <w:color w:val="auto"/>
        </w:rPr>
      </w:pPr>
      <w:r>
        <w:rPr>
          <w:rFonts w:ascii="Arial" w:cs="Arial" w:eastAsia="Arial" w:hAnsi="Arial"/>
          <w:sz w:val="14"/>
          <w:szCs w:val="14"/>
          <w:color w:val="auto"/>
        </w:rPr>
        <w:t>The following table introduces the current directors, all of whom are standing for re-election. Directors are elected annually by a majority of votes cast. At the Annual Meeting, proxies cannot be voted for more than ten nominees.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All directors are independent, except Mr. Larsson.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Borders>
              <w:bottom w:val="single" w:sz="8" w:color="99B7C6"/>
            </w:tcBorders>
            <w:shd w:val="clear" w:color="auto" w:fill="99B7C6"/>
          </w:tcPr>
          <w:p>
            <w:pPr>
              <w:spacing w:after="0"/>
              <w:rPr>
                <w:sz w:val="16"/>
                <w:szCs w:val="16"/>
                <w:color w:val="auto"/>
              </w:rPr>
            </w:pPr>
          </w:p>
        </w:tc>
        <w:tc>
          <w:tcPr>
            <w:tcW w:w="520" w:type="dxa"/>
            <w:vAlign w:val="bottom"/>
            <w:tcBorders>
              <w:bottom w:val="single" w:sz="8" w:color="99B7C6"/>
            </w:tcBorders>
            <w:shd w:val="clear" w:color="auto" w:fill="99B7C6"/>
          </w:tcPr>
          <w:p>
            <w:pPr>
              <w:spacing w:after="0"/>
              <w:rPr>
                <w:sz w:val="16"/>
                <w:szCs w:val="16"/>
                <w:color w:val="auto"/>
              </w:rPr>
            </w:pPr>
          </w:p>
        </w:tc>
        <w:tc>
          <w:tcPr>
            <w:tcW w:w="800" w:type="dxa"/>
            <w:vAlign w:val="bottom"/>
            <w:tcBorders>
              <w:bottom w:val="single" w:sz="8" w:color="99B7C6"/>
            </w:tcBorders>
            <w:shd w:val="clear" w:color="auto" w:fill="99B7C6"/>
          </w:tcPr>
          <w:p>
            <w:pPr>
              <w:spacing w:after="0"/>
              <w:rPr>
                <w:sz w:val="16"/>
                <w:szCs w:val="16"/>
                <w:color w:val="auto"/>
              </w:rPr>
            </w:pPr>
          </w:p>
        </w:tc>
        <w:tc>
          <w:tcPr>
            <w:tcW w:w="700" w:type="dxa"/>
            <w:vAlign w:val="bottom"/>
            <w:tcBorders>
              <w:bottom w:val="single" w:sz="8" w:color="99B7C6"/>
            </w:tcBorders>
            <w:shd w:val="clear" w:color="auto" w:fill="99B7C6"/>
          </w:tcPr>
          <w:p>
            <w:pPr>
              <w:ind w:left="140"/>
              <w:spacing w:after="0"/>
              <w:rPr>
                <w:sz w:val="20"/>
                <w:szCs w:val="20"/>
                <w:color w:val="auto"/>
              </w:rPr>
            </w:pPr>
            <w:r>
              <w:rPr>
                <w:rFonts w:ascii="Arial" w:cs="Arial" w:eastAsia="Arial" w:hAnsi="Arial"/>
                <w:sz w:val="11"/>
                <w:szCs w:val="11"/>
                <w:b w:val="1"/>
                <w:bCs w:val="1"/>
                <w:color w:val="FFFFFF"/>
              </w:rPr>
              <w:t>Other</w:t>
            </w:r>
          </w:p>
        </w:tc>
        <w:tc>
          <w:tcPr>
            <w:tcW w:w="2660" w:type="dxa"/>
            <w:vAlign w:val="bottom"/>
            <w:tcBorders>
              <w:bottom w:val="single" w:sz="8" w:color="99B7C6"/>
            </w:tcBorders>
            <w:shd w:val="clear" w:color="auto" w:fill="99B7C6"/>
          </w:tcPr>
          <w:p>
            <w:pPr>
              <w:spacing w:after="0"/>
              <w:rPr>
                <w:sz w:val="16"/>
                <w:szCs w:val="16"/>
                <w:color w:val="auto"/>
              </w:rPr>
            </w:pPr>
          </w:p>
        </w:tc>
        <w:tc>
          <w:tcPr>
            <w:tcW w:w="760" w:type="dxa"/>
            <w:vAlign w:val="bottom"/>
            <w:tcBorders>
              <w:bottom w:val="single" w:sz="8" w:color="99B7C6"/>
            </w:tcBorders>
            <w:shd w:val="clear" w:color="auto" w:fill="99B7C6"/>
          </w:tcPr>
          <w:p>
            <w:pPr>
              <w:jc w:val="center"/>
              <w:ind w:right="1"/>
              <w:spacing w:after="0"/>
              <w:rPr>
                <w:sz w:val="20"/>
                <w:szCs w:val="20"/>
                <w:color w:val="auto"/>
              </w:rPr>
            </w:pPr>
            <w:r>
              <w:rPr>
                <w:rFonts w:ascii="Arial" w:cs="Arial" w:eastAsia="Arial" w:hAnsi="Arial"/>
                <w:sz w:val="11"/>
                <w:szCs w:val="11"/>
                <w:b w:val="1"/>
                <w:bCs w:val="1"/>
                <w:color w:val="FFFFFF"/>
                <w:w w:val="97"/>
              </w:rPr>
              <w:t>% Board &amp;</w:t>
            </w:r>
          </w:p>
        </w:tc>
        <w:tc>
          <w:tcPr>
            <w:tcW w:w="2480" w:type="dxa"/>
            <w:vAlign w:val="bottom"/>
            <w:tcBorders>
              <w:bottom w:val="single" w:sz="8" w:color="6D98AD"/>
            </w:tcBorders>
            <w:gridSpan w:val="4"/>
            <w:shd w:val="clear" w:color="auto" w:fill="6D98AD"/>
          </w:tcPr>
          <w:p>
            <w:pPr>
              <w:ind w:left="380"/>
              <w:spacing w:after="0"/>
              <w:rPr>
                <w:sz w:val="20"/>
                <w:szCs w:val="20"/>
                <w:color w:val="auto"/>
              </w:rPr>
            </w:pPr>
            <w:r>
              <w:rPr>
                <w:rFonts w:ascii="Arial" w:cs="Arial" w:eastAsia="Arial" w:hAnsi="Arial"/>
                <w:sz w:val="11"/>
                <w:szCs w:val="11"/>
                <w:b w:val="1"/>
                <w:bCs w:val="1"/>
                <w:color w:val="FFFFFF"/>
              </w:rPr>
              <w:t>Current Committee Memberships</w:t>
            </w:r>
          </w:p>
        </w:tc>
        <w:tc>
          <w:tcPr>
            <w:tcW w:w="0" w:type="dxa"/>
            <w:vAlign w:val="bottom"/>
          </w:tcPr>
          <w:p>
            <w:pPr>
              <w:spacing w:after="0"/>
              <w:rPr>
                <w:sz w:val="1"/>
                <w:szCs w:val="1"/>
                <w:color w:val="auto"/>
              </w:rPr>
            </w:pPr>
          </w:p>
        </w:tc>
      </w:tr>
      <w:tr>
        <w:trPr>
          <w:trHeight w:val="67"/>
        </w:trPr>
        <w:tc>
          <w:tcPr>
            <w:tcW w:w="3020" w:type="dxa"/>
            <w:vAlign w:val="bottom"/>
            <w:shd w:val="clear" w:color="auto" w:fill="99B7C6"/>
          </w:tcPr>
          <w:p>
            <w:pPr>
              <w:spacing w:after="0"/>
              <w:rPr>
                <w:sz w:val="5"/>
                <w:szCs w:val="5"/>
                <w:color w:val="auto"/>
              </w:rPr>
            </w:pPr>
          </w:p>
        </w:tc>
        <w:tc>
          <w:tcPr>
            <w:tcW w:w="520" w:type="dxa"/>
            <w:vAlign w:val="bottom"/>
            <w:shd w:val="clear" w:color="auto" w:fill="99B7C6"/>
          </w:tcPr>
          <w:p>
            <w:pPr>
              <w:spacing w:after="0"/>
              <w:rPr>
                <w:sz w:val="5"/>
                <w:szCs w:val="5"/>
                <w:color w:val="auto"/>
              </w:rPr>
            </w:pPr>
          </w:p>
        </w:tc>
        <w:tc>
          <w:tcPr>
            <w:tcW w:w="800" w:type="dxa"/>
            <w:vAlign w:val="bottom"/>
            <w:shd w:val="clear" w:color="auto" w:fill="99B7C6"/>
          </w:tcPr>
          <w:p>
            <w:pPr>
              <w:ind w:left="200"/>
              <w:spacing w:after="0" w:line="68" w:lineRule="exact"/>
              <w:rPr>
                <w:sz w:val="20"/>
                <w:szCs w:val="20"/>
                <w:color w:val="auto"/>
              </w:rPr>
            </w:pPr>
            <w:r>
              <w:rPr>
                <w:rFonts w:ascii="Arial" w:cs="Arial" w:eastAsia="Arial" w:hAnsi="Arial"/>
                <w:sz w:val="7"/>
                <w:szCs w:val="7"/>
                <w:b w:val="1"/>
                <w:bCs w:val="1"/>
                <w:color w:val="FFFFFF"/>
              </w:rPr>
              <w:t>Director</w:t>
            </w:r>
          </w:p>
        </w:tc>
        <w:tc>
          <w:tcPr>
            <w:tcW w:w="700" w:type="dxa"/>
            <w:vAlign w:val="bottom"/>
            <w:shd w:val="clear" w:color="auto" w:fill="99B7C6"/>
          </w:tcPr>
          <w:p>
            <w:pPr>
              <w:ind w:left="140"/>
              <w:spacing w:after="0" w:line="68" w:lineRule="exact"/>
              <w:rPr>
                <w:sz w:val="20"/>
                <w:szCs w:val="20"/>
                <w:color w:val="auto"/>
              </w:rPr>
            </w:pPr>
            <w:r>
              <w:rPr>
                <w:rFonts w:ascii="Arial" w:cs="Arial" w:eastAsia="Arial" w:hAnsi="Arial"/>
                <w:sz w:val="7"/>
                <w:szCs w:val="7"/>
                <w:b w:val="1"/>
                <w:bCs w:val="1"/>
                <w:color w:val="FFFFFF"/>
              </w:rPr>
              <w:t>public</w:t>
            </w:r>
          </w:p>
        </w:tc>
        <w:tc>
          <w:tcPr>
            <w:tcW w:w="2660" w:type="dxa"/>
            <w:vAlign w:val="bottom"/>
            <w:shd w:val="clear" w:color="auto" w:fill="99B7C6"/>
          </w:tcPr>
          <w:p>
            <w:pPr>
              <w:spacing w:after="0"/>
              <w:rPr>
                <w:sz w:val="5"/>
                <w:szCs w:val="5"/>
                <w:color w:val="auto"/>
              </w:rPr>
            </w:pPr>
          </w:p>
        </w:tc>
        <w:tc>
          <w:tcPr>
            <w:tcW w:w="760" w:type="dxa"/>
            <w:vAlign w:val="bottom"/>
            <w:shd w:val="clear" w:color="auto" w:fill="99B7C6"/>
          </w:tcPr>
          <w:p>
            <w:pPr>
              <w:jc w:val="center"/>
              <w:ind w:right="1"/>
              <w:spacing w:after="0" w:line="68" w:lineRule="exact"/>
              <w:rPr>
                <w:sz w:val="20"/>
                <w:szCs w:val="20"/>
                <w:color w:val="auto"/>
              </w:rPr>
            </w:pPr>
            <w:r>
              <w:rPr>
                <w:rFonts w:ascii="Arial" w:cs="Arial" w:eastAsia="Arial" w:hAnsi="Arial"/>
                <w:sz w:val="7"/>
                <w:szCs w:val="7"/>
                <w:b w:val="1"/>
                <w:bCs w:val="1"/>
                <w:color w:val="FFFFFF"/>
              </w:rPr>
              <w:t>committee</w:t>
            </w:r>
          </w:p>
        </w:tc>
        <w:tc>
          <w:tcPr>
            <w:tcW w:w="680" w:type="dxa"/>
            <w:vAlign w:val="bottom"/>
            <w:shd w:val="clear" w:color="auto" w:fill="8AADBD"/>
          </w:tcPr>
          <w:p>
            <w:pPr>
              <w:spacing w:after="0"/>
              <w:rPr>
                <w:sz w:val="5"/>
                <w:szCs w:val="5"/>
                <w:color w:val="auto"/>
              </w:rPr>
            </w:pPr>
          </w:p>
        </w:tc>
        <w:tc>
          <w:tcPr>
            <w:tcW w:w="480" w:type="dxa"/>
            <w:vAlign w:val="bottom"/>
            <w:shd w:val="clear" w:color="auto" w:fill="8AADBD"/>
          </w:tcPr>
          <w:p>
            <w:pPr>
              <w:spacing w:after="0"/>
              <w:rPr>
                <w:sz w:val="5"/>
                <w:szCs w:val="5"/>
                <w:color w:val="auto"/>
              </w:rPr>
            </w:pPr>
          </w:p>
        </w:tc>
        <w:tc>
          <w:tcPr>
            <w:tcW w:w="780" w:type="dxa"/>
            <w:vAlign w:val="bottom"/>
            <w:shd w:val="clear" w:color="auto" w:fill="8AADBD"/>
          </w:tcPr>
          <w:p>
            <w:pPr>
              <w:spacing w:after="0"/>
              <w:rPr>
                <w:sz w:val="5"/>
                <w:szCs w:val="5"/>
                <w:color w:val="auto"/>
              </w:rPr>
            </w:pPr>
          </w:p>
        </w:tc>
        <w:tc>
          <w:tcPr>
            <w:tcW w:w="540" w:type="dxa"/>
            <w:vAlign w:val="bottom"/>
            <w:shd w:val="clear" w:color="auto" w:fill="8AADBD"/>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3020" w:type="dxa"/>
            <w:vAlign w:val="bottom"/>
            <w:vMerge w:val="restart"/>
            <w:shd w:val="clear" w:color="auto" w:fill="99B7C6"/>
          </w:tcPr>
          <w:p>
            <w:pPr>
              <w:ind w:left="1040"/>
              <w:spacing w:after="0"/>
              <w:rPr>
                <w:sz w:val="20"/>
                <w:szCs w:val="20"/>
                <w:color w:val="auto"/>
              </w:rPr>
            </w:pPr>
            <w:r>
              <w:rPr>
                <w:rFonts w:ascii="Arial" w:cs="Arial" w:eastAsia="Arial" w:hAnsi="Arial"/>
                <w:sz w:val="11"/>
                <w:szCs w:val="11"/>
                <w:b w:val="1"/>
                <w:bCs w:val="1"/>
                <w:color w:val="FFFFFF"/>
              </w:rPr>
              <w:t>Director nominee</w:t>
            </w:r>
          </w:p>
        </w:tc>
        <w:tc>
          <w:tcPr>
            <w:tcW w:w="520" w:type="dxa"/>
            <w:vAlign w:val="bottom"/>
            <w:vMerge w:val="restart"/>
            <w:shd w:val="clear" w:color="auto" w:fill="99B7C6"/>
          </w:tcPr>
          <w:p>
            <w:pPr>
              <w:ind w:left="80"/>
              <w:spacing w:after="0"/>
              <w:rPr>
                <w:sz w:val="20"/>
                <w:szCs w:val="20"/>
                <w:color w:val="auto"/>
              </w:rPr>
            </w:pPr>
            <w:r>
              <w:rPr>
                <w:rFonts w:ascii="Arial" w:cs="Arial" w:eastAsia="Arial" w:hAnsi="Arial"/>
                <w:sz w:val="11"/>
                <w:szCs w:val="11"/>
                <w:b w:val="1"/>
                <w:bCs w:val="1"/>
                <w:color w:val="FFFFFF"/>
              </w:rPr>
              <w:t>Age</w:t>
            </w:r>
          </w:p>
        </w:tc>
        <w:tc>
          <w:tcPr>
            <w:tcW w:w="800" w:type="dxa"/>
            <w:vAlign w:val="bottom"/>
            <w:shd w:val="clear" w:color="auto" w:fill="99B7C6"/>
          </w:tcPr>
          <w:p>
            <w:pPr>
              <w:ind w:left="200"/>
              <w:spacing w:after="0" w:line="118" w:lineRule="exact"/>
              <w:rPr>
                <w:sz w:val="20"/>
                <w:szCs w:val="20"/>
                <w:color w:val="auto"/>
              </w:rPr>
            </w:pPr>
            <w:r>
              <w:rPr>
                <w:rFonts w:ascii="Arial" w:cs="Arial" w:eastAsia="Arial" w:hAnsi="Arial"/>
                <w:sz w:val="11"/>
                <w:szCs w:val="11"/>
                <w:b w:val="1"/>
                <w:bCs w:val="1"/>
                <w:color w:val="FFFFFF"/>
              </w:rPr>
              <w:t>Since</w:t>
            </w:r>
          </w:p>
        </w:tc>
        <w:tc>
          <w:tcPr>
            <w:tcW w:w="700" w:type="dxa"/>
            <w:vAlign w:val="bottom"/>
            <w:shd w:val="clear" w:color="auto" w:fill="99B7C6"/>
          </w:tcPr>
          <w:p>
            <w:pPr>
              <w:ind w:left="140"/>
              <w:spacing w:after="0" w:line="118" w:lineRule="exact"/>
              <w:rPr>
                <w:sz w:val="20"/>
                <w:szCs w:val="20"/>
                <w:color w:val="auto"/>
              </w:rPr>
            </w:pPr>
            <w:r>
              <w:rPr>
                <w:rFonts w:ascii="Arial" w:cs="Arial" w:eastAsia="Arial" w:hAnsi="Arial"/>
                <w:sz w:val="11"/>
                <w:szCs w:val="11"/>
                <w:b w:val="1"/>
                <w:bCs w:val="1"/>
                <w:color w:val="FFFFFF"/>
              </w:rPr>
              <w:t>company</w:t>
            </w:r>
          </w:p>
        </w:tc>
        <w:tc>
          <w:tcPr>
            <w:tcW w:w="2660" w:type="dxa"/>
            <w:vAlign w:val="bottom"/>
            <w:vMerge w:val="restart"/>
            <w:shd w:val="clear" w:color="auto" w:fill="99B7C6"/>
          </w:tcPr>
          <w:p>
            <w:pPr>
              <w:ind w:left="80"/>
              <w:spacing w:after="0"/>
              <w:rPr>
                <w:sz w:val="20"/>
                <w:szCs w:val="20"/>
                <w:color w:val="auto"/>
              </w:rPr>
            </w:pPr>
            <w:r>
              <w:rPr>
                <w:rFonts w:ascii="Arial" w:cs="Arial" w:eastAsia="Arial" w:hAnsi="Arial"/>
                <w:sz w:val="11"/>
                <w:szCs w:val="11"/>
                <w:b w:val="1"/>
                <w:bCs w:val="1"/>
                <w:color w:val="FFFFFF"/>
              </w:rPr>
              <w:t>Principal Occupation</w:t>
            </w:r>
          </w:p>
        </w:tc>
        <w:tc>
          <w:tcPr>
            <w:tcW w:w="760" w:type="dxa"/>
            <w:vAlign w:val="bottom"/>
            <w:shd w:val="clear" w:color="auto" w:fill="99B7C6"/>
          </w:tcPr>
          <w:p>
            <w:pPr>
              <w:jc w:val="center"/>
              <w:spacing w:after="0" w:line="118" w:lineRule="exact"/>
              <w:rPr>
                <w:sz w:val="20"/>
                <w:szCs w:val="20"/>
                <w:color w:val="auto"/>
              </w:rPr>
            </w:pPr>
            <w:r>
              <w:rPr>
                <w:rFonts w:ascii="Arial" w:cs="Arial" w:eastAsia="Arial" w:hAnsi="Arial"/>
                <w:sz w:val="11"/>
                <w:szCs w:val="11"/>
                <w:b w:val="1"/>
                <w:bCs w:val="1"/>
                <w:color w:val="FFFFFF"/>
                <w:w w:val="99"/>
              </w:rPr>
              <w:t>meetings</w:t>
            </w:r>
          </w:p>
        </w:tc>
        <w:tc>
          <w:tcPr>
            <w:tcW w:w="680" w:type="dxa"/>
            <w:vAlign w:val="bottom"/>
            <w:vMerge w:val="restart"/>
            <w:shd w:val="clear" w:color="auto" w:fill="8AADBD"/>
          </w:tcPr>
          <w:p>
            <w:pPr>
              <w:ind w:left="140"/>
              <w:spacing w:after="0"/>
              <w:rPr>
                <w:sz w:val="20"/>
                <w:szCs w:val="20"/>
                <w:color w:val="auto"/>
              </w:rPr>
            </w:pPr>
            <w:r>
              <w:rPr>
                <w:rFonts w:ascii="Arial" w:cs="Arial" w:eastAsia="Arial" w:hAnsi="Arial"/>
                <w:sz w:val="11"/>
                <w:szCs w:val="11"/>
                <w:b w:val="1"/>
                <w:bCs w:val="1"/>
                <w:color w:val="FFFFFF"/>
              </w:rPr>
              <w:t>A&amp;RM</w:t>
            </w:r>
          </w:p>
        </w:tc>
        <w:tc>
          <w:tcPr>
            <w:tcW w:w="480" w:type="dxa"/>
            <w:vAlign w:val="bottom"/>
            <w:vMerge w:val="restart"/>
            <w:shd w:val="clear" w:color="auto" w:fill="8AADBD"/>
          </w:tcPr>
          <w:p>
            <w:pPr>
              <w:ind w:left="220"/>
              <w:spacing w:after="0"/>
              <w:rPr>
                <w:sz w:val="20"/>
                <w:szCs w:val="20"/>
                <w:color w:val="auto"/>
              </w:rPr>
            </w:pPr>
            <w:r>
              <w:rPr>
                <w:rFonts w:ascii="Arial" w:cs="Arial" w:eastAsia="Arial" w:hAnsi="Arial"/>
                <w:sz w:val="11"/>
                <w:szCs w:val="11"/>
                <w:b w:val="1"/>
                <w:bCs w:val="1"/>
                <w:color w:val="FFFFFF"/>
              </w:rPr>
              <w:t>C</w:t>
            </w:r>
          </w:p>
        </w:tc>
        <w:tc>
          <w:tcPr>
            <w:tcW w:w="780" w:type="dxa"/>
            <w:vAlign w:val="bottom"/>
            <w:vMerge w:val="restart"/>
            <w:shd w:val="clear" w:color="auto" w:fill="8AADBD"/>
          </w:tcPr>
          <w:p>
            <w:pPr>
              <w:ind w:left="180"/>
              <w:spacing w:after="0"/>
              <w:rPr>
                <w:sz w:val="20"/>
                <w:szCs w:val="20"/>
                <w:color w:val="auto"/>
              </w:rPr>
            </w:pPr>
            <w:r>
              <w:rPr>
                <w:rFonts w:ascii="Arial" w:cs="Arial" w:eastAsia="Arial" w:hAnsi="Arial"/>
                <w:sz w:val="11"/>
                <w:szCs w:val="11"/>
                <w:b w:val="1"/>
                <w:bCs w:val="1"/>
                <w:color w:val="FFFFFF"/>
              </w:rPr>
              <w:t>NG&amp;MD</w:t>
            </w:r>
          </w:p>
        </w:tc>
        <w:tc>
          <w:tcPr>
            <w:tcW w:w="540" w:type="dxa"/>
            <w:vAlign w:val="bottom"/>
            <w:vMerge w:val="restart"/>
            <w:shd w:val="clear" w:color="auto" w:fill="8AADBD"/>
          </w:tcPr>
          <w:p>
            <w:pPr>
              <w:ind w:left="160"/>
              <w:spacing w:after="0"/>
              <w:rPr>
                <w:sz w:val="20"/>
                <w:szCs w:val="20"/>
                <w:color w:val="auto"/>
              </w:rPr>
            </w:pPr>
            <w:r>
              <w:rPr>
                <w:rFonts w:ascii="Arial" w:cs="Arial" w:eastAsia="Arial" w:hAnsi="Arial"/>
                <w:sz w:val="11"/>
                <w:szCs w:val="11"/>
                <w:b w:val="1"/>
                <w:bCs w:val="1"/>
                <w:color w:val="FFFFFF"/>
              </w:rPr>
              <w:t>CR</w:t>
            </w:r>
          </w:p>
        </w:tc>
        <w:tc>
          <w:tcPr>
            <w:tcW w:w="0" w:type="dxa"/>
            <w:vAlign w:val="bottom"/>
          </w:tcPr>
          <w:p>
            <w:pPr>
              <w:spacing w:after="0"/>
              <w:rPr>
                <w:sz w:val="1"/>
                <w:szCs w:val="1"/>
                <w:color w:val="auto"/>
              </w:rPr>
            </w:pPr>
          </w:p>
        </w:tc>
      </w:tr>
      <w:tr>
        <w:trPr>
          <w:trHeight w:val="168"/>
        </w:trPr>
        <w:tc>
          <w:tcPr>
            <w:tcW w:w="3020" w:type="dxa"/>
            <w:vAlign w:val="bottom"/>
            <w:vMerge w:val="continue"/>
            <w:shd w:val="clear" w:color="auto" w:fill="99B7C6"/>
          </w:tcPr>
          <w:p>
            <w:pPr>
              <w:spacing w:after="0"/>
              <w:rPr>
                <w:sz w:val="14"/>
                <w:szCs w:val="14"/>
                <w:color w:val="auto"/>
              </w:rPr>
            </w:pPr>
          </w:p>
        </w:tc>
        <w:tc>
          <w:tcPr>
            <w:tcW w:w="520" w:type="dxa"/>
            <w:vAlign w:val="bottom"/>
            <w:vMerge w:val="continue"/>
            <w:shd w:val="clear" w:color="auto" w:fill="99B7C6"/>
          </w:tcPr>
          <w:p>
            <w:pPr>
              <w:spacing w:after="0"/>
              <w:rPr>
                <w:sz w:val="14"/>
                <w:szCs w:val="14"/>
                <w:color w:val="auto"/>
              </w:rPr>
            </w:pPr>
          </w:p>
        </w:tc>
        <w:tc>
          <w:tcPr>
            <w:tcW w:w="800" w:type="dxa"/>
            <w:vAlign w:val="bottom"/>
            <w:shd w:val="clear" w:color="auto" w:fill="99B7C6"/>
          </w:tcPr>
          <w:p>
            <w:pPr>
              <w:ind w:left="200"/>
              <w:spacing w:after="0"/>
              <w:rPr>
                <w:sz w:val="20"/>
                <w:szCs w:val="20"/>
                <w:color w:val="auto"/>
              </w:rPr>
            </w:pPr>
            <w:r>
              <w:rPr>
                <w:rFonts w:ascii="Arial" w:cs="Arial" w:eastAsia="Arial" w:hAnsi="Arial"/>
                <w:sz w:val="11"/>
                <w:szCs w:val="11"/>
                <w:b w:val="1"/>
                <w:bCs w:val="1"/>
                <w:color w:val="FFFFFF"/>
              </w:rPr>
              <w:t>(Tenure)</w:t>
            </w:r>
          </w:p>
        </w:tc>
        <w:tc>
          <w:tcPr>
            <w:tcW w:w="700" w:type="dxa"/>
            <w:vAlign w:val="bottom"/>
            <w:shd w:val="clear" w:color="auto" w:fill="99B7C6"/>
          </w:tcPr>
          <w:p>
            <w:pPr>
              <w:ind w:left="140"/>
              <w:spacing w:after="0"/>
              <w:rPr>
                <w:sz w:val="20"/>
                <w:szCs w:val="20"/>
                <w:color w:val="auto"/>
              </w:rPr>
            </w:pPr>
            <w:r>
              <w:rPr>
                <w:rFonts w:ascii="Arial" w:cs="Arial" w:eastAsia="Arial" w:hAnsi="Arial"/>
                <w:sz w:val="11"/>
                <w:szCs w:val="11"/>
                <w:b w:val="1"/>
                <w:bCs w:val="1"/>
                <w:color w:val="FFFFFF"/>
              </w:rPr>
              <w:t>boards</w:t>
            </w:r>
          </w:p>
        </w:tc>
        <w:tc>
          <w:tcPr>
            <w:tcW w:w="2660" w:type="dxa"/>
            <w:vAlign w:val="bottom"/>
            <w:vMerge w:val="continue"/>
            <w:shd w:val="clear" w:color="auto" w:fill="99B7C6"/>
          </w:tcPr>
          <w:p>
            <w:pPr>
              <w:spacing w:after="0"/>
              <w:rPr>
                <w:sz w:val="14"/>
                <w:szCs w:val="14"/>
                <w:color w:val="auto"/>
              </w:rPr>
            </w:pPr>
          </w:p>
        </w:tc>
        <w:tc>
          <w:tcPr>
            <w:tcW w:w="760" w:type="dxa"/>
            <w:vAlign w:val="bottom"/>
            <w:shd w:val="clear" w:color="auto" w:fill="99B7C6"/>
          </w:tcPr>
          <w:p>
            <w:pPr>
              <w:jc w:val="center"/>
              <w:spacing w:after="0"/>
              <w:rPr>
                <w:sz w:val="20"/>
                <w:szCs w:val="20"/>
                <w:color w:val="auto"/>
              </w:rPr>
            </w:pPr>
            <w:r>
              <w:rPr>
                <w:rFonts w:ascii="Arial" w:cs="Arial" w:eastAsia="Arial" w:hAnsi="Arial"/>
                <w:sz w:val="11"/>
                <w:szCs w:val="11"/>
                <w:b w:val="1"/>
                <w:bCs w:val="1"/>
                <w:color w:val="FFFFFF"/>
              </w:rPr>
              <w:t>attended</w:t>
            </w:r>
          </w:p>
        </w:tc>
        <w:tc>
          <w:tcPr>
            <w:tcW w:w="680" w:type="dxa"/>
            <w:vAlign w:val="bottom"/>
            <w:vMerge w:val="continue"/>
            <w:shd w:val="clear" w:color="auto" w:fill="8AADBD"/>
          </w:tcPr>
          <w:p>
            <w:pPr>
              <w:spacing w:after="0"/>
              <w:rPr>
                <w:sz w:val="14"/>
                <w:szCs w:val="14"/>
                <w:color w:val="auto"/>
              </w:rPr>
            </w:pPr>
          </w:p>
        </w:tc>
        <w:tc>
          <w:tcPr>
            <w:tcW w:w="480" w:type="dxa"/>
            <w:vAlign w:val="bottom"/>
            <w:vMerge w:val="continue"/>
            <w:shd w:val="clear" w:color="auto" w:fill="8AADBD"/>
          </w:tcPr>
          <w:p>
            <w:pPr>
              <w:spacing w:after="0"/>
              <w:rPr>
                <w:sz w:val="14"/>
                <w:szCs w:val="14"/>
                <w:color w:val="auto"/>
              </w:rPr>
            </w:pPr>
          </w:p>
        </w:tc>
        <w:tc>
          <w:tcPr>
            <w:tcW w:w="780" w:type="dxa"/>
            <w:vAlign w:val="bottom"/>
            <w:vMerge w:val="continue"/>
            <w:shd w:val="clear" w:color="auto" w:fill="8AADBD"/>
          </w:tcPr>
          <w:p>
            <w:pPr>
              <w:spacing w:after="0"/>
              <w:rPr>
                <w:sz w:val="14"/>
                <w:szCs w:val="14"/>
                <w:color w:val="auto"/>
              </w:rPr>
            </w:pPr>
          </w:p>
        </w:tc>
        <w:tc>
          <w:tcPr>
            <w:tcW w:w="540" w:type="dxa"/>
            <w:vAlign w:val="bottom"/>
            <w:vMerge w:val="continue"/>
            <w:shd w:val="clear" w:color="auto" w:fill="8AADBD"/>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020" w:type="dxa"/>
            <w:vAlign w:val="bottom"/>
            <w:shd w:val="clear" w:color="auto" w:fill="E9F0F3"/>
          </w:tcPr>
          <w:p>
            <w:pPr>
              <w:ind w:left="1040"/>
              <w:spacing w:after="0"/>
              <w:rPr>
                <w:sz w:val="20"/>
                <w:szCs w:val="20"/>
                <w:color w:val="auto"/>
              </w:rPr>
            </w:pPr>
            <w:r>
              <w:rPr>
                <w:rFonts w:ascii="Arial" w:cs="Arial" w:eastAsia="Arial" w:hAnsi="Arial"/>
                <w:sz w:val="14"/>
                <w:szCs w:val="14"/>
                <w:b w:val="1"/>
                <w:bCs w:val="1"/>
                <w:color w:val="auto"/>
              </w:rPr>
              <w:t>Jesper Andersen</w:t>
            </w:r>
          </w:p>
        </w:tc>
        <w:tc>
          <w:tcPr>
            <w:tcW w:w="520" w:type="dxa"/>
            <w:vAlign w:val="bottom"/>
            <w:shd w:val="clear" w:color="auto" w:fill="E9F0F3"/>
          </w:tcPr>
          <w:p>
            <w:pPr>
              <w:ind w:left="80"/>
              <w:spacing w:after="0"/>
              <w:rPr>
                <w:sz w:val="20"/>
                <w:szCs w:val="20"/>
                <w:color w:val="auto"/>
              </w:rPr>
            </w:pPr>
            <w:r>
              <w:rPr>
                <w:rFonts w:ascii="Arial" w:cs="Arial" w:eastAsia="Arial" w:hAnsi="Arial"/>
                <w:sz w:val="14"/>
                <w:szCs w:val="14"/>
                <w:color w:val="auto"/>
              </w:rPr>
              <w:t>55</w:t>
            </w:r>
          </w:p>
        </w:tc>
        <w:tc>
          <w:tcPr>
            <w:tcW w:w="800" w:type="dxa"/>
            <w:vAlign w:val="bottom"/>
            <w:shd w:val="clear" w:color="auto" w:fill="E9F0F3"/>
          </w:tcPr>
          <w:p>
            <w:pPr>
              <w:ind w:left="200"/>
              <w:spacing w:after="0"/>
              <w:rPr>
                <w:sz w:val="20"/>
                <w:szCs w:val="20"/>
                <w:color w:val="auto"/>
              </w:rPr>
            </w:pPr>
            <w:r>
              <w:rPr>
                <w:rFonts w:ascii="Arial" w:cs="Arial" w:eastAsia="Arial" w:hAnsi="Arial"/>
                <w:sz w:val="14"/>
                <w:szCs w:val="14"/>
                <w:color w:val="auto"/>
              </w:rPr>
              <w:t>2024</w:t>
            </w:r>
          </w:p>
        </w:tc>
        <w:tc>
          <w:tcPr>
            <w:tcW w:w="700" w:type="dxa"/>
            <w:vAlign w:val="bottom"/>
            <w:shd w:val="clear" w:color="auto" w:fill="E9F0F3"/>
          </w:tcPr>
          <w:p>
            <w:pPr>
              <w:jc w:val="right"/>
              <w:ind w:right="155"/>
              <w:spacing w:after="0"/>
              <w:rPr>
                <w:sz w:val="20"/>
                <w:szCs w:val="20"/>
                <w:color w:val="auto"/>
              </w:rPr>
            </w:pPr>
            <w:r>
              <w:rPr>
                <w:rFonts w:ascii="Arial" w:cs="Arial" w:eastAsia="Arial" w:hAnsi="Arial"/>
                <w:sz w:val="14"/>
                <w:szCs w:val="14"/>
                <w:color w:val="auto"/>
              </w:rPr>
              <w:t>0</w:t>
            </w:r>
          </w:p>
        </w:tc>
        <w:tc>
          <w:tcPr>
            <w:tcW w:w="2660" w:type="dxa"/>
            <w:vAlign w:val="bottom"/>
            <w:shd w:val="clear" w:color="auto" w:fill="E9F0F3"/>
          </w:tcPr>
          <w:p>
            <w:pPr>
              <w:ind w:left="80"/>
              <w:spacing w:after="0"/>
              <w:rPr>
                <w:sz w:val="20"/>
                <w:szCs w:val="20"/>
                <w:color w:val="auto"/>
              </w:rPr>
            </w:pPr>
            <w:r>
              <w:rPr>
                <w:rFonts w:ascii="Arial" w:cs="Arial" w:eastAsia="Arial" w:hAnsi="Arial"/>
                <w:sz w:val="11"/>
                <w:szCs w:val="11"/>
                <w:color w:val="auto"/>
              </w:rPr>
              <w:t>Executive Vice President and Chief Financial</w:t>
            </w:r>
          </w:p>
        </w:tc>
        <w:tc>
          <w:tcPr>
            <w:tcW w:w="760" w:type="dxa"/>
            <w:vAlign w:val="bottom"/>
            <w:shd w:val="clear" w:color="auto" w:fill="E9F0F3"/>
          </w:tcPr>
          <w:p>
            <w:pPr>
              <w:spacing w:after="0"/>
              <w:rPr>
                <w:sz w:val="22"/>
                <w:szCs w:val="22"/>
                <w:color w:val="auto"/>
              </w:rPr>
            </w:pPr>
          </w:p>
        </w:tc>
        <w:tc>
          <w:tcPr>
            <w:tcW w:w="680" w:type="dxa"/>
            <w:vAlign w:val="bottom"/>
            <w:shd w:val="clear" w:color="auto" w:fill="E2EAEF"/>
          </w:tcPr>
          <w:p>
            <w:pPr>
              <w:spacing w:after="0"/>
              <w:rPr>
                <w:sz w:val="22"/>
                <w:szCs w:val="22"/>
                <w:color w:val="auto"/>
              </w:rPr>
            </w:pPr>
          </w:p>
        </w:tc>
        <w:tc>
          <w:tcPr>
            <w:tcW w:w="480" w:type="dxa"/>
            <w:vAlign w:val="bottom"/>
            <w:shd w:val="clear" w:color="auto" w:fill="E2EAEF"/>
          </w:tcPr>
          <w:p>
            <w:pPr>
              <w:spacing w:after="0"/>
              <w:rPr>
                <w:sz w:val="22"/>
                <w:szCs w:val="22"/>
                <w:color w:val="auto"/>
              </w:rPr>
            </w:pPr>
          </w:p>
        </w:tc>
        <w:tc>
          <w:tcPr>
            <w:tcW w:w="780" w:type="dxa"/>
            <w:vAlign w:val="bottom"/>
            <w:shd w:val="clear" w:color="auto" w:fill="E2EAEF"/>
          </w:tcPr>
          <w:p>
            <w:pPr>
              <w:spacing w:after="0"/>
              <w:rPr>
                <w:sz w:val="22"/>
                <w:szCs w:val="22"/>
                <w:color w:val="auto"/>
              </w:rPr>
            </w:pPr>
          </w:p>
        </w:tc>
        <w:tc>
          <w:tcPr>
            <w:tcW w:w="540" w:type="dxa"/>
            <w:vAlign w:val="bottom"/>
            <w:shd w:val="clear" w:color="auto" w:fill="E2EAEF"/>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3020" w:type="dxa"/>
            <w:vAlign w:val="bottom"/>
            <w:shd w:val="clear" w:color="auto" w:fill="E9F0F3"/>
          </w:tcPr>
          <w:p>
            <w:pPr>
              <w:spacing w:after="0"/>
              <w:rPr>
                <w:sz w:val="12"/>
                <w:szCs w:val="12"/>
                <w:color w:val="auto"/>
              </w:rPr>
            </w:pPr>
          </w:p>
        </w:tc>
        <w:tc>
          <w:tcPr>
            <w:tcW w:w="520" w:type="dxa"/>
            <w:vAlign w:val="bottom"/>
            <w:shd w:val="clear" w:color="auto" w:fill="E9F0F3"/>
          </w:tcPr>
          <w:p>
            <w:pPr>
              <w:spacing w:after="0"/>
              <w:rPr>
                <w:sz w:val="12"/>
                <w:szCs w:val="12"/>
                <w:color w:val="auto"/>
              </w:rPr>
            </w:pPr>
          </w:p>
        </w:tc>
        <w:tc>
          <w:tcPr>
            <w:tcW w:w="800" w:type="dxa"/>
            <w:vAlign w:val="bottom"/>
            <w:vMerge w:val="restart"/>
            <w:shd w:val="clear" w:color="auto" w:fill="E9F0F3"/>
          </w:tcPr>
          <w:p>
            <w:pPr>
              <w:ind w:left="200"/>
              <w:spacing w:after="0"/>
              <w:rPr>
                <w:sz w:val="20"/>
                <w:szCs w:val="20"/>
                <w:color w:val="auto"/>
              </w:rPr>
            </w:pPr>
            <w:r>
              <w:rPr>
                <w:rFonts w:ascii="Arial" w:cs="Arial" w:eastAsia="Arial" w:hAnsi="Arial"/>
                <w:sz w:val="14"/>
                <w:szCs w:val="14"/>
                <w:b w:val="1"/>
                <w:bCs w:val="1"/>
                <w:color w:val="auto"/>
              </w:rPr>
              <w:t>(1)</w:t>
            </w:r>
          </w:p>
        </w:tc>
        <w:tc>
          <w:tcPr>
            <w:tcW w:w="700" w:type="dxa"/>
            <w:vAlign w:val="bottom"/>
            <w:shd w:val="clear" w:color="auto" w:fill="E9F0F3"/>
          </w:tcPr>
          <w:p>
            <w:pPr>
              <w:spacing w:after="0"/>
              <w:rPr>
                <w:sz w:val="12"/>
                <w:szCs w:val="12"/>
                <w:color w:val="auto"/>
              </w:rPr>
            </w:pPr>
          </w:p>
        </w:tc>
        <w:tc>
          <w:tcPr>
            <w:tcW w:w="2660" w:type="dxa"/>
            <w:vAlign w:val="bottom"/>
            <w:shd w:val="clear" w:color="auto" w:fill="E9F0F3"/>
          </w:tcPr>
          <w:p>
            <w:pPr>
              <w:ind w:left="80"/>
              <w:spacing w:after="0"/>
              <w:rPr>
                <w:sz w:val="20"/>
                <w:szCs w:val="20"/>
                <w:color w:val="auto"/>
              </w:rPr>
            </w:pPr>
            <w:r>
              <w:rPr>
                <w:rFonts w:ascii="Arial" w:cs="Arial" w:eastAsia="Arial" w:hAnsi="Arial"/>
                <w:sz w:val="11"/>
                <w:szCs w:val="11"/>
                <w:color w:val="auto"/>
              </w:rPr>
              <w:t>Officer, Lego Group</w:t>
            </w:r>
          </w:p>
        </w:tc>
        <w:tc>
          <w:tcPr>
            <w:tcW w:w="760" w:type="dxa"/>
            <w:vAlign w:val="bottom"/>
            <w:vMerge w:val="restart"/>
            <w:shd w:val="clear" w:color="auto" w:fill="E9F0F3"/>
          </w:tcPr>
          <w:p>
            <w:pPr>
              <w:jc w:val="center"/>
              <w:spacing w:after="0"/>
              <w:rPr>
                <w:sz w:val="20"/>
                <w:szCs w:val="20"/>
                <w:color w:val="auto"/>
              </w:rPr>
            </w:pPr>
            <w:r>
              <w:rPr>
                <w:rFonts w:ascii="Arial" w:cs="Arial" w:eastAsia="Arial" w:hAnsi="Arial"/>
                <w:sz w:val="13"/>
                <w:szCs w:val="13"/>
                <w:color w:val="auto"/>
                <w:w w:val="96"/>
              </w:rPr>
              <w:t>100%</w:t>
            </w:r>
          </w:p>
        </w:tc>
        <w:tc>
          <w:tcPr>
            <w:tcW w:w="680" w:type="dxa"/>
            <w:vAlign w:val="bottom"/>
            <w:vMerge w:val="restart"/>
            <w:shd w:val="clear" w:color="auto" w:fill="E2EAEF"/>
          </w:tcPr>
          <w:p>
            <w:pPr>
              <w:jc w:val="center"/>
              <w:spacing w:after="0"/>
              <w:rPr>
                <w:sz w:val="20"/>
                <w:szCs w:val="20"/>
                <w:color w:val="auto"/>
              </w:rPr>
            </w:pPr>
            <w:r>
              <w:rPr>
                <w:rFonts w:ascii="Arial" w:cs="Arial" w:eastAsia="Arial" w:hAnsi="Arial"/>
                <w:sz w:val="16"/>
                <w:szCs w:val="16"/>
                <w:color w:val="808285"/>
              </w:rPr>
              <w:t>●</w:t>
            </w:r>
          </w:p>
        </w:tc>
        <w:tc>
          <w:tcPr>
            <w:tcW w:w="480" w:type="dxa"/>
            <w:vAlign w:val="bottom"/>
            <w:shd w:val="clear" w:color="auto" w:fill="E2EAEF"/>
          </w:tcPr>
          <w:p>
            <w:pPr>
              <w:spacing w:after="0"/>
              <w:rPr>
                <w:sz w:val="12"/>
                <w:szCs w:val="12"/>
                <w:color w:val="auto"/>
              </w:rPr>
            </w:pPr>
          </w:p>
        </w:tc>
        <w:tc>
          <w:tcPr>
            <w:tcW w:w="780" w:type="dxa"/>
            <w:vAlign w:val="bottom"/>
            <w:shd w:val="clear" w:color="auto" w:fill="E2EAEF"/>
          </w:tcPr>
          <w:p>
            <w:pPr>
              <w:spacing w:after="0"/>
              <w:rPr>
                <w:sz w:val="12"/>
                <w:szCs w:val="12"/>
                <w:color w:val="auto"/>
              </w:rPr>
            </w:pPr>
          </w:p>
        </w:tc>
        <w:tc>
          <w:tcPr>
            <w:tcW w:w="540" w:type="dxa"/>
            <w:vAlign w:val="bottom"/>
            <w:shd w:val="clear" w:color="auto" w:fill="E2EAE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3020" w:type="dxa"/>
            <w:vAlign w:val="bottom"/>
            <w:shd w:val="clear" w:color="auto" w:fill="E9F0F3"/>
          </w:tcPr>
          <w:p>
            <w:pPr>
              <w:spacing w:after="0"/>
              <w:rPr>
                <w:sz w:val="6"/>
                <w:szCs w:val="6"/>
                <w:color w:val="auto"/>
              </w:rPr>
            </w:pPr>
          </w:p>
        </w:tc>
        <w:tc>
          <w:tcPr>
            <w:tcW w:w="520" w:type="dxa"/>
            <w:vAlign w:val="bottom"/>
            <w:shd w:val="clear" w:color="auto" w:fill="E9F0F3"/>
          </w:tcPr>
          <w:p>
            <w:pPr>
              <w:spacing w:after="0"/>
              <w:rPr>
                <w:sz w:val="6"/>
                <w:szCs w:val="6"/>
                <w:color w:val="auto"/>
              </w:rPr>
            </w:pPr>
          </w:p>
        </w:tc>
        <w:tc>
          <w:tcPr>
            <w:tcW w:w="800" w:type="dxa"/>
            <w:vAlign w:val="bottom"/>
            <w:vMerge w:val="continue"/>
            <w:shd w:val="clear" w:color="auto" w:fill="E9F0F3"/>
          </w:tcPr>
          <w:p>
            <w:pPr>
              <w:spacing w:after="0"/>
              <w:rPr>
                <w:sz w:val="6"/>
                <w:szCs w:val="6"/>
                <w:color w:val="auto"/>
              </w:rPr>
            </w:pPr>
          </w:p>
        </w:tc>
        <w:tc>
          <w:tcPr>
            <w:tcW w:w="700" w:type="dxa"/>
            <w:vAlign w:val="bottom"/>
            <w:shd w:val="clear" w:color="auto" w:fill="E9F0F3"/>
          </w:tcPr>
          <w:p>
            <w:pPr>
              <w:spacing w:after="0"/>
              <w:rPr>
                <w:sz w:val="6"/>
                <w:szCs w:val="6"/>
                <w:color w:val="auto"/>
              </w:rPr>
            </w:pPr>
          </w:p>
        </w:tc>
        <w:tc>
          <w:tcPr>
            <w:tcW w:w="2660" w:type="dxa"/>
            <w:vAlign w:val="bottom"/>
            <w:shd w:val="clear" w:color="auto" w:fill="E9F0F3"/>
          </w:tcPr>
          <w:p>
            <w:pPr>
              <w:spacing w:after="0"/>
              <w:rPr>
                <w:sz w:val="6"/>
                <w:szCs w:val="6"/>
                <w:color w:val="auto"/>
              </w:rPr>
            </w:pPr>
          </w:p>
        </w:tc>
        <w:tc>
          <w:tcPr>
            <w:tcW w:w="760" w:type="dxa"/>
            <w:vAlign w:val="bottom"/>
            <w:vMerge w:val="continue"/>
            <w:shd w:val="clear" w:color="auto" w:fill="E9F0F3"/>
          </w:tcPr>
          <w:p>
            <w:pPr>
              <w:spacing w:after="0"/>
              <w:rPr>
                <w:sz w:val="6"/>
                <w:szCs w:val="6"/>
                <w:color w:val="auto"/>
              </w:rPr>
            </w:pPr>
          </w:p>
        </w:tc>
        <w:tc>
          <w:tcPr>
            <w:tcW w:w="680" w:type="dxa"/>
            <w:vAlign w:val="bottom"/>
            <w:vMerge w:val="continue"/>
            <w:shd w:val="clear" w:color="auto" w:fill="E2EAEF"/>
          </w:tcPr>
          <w:p>
            <w:pPr>
              <w:spacing w:after="0"/>
              <w:rPr>
                <w:sz w:val="6"/>
                <w:szCs w:val="6"/>
                <w:color w:val="auto"/>
              </w:rPr>
            </w:pPr>
          </w:p>
        </w:tc>
        <w:tc>
          <w:tcPr>
            <w:tcW w:w="480" w:type="dxa"/>
            <w:vAlign w:val="bottom"/>
            <w:shd w:val="clear" w:color="auto" w:fill="E2EAEF"/>
          </w:tcPr>
          <w:p>
            <w:pPr>
              <w:spacing w:after="0"/>
              <w:rPr>
                <w:sz w:val="6"/>
                <w:szCs w:val="6"/>
                <w:color w:val="auto"/>
              </w:rPr>
            </w:pPr>
          </w:p>
        </w:tc>
        <w:tc>
          <w:tcPr>
            <w:tcW w:w="780" w:type="dxa"/>
            <w:vAlign w:val="bottom"/>
            <w:shd w:val="clear" w:color="auto" w:fill="E2EAEF"/>
          </w:tcPr>
          <w:p>
            <w:pPr>
              <w:spacing w:after="0"/>
              <w:rPr>
                <w:sz w:val="6"/>
                <w:szCs w:val="6"/>
                <w:color w:val="auto"/>
              </w:rPr>
            </w:pPr>
          </w:p>
        </w:tc>
        <w:tc>
          <w:tcPr>
            <w:tcW w:w="540" w:type="dxa"/>
            <w:vAlign w:val="bottom"/>
            <w:shd w:val="clear" w:color="auto" w:fill="E2EAEF"/>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3020" w:type="dxa"/>
            <w:vAlign w:val="bottom"/>
            <w:shd w:val="clear" w:color="auto" w:fill="E9F0F3"/>
          </w:tcPr>
          <w:p>
            <w:pPr>
              <w:spacing w:after="0"/>
              <w:rPr>
                <w:sz w:val="22"/>
                <w:szCs w:val="22"/>
                <w:color w:val="auto"/>
              </w:rPr>
            </w:pPr>
          </w:p>
        </w:tc>
        <w:tc>
          <w:tcPr>
            <w:tcW w:w="520" w:type="dxa"/>
            <w:vAlign w:val="bottom"/>
            <w:shd w:val="clear" w:color="auto" w:fill="E9F0F3"/>
          </w:tcPr>
          <w:p>
            <w:pPr>
              <w:spacing w:after="0"/>
              <w:rPr>
                <w:sz w:val="22"/>
                <w:szCs w:val="22"/>
                <w:color w:val="auto"/>
              </w:rPr>
            </w:pPr>
          </w:p>
        </w:tc>
        <w:tc>
          <w:tcPr>
            <w:tcW w:w="800" w:type="dxa"/>
            <w:vAlign w:val="bottom"/>
            <w:shd w:val="clear" w:color="auto" w:fill="E9F0F3"/>
          </w:tcPr>
          <w:p>
            <w:pPr>
              <w:spacing w:after="0"/>
              <w:rPr>
                <w:sz w:val="22"/>
                <w:szCs w:val="22"/>
                <w:color w:val="auto"/>
              </w:rPr>
            </w:pPr>
          </w:p>
        </w:tc>
        <w:tc>
          <w:tcPr>
            <w:tcW w:w="700" w:type="dxa"/>
            <w:vAlign w:val="bottom"/>
            <w:shd w:val="clear" w:color="auto" w:fill="E9F0F3"/>
          </w:tcPr>
          <w:p>
            <w:pPr>
              <w:spacing w:after="0"/>
              <w:rPr>
                <w:sz w:val="22"/>
                <w:szCs w:val="22"/>
                <w:color w:val="auto"/>
              </w:rPr>
            </w:pPr>
          </w:p>
        </w:tc>
        <w:tc>
          <w:tcPr>
            <w:tcW w:w="2660" w:type="dxa"/>
            <w:vAlign w:val="bottom"/>
            <w:shd w:val="clear" w:color="auto" w:fill="E9F0F3"/>
          </w:tcPr>
          <w:p>
            <w:pPr>
              <w:spacing w:after="0"/>
              <w:rPr>
                <w:sz w:val="22"/>
                <w:szCs w:val="22"/>
                <w:color w:val="auto"/>
              </w:rPr>
            </w:pPr>
          </w:p>
        </w:tc>
        <w:tc>
          <w:tcPr>
            <w:tcW w:w="760" w:type="dxa"/>
            <w:vAlign w:val="bottom"/>
            <w:shd w:val="clear" w:color="auto" w:fill="E9F0F3"/>
          </w:tcPr>
          <w:p>
            <w:pPr>
              <w:spacing w:after="0"/>
              <w:rPr>
                <w:sz w:val="22"/>
                <w:szCs w:val="22"/>
                <w:color w:val="auto"/>
              </w:rPr>
            </w:pPr>
          </w:p>
        </w:tc>
        <w:tc>
          <w:tcPr>
            <w:tcW w:w="680" w:type="dxa"/>
            <w:vAlign w:val="bottom"/>
            <w:shd w:val="clear" w:color="auto" w:fill="E2EAEF"/>
          </w:tcPr>
          <w:p>
            <w:pPr>
              <w:spacing w:after="0"/>
              <w:rPr>
                <w:sz w:val="22"/>
                <w:szCs w:val="22"/>
                <w:color w:val="auto"/>
              </w:rPr>
            </w:pPr>
          </w:p>
        </w:tc>
        <w:tc>
          <w:tcPr>
            <w:tcW w:w="480" w:type="dxa"/>
            <w:vAlign w:val="bottom"/>
            <w:shd w:val="clear" w:color="auto" w:fill="E2EAEF"/>
          </w:tcPr>
          <w:p>
            <w:pPr>
              <w:spacing w:after="0"/>
              <w:rPr>
                <w:sz w:val="22"/>
                <w:szCs w:val="22"/>
                <w:color w:val="auto"/>
              </w:rPr>
            </w:pPr>
          </w:p>
        </w:tc>
        <w:tc>
          <w:tcPr>
            <w:tcW w:w="780" w:type="dxa"/>
            <w:vAlign w:val="bottom"/>
            <w:shd w:val="clear" w:color="auto" w:fill="E2EAEF"/>
          </w:tcPr>
          <w:p>
            <w:pPr>
              <w:spacing w:after="0"/>
              <w:rPr>
                <w:sz w:val="22"/>
                <w:szCs w:val="22"/>
                <w:color w:val="auto"/>
              </w:rPr>
            </w:pPr>
          </w:p>
        </w:tc>
        <w:tc>
          <w:tcPr>
            <w:tcW w:w="540" w:type="dxa"/>
            <w:vAlign w:val="bottom"/>
            <w:shd w:val="clear" w:color="auto" w:fill="E2EAEF"/>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020" w:type="dxa"/>
            <w:vAlign w:val="bottom"/>
          </w:tcPr>
          <w:p>
            <w:pPr>
              <w:ind w:left="1040"/>
              <w:spacing w:after="0"/>
              <w:rPr>
                <w:sz w:val="20"/>
                <w:szCs w:val="20"/>
                <w:color w:val="auto"/>
              </w:rPr>
            </w:pPr>
            <w:r>
              <w:rPr>
                <w:rFonts w:ascii="Arial" w:cs="Arial" w:eastAsia="Arial" w:hAnsi="Arial"/>
                <w:sz w:val="14"/>
                <w:szCs w:val="14"/>
                <w:b w:val="1"/>
                <w:bCs w:val="1"/>
                <w:color w:val="auto"/>
              </w:rPr>
              <w:t>Ajay Bhalla</w:t>
            </w:r>
          </w:p>
        </w:tc>
        <w:tc>
          <w:tcPr>
            <w:tcW w:w="520" w:type="dxa"/>
            <w:vAlign w:val="bottom"/>
          </w:tcPr>
          <w:p>
            <w:pPr>
              <w:ind w:left="80"/>
              <w:spacing w:after="0"/>
              <w:rPr>
                <w:sz w:val="20"/>
                <w:szCs w:val="20"/>
                <w:color w:val="auto"/>
              </w:rPr>
            </w:pPr>
            <w:r>
              <w:rPr>
                <w:rFonts w:ascii="Arial" w:cs="Arial" w:eastAsia="Arial" w:hAnsi="Arial"/>
                <w:sz w:val="14"/>
                <w:szCs w:val="14"/>
                <w:color w:val="auto"/>
              </w:rPr>
              <w:t>60</w:t>
            </w:r>
          </w:p>
        </w:tc>
        <w:tc>
          <w:tcPr>
            <w:tcW w:w="800" w:type="dxa"/>
            <w:vAlign w:val="bottom"/>
          </w:tcPr>
          <w:p>
            <w:pPr>
              <w:ind w:left="200"/>
              <w:spacing w:after="0"/>
              <w:rPr>
                <w:sz w:val="20"/>
                <w:szCs w:val="20"/>
                <w:color w:val="auto"/>
              </w:rPr>
            </w:pPr>
            <w:r>
              <w:rPr>
                <w:rFonts w:ascii="Arial" w:cs="Arial" w:eastAsia="Arial" w:hAnsi="Arial"/>
                <w:sz w:val="14"/>
                <w:szCs w:val="14"/>
                <w:color w:val="auto"/>
              </w:rPr>
              <w:t>2022</w:t>
            </w:r>
          </w:p>
        </w:tc>
        <w:tc>
          <w:tcPr>
            <w:tcW w:w="700" w:type="dxa"/>
            <w:vAlign w:val="bottom"/>
          </w:tcPr>
          <w:p>
            <w:pPr>
              <w:jc w:val="right"/>
              <w:ind w:right="155"/>
              <w:spacing w:after="0"/>
              <w:rPr>
                <w:sz w:val="20"/>
                <w:szCs w:val="20"/>
                <w:color w:val="auto"/>
              </w:rPr>
            </w:pPr>
            <w:r>
              <w:rPr>
                <w:rFonts w:ascii="Arial" w:cs="Arial" w:eastAsia="Arial" w:hAnsi="Arial"/>
                <w:sz w:val="14"/>
                <w:szCs w:val="14"/>
                <w:color w:val="auto"/>
              </w:rPr>
              <w:t>0</w:t>
            </w:r>
          </w:p>
        </w:tc>
        <w:tc>
          <w:tcPr>
            <w:tcW w:w="2660" w:type="dxa"/>
            <w:vAlign w:val="bottom"/>
          </w:tcPr>
          <w:p>
            <w:pPr>
              <w:ind w:left="80"/>
              <w:spacing w:after="0"/>
              <w:rPr>
                <w:sz w:val="20"/>
                <w:szCs w:val="20"/>
                <w:color w:val="auto"/>
              </w:rPr>
            </w:pPr>
            <w:r>
              <w:rPr>
                <w:rFonts w:ascii="Arial" w:cs="Arial" w:eastAsia="Arial" w:hAnsi="Arial"/>
                <w:sz w:val="11"/>
                <w:szCs w:val="11"/>
                <w:color w:val="auto"/>
              </w:rPr>
              <w:t>Former President, Cyber &amp; Intelligence, Mastercard</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9"/>
              </w:rPr>
              <w:t>93%</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808285"/>
              </w:rPr>
              <w:t>●</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(4)</w:t>
            </w:r>
          </w:p>
        </w:tc>
        <w:tc>
          <w:tcPr>
            <w:tcW w:w="700" w:type="dxa"/>
            <w:vAlign w:val="bottom"/>
          </w:tcPr>
          <w:p>
            <w:pPr>
              <w:spacing w:after="0"/>
              <w:rPr>
                <w:sz w:val="13"/>
                <w:szCs w:val="13"/>
                <w:color w:val="auto"/>
              </w:rPr>
            </w:pPr>
          </w:p>
        </w:tc>
        <w:tc>
          <w:tcPr>
            <w:tcW w:w="2660" w:type="dxa"/>
            <w:vAlign w:val="bottom"/>
          </w:tcPr>
          <w:p>
            <w:pPr>
              <w:ind w:left="80"/>
              <w:spacing w:after="0"/>
              <w:rPr>
                <w:sz w:val="20"/>
                <w:szCs w:val="20"/>
                <w:color w:val="auto"/>
              </w:rPr>
            </w:pPr>
            <w:r>
              <w:rPr>
                <w:rFonts w:ascii="Arial" w:cs="Arial" w:eastAsia="Arial" w:hAnsi="Arial"/>
                <w:sz w:val="11"/>
                <w:szCs w:val="11"/>
                <w:color w:val="auto"/>
              </w:rPr>
              <w:t>Incorporated</w:t>
            </w:r>
          </w:p>
        </w:tc>
        <w:tc>
          <w:tcPr>
            <w:tcW w:w="7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3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3020" w:type="dxa"/>
            <w:vAlign w:val="bottom"/>
            <w:shd w:val="clear" w:color="auto" w:fill="E9F0F3"/>
          </w:tcPr>
          <w:p>
            <w:pPr>
              <w:ind w:left="1040"/>
              <w:spacing w:after="0"/>
              <w:rPr>
                <w:sz w:val="20"/>
                <w:szCs w:val="20"/>
                <w:color w:val="auto"/>
              </w:rPr>
            </w:pPr>
            <w:r>
              <w:rPr>
                <w:rFonts w:ascii="Arial" w:cs="Arial" w:eastAsia="Arial" w:hAnsi="Arial"/>
                <w:sz w:val="14"/>
                <w:szCs w:val="14"/>
                <w:b w:val="1"/>
                <w:bCs w:val="1"/>
                <w:color w:val="auto"/>
              </w:rPr>
              <w:t>Michael M. Calbert</w:t>
            </w:r>
          </w:p>
        </w:tc>
        <w:tc>
          <w:tcPr>
            <w:tcW w:w="520" w:type="dxa"/>
            <w:vAlign w:val="bottom"/>
            <w:shd w:val="clear" w:color="auto" w:fill="E9F0F3"/>
          </w:tcPr>
          <w:p>
            <w:pPr>
              <w:ind w:left="80"/>
              <w:spacing w:after="0"/>
              <w:rPr>
                <w:sz w:val="20"/>
                <w:szCs w:val="20"/>
                <w:color w:val="auto"/>
              </w:rPr>
            </w:pPr>
            <w:r>
              <w:rPr>
                <w:rFonts w:ascii="Arial" w:cs="Arial" w:eastAsia="Arial" w:hAnsi="Arial"/>
                <w:sz w:val="14"/>
                <w:szCs w:val="14"/>
                <w:color w:val="auto"/>
              </w:rPr>
              <w:t>63</w:t>
            </w:r>
          </w:p>
        </w:tc>
        <w:tc>
          <w:tcPr>
            <w:tcW w:w="800" w:type="dxa"/>
            <w:vAlign w:val="bottom"/>
            <w:shd w:val="clear" w:color="auto" w:fill="E9F0F3"/>
          </w:tcPr>
          <w:p>
            <w:pPr>
              <w:ind w:left="200"/>
              <w:spacing w:after="0"/>
              <w:rPr>
                <w:sz w:val="20"/>
                <w:szCs w:val="20"/>
                <w:color w:val="auto"/>
              </w:rPr>
            </w:pPr>
            <w:r>
              <w:rPr>
                <w:rFonts w:ascii="Arial" w:cs="Arial" w:eastAsia="Arial" w:hAnsi="Arial"/>
                <w:sz w:val="14"/>
                <w:szCs w:val="14"/>
                <w:color w:val="auto"/>
              </w:rPr>
              <w:t>2022</w:t>
            </w:r>
          </w:p>
        </w:tc>
        <w:tc>
          <w:tcPr>
            <w:tcW w:w="700" w:type="dxa"/>
            <w:vAlign w:val="bottom"/>
            <w:shd w:val="clear" w:color="auto" w:fill="E9F0F3"/>
          </w:tcPr>
          <w:p>
            <w:pPr>
              <w:jc w:val="right"/>
              <w:ind w:right="155"/>
              <w:spacing w:after="0"/>
              <w:rPr>
                <w:sz w:val="20"/>
                <w:szCs w:val="20"/>
                <w:color w:val="auto"/>
              </w:rPr>
            </w:pPr>
            <w:r>
              <w:rPr>
                <w:rFonts w:ascii="Arial" w:cs="Arial" w:eastAsia="Arial" w:hAnsi="Arial"/>
                <w:sz w:val="14"/>
                <w:szCs w:val="14"/>
                <w:color w:val="auto"/>
              </w:rPr>
              <w:t>1</w:t>
            </w:r>
          </w:p>
        </w:tc>
        <w:tc>
          <w:tcPr>
            <w:tcW w:w="2660" w:type="dxa"/>
            <w:vAlign w:val="bottom"/>
            <w:shd w:val="clear" w:color="auto" w:fill="E9F0F3"/>
          </w:tcPr>
          <w:p>
            <w:pPr>
              <w:ind w:left="80"/>
              <w:spacing w:after="0"/>
              <w:rPr>
                <w:sz w:val="20"/>
                <w:szCs w:val="20"/>
                <w:color w:val="auto"/>
              </w:rPr>
            </w:pPr>
            <w:r>
              <w:rPr>
                <w:rFonts w:ascii="Arial" w:cs="Arial" w:eastAsia="Arial" w:hAnsi="Arial"/>
                <w:sz w:val="11"/>
                <w:szCs w:val="11"/>
                <w:color w:val="auto"/>
              </w:rPr>
              <w:t>Former Chairman of the Board, Dollar General</w:t>
            </w:r>
          </w:p>
        </w:tc>
        <w:tc>
          <w:tcPr>
            <w:tcW w:w="760" w:type="dxa"/>
            <w:vAlign w:val="bottom"/>
            <w:vMerge w:val="restart"/>
            <w:shd w:val="clear" w:color="auto" w:fill="E9F0F3"/>
          </w:tcPr>
          <w:p>
            <w:pPr>
              <w:jc w:val="center"/>
              <w:spacing w:after="0"/>
              <w:rPr>
                <w:sz w:val="20"/>
                <w:szCs w:val="20"/>
                <w:color w:val="auto"/>
              </w:rPr>
            </w:pPr>
            <w:r>
              <w:rPr>
                <w:rFonts w:ascii="Arial" w:cs="Arial" w:eastAsia="Arial" w:hAnsi="Arial"/>
                <w:sz w:val="13"/>
                <w:szCs w:val="13"/>
                <w:color w:val="auto"/>
                <w:w w:val="96"/>
              </w:rPr>
              <w:t>100%</w:t>
            </w:r>
          </w:p>
        </w:tc>
        <w:tc>
          <w:tcPr>
            <w:tcW w:w="680" w:type="dxa"/>
            <w:vAlign w:val="bottom"/>
            <w:shd w:val="clear" w:color="auto" w:fill="E9F0F3"/>
          </w:tcPr>
          <w:p>
            <w:pPr>
              <w:spacing w:after="0"/>
              <w:rPr>
                <w:sz w:val="22"/>
                <w:szCs w:val="22"/>
                <w:color w:val="auto"/>
              </w:rPr>
            </w:pPr>
          </w:p>
        </w:tc>
        <w:tc>
          <w:tcPr>
            <w:tcW w:w="480" w:type="dxa"/>
            <w:vAlign w:val="bottom"/>
            <w:vMerge w:val="restart"/>
            <w:shd w:val="clear" w:color="auto" w:fill="E9F0F3"/>
          </w:tcPr>
          <w:p>
            <w:pPr>
              <w:jc w:val="center"/>
              <w:spacing w:after="0"/>
              <w:rPr>
                <w:sz w:val="20"/>
                <w:szCs w:val="20"/>
                <w:color w:val="auto"/>
              </w:rPr>
            </w:pPr>
            <w:r>
              <w:rPr>
                <w:rFonts w:ascii="Arial" w:cs="Arial" w:eastAsia="Arial" w:hAnsi="Arial"/>
                <w:sz w:val="16"/>
                <w:szCs w:val="16"/>
                <w:color w:val="808285"/>
              </w:rPr>
              <w:t>●</w:t>
            </w:r>
          </w:p>
        </w:tc>
        <w:tc>
          <w:tcPr>
            <w:tcW w:w="780" w:type="dxa"/>
            <w:vAlign w:val="bottom"/>
            <w:vMerge w:val="restart"/>
            <w:shd w:val="clear" w:color="auto" w:fill="E9F0F3"/>
          </w:tcPr>
          <w:p>
            <w:pPr>
              <w:jc w:val="center"/>
              <w:spacing w:after="0"/>
              <w:rPr>
                <w:sz w:val="20"/>
                <w:szCs w:val="20"/>
                <w:color w:val="auto"/>
              </w:rPr>
            </w:pPr>
            <w:r>
              <w:rPr>
                <w:rFonts w:ascii="Arial" w:cs="Arial" w:eastAsia="Arial" w:hAnsi="Arial"/>
                <w:sz w:val="16"/>
                <w:szCs w:val="16"/>
                <w:color w:val="808285"/>
              </w:rPr>
              <w:t>●</w:t>
            </w:r>
          </w:p>
        </w:tc>
        <w:tc>
          <w:tcPr>
            <w:tcW w:w="540" w:type="dxa"/>
            <w:vAlign w:val="bottom"/>
            <w:shd w:val="clear" w:color="auto" w:fill="E9F0F3"/>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3020" w:type="dxa"/>
            <w:vAlign w:val="bottom"/>
            <w:shd w:val="clear" w:color="auto" w:fill="E9F0F3"/>
          </w:tcPr>
          <w:p>
            <w:pPr>
              <w:spacing w:after="0"/>
              <w:rPr>
                <w:sz w:val="12"/>
                <w:szCs w:val="12"/>
                <w:color w:val="auto"/>
              </w:rPr>
            </w:pPr>
          </w:p>
        </w:tc>
        <w:tc>
          <w:tcPr>
            <w:tcW w:w="520" w:type="dxa"/>
            <w:vAlign w:val="bottom"/>
            <w:shd w:val="clear" w:color="auto" w:fill="E9F0F3"/>
          </w:tcPr>
          <w:p>
            <w:pPr>
              <w:spacing w:after="0"/>
              <w:rPr>
                <w:sz w:val="12"/>
                <w:szCs w:val="12"/>
                <w:color w:val="auto"/>
              </w:rPr>
            </w:pPr>
          </w:p>
        </w:tc>
        <w:tc>
          <w:tcPr>
            <w:tcW w:w="800" w:type="dxa"/>
            <w:vAlign w:val="bottom"/>
            <w:vMerge w:val="restart"/>
            <w:shd w:val="clear" w:color="auto" w:fill="E9F0F3"/>
          </w:tcPr>
          <w:p>
            <w:pPr>
              <w:ind w:left="200"/>
              <w:spacing w:after="0"/>
              <w:rPr>
                <w:sz w:val="20"/>
                <w:szCs w:val="20"/>
                <w:color w:val="auto"/>
              </w:rPr>
            </w:pPr>
            <w:r>
              <w:rPr>
                <w:rFonts w:ascii="Arial" w:cs="Arial" w:eastAsia="Arial" w:hAnsi="Arial"/>
                <w:sz w:val="14"/>
                <w:szCs w:val="14"/>
                <w:b w:val="1"/>
                <w:bCs w:val="1"/>
                <w:color w:val="auto"/>
              </w:rPr>
              <w:t>(4)</w:t>
            </w:r>
          </w:p>
        </w:tc>
        <w:tc>
          <w:tcPr>
            <w:tcW w:w="700" w:type="dxa"/>
            <w:vAlign w:val="bottom"/>
            <w:shd w:val="clear" w:color="auto" w:fill="E9F0F3"/>
          </w:tcPr>
          <w:p>
            <w:pPr>
              <w:spacing w:after="0"/>
              <w:rPr>
                <w:sz w:val="12"/>
                <w:szCs w:val="12"/>
                <w:color w:val="auto"/>
              </w:rPr>
            </w:pPr>
          </w:p>
        </w:tc>
        <w:tc>
          <w:tcPr>
            <w:tcW w:w="2660" w:type="dxa"/>
            <w:vAlign w:val="bottom"/>
            <w:shd w:val="clear" w:color="auto" w:fill="E9F0F3"/>
          </w:tcPr>
          <w:p>
            <w:pPr>
              <w:ind w:left="80"/>
              <w:spacing w:after="0"/>
              <w:rPr>
                <w:sz w:val="20"/>
                <w:szCs w:val="20"/>
                <w:color w:val="auto"/>
              </w:rPr>
            </w:pPr>
            <w:r>
              <w:rPr>
                <w:rFonts w:ascii="Arial" w:cs="Arial" w:eastAsia="Arial" w:hAnsi="Arial"/>
                <w:sz w:val="11"/>
                <w:szCs w:val="11"/>
                <w:color w:val="auto"/>
              </w:rPr>
              <w:t>Corporation</w:t>
            </w:r>
          </w:p>
        </w:tc>
        <w:tc>
          <w:tcPr>
            <w:tcW w:w="760" w:type="dxa"/>
            <w:vAlign w:val="bottom"/>
            <w:vMerge w:val="continue"/>
            <w:shd w:val="clear" w:color="auto" w:fill="E9F0F3"/>
          </w:tcPr>
          <w:p>
            <w:pPr>
              <w:spacing w:after="0"/>
              <w:rPr>
                <w:sz w:val="12"/>
                <w:szCs w:val="12"/>
                <w:color w:val="auto"/>
              </w:rPr>
            </w:pPr>
          </w:p>
        </w:tc>
        <w:tc>
          <w:tcPr>
            <w:tcW w:w="680" w:type="dxa"/>
            <w:vAlign w:val="bottom"/>
            <w:shd w:val="clear" w:color="auto" w:fill="E9F0F3"/>
          </w:tcPr>
          <w:p>
            <w:pPr>
              <w:spacing w:after="0"/>
              <w:rPr>
                <w:sz w:val="12"/>
                <w:szCs w:val="12"/>
                <w:color w:val="auto"/>
              </w:rPr>
            </w:pPr>
          </w:p>
        </w:tc>
        <w:tc>
          <w:tcPr>
            <w:tcW w:w="480" w:type="dxa"/>
            <w:vAlign w:val="bottom"/>
            <w:vMerge w:val="continue"/>
            <w:shd w:val="clear" w:color="auto" w:fill="E9F0F3"/>
          </w:tcPr>
          <w:p>
            <w:pPr>
              <w:spacing w:after="0"/>
              <w:rPr>
                <w:sz w:val="12"/>
                <w:szCs w:val="12"/>
                <w:color w:val="auto"/>
              </w:rPr>
            </w:pPr>
          </w:p>
        </w:tc>
        <w:tc>
          <w:tcPr>
            <w:tcW w:w="780" w:type="dxa"/>
            <w:vAlign w:val="bottom"/>
            <w:vMerge w:val="continue"/>
            <w:shd w:val="clear" w:color="auto" w:fill="E9F0F3"/>
          </w:tcPr>
          <w:p>
            <w:pPr>
              <w:spacing w:after="0"/>
              <w:rPr>
                <w:sz w:val="12"/>
                <w:szCs w:val="12"/>
                <w:color w:val="auto"/>
              </w:rPr>
            </w:pPr>
          </w:p>
        </w:tc>
        <w:tc>
          <w:tcPr>
            <w:tcW w:w="540" w:type="dxa"/>
            <w:vAlign w:val="bottom"/>
            <w:shd w:val="clear" w:color="auto" w:fill="E9F0F3"/>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3020" w:type="dxa"/>
            <w:vAlign w:val="bottom"/>
            <w:shd w:val="clear" w:color="auto" w:fill="E9F0F3"/>
          </w:tcPr>
          <w:p>
            <w:pPr>
              <w:spacing w:after="0"/>
              <w:rPr>
                <w:sz w:val="6"/>
                <w:szCs w:val="6"/>
                <w:color w:val="auto"/>
              </w:rPr>
            </w:pPr>
          </w:p>
        </w:tc>
        <w:tc>
          <w:tcPr>
            <w:tcW w:w="520" w:type="dxa"/>
            <w:vAlign w:val="bottom"/>
            <w:shd w:val="clear" w:color="auto" w:fill="E9F0F3"/>
          </w:tcPr>
          <w:p>
            <w:pPr>
              <w:spacing w:after="0"/>
              <w:rPr>
                <w:sz w:val="6"/>
                <w:szCs w:val="6"/>
                <w:color w:val="auto"/>
              </w:rPr>
            </w:pPr>
          </w:p>
        </w:tc>
        <w:tc>
          <w:tcPr>
            <w:tcW w:w="800" w:type="dxa"/>
            <w:vAlign w:val="bottom"/>
            <w:vMerge w:val="continue"/>
            <w:shd w:val="clear" w:color="auto" w:fill="E9F0F3"/>
          </w:tcPr>
          <w:p>
            <w:pPr>
              <w:spacing w:after="0"/>
              <w:rPr>
                <w:sz w:val="6"/>
                <w:szCs w:val="6"/>
                <w:color w:val="auto"/>
              </w:rPr>
            </w:pPr>
          </w:p>
        </w:tc>
        <w:tc>
          <w:tcPr>
            <w:tcW w:w="700" w:type="dxa"/>
            <w:vAlign w:val="bottom"/>
            <w:shd w:val="clear" w:color="auto" w:fill="E9F0F3"/>
          </w:tcPr>
          <w:p>
            <w:pPr>
              <w:spacing w:after="0"/>
              <w:rPr>
                <w:sz w:val="6"/>
                <w:szCs w:val="6"/>
                <w:color w:val="auto"/>
              </w:rPr>
            </w:pPr>
          </w:p>
        </w:tc>
        <w:tc>
          <w:tcPr>
            <w:tcW w:w="266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680" w:type="dxa"/>
            <w:vAlign w:val="bottom"/>
            <w:shd w:val="clear" w:color="auto" w:fill="E9F0F3"/>
          </w:tcPr>
          <w:p>
            <w:pPr>
              <w:spacing w:after="0"/>
              <w:rPr>
                <w:sz w:val="6"/>
                <w:szCs w:val="6"/>
                <w:color w:val="auto"/>
              </w:rPr>
            </w:pPr>
          </w:p>
        </w:tc>
        <w:tc>
          <w:tcPr>
            <w:tcW w:w="480" w:type="dxa"/>
            <w:vAlign w:val="bottom"/>
            <w:shd w:val="clear" w:color="auto" w:fill="E9F0F3"/>
          </w:tcPr>
          <w:p>
            <w:pPr>
              <w:spacing w:after="0"/>
              <w:rPr>
                <w:sz w:val="6"/>
                <w:szCs w:val="6"/>
                <w:color w:val="auto"/>
              </w:rPr>
            </w:pPr>
          </w:p>
        </w:tc>
        <w:tc>
          <w:tcPr>
            <w:tcW w:w="780" w:type="dxa"/>
            <w:vAlign w:val="bottom"/>
            <w:shd w:val="clear" w:color="auto" w:fill="E9F0F3"/>
          </w:tcPr>
          <w:p>
            <w:pPr>
              <w:spacing w:after="0"/>
              <w:rPr>
                <w:sz w:val="6"/>
                <w:szCs w:val="6"/>
                <w:color w:val="auto"/>
              </w:rPr>
            </w:pPr>
          </w:p>
        </w:tc>
        <w:tc>
          <w:tcPr>
            <w:tcW w:w="54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E9F0F3"/>
          </w:tcPr>
          <w:p>
            <w:pPr>
              <w:spacing w:after="0"/>
              <w:rPr>
                <w:sz w:val="12"/>
                <w:szCs w:val="12"/>
                <w:color w:val="auto"/>
              </w:rPr>
            </w:pPr>
          </w:p>
        </w:tc>
        <w:tc>
          <w:tcPr>
            <w:tcW w:w="520" w:type="dxa"/>
            <w:vAlign w:val="bottom"/>
            <w:shd w:val="clear" w:color="auto" w:fill="E9F0F3"/>
          </w:tcPr>
          <w:p>
            <w:pPr>
              <w:spacing w:after="0"/>
              <w:rPr>
                <w:sz w:val="12"/>
                <w:szCs w:val="12"/>
                <w:color w:val="auto"/>
              </w:rPr>
            </w:pPr>
          </w:p>
        </w:tc>
        <w:tc>
          <w:tcPr>
            <w:tcW w:w="800" w:type="dxa"/>
            <w:vAlign w:val="bottom"/>
            <w:shd w:val="clear" w:color="auto" w:fill="E9F0F3"/>
          </w:tcPr>
          <w:p>
            <w:pPr>
              <w:spacing w:after="0"/>
              <w:rPr>
                <w:sz w:val="12"/>
                <w:szCs w:val="12"/>
                <w:color w:val="auto"/>
              </w:rPr>
            </w:pPr>
          </w:p>
        </w:tc>
        <w:tc>
          <w:tcPr>
            <w:tcW w:w="700" w:type="dxa"/>
            <w:vAlign w:val="bottom"/>
            <w:shd w:val="clear" w:color="auto" w:fill="E9F0F3"/>
          </w:tcPr>
          <w:p>
            <w:pPr>
              <w:spacing w:after="0"/>
              <w:rPr>
                <w:sz w:val="12"/>
                <w:szCs w:val="12"/>
                <w:color w:val="auto"/>
              </w:rPr>
            </w:pPr>
          </w:p>
        </w:tc>
        <w:tc>
          <w:tcPr>
            <w:tcW w:w="2660" w:type="dxa"/>
            <w:vAlign w:val="bottom"/>
            <w:shd w:val="clear" w:color="auto" w:fill="E9F0F3"/>
          </w:tcPr>
          <w:p>
            <w:pPr>
              <w:spacing w:after="0"/>
              <w:rPr>
                <w:sz w:val="12"/>
                <w:szCs w:val="12"/>
                <w:color w:val="auto"/>
              </w:rPr>
            </w:pPr>
          </w:p>
        </w:tc>
        <w:tc>
          <w:tcPr>
            <w:tcW w:w="760" w:type="dxa"/>
            <w:vAlign w:val="bottom"/>
            <w:shd w:val="clear" w:color="auto" w:fill="E9F0F3"/>
          </w:tcPr>
          <w:p>
            <w:pPr>
              <w:spacing w:after="0"/>
              <w:rPr>
                <w:sz w:val="12"/>
                <w:szCs w:val="12"/>
                <w:color w:val="auto"/>
              </w:rPr>
            </w:pPr>
          </w:p>
        </w:tc>
        <w:tc>
          <w:tcPr>
            <w:tcW w:w="680" w:type="dxa"/>
            <w:vAlign w:val="bottom"/>
            <w:shd w:val="clear" w:color="auto" w:fill="E9F0F3"/>
          </w:tcPr>
          <w:p>
            <w:pPr>
              <w:spacing w:after="0"/>
              <w:rPr>
                <w:sz w:val="12"/>
                <w:szCs w:val="12"/>
                <w:color w:val="auto"/>
              </w:rPr>
            </w:pPr>
          </w:p>
        </w:tc>
        <w:tc>
          <w:tcPr>
            <w:tcW w:w="480" w:type="dxa"/>
            <w:vAlign w:val="bottom"/>
            <w:shd w:val="clear" w:color="auto" w:fill="E9F0F3"/>
          </w:tcPr>
          <w:p>
            <w:pPr>
              <w:spacing w:after="0"/>
              <w:rPr>
                <w:sz w:val="12"/>
                <w:szCs w:val="12"/>
                <w:color w:val="auto"/>
              </w:rPr>
            </w:pPr>
          </w:p>
        </w:tc>
        <w:tc>
          <w:tcPr>
            <w:tcW w:w="780" w:type="dxa"/>
            <w:vAlign w:val="bottom"/>
            <w:shd w:val="clear" w:color="auto" w:fill="E9F0F3"/>
          </w:tcPr>
          <w:p>
            <w:pPr>
              <w:spacing w:after="0"/>
              <w:rPr>
                <w:sz w:val="12"/>
                <w:szCs w:val="12"/>
                <w:color w:val="auto"/>
              </w:rPr>
            </w:pPr>
          </w:p>
        </w:tc>
        <w:tc>
          <w:tcPr>
            <w:tcW w:w="540" w:type="dxa"/>
            <w:vAlign w:val="bottom"/>
            <w:shd w:val="clear" w:color="auto" w:fill="E9F0F3"/>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3020" w:type="dxa"/>
            <w:vAlign w:val="bottom"/>
          </w:tcPr>
          <w:p>
            <w:pPr>
              <w:ind w:left="1040"/>
              <w:spacing w:after="0"/>
              <w:rPr>
                <w:sz w:val="20"/>
                <w:szCs w:val="20"/>
                <w:color w:val="auto"/>
              </w:rPr>
            </w:pPr>
            <w:r>
              <w:rPr>
                <w:rFonts w:ascii="Arial" w:cs="Arial" w:eastAsia="Arial" w:hAnsi="Arial"/>
                <w:sz w:val="14"/>
                <w:szCs w:val="14"/>
                <w:b w:val="1"/>
                <w:bCs w:val="1"/>
                <w:color w:val="auto"/>
              </w:rPr>
              <w:t>Brent Callinicos</w:t>
            </w:r>
          </w:p>
        </w:tc>
        <w:tc>
          <w:tcPr>
            <w:tcW w:w="520" w:type="dxa"/>
            <w:vAlign w:val="bottom"/>
          </w:tcPr>
          <w:p>
            <w:pPr>
              <w:ind w:left="80"/>
              <w:spacing w:after="0"/>
              <w:rPr>
                <w:sz w:val="20"/>
                <w:szCs w:val="20"/>
                <w:color w:val="auto"/>
              </w:rPr>
            </w:pPr>
            <w:r>
              <w:rPr>
                <w:rFonts w:ascii="Arial" w:cs="Arial" w:eastAsia="Arial" w:hAnsi="Arial"/>
                <w:sz w:val="14"/>
                <w:szCs w:val="14"/>
                <w:color w:val="auto"/>
              </w:rPr>
              <w:t>60</w:t>
            </w:r>
          </w:p>
        </w:tc>
        <w:tc>
          <w:tcPr>
            <w:tcW w:w="800" w:type="dxa"/>
            <w:vAlign w:val="bottom"/>
          </w:tcPr>
          <w:p>
            <w:pPr>
              <w:ind w:left="200"/>
              <w:spacing w:after="0"/>
              <w:rPr>
                <w:sz w:val="20"/>
                <w:szCs w:val="20"/>
                <w:color w:val="auto"/>
              </w:rPr>
            </w:pPr>
            <w:r>
              <w:rPr>
                <w:rFonts w:ascii="Arial" w:cs="Arial" w:eastAsia="Arial" w:hAnsi="Arial"/>
                <w:sz w:val="14"/>
                <w:szCs w:val="14"/>
                <w:color w:val="auto"/>
              </w:rPr>
              <w:t>2014</w:t>
            </w:r>
          </w:p>
        </w:tc>
        <w:tc>
          <w:tcPr>
            <w:tcW w:w="700" w:type="dxa"/>
            <w:vAlign w:val="bottom"/>
          </w:tcPr>
          <w:p>
            <w:pPr>
              <w:jc w:val="right"/>
              <w:ind w:right="155"/>
              <w:spacing w:after="0"/>
              <w:rPr>
                <w:sz w:val="20"/>
                <w:szCs w:val="20"/>
                <w:color w:val="auto"/>
              </w:rPr>
            </w:pPr>
            <w:r>
              <w:rPr>
                <w:rFonts w:ascii="Arial" w:cs="Arial" w:eastAsia="Arial" w:hAnsi="Arial"/>
                <w:sz w:val="14"/>
                <w:szCs w:val="14"/>
                <w:color w:val="auto"/>
              </w:rPr>
              <w:t>0</w:t>
            </w:r>
          </w:p>
        </w:tc>
        <w:tc>
          <w:tcPr>
            <w:tcW w:w="2660" w:type="dxa"/>
            <w:vAlign w:val="bottom"/>
          </w:tcPr>
          <w:p>
            <w:pPr>
              <w:ind w:left="80"/>
              <w:spacing w:after="0"/>
              <w:rPr>
                <w:sz w:val="20"/>
                <w:szCs w:val="20"/>
                <w:color w:val="auto"/>
              </w:rPr>
            </w:pPr>
            <w:r>
              <w:rPr>
                <w:rFonts w:ascii="Arial" w:cs="Arial" w:eastAsia="Arial" w:hAnsi="Arial"/>
                <w:sz w:val="11"/>
                <w:szCs w:val="11"/>
                <w:color w:val="auto"/>
              </w:rPr>
              <w:t>Former Chief Operating and Chief Financial Officer,</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6"/>
              </w:rPr>
              <w:t>100%</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6D98AD"/>
              </w:rPr>
              <w:t>●</w:t>
            </w: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808285"/>
                <w:w w:val="82"/>
              </w:rPr>
              <w:t>●</w:t>
            </w:r>
          </w:p>
        </w:tc>
        <w:tc>
          <w:tcPr>
            <w:tcW w:w="0" w:type="dxa"/>
            <w:vAlign w:val="bottom"/>
          </w:tcPr>
          <w:p>
            <w:pPr>
              <w:spacing w:after="0"/>
              <w:rPr>
                <w:sz w:val="1"/>
                <w:szCs w:val="1"/>
                <w:color w:val="auto"/>
              </w:rPr>
            </w:pPr>
          </w:p>
        </w:tc>
      </w:tr>
      <w:tr>
        <w:trPr>
          <w:trHeight w:val="91"/>
        </w:trPr>
        <w:tc>
          <w:tcPr>
            <w:tcW w:w="3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(12)</w:t>
            </w:r>
          </w:p>
        </w:tc>
        <w:tc>
          <w:tcPr>
            <w:tcW w:w="700" w:type="dxa"/>
            <w:vAlign w:val="bottom"/>
          </w:tcPr>
          <w:p>
            <w:pPr>
              <w:spacing w:after="0"/>
              <w:rPr>
                <w:sz w:val="7"/>
                <w:szCs w:val="7"/>
                <w:color w:val="auto"/>
              </w:rPr>
            </w:pPr>
          </w:p>
        </w:tc>
        <w:tc>
          <w:tcPr>
            <w:tcW w:w="2660" w:type="dxa"/>
            <w:vAlign w:val="bottom"/>
          </w:tcPr>
          <w:p>
            <w:pPr>
              <w:ind w:left="80"/>
              <w:spacing w:after="0" w:line="91" w:lineRule="exact"/>
              <w:rPr>
                <w:sz w:val="20"/>
                <w:szCs w:val="20"/>
                <w:color w:val="auto"/>
              </w:rPr>
            </w:pPr>
            <w:r>
              <w:rPr>
                <w:rFonts w:ascii="Arial" w:cs="Arial" w:eastAsia="Arial" w:hAnsi="Arial"/>
                <w:sz w:val="10"/>
                <w:szCs w:val="10"/>
                <w:color w:val="auto"/>
              </w:rPr>
              <w:t>Virgin Hyperloop One; Former Chief Financial</w:t>
            </w: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3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660" w:type="dxa"/>
            <w:vAlign w:val="bottom"/>
          </w:tcPr>
          <w:p>
            <w:pPr>
              <w:ind w:left="80"/>
              <w:spacing w:after="0"/>
              <w:rPr>
                <w:sz w:val="20"/>
                <w:szCs w:val="20"/>
                <w:color w:val="auto"/>
              </w:rPr>
            </w:pPr>
            <w:r>
              <w:rPr>
                <w:rFonts w:ascii="Arial" w:cs="Arial" w:eastAsia="Arial" w:hAnsi="Arial"/>
                <w:sz w:val="11"/>
                <w:szCs w:val="11"/>
                <w:color w:val="auto"/>
              </w:rPr>
              <w:t>Officer, Uber Technologies, Inc.</w:t>
            </w: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3020" w:type="dxa"/>
            <w:vAlign w:val="bottom"/>
            <w:shd w:val="clear" w:color="auto" w:fill="E9F0F3"/>
          </w:tcPr>
          <w:p>
            <w:pPr>
              <w:ind w:left="1040"/>
              <w:spacing w:after="0"/>
              <w:rPr>
                <w:sz w:val="20"/>
                <w:szCs w:val="20"/>
                <w:color w:val="auto"/>
              </w:rPr>
            </w:pPr>
            <w:r>
              <w:rPr>
                <w:rFonts w:ascii="Arial" w:cs="Arial" w:eastAsia="Arial" w:hAnsi="Arial"/>
                <w:sz w:val="14"/>
                <w:szCs w:val="14"/>
                <w:b w:val="1"/>
                <w:bCs w:val="1"/>
                <w:color w:val="auto"/>
              </w:rPr>
              <w:t>George Cheeks</w:t>
            </w:r>
          </w:p>
        </w:tc>
        <w:tc>
          <w:tcPr>
            <w:tcW w:w="520" w:type="dxa"/>
            <w:vAlign w:val="bottom"/>
            <w:shd w:val="clear" w:color="auto" w:fill="E9F0F3"/>
          </w:tcPr>
          <w:p>
            <w:pPr>
              <w:ind w:left="80"/>
              <w:spacing w:after="0"/>
              <w:rPr>
                <w:sz w:val="20"/>
                <w:szCs w:val="20"/>
                <w:color w:val="auto"/>
              </w:rPr>
            </w:pPr>
            <w:r>
              <w:rPr>
                <w:rFonts w:ascii="Arial" w:cs="Arial" w:eastAsia="Arial" w:hAnsi="Arial"/>
                <w:sz w:val="14"/>
                <w:szCs w:val="14"/>
                <w:color w:val="auto"/>
              </w:rPr>
              <w:t>61</w:t>
            </w:r>
          </w:p>
        </w:tc>
        <w:tc>
          <w:tcPr>
            <w:tcW w:w="800" w:type="dxa"/>
            <w:vAlign w:val="bottom"/>
            <w:shd w:val="clear" w:color="auto" w:fill="E9F0F3"/>
          </w:tcPr>
          <w:p>
            <w:pPr>
              <w:ind w:left="200"/>
              <w:spacing w:after="0"/>
              <w:rPr>
                <w:sz w:val="20"/>
                <w:szCs w:val="20"/>
                <w:color w:val="auto"/>
              </w:rPr>
            </w:pPr>
            <w:r>
              <w:rPr>
                <w:rFonts w:ascii="Arial" w:cs="Arial" w:eastAsia="Arial" w:hAnsi="Arial"/>
                <w:sz w:val="14"/>
                <w:szCs w:val="14"/>
                <w:color w:val="auto"/>
              </w:rPr>
              <w:t>2021</w:t>
            </w:r>
          </w:p>
        </w:tc>
        <w:tc>
          <w:tcPr>
            <w:tcW w:w="700" w:type="dxa"/>
            <w:vAlign w:val="bottom"/>
            <w:shd w:val="clear" w:color="auto" w:fill="E9F0F3"/>
          </w:tcPr>
          <w:p>
            <w:pPr>
              <w:jc w:val="right"/>
              <w:ind w:right="155"/>
              <w:spacing w:after="0"/>
              <w:rPr>
                <w:sz w:val="20"/>
                <w:szCs w:val="20"/>
                <w:color w:val="auto"/>
              </w:rPr>
            </w:pPr>
            <w:r>
              <w:rPr>
                <w:rFonts w:ascii="Arial" w:cs="Arial" w:eastAsia="Arial" w:hAnsi="Arial"/>
                <w:sz w:val="14"/>
                <w:szCs w:val="14"/>
                <w:color w:val="auto"/>
              </w:rPr>
              <w:t>0</w:t>
            </w:r>
          </w:p>
        </w:tc>
        <w:tc>
          <w:tcPr>
            <w:tcW w:w="2660" w:type="dxa"/>
            <w:vAlign w:val="bottom"/>
            <w:shd w:val="clear" w:color="auto" w:fill="E9F0F3"/>
          </w:tcPr>
          <w:p>
            <w:pPr>
              <w:ind w:left="80"/>
              <w:spacing w:after="0"/>
              <w:rPr>
                <w:sz w:val="20"/>
                <w:szCs w:val="20"/>
                <w:color w:val="auto"/>
              </w:rPr>
            </w:pPr>
            <w:r>
              <w:rPr>
                <w:rFonts w:ascii="Arial" w:cs="Arial" w:eastAsia="Arial" w:hAnsi="Arial"/>
                <w:sz w:val="11"/>
                <w:szCs w:val="11"/>
                <w:color w:val="auto"/>
              </w:rPr>
              <w:t>Chair of TV Media, Paramount</w:t>
            </w:r>
          </w:p>
        </w:tc>
        <w:tc>
          <w:tcPr>
            <w:tcW w:w="760" w:type="dxa"/>
            <w:vAlign w:val="bottom"/>
            <w:vMerge w:val="restart"/>
            <w:shd w:val="clear" w:color="auto" w:fill="E9F0F3"/>
          </w:tcPr>
          <w:p>
            <w:pPr>
              <w:jc w:val="center"/>
              <w:spacing w:after="0"/>
              <w:rPr>
                <w:sz w:val="20"/>
                <w:szCs w:val="20"/>
                <w:color w:val="auto"/>
              </w:rPr>
            </w:pPr>
            <w:r>
              <w:rPr>
                <w:rFonts w:ascii="Arial" w:cs="Arial" w:eastAsia="Arial" w:hAnsi="Arial"/>
                <w:sz w:val="13"/>
                <w:szCs w:val="13"/>
                <w:color w:val="auto"/>
                <w:w w:val="99"/>
              </w:rPr>
              <w:t>94%</w:t>
            </w:r>
          </w:p>
        </w:tc>
        <w:tc>
          <w:tcPr>
            <w:tcW w:w="680" w:type="dxa"/>
            <w:vAlign w:val="bottom"/>
            <w:shd w:val="clear" w:color="auto" w:fill="E9F0F3"/>
          </w:tcPr>
          <w:p>
            <w:pPr>
              <w:spacing w:after="0"/>
              <w:rPr>
                <w:sz w:val="24"/>
                <w:szCs w:val="24"/>
                <w:color w:val="auto"/>
              </w:rPr>
            </w:pPr>
          </w:p>
        </w:tc>
        <w:tc>
          <w:tcPr>
            <w:tcW w:w="480" w:type="dxa"/>
            <w:vAlign w:val="bottom"/>
            <w:vMerge w:val="restart"/>
            <w:shd w:val="clear" w:color="auto" w:fill="E9F0F3"/>
          </w:tcPr>
          <w:p>
            <w:pPr>
              <w:jc w:val="center"/>
              <w:spacing w:after="0"/>
              <w:rPr>
                <w:sz w:val="20"/>
                <w:szCs w:val="20"/>
                <w:color w:val="auto"/>
              </w:rPr>
            </w:pPr>
            <w:r>
              <w:rPr>
                <w:rFonts w:ascii="Arial" w:cs="Arial" w:eastAsia="Arial" w:hAnsi="Arial"/>
                <w:sz w:val="16"/>
                <w:szCs w:val="16"/>
                <w:color w:val="808285"/>
              </w:rPr>
              <w:t>●</w:t>
            </w:r>
          </w:p>
        </w:tc>
        <w:tc>
          <w:tcPr>
            <w:tcW w:w="780" w:type="dxa"/>
            <w:vAlign w:val="bottom"/>
            <w:shd w:val="clear" w:color="auto" w:fill="E9F0F3"/>
          </w:tcPr>
          <w:p>
            <w:pPr>
              <w:spacing w:after="0"/>
              <w:rPr>
                <w:sz w:val="24"/>
                <w:szCs w:val="24"/>
                <w:color w:val="auto"/>
              </w:rPr>
            </w:pPr>
          </w:p>
        </w:tc>
        <w:tc>
          <w:tcPr>
            <w:tcW w:w="540" w:type="dxa"/>
            <w:vAlign w:val="bottom"/>
            <w:vMerge w:val="restart"/>
            <w:shd w:val="clear" w:color="auto" w:fill="E9F0F3"/>
          </w:tcPr>
          <w:p>
            <w:pPr>
              <w:jc w:val="center"/>
              <w:spacing w:after="0"/>
              <w:rPr>
                <w:sz w:val="20"/>
                <w:szCs w:val="20"/>
                <w:color w:val="auto"/>
              </w:rPr>
            </w:pPr>
            <w:r>
              <w:rPr>
                <w:rFonts w:ascii="Arial" w:cs="Arial" w:eastAsia="Arial" w:hAnsi="Arial"/>
                <w:sz w:val="16"/>
                <w:szCs w:val="16"/>
                <w:color w:val="808285"/>
                <w:w w:val="82"/>
              </w:rPr>
              <w:t>●</w:t>
            </w:r>
          </w:p>
        </w:tc>
        <w:tc>
          <w:tcPr>
            <w:tcW w:w="0" w:type="dxa"/>
            <w:vAlign w:val="bottom"/>
          </w:tcPr>
          <w:p>
            <w:pPr>
              <w:spacing w:after="0"/>
              <w:rPr>
                <w:sz w:val="1"/>
                <w:szCs w:val="1"/>
                <w:color w:val="auto"/>
              </w:rPr>
            </w:pPr>
          </w:p>
        </w:tc>
      </w:tr>
      <w:tr>
        <w:trPr>
          <w:trHeight w:val="109"/>
        </w:trPr>
        <w:tc>
          <w:tcPr>
            <w:tcW w:w="3020" w:type="dxa"/>
            <w:vAlign w:val="bottom"/>
            <w:shd w:val="clear" w:color="auto" w:fill="E9F0F3"/>
          </w:tcPr>
          <w:p>
            <w:pPr>
              <w:spacing w:after="0"/>
              <w:rPr>
                <w:sz w:val="9"/>
                <w:szCs w:val="9"/>
                <w:color w:val="auto"/>
              </w:rPr>
            </w:pPr>
          </w:p>
        </w:tc>
        <w:tc>
          <w:tcPr>
            <w:tcW w:w="520" w:type="dxa"/>
            <w:vAlign w:val="bottom"/>
            <w:shd w:val="clear" w:color="auto" w:fill="E9F0F3"/>
          </w:tcPr>
          <w:p>
            <w:pPr>
              <w:spacing w:after="0"/>
              <w:rPr>
                <w:sz w:val="9"/>
                <w:szCs w:val="9"/>
                <w:color w:val="auto"/>
              </w:rPr>
            </w:pPr>
          </w:p>
        </w:tc>
        <w:tc>
          <w:tcPr>
            <w:tcW w:w="800" w:type="dxa"/>
            <w:vAlign w:val="bottom"/>
            <w:vMerge w:val="restart"/>
            <w:shd w:val="clear" w:color="auto" w:fill="E9F0F3"/>
          </w:tcPr>
          <w:p>
            <w:pPr>
              <w:ind w:left="200"/>
              <w:spacing w:after="0"/>
              <w:rPr>
                <w:sz w:val="20"/>
                <w:szCs w:val="20"/>
                <w:color w:val="auto"/>
              </w:rPr>
            </w:pPr>
            <w:r>
              <w:rPr>
                <w:rFonts w:ascii="Arial" w:cs="Arial" w:eastAsia="Arial" w:hAnsi="Arial"/>
                <w:sz w:val="14"/>
                <w:szCs w:val="14"/>
                <w:b w:val="1"/>
                <w:bCs w:val="1"/>
                <w:color w:val="auto"/>
              </w:rPr>
              <w:t>(5)</w:t>
            </w:r>
          </w:p>
        </w:tc>
        <w:tc>
          <w:tcPr>
            <w:tcW w:w="700" w:type="dxa"/>
            <w:vAlign w:val="bottom"/>
            <w:shd w:val="clear" w:color="auto" w:fill="E9F0F3"/>
          </w:tcPr>
          <w:p>
            <w:pPr>
              <w:spacing w:after="0"/>
              <w:rPr>
                <w:sz w:val="9"/>
                <w:szCs w:val="9"/>
                <w:color w:val="auto"/>
              </w:rPr>
            </w:pPr>
          </w:p>
        </w:tc>
        <w:tc>
          <w:tcPr>
            <w:tcW w:w="2660" w:type="dxa"/>
            <w:vAlign w:val="bottom"/>
            <w:shd w:val="clear" w:color="auto" w:fill="E9F0F3"/>
          </w:tcPr>
          <w:p>
            <w:pPr>
              <w:spacing w:after="0"/>
              <w:rPr>
                <w:sz w:val="9"/>
                <w:szCs w:val="9"/>
                <w:color w:val="auto"/>
              </w:rPr>
            </w:pPr>
          </w:p>
        </w:tc>
        <w:tc>
          <w:tcPr>
            <w:tcW w:w="760" w:type="dxa"/>
            <w:vAlign w:val="bottom"/>
            <w:vMerge w:val="continue"/>
            <w:shd w:val="clear" w:color="auto" w:fill="E9F0F3"/>
          </w:tcPr>
          <w:p>
            <w:pPr>
              <w:spacing w:after="0"/>
              <w:rPr>
                <w:sz w:val="9"/>
                <w:szCs w:val="9"/>
                <w:color w:val="auto"/>
              </w:rPr>
            </w:pPr>
          </w:p>
        </w:tc>
        <w:tc>
          <w:tcPr>
            <w:tcW w:w="680" w:type="dxa"/>
            <w:vAlign w:val="bottom"/>
            <w:shd w:val="clear" w:color="auto" w:fill="E9F0F3"/>
          </w:tcPr>
          <w:p>
            <w:pPr>
              <w:spacing w:after="0"/>
              <w:rPr>
                <w:sz w:val="9"/>
                <w:szCs w:val="9"/>
                <w:color w:val="auto"/>
              </w:rPr>
            </w:pPr>
          </w:p>
        </w:tc>
        <w:tc>
          <w:tcPr>
            <w:tcW w:w="480" w:type="dxa"/>
            <w:vAlign w:val="bottom"/>
            <w:vMerge w:val="continue"/>
            <w:shd w:val="clear" w:color="auto" w:fill="E9F0F3"/>
          </w:tcPr>
          <w:p>
            <w:pPr>
              <w:spacing w:after="0"/>
              <w:rPr>
                <w:sz w:val="9"/>
                <w:szCs w:val="9"/>
                <w:color w:val="auto"/>
              </w:rPr>
            </w:pPr>
          </w:p>
        </w:tc>
        <w:tc>
          <w:tcPr>
            <w:tcW w:w="780" w:type="dxa"/>
            <w:vAlign w:val="bottom"/>
            <w:shd w:val="clear" w:color="auto" w:fill="E9F0F3"/>
          </w:tcPr>
          <w:p>
            <w:pPr>
              <w:spacing w:after="0"/>
              <w:rPr>
                <w:sz w:val="9"/>
                <w:szCs w:val="9"/>
                <w:color w:val="auto"/>
              </w:rPr>
            </w:pPr>
          </w:p>
        </w:tc>
        <w:tc>
          <w:tcPr>
            <w:tcW w:w="540" w:type="dxa"/>
            <w:vAlign w:val="bottom"/>
            <w:vMerge w:val="continue"/>
            <w:shd w:val="clear" w:color="auto" w:fill="E9F0F3"/>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020" w:type="dxa"/>
            <w:vAlign w:val="bottom"/>
            <w:shd w:val="clear" w:color="auto" w:fill="E9F0F3"/>
          </w:tcPr>
          <w:p>
            <w:pPr>
              <w:spacing w:after="0"/>
              <w:rPr>
                <w:sz w:val="7"/>
                <w:szCs w:val="7"/>
                <w:color w:val="auto"/>
              </w:rPr>
            </w:pPr>
          </w:p>
        </w:tc>
        <w:tc>
          <w:tcPr>
            <w:tcW w:w="520" w:type="dxa"/>
            <w:vAlign w:val="bottom"/>
            <w:shd w:val="clear" w:color="auto" w:fill="E9F0F3"/>
          </w:tcPr>
          <w:p>
            <w:pPr>
              <w:spacing w:after="0"/>
              <w:rPr>
                <w:sz w:val="7"/>
                <w:szCs w:val="7"/>
                <w:color w:val="auto"/>
              </w:rPr>
            </w:pPr>
          </w:p>
        </w:tc>
        <w:tc>
          <w:tcPr>
            <w:tcW w:w="800" w:type="dxa"/>
            <w:vAlign w:val="bottom"/>
            <w:vMerge w:val="continue"/>
            <w:shd w:val="clear" w:color="auto" w:fill="E9F0F3"/>
          </w:tcPr>
          <w:p>
            <w:pPr>
              <w:spacing w:after="0"/>
              <w:rPr>
                <w:sz w:val="7"/>
                <w:szCs w:val="7"/>
                <w:color w:val="auto"/>
              </w:rPr>
            </w:pPr>
          </w:p>
        </w:tc>
        <w:tc>
          <w:tcPr>
            <w:tcW w:w="700" w:type="dxa"/>
            <w:vAlign w:val="bottom"/>
            <w:shd w:val="clear" w:color="auto" w:fill="E9F0F3"/>
          </w:tcPr>
          <w:p>
            <w:pPr>
              <w:spacing w:after="0"/>
              <w:rPr>
                <w:sz w:val="7"/>
                <w:szCs w:val="7"/>
                <w:color w:val="auto"/>
              </w:rPr>
            </w:pPr>
          </w:p>
        </w:tc>
        <w:tc>
          <w:tcPr>
            <w:tcW w:w="266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680" w:type="dxa"/>
            <w:vAlign w:val="bottom"/>
            <w:shd w:val="clear" w:color="auto" w:fill="E9F0F3"/>
          </w:tcPr>
          <w:p>
            <w:pPr>
              <w:spacing w:after="0"/>
              <w:rPr>
                <w:sz w:val="7"/>
                <w:szCs w:val="7"/>
                <w:color w:val="auto"/>
              </w:rPr>
            </w:pPr>
          </w:p>
        </w:tc>
        <w:tc>
          <w:tcPr>
            <w:tcW w:w="480" w:type="dxa"/>
            <w:vAlign w:val="bottom"/>
            <w:shd w:val="clear" w:color="auto" w:fill="E9F0F3"/>
          </w:tcPr>
          <w:p>
            <w:pPr>
              <w:spacing w:after="0"/>
              <w:rPr>
                <w:sz w:val="7"/>
                <w:szCs w:val="7"/>
                <w:color w:val="auto"/>
              </w:rPr>
            </w:pPr>
          </w:p>
        </w:tc>
        <w:tc>
          <w:tcPr>
            <w:tcW w:w="780" w:type="dxa"/>
            <w:vAlign w:val="bottom"/>
            <w:shd w:val="clear" w:color="auto" w:fill="E9F0F3"/>
          </w:tcPr>
          <w:p>
            <w:pPr>
              <w:spacing w:after="0"/>
              <w:rPr>
                <w:sz w:val="7"/>
                <w:szCs w:val="7"/>
                <w:color w:val="auto"/>
              </w:rPr>
            </w:pPr>
          </w:p>
        </w:tc>
        <w:tc>
          <w:tcPr>
            <w:tcW w:w="540" w:type="dxa"/>
            <w:vAlign w:val="bottom"/>
            <w:shd w:val="clear" w:color="auto" w:fill="E9F0F3"/>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E9F0F3"/>
          </w:tcPr>
          <w:p>
            <w:pPr>
              <w:spacing w:after="0"/>
              <w:rPr>
                <w:sz w:val="12"/>
                <w:szCs w:val="12"/>
                <w:color w:val="auto"/>
              </w:rPr>
            </w:pPr>
          </w:p>
        </w:tc>
        <w:tc>
          <w:tcPr>
            <w:tcW w:w="520" w:type="dxa"/>
            <w:vAlign w:val="bottom"/>
            <w:shd w:val="clear" w:color="auto" w:fill="E9F0F3"/>
          </w:tcPr>
          <w:p>
            <w:pPr>
              <w:spacing w:after="0"/>
              <w:rPr>
                <w:sz w:val="12"/>
                <w:szCs w:val="12"/>
                <w:color w:val="auto"/>
              </w:rPr>
            </w:pPr>
          </w:p>
        </w:tc>
        <w:tc>
          <w:tcPr>
            <w:tcW w:w="800" w:type="dxa"/>
            <w:vAlign w:val="bottom"/>
            <w:shd w:val="clear" w:color="auto" w:fill="E9F0F3"/>
          </w:tcPr>
          <w:p>
            <w:pPr>
              <w:spacing w:after="0"/>
              <w:rPr>
                <w:sz w:val="12"/>
                <w:szCs w:val="12"/>
                <w:color w:val="auto"/>
              </w:rPr>
            </w:pPr>
          </w:p>
        </w:tc>
        <w:tc>
          <w:tcPr>
            <w:tcW w:w="700" w:type="dxa"/>
            <w:vAlign w:val="bottom"/>
            <w:shd w:val="clear" w:color="auto" w:fill="E9F0F3"/>
          </w:tcPr>
          <w:p>
            <w:pPr>
              <w:spacing w:after="0"/>
              <w:rPr>
                <w:sz w:val="12"/>
                <w:szCs w:val="12"/>
                <w:color w:val="auto"/>
              </w:rPr>
            </w:pPr>
          </w:p>
        </w:tc>
        <w:tc>
          <w:tcPr>
            <w:tcW w:w="2660" w:type="dxa"/>
            <w:vAlign w:val="bottom"/>
            <w:shd w:val="clear" w:color="auto" w:fill="E9F0F3"/>
          </w:tcPr>
          <w:p>
            <w:pPr>
              <w:spacing w:after="0"/>
              <w:rPr>
                <w:sz w:val="12"/>
                <w:szCs w:val="12"/>
                <w:color w:val="auto"/>
              </w:rPr>
            </w:pPr>
          </w:p>
        </w:tc>
        <w:tc>
          <w:tcPr>
            <w:tcW w:w="760" w:type="dxa"/>
            <w:vAlign w:val="bottom"/>
            <w:shd w:val="clear" w:color="auto" w:fill="E9F0F3"/>
          </w:tcPr>
          <w:p>
            <w:pPr>
              <w:spacing w:after="0"/>
              <w:rPr>
                <w:sz w:val="12"/>
                <w:szCs w:val="12"/>
                <w:color w:val="auto"/>
              </w:rPr>
            </w:pPr>
          </w:p>
        </w:tc>
        <w:tc>
          <w:tcPr>
            <w:tcW w:w="680" w:type="dxa"/>
            <w:vAlign w:val="bottom"/>
            <w:shd w:val="clear" w:color="auto" w:fill="E9F0F3"/>
          </w:tcPr>
          <w:p>
            <w:pPr>
              <w:spacing w:after="0"/>
              <w:rPr>
                <w:sz w:val="12"/>
                <w:szCs w:val="12"/>
                <w:color w:val="auto"/>
              </w:rPr>
            </w:pPr>
          </w:p>
        </w:tc>
        <w:tc>
          <w:tcPr>
            <w:tcW w:w="480" w:type="dxa"/>
            <w:vAlign w:val="bottom"/>
            <w:shd w:val="clear" w:color="auto" w:fill="E9F0F3"/>
          </w:tcPr>
          <w:p>
            <w:pPr>
              <w:spacing w:after="0"/>
              <w:rPr>
                <w:sz w:val="12"/>
                <w:szCs w:val="12"/>
                <w:color w:val="auto"/>
              </w:rPr>
            </w:pPr>
          </w:p>
        </w:tc>
        <w:tc>
          <w:tcPr>
            <w:tcW w:w="780" w:type="dxa"/>
            <w:vAlign w:val="bottom"/>
            <w:shd w:val="clear" w:color="auto" w:fill="E9F0F3"/>
          </w:tcPr>
          <w:p>
            <w:pPr>
              <w:spacing w:after="0"/>
              <w:rPr>
                <w:sz w:val="12"/>
                <w:szCs w:val="12"/>
                <w:color w:val="auto"/>
              </w:rPr>
            </w:pPr>
          </w:p>
        </w:tc>
        <w:tc>
          <w:tcPr>
            <w:tcW w:w="540" w:type="dxa"/>
            <w:vAlign w:val="bottom"/>
            <w:shd w:val="clear" w:color="auto" w:fill="E9F0F3"/>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3020" w:type="dxa"/>
            <w:vAlign w:val="bottom"/>
          </w:tcPr>
          <w:p>
            <w:pPr>
              <w:ind w:left="1040"/>
              <w:spacing w:after="0"/>
              <w:rPr>
                <w:sz w:val="20"/>
                <w:szCs w:val="20"/>
                <w:color w:val="auto"/>
              </w:rPr>
            </w:pPr>
            <w:r>
              <w:rPr>
                <w:rFonts w:ascii="Arial" w:cs="Arial" w:eastAsia="Arial" w:hAnsi="Arial"/>
                <w:sz w:val="14"/>
                <w:szCs w:val="14"/>
                <w:b w:val="1"/>
                <w:bCs w:val="1"/>
                <w:color w:val="auto"/>
              </w:rPr>
              <w:t>Kate Gulliver</w:t>
            </w:r>
          </w:p>
        </w:tc>
        <w:tc>
          <w:tcPr>
            <w:tcW w:w="520" w:type="dxa"/>
            <w:vAlign w:val="bottom"/>
          </w:tcPr>
          <w:p>
            <w:pPr>
              <w:ind w:left="80"/>
              <w:spacing w:after="0"/>
              <w:rPr>
                <w:sz w:val="20"/>
                <w:szCs w:val="20"/>
                <w:color w:val="auto"/>
              </w:rPr>
            </w:pPr>
            <w:r>
              <w:rPr>
                <w:rFonts w:ascii="Arial" w:cs="Arial" w:eastAsia="Arial" w:hAnsi="Arial"/>
                <w:sz w:val="14"/>
                <w:szCs w:val="14"/>
                <w:color w:val="auto"/>
              </w:rPr>
              <w:t>44</w:t>
            </w:r>
          </w:p>
        </w:tc>
        <w:tc>
          <w:tcPr>
            <w:tcW w:w="800" w:type="dxa"/>
            <w:vAlign w:val="bottom"/>
          </w:tcPr>
          <w:p>
            <w:pPr>
              <w:ind w:left="200"/>
              <w:spacing w:after="0"/>
              <w:rPr>
                <w:sz w:val="20"/>
                <w:szCs w:val="20"/>
                <w:color w:val="auto"/>
              </w:rPr>
            </w:pPr>
            <w:r>
              <w:rPr>
                <w:rFonts w:ascii="Arial" w:cs="Arial" w:eastAsia="Arial" w:hAnsi="Arial"/>
                <w:sz w:val="14"/>
                <w:szCs w:val="14"/>
                <w:color w:val="auto"/>
              </w:rPr>
              <w:t>2024</w:t>
            </w:r>
          </w:p>
        </w:tc>
        <w:tc>
          <w:tcPr>
            <w:tcW w:w="700" w:type="dxa"/>
            <w:vAlign w:val="bottom"/>
          </w:tcPr>
          <w:p>
            <w:pPr>
              <w:jc w:val="right"/>
              <w:ind w:right="155"/>
              <w:spacing w:after="0"/>
              <w:rPr>
                <w:sz w:val="20"/>
                <w:szCs w:val="20"/>
                <w:color w:val="auto"/>
              </w:rPr>
            </w:pPr>
            <w:r>
              <w:rPr>
                <w:rFonts w:ascii="Arial" w:cs="Arial" w:eastAsia="Arial" w:hAnsi="Arial"/>
                <w:sz w:val="14"/>
                <w:szCs w:val="14"/>
                <w:color w:val="auto"/>
              </w:rPr>
              <w:t>0</w:t>
            </w:r>
          </w:p>
        </w:tc>
        <w:tc>
          <w:tcPr>
            <w:tcW w:w="2660" w:type="dxa"/>
            <w:vAlign w:val="bottom"/>
          </w:tcPr>
          <w:p>
            <w:pPr>
              <w:ind w:left="80"/>
              <w:spacing w:after="0"/>
              <w:rPr>
                <w:sz w:val="20"/>
                <w:szCs w:val="20"/>
                <w:color w:val="auto"/>
              </w:rPr>
            </w:pPr>
            <w:r>
              <w:rPr>
                <w:rFonts w:ascii="Arial" w:cs="Arial" w:eastAsia="Arial" w:hAnsi="Arial"/>
                <w:sz w:val="11"/>
                <w:szCs w:val="11"/>
                <w:color w:val="auto"/>
              </w:rPr>
              <w:t>Chief Financial Officer and Chief Administrative</w:t>
            </w: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3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(2)</w:t>
            </w:r>
          </w:p>
        </w:tc>
        <w:tc>
          <w:tcPr>
            <w:tcW w:w="700" w:type="dxa"/>
            <w:vAlign w:val="bottom"/>
          </w:tcPr>
          <w:p>
            <w:pPr>
              <w:spacing w:after="0"/>
              <w:rPr>
                <w:sz w:val="12"/>
                <w:szCs w:val="12"/>
                <w:color w:val="auto"/>
              </w:rPr>
            </w:pPr>
          </w:p>
        </w:tc>
        <w:tc>
          <w:tcPr>
            <w:tcW w:w="2660" w:type="dxa"/>
            <w:vAlign w:val="bottom"/>
          </w:tcPr>
          <w:p>
            <w:pPr>
              <w:ind w:left="80"/>
              <w:spacing w:after="0"/>
              <w:rPr>
                <w:sz w:val="20"/>
                <w:szCs w:val="20"/>
                <w:color w:val="auto"/>
              </w:rPr>
            </w:pPr>
            <w:r>
              <w:rPr>
                <w:rFonts w:ascii="Arial" w:cs="Arial" w:eastAsia="Arial" w:hAnsi="Arial"/>
                <w:sz w:val="11"/>
                <w:szCs w:val="11"/>
                <w:color w:val="auto"/>
              </w:rPr>
              <w:t>Officer, Wayfair Inc.</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9"/>
              </w:rPr>
              <w:t>93%</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808285"/>
              </w:rPr>
              <w:t>●</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30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3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3020" w:type="dxa"/>
            <w:vAlign w:val="bottom"/>
            <w:shd w:val="clear" w:color="auto" w:fill="E9F0F3"/>
          </w:tcPr>
          <w:p>
            <w:pPr>
              <w:ind w:left="1040"/>
              <w:spacing w:after="0"/>
              <w:rPr>
                <w:sz w:val="20"/>
                <w:szCs w:val="20"/>
                <w:color w:val="auto"/>
              </w:rPr>
            </w:pPr>
            <w:r>
              <w:rPr>
                <w:rFonts w:ascii="Arial" w:cs="Arial" w:eastAsia="Arial" w:hAnsi="Arial"/>
                <w:sz w:val="14"/>
                <w:szCs w:val="14"/>
                <w:b w:val="1"/>
                <w:bCs w:val="1"/>
                <w:color w:val="auto"/>
              </w:rPr>
              <w:t>Stefan Larsson</w:t>
            </w:r>
          </w:p>
        </w:tc>
        <w:tc>
          <w:tcPr>
            <w:tcW w:w="520" w:type="dxa"/>
            <w:vAlign w:val="bottom"/>
            <w:shd w:val="clear" w:color="auto" w:fill="E9F0F3"/>
          </w:tcPr>
          <w:p>
            <w:pPr>
              <w:ind w:left="80"/>
              <w:spacing w:after="0"/>
              <w:rPr>
                <w:sz w:val="20"/>
                <w:szCs w:val="20"/>
                <w:color w:val="auto"/>
              </w:rPr>
            </w:pPr>
            <w:r>
              <w:rPr>
                <w:rFonts w:ascii="Arial" w:cs="Arial" w:eastAsia="Arial" w:hAnsi="Arial"/>
                <w:sz w:val="14"/>
                <w:szCs w:val="14"/>
                <w:color w:val="auto"/>
              </w:rPr>
              <w:t>51</w:t>
            </w:r>
          </w:p>
        </w:tc>
        <w:tc>
          <w:tcPr>
            <w:tcW w:w="800" w:type="dxa"/>
            <w:vAlign w:val="bottom"/>
            <w:shd w:val="clear" w:color="auto" w:fill="E9F0F3"/>
          </w:tcPr>
          <w:p>
            <w:pPr>
              <w:ind w:left="200"/>
              <w:spacing w:after="0"/>
              <w:rPr>
                <w:sz w:val="20"/>
                <w:szCs w:val="20"/>
                <w:color w:val="auto"/>
              </w:rPr>
            </w:pPr>
            <w:r>
              <w:rPr>
                <w:rFonts w:ascii="Arial" w:cs="Arial" w:eastAsia="Arial" w:hAnsi="Arial"/>
                <w:sz w:val="14"/>
                <w:szCs w:val="14"/>
                <w:color w:val="auto"/>
              </w:rPr>
              <w:t>2021</w:t>
            </w:r>
          </w:p>
        </w:tc>
        <w:tc>
          <w:tcPr>
            <w:tcW w:w="700" w:type="dxa"/>
            <w:vAlign w:val="bottom"/>
            <w:shd w:val="clear" w:color="auto" w:fill="E9F0F3"/>
          </w:tcPr>
          <w:p>
            <w:pPr>
              <w:jc w:val="right"/>
              <w:ind w:right="155"/>
              <w:spacing w:after="0"/>
              <w:rPr>
                <w:sz w:val="20"/>
                <w:szCs w:val="20"/>
                <w:color w:val="auto"/>
              </w:rPr>
            </w:pPr>
            <w:r>
              <w:rPr>
                <w:rFonts w:ascii="Arial" w:cs="Arial" w:eastAsia="Arial" w:hAnsi="Arial"/>
                <w:sz w:val="14"/>
                <w:szCs w:val="14"/>
                <w:color w:val="auto"/>
              </w:rPr>
              <w:t>0</w:t>
            </w:r>
          </w:p>
        </w:tc>
        <w:tc>
          <w:tcPr>
            <w:tcW w:w="2660" w:type="dxa"/>
            <w:vAlign w:val="bottom"/>
            <w:shd w:val="clear" w:color="auto" w:fill="E9F0F3"/>
          </w:tcPr>
          <w:p>
            <w:pPr>
              <w:ind w:left="80"/>
              <w:spacing w:after="0"/>
              <w:rPr>
                <w:sz w:val="20"/>
                <w:szCs w:val="20"/>
                <w:color w:val="auto"/>
              </w:rPr>
            </w:pPr>
            <w:r>
              <w:rPr>
                <w:rFonts w:ascii="Arial" w:cs="Arial" w:eastAsia="Arial" w:hAnsi="Arial"/>
                <w:sz w:val="11"/>
                <w:szCs w:val="11"/>
                <w:color w:val="auto"/>
              </w:rPr>
              <w:t>Chief Executive Officer, PVH Corp.</w:t>
            </w:r>
          </w:p>
        </w:tc>
        <w:tc>
          <w:tcPr>
            <w:tcW w:w="760" w:type="dxa"/>
            <w:vAlign w:val="bottom"/>
            <w:vMerge w:val="restart"/>
            <w:shd w:val="clear" w:color="auto" w:fill="E9F0F3"/>
          </w:tcPr>
          <w:p>
            <w:pPr>
              <w:jc w:val="center"/>
              <w:spacing w:after="0"/>
              <w:rPr>
                <w:sz w:val="20"/>
                <w:szCs w:val="20"/>
                <w:color w:val="auto"/>
              </w:rPr>
            </w:pPr>
            <w:r>
              <w:rPr>
                <w:rFonts w:ascii="Arial" w:cs="Arial" w:eastAsia="Arial" w:hAnsi="Arial"/>
                <w:sz w:val="13"/>
                <w:szCs w:val="13"/>
                <w:color w:val="auto"/>
                <w:w w:val="96"/>
              </w:rPr>
              <w:t>100%</w:t>
            </w:r>
          </w:p>
        </w:tc>
        <w:tc>
          <w:tcPr>
            <w:tcW w:w="680" w:type="dxa"/>
            <w:vAlign w:val="bottom"/>
            <w:shd w:val="clear" w:color="auto" w:fill="E2EAEF"/>
          </w:tcPr>
          <w:p>
            <w:pPr>
              <w:spacing w:after="0"/>
              <w:rPr>
                <w:sz w:val="24"/>
                <w:szCs w:val="24"/>
                <w:color w:val="auto"/>
              </w:rPr>
            </w:pPr>
          </w:p>
        </w:tc>
        <w:tc>
          <w:tcPr>
            <w:tcW w:w="480" w:type="dxa"/>
            <w:vAlign w:val="bottom"/>
            <w:shd w:val="clear" w:color="auto" w:fill="E2EAEF"/>
          </w:tcPr>
          <w:p>
            <w:pPr>
              <w:spacing w:after="0"/>
              <w:rPr>
                <w:sz w:val="24"/>
                <w:szCs w:val="24"/>
                <w:color w:val="auto"/>
              </w:rPr>
            </w:pPr>
          </w:p>
        </w:tc>
        <w:tc>
          <w:tcPr>
            <w:tcW w:w="780" w:type="dxa"/>
            <w:vAlign w:val="bottom"/>
            <w:shd w:val="clear" w:color="auto" w:fill="E2EAEF"/>
          </w:tcPr>
          <w:p>
            <w:pPr>
              <w:spacing w:after="0"/>
              <w:rPr>
                <w:sz w:val="24"/>
                <w:szCs w:val="24"/>
                <w:color w:val="auto"/>
              </w:rPr>
            </w:pPr>
          </w:p>
        </w:tc>
        <w:tc>
          <w:tcPr>
            <w:tcW w:w="540" w:type="dxa"/>
            <w:vAlign w:val="bottom"/>
            <w:shd w:val="clear" w:color="auto" w:fill="E2EAEF"/>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3020" w:type="dxa"/>
            <w:vAlign w:val="bottom"/>
            <w:shd w:val="clear" w:color="auto" w:fill="E9F0F3"/>
          </w:tcPr>
          <w:p>
            <w:pPr>
              <w:spacing w:after="0"/>
              <w:rPr>
                <w:sz w:val="8"/>
                <w:szCs w:val="8"/>
                <w:color w:val="auto"/>
              </w:rPr>
            </w:pPr>
          </w:p>
        </w:tc>
        <w:tc>
          <w:tcPr>
            <w:tcW w:w="520" w:type="dxa"/>
            <w:vAlign w:val="bottom"/>
            <w:shd w:val="clear" w:color="auto" w:fill="E9F0F3"/>
          </w:tcPr>
          <w:p>
            <w:pPr>
              <w:spacing w:after="0"/>
              <w:rPr>
                <w:sz w:val="8"/>
                <w:szCs w:val="8"/>
                <w:color w:val="auto"/>
              </w:rPr>
            </w:pPr>
          </w:p>
        </w:tc>
        <w:tc>
          <w:tcPr>
            <w:tcW w:w="800" w:type="dxa"/>
            <w:vAlign w:val="bottom"/>
            <w:vMerge w:val="restart"/>
            <w:shd w:val="clear" w:color="auto" w:fill="E9F0F3"/>
          </w:tcPr>
          <w:p>
            <w:pPr>
              <w:ind w:left="200"/>
              <w:spacing w:after="0"/>
              <w:rPr>
                <w:sz w:val="20"/>
                <w:szCs w:val="20"/>
                <w:color w:val="auto"/>
              </w:rPr>
            </w:pPr>
            <w:r>
              <w:rPr>
                <w:rFonts w:ascii="Arial" w:cs="Arial" w:eastAsia="Arial" w:hAnsi="Arial"/>
                <w:sz w:val="14"/>
                <w:szCs w:val="14"/>
                <w:b w:val="1"/>
                <w:bCs w:val="1"/>
                <w:color w:val="auto"/>
              </w:rPr>
              <w:t>(5)</w:t>
            </w:r>
          </w:p>
        </w:tc>
        <w:tc>
          <w:tcPr>
            <w:tcW w:w="700" w:type="dxa"/>
            <w:vAlign w:val="bottom"/>
            <w:shd w:val="clear" w:color="auto" w:fill="E9F0F3"/>
          </w:tcPr>
          <w:p>
            <w:pPr>
              <w:spacing w:after="0"/>
              <w:rPr>
                <w:sz w:val="8"/>
                <w:szCs w:val="8"/>
                <w:color w:val="auto"/>
              </w:rPr>
            </w:pPr>
          </w:p>
        </w:tc>
        <w:tc>
          <w:tcPr>
            <w:tcW w:w="2660" w:type="dxa"/>
            <w:vAlign w:val="bottom"/>
            <w:shd w:val="clear" w:color="auto" w:fill="E9F0F3"/>
          </w:tcPr>
          <w:p>
            <w:pPr>
              <w:spacing w:after="0"/>
              <w:rPr>
                <w:sz w:val="8"/>
                <w:szCs w:val="8"/>
                <w:color w:val="auto"/>
              </w:rPr>
            </w:pPr>
          </w:p>
        </w:tc>
        <w:tc>
          <w:tcPr>
            <w:tcW w:w="760" w:type="dxa"/>
            <w:vAlign w:val="bottom"/>
            <w:vMerge w:val="continue"/>
            <w:shd w:val="clear" w:color="auto" w:fill="E9F0F3"/>
          </w:tcPr>
          <w:p>
            <w:pPr>
              <w:spacing w:after="0"/>
              <w:rPr>
                <w:sz w:val="8"/>
                <w:szCs w:val="8"/>
                <w:color w:val="auto"/>
              </w:rPr>
            </w:pPr>
          </w:p>
        </w:tc>
        <w:tc>
          <w:tcPr>
            <w:tcW w:w="680" w:type="dxa"/>
            <w:vAlign w:val="bottom"/>
            <w:shd w:val="clear" w:color="auto" w:fill="E2EAEF"/>
          </w:tcPr>
          <w:p>
            <w:pPr>
              <w:spacing w:after="0"/>
              <w:rPr>
                <w:sz w:val="8"/>
                <w:szCs w:val="8"/>
                <w:color w:val="auto"/>
              </w:rPr>
            </w:pPr>
          </w:p>
        </w:tc>
        <w:tc>
          <w:tcPr>
            <w:tcW w:w="480" w:type="dxa"/>
            <w:vAlign w:val="bottom"/>
            <w:shd w:val="clear" w:color="auto" w:fill="E2EAEF"/>
          </w:tcPr>
          <w:p>
            <w:pPr>
              <w:spacing w:after="0"/>
              <w:rPr>
                <w:sz w:val="8"/>
                <w:szCs w:val="8"/>
                <w:color w:val="auto"/>
              </w:rPr>
            </w:pPr>
          </w:p>
        </w:tc>
        <w:tc>
          <w:tcPr>
            <w:tcW w:w="780" w:type="dxa"/>
            <w:vAlign w:val="bottom"/>
            <w:shd w:val="clear" w:color="auto" w:fill="E2EAEF"/>
          </w:tcPr>
          <w:p>
            <w:pPr>
              <w:spacing w:after="0"/>
              <w:rPr>
                <w:sz w:val="8"/>
                <w:szCs w:val="8"/>
                <w:color w:val="auto"/>
              </w:rPr>
            </w:pPr>
          </w:p>
        </w:tc>
        <w:tc>
          <w:tcPr>
            <w:tcW w:w="540" w:type="dxa"/>
            <w:vAlign w:val="bottom"/>
            <w:shd w:val="clear" w:color="auto" w:fill="E2EAE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020" w:type="dxa"/>
            <w:vAlign w:val="bottom"/>
            <w:shd w:val="clear" w:color="auto" w:fill="E9F0F3"/>
          </w:tcPr>
          <w:p>
            <w:pPr>
              <w:spacing w:after="0"/>
              <w:rPr>
                <w:sz w:val="8"/>
                <w:szCs w:val="8"/>
                <w:color w:val="auto"/>
              </w:rPr>
            </w:pPr>
          </w:p>
        </w:tc>
        <w:tc>
          <w:tcPr>
            <w:tcW w:w="520" w:type="dxa"/>
            <w:vAlign w:val="bottom"/>
            <w:shd w:val="clear" w:color="auto" w:fill="E9F0F3"/>
          </w:tcPr>
          <w:p>
            <w:pPr>
              <w:spacing w:after="0"/>
              <w:rPr>
                <w:sz w:val="8"/>
                <w:szCs w:val="8"/>
                <w:color w:val="auto"/>
              </w:rPr>
            </w:pPr>
          </w:p>
        </w:tc>
        <w:tc>
          <w:tcPr>
            <w:tcW w:w="800" w:type="dxa"/>
            <w:vAlign w:val="bottom"/>
            <w:vMerge w:val="continue"/>
            <w:shd w:val="clear" w:color="auto" w:fill="E9F0F3"/>
          </w:tcPr>
          <w:p>
            <w:pPr>
              <w:spacing w:after="0"/>
              <w:rPr>
                <w:sz w:val="8"/>
                <w:szCs w:val="8"/>
                <w:color w:val="auto"/>
              </w:rPr>
            </w:pPr>
          </w:p>
        </w:tc>
        <w:tc>
          <w:tcPr>
            <w:tcW w:w="700" w:type="dxa"/>
            <w:vAlign w:val="bottom"/>
            <w:shd w:val="clear" w:color="auto" w:fill="E9F0F3"/>
          </w:tcPr>
          <w:p>
            <w:pPr>
              <w:spacing w:after="0"/>
              <w:rPr>
                <w:sz w:val="8"/>
                <w:szCs w:val="8"/>
                <w:color w:val="auto"/>
              </w:rPr>
            </w:pPr>
          </w:p>
        </w:tc>
        <w:tc>
          <w:tcPr>
            <w:tcW w:w="2660" w:type="dxa"/>
            <w:vAlign w:val="bottom"/>
            <w:shd w:val="clear" w:color="auto" w:fill="E9F0F3"/>
          </w:tcPr>
          <w:p>
            <w:pPr>
              <w:spacing w:after="0"/>
              <w:rPr>
                <w:sz w:val="8"/>
                <w:szCs w:val="8"/>
                <w:color w:val="auto"/>
              </w:rPr>
            </w:pPr>
          </w:p>
        </w:tc>
        <w:tc>
          <w:tcPr>
            <w:tcW w:w="760" w:type="dxa"/>
            <w:vAlign w:val="bottom"/>
            <w:shd w:val="clear" w:color="auto" w:fill="E9F0F3"/>
          </w:tcPr>
          <w:p>
            <w:pPr>
              <w:spacing w:after="0"/>
              <w:rPr>
                <w:sz w:val="8"/>
                <w:szCs w:val="8"/>
                <w:color w:val="auto"/>
              </w:rPr>
            </w:pPr>
          </w:p>
        </w:tc>
        <w:tc>
          <w:tcPr>
            <w:tcW w:w="680" w:type="dxa"/>
            <w:vAlign w:val="bottom"/>
            <w:shd w:val="clear" w:color="auto" w:fill="E2EAEF"/>
          </w:tcPr>
          <w:p>
            <w:pPr>
              <w:spacing w:after="0"/>
              <w:rPr>
                <w:sz w:val="8"/>
                <w:szCs w:val="8"/>
                <w:color w:val="auto"/>
              </w:rPr>
            </w:pPr>
          </w:p>
        </w:tc>
        <w:tc>
          <w:tcPr>
            <w:tcW w:w="480" w:type="dxa"/>
            <w:vAlign w:val="bottom"/>
            <w:shd w:val="clear" w:color="auto" w:fill="E2EAEF"/>
          </w:tcPr>
          <w:p>
            <w:pPr>
              <w:spacing w:after="0"/>
              <w:rPr>
                <w:sz w:val="8"/>
                <w:szCs w:val="8"/>
                <w:color w:val="auto"/>
              </w:rPr>
            </w:pPr>
          </w:p>
        </w:tc>
        <w:tc>
          <w:tcPr>
            <w:tcW w:w="780" w:type="dxa"/>
            <w:vAlign w:val="bottom"/>
            <w:shd w:val="clear" w:color="auto" w:fill="E2EAEF"/>
          </w:tcPr>
          <w:p>
            <w:pPr>
              <w:spacing w:after="0"/>
              <w:rPr>
                <w:sz w:val="8"/>
                <w:szCs w:val="8"/>
                <w:color w:val="auto"/>
              </w:rPr>
            </w:pPr>
          </w:p>
        </w:tc>
        <w:tc>
          <w:tcPr>
            <w:tcW w:w="540" w:type="dxa"/>
            <w:vAlign w:val="bottom"/>
            <w:shd w:val="clear" w:color="auto" w:fill="E2EAE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E9F0F3"/>
          </w:tcPr>
          <w:p>
            <w:pPr>
              <w:spacing w:after="0"/>
              <w:rPr>
                <w:sz w:val="12"/>
                <w:szCs w:val="12"/>
                <w:color w:val="auto"/>
              </w:rPr>
            </w:pPr>
          </w:p>
        </w:tc>
        <w:tc>
          <w:tcPr>
            <w:tcW w:w="520" w:type="dxa"/>
            <w:vAlign w:val="bottom"/>
            <w:shd w:val="clear" w:color="auto" w:fill="E9F0F3"/>
          </w:tcPr>
          <w:p>
            <w:pPr>
              <w:spacing w:after="0"/>
              <w:rPr>
                <w:sz w:val="12"/>
                <w:szCs w:val="12"/>
                <w:color w:val="auto"/>
              </w:rPr>
            </w:pPr>
          </w:p>
        </w:tc>
        <w:tc>
          <w:tcPr>
            <w:tcW w:w="800" w:type="dxa"/>
            <w:vAlign w:val="bottom"/>
            <w:shd w:val="clear" w:color="auto" w:fill="E9F0F3"/>
          </w:tcPr>
          <w:p>
            <w:pPr>
              <w:spacing w:after="0"/>
              <w:rPr>
                <w:sz w:val="12"/>
                <w:szCs w:val="12"/>
                <w:color w:val="auto"/>
              </w:rPr>
            </w:pPr>
          </w:p>
        </w:tc>
        <w:tc>
          <w:tcPr>
            <w:tcW w:w="700" w:type="dxa"/>
            <w:vAlign w:val="bottom"/>
            <w:shd w:val="clear" w:color="auto" w:fill="E9F0F3"/>
          </w:tcPr>
          <w:p>
            <w:pPr>
              <w:spacing w:after="0"/>
              <w:rPr>
                <w:sz w:val="12"/>
                <w:szCs w:val="12"/>
                <w:color w:val="auto"/>
              </w:rPr>
            </w:pPr>
          </w:p>
        </w:tc>
        <w:tc>
          <w:tcPr>
            <w:tcW w:w="2660" w:type="dxa"/>
            <w:vAlign w:val="bottom"/>
            <w:shd w:val="clear" w:color="auto" w:fill="E9F0F3"/>
          </w:tcPr>
          <w:p>
            <w:pPr>
              <w:spacing w:after="0"/>
              <w:rPr>
                <w:sz w:val="12"/>
                <w:szCs w:val="12"/>
                <w:color w:val="auto"/>
              </w:rPr>
            </w:pPr>
          </w:p>
        </w:tc>
        <w:tc>
          <w:tcPr>
            <w:tcW w:w="760" w:type="dxa"/>
            <w:vAlign w:val="bottom"/>
            <w:shd w:val="clear" w:color="auto" w:fill="E9F0F3"/>
          </w:tcPr>
          <w:p>
            <w:pPr>
              <w:spacing w:after="0"/>
              <w:rPr>
                <w:sz w:val="12"/>
                <w:szCs w:val="12"/>
                <w:color w:val="auto"/>
              </w:rPr>
            </w:pPr>
          </w:p>
        </w:tc>
        <w:tc>
          <w:tcPr>
            <w:tcW w:w="680" w:type="dxa"/>
            <w:vAlign w:val="bottom"/>
            <w:shd w:val="clear" w:color="auto" w:fill="E2EAEF"/>
          </w:tcPr>
          <w:p>
            <w:pPr>
              <w:spacing w:after="0"/>
              <w:rPr>
                <w:sz w:val="12"/>
                <w:szCs w:val="12"/>
                <w:color w:val="auto"/>
              </w:rPr>
            </w:pPr>
          </w:p>
        </w:tc>
        <w:tc>
          <w:tcPr>
            <w:tcW w:w="480" w:type="dxa"/>
            <w:vAlign w:val="bottom"/>
            <w:shd w:val="clear" w:color="auto" w:fill="E2EAEF"/>
          </w:tcPr>
          <w:p>
            <w:pPr>
              <w:spacing w:after="0"/>
              <w:rPr>
                <w:sz w:val="12"/>
                <w:szCs w:val="12"/>
                <w:color w:val="auto"/>
              </w:rPr>
            </w:pPr>
          </w:p>
        </w:tc>
        <w:tc>
          <w:tcPr>
            <w:tcW w:w="780" w:type="dxa"/>
            <w:vAlign w:val="bottom"/>
            <w:shd w:val="clear" w:color="auto" w:fill="E2EAEF"/>
          </w:tcPr>
          <w:p>
            <w:pPr>
              <w:spacing w:after="0"/>
              <w:rPr>
                <w:sz w:val="12"/>
                <w:szCs w:val="12"/>
                <w:color w:val="auto"/>
              </w:rPr>
            </w:pPr>
          </w:p>
        </w:tc>
        <w:tc>
          <w:tcPr>
            <w:tcW w:w="540" w:type="dxa"/>
            <w:vAlign w:val="bottom"/>
            <w:shd w:val="clear" w:color="auto" w:fill="E2EAEF"/>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3020" w:type="dxa"/>
            <w:vAlign w:val="bottom"/>
          </w:tcPr>
          <w:p>
            <w:pPr>
              <w:ind w:left="1040"/>
              <w:spacing w:after="0"/>
              <w:rPr>
                <w:sz w:val="20"/>
                <w:szCs w:val="20"/>
                <w:color w:val="auto"/>
              </w:rPr>
            </w:pPr>
            <w:r>
              <w:rPr>
                <w:rFonts w:ascii="Arial" w:cs="Arial" w:eastAsia="Arial" w:hAnsi="Arial"/>
                <w:sz w:val="14"/>
                <w:szCs w:val="14"/>
                <w:b w:val="1"/>
                <w:bCs w:val="1"/>
                <w:color w:val="auto"/>
              </w:rPr>
              <w:t>G. Penny McIntyre</w:t>
            </w:r>
          </w:p>
        </w:tc>
        <w:tc>
          <w:tcPr>
            <w:tcW w:w="520" w:type="dxa"/>
            <w:vAlign w:val="bottom"/>
          </w:tcPr>
          <w:p>
            <w:pPr>
              <w:ind w:left="80"/>
              <w:spacing w:after="0"/>
              <w:rPr>
                <w:sz w:val="20"/>
                <w:szCs w:val="20"/>
                <w:color w:val="auto"/>
              </w:rPr>
            </w:pPr>
            <w:r>
              <w:rPr>
                <w:rFonts w:ascii="Arial" w:cs="Arial" w:eastAsia="Arial" w:hAnsi="Arial"/>
                <w:sz w:val="14"/>
                <w:szCs w:val="14"/>
                <w:color w:val="auto"/>
              </w:rPr>
              <w:t>64</w:t>
            </w:r>
          </w:p>
        </w:tc>
        <w:tc>
          <w:tcPr>
            <w:tcW w:w="800" w:type="dxa"/>
            <w:vAlign w:val="bottom"/>
          </w:tcPr>
          <w:p>
            <w:pPr>
              <w:ind w:left="200"/>
              <w:spacing w:after="0"/>
              <w:rPr>
                <w:sz w:val="20"/>
                <w:szCs w:val="20"/>
                <w:color w:val="auto"/>
              </w:rPr>
            </w:pPr>
            <w:r>
              <w:rPr>
                <w:rFonts w:ascii="Arial" w:cs="Arial" w:eastAsia="Arial" w:hAnsi="Arial"/>
                <w:sz w:val="14"/>
                <w:szCs w:val="14"/>
                <w:color w:val="auto"/>
              </w:rPr>
              <w:t>2015</w:t>
            </w:r>
          </w:p>
        </w:tc>
        <w:tc>
          <w:tcPr>
            <w:tcW w:w="700" w:type="dxa"/>
            <w:vAlign w:val="bottom"/>
          </w:tcPr>
          <w:p>
            <w:pPr>
              <w:jc w:val="right"/>
              <w:ind w:right="155"/>
              <w:spacing w:after="0"/>
              <w:rPr>
                <w:sz w:val="20"/>
                <w:szCs w:val="20"/>
                <w:color w:val="auto"/>
              </w:rPr>
            </w:pPr>
            <w:r>
              <w:rPr>
                <w:rFonts w:ascii="Arial" w:cs="Arial" w:eastAsia="Arial" w:hAnsi="Arial"/>
                <w:sz w:val="14"/>
                <w:szCs w:val="14"/>
                <w:color w:val="auto"/>
              </w:rPr>
              <w:t>0</w:t>
            </w:r>
          </w:p>
        </w:tc>
        <w:tc>
          <w:tcPr>
            <w:tcW w:w="2660" w:type="dxa"/>
            <w:vAlign w:val="bottom"/>
          </w:tcPr>
          <w:p>
            <w:pPr>
              <w:ind w:left="80"/>
              <w:spacing w:after="0"/>
              <w:rPr>
                <w:sz w:val="20"/>
                <w:szCs w:val="20"/>
                <w:color w:val="auto"/>
              </w:rPr>
            </w:pPr>
            <w:r>
              <w:rPr>
                <w:rFonts w:ascii="Arial" w:cs="Arial" w:eastAsia="Arial" w:hAnsi="Arial"/>
                <w:sz w:val="11"/>
                <w:szCs w:val="11"/>
                <w:color w:val="auto"/>
              </w:rPr>
              <w:t>Former Chief Executive Officer, Sunrise Senior</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6"/>
              </w:rPr>
              <w:t>100%</w:t>
            </w:r>
          </w:p>
        </w:tc>
        <w:tc>
          <w:tcPr>
            <w:tcW w:w="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6D98AD"/>
                <w:w w:val="82"/>
              </w:rPr>
              <w:t>●</w:t>
            </w:r>
          </w:p>
        </w:tc>
        <w:tc>
          <w:tcPr>
            <w:tcW w:w="0" w:type="dxa"/>
            <w:vAlign w:val="bottom"/>
          </w:tcPr>
          <w:p>
            <w:pPr>
              <w:spacing w:after="0"/>
              <w:rPr>
                <w:sz w:val="1"/>
                <w:szCs w:val="1"/>
                <w:color w:val="auto"/>
              </w:rPr>
            </w:pPr>
          </w:p>
        </w:tc>
      </w:tr>
      <w:tr>
        <w:trPr>
          <w:trHeight w:val="143"/>
        </w:trPr>
        <w:tc>
          <w:tcPr>
            <w:tcW w:w="3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(11)</w:t>
            </w:r>
          </w:p>
        </w:tc>
        <w:tc>
          <w:tcPr>
            <w:tcW w:w="700" w:type="dxa"/>
            <w:vAlign w:val="bottom"/>
          </w:tcPr>
          <w:p>
            <w:pPr>
              <w:spacing w:after="0"/>
              <w:rPr>
                <w:sz w:val="12"/>
                <w:szCs w:val="12"/>
                <w:color w:val="auto"/>
              </w:rPr>
            </w:pPr>
          </w:p>
        </w:tc>
        <w:tc>
          <w:tcPr>
            <w:tcW w:w="2660" w:type="dxa"/>
            <w:vAlign w:val="bottom"/>
          </w:tcPr>
          <w:p>
            <w:pPr>
              <w:ind w:left="80"/>
              <w:spacing w:after="0"/>
              <w:rPr>
                <w:sz w:val="20"/>
                <w:szCs w:val="20"/>
                <w:color w:val="auto"/>
              </w:rPr>
            </w:pPr>
            <w:r>
              <w:rPr>
                <w:rFonts w:ascii="Arial" w:cs="Arial" w:eastAsia="Arial" w:hAnsi="Arial"/>
                <w:sz w:val="11"/>
                <w:szCs w:val="11"/>
                <w:color w:val="auto"/>
              </w:rPr>
              <w:t>Living, LLC</w:t>
            </w:r>
          </w:p>
        </w:tc>
        <w:tc>
          <w:tcPr>
            <w:tcW w:w="7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30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3020" w:type="dxa"/>
            <w:vAlign w:val="bottom"/>
            <w:shd w:val="clear" w:color="auto" w:fill="E9F0F3"/>
          </w:tcPr>
          <w:p>
            <w:pPr>
              <w:ind w:left="1040"/>
              <w:spacing w:after="0"/>
              <w:rPr>
                <w:sz w:val="20"/>
                <w:szCs w:val="20"/>
                <w:color w:val="auto"/>
              </w:rPr>
            </w:pPr>
            <w:r>
              <w:rPr>
                <w:rFonts w:ascii="Arial" w:cs="Arial" w:eastAsia="Arial" w:hAnsi="Arial"/>
                <w:sz w:val="14"/>
                <w:szCs w:val="14"/>
                <w:b w:val="1"/>
                <w:bCs w:val="1"/>
                <w:color w:val="auto"/>
              </w:rPr>
              <w:t>Amy McPherson</w:t>
            </w:r>
          </w:p>
        </w:tc>
        <w:tc>
          <w:tcPr>
            <w:tcW w:w="520" w:type="dxa"/>
            <w:vAlign w:val="bottom"/>
            <w:shd w:val="clear" w:color="auto" w:fill="E9F0F3"/>
          </w:tcPr>
          <w:p>
            <w:pPr>
              <w:ind w:left="80"/>
              <w:spacing w:after="0"/>
              <w:rPr>
                <w:sz w:val="20"/>
                <w:szCs w:val="20"/>
                <w:color w:val="auto"/>
              </w:rPr>
            </w:pPr>
            <w:r>
              <w:rPr>
                <w:rFonts w:ascii="Arial" w:cs="Arial" w:eastAsia="Arial" w:hAnsi="Arial"/>
                <w:sz w:val="14"/>
                <w:szCs w:val="14"/>
                <w:color w:val="auto"/>
              </w:rPr>
              <w:t>64</w:t>
            </w:r>
          </w:p>
        </w:tc>
        <w:tc>
          <w:tcPr>
            <w:tcW w:w="800" w:type="dxa"/>
            <w:vAlign w:val="bottom"/>
            <w:shd w:val="clear" w:color="auto" w:fill="E9F0F3"/>
          </w:tcPr>
          <w:p>
            <w:pPr>
              <w:ind w:left="200"/>
              <w:spacing w:after="0"/>
              <w:rPr>
                <w:sz w:val="20"/>
                <w:szCs w:val="20"/>
                <w:color w:val="auto"/>
              </w:rPr>
            </w:pPr>
            <w:r>
              <w:rPr>
                <w:rFonts w:ascii="Arial" w:cs="Arial" w:eastAsia="Arial" w:hAnsi="Arial"/>
                <w:sz w:val="14"/>
                <w:szCs w:val="14"/>
                <w:color w:val="auto"/>
              </w:rPr>
              <w:t>2017</w:t>
            </w:r>
          </w:p>
        </w:tc>
        <w:tc>
          <w:tcPr>
            <w:tcW w:w="700" w:type="dxa"/>
            <w:vAlign w:val="bottom"/>
            <w:shd w:val="clear" w:color="auto" w:fill="E9F0F3"/>
          </w:tcPr>
          <w:p>
            <w:pPr>
              <w:jc w:val="right"/>
              <w:ind w:right="155"/>
              <w:spacing w:after="0"/>
              <w:rPr>
                <w:sz w:val="20"/>
                <w:szCs w:val="20"/>
                <w:color w:val="auto"/>
              </w:rPr>
            </w:pPr>
            <w:r>
              <w:rPr>
                <w:rFonts w:ascii="Arial" w:cs="Arial" w:eastAsia="Arial" w:hAnsi="Arial"/>
                <w:sz w:val="14"/>
                <w:szCs w:val="14"/>
                <w:color w:val="auto"/>
              </w:rPr>
              <w:t>1</w:t>
            </w:r>
          </w:p>
        </w:tc>
        <w:tc>
          <w:tcPr>
            <w:tcW w:w="2660" w:type="dxa"/>
            <w:vAlign w:val="bottom"/>
            <w:shd w:val="clear" w:color="auto" w:fill="E9F0F3"/>
          </w:tcPr>
          <w:p>
            <w:pPr>
              <w:ind w:left="80"/>
              <w:spacing w:after="0"/>
              <w:rPr>
                <w:sz w:val="20"/>
                <w:szCs w:val="20"/>
                <w:color w:val="auto"/>
              </w:rPr>
            </w:pPr>
            <w:r>
              <w:rPr>
                <w:rFonts w:ascii="Arial" w:cs="Arial" w:eastAsia="Arial" w:hAnsi="Arial"/>
                <w:sz w:val="11"/>
                <w:szCs w:val="11"/>
                <w:color w:val="auto"/>
              </w:rPr>
              <w:t>Retired President and Former Managing Director,</w:t>
            </w:r>
          </w:p>
        </w:tc>
        <w:tc>
          <w:tcPr>
            <w:tcW w:w="760" w:type="dxa"/>
            <w:vAlign w:val="bottom"/>
            <w:vMerge w:val="restart"/>
            <w:shd w:val="clear" w:color="auto" w:fill="E9F0F3"/>
          </w:tcPr>
          <w:p>
            <w:pPr>
              <w:jc w:val="center"/>
              <w:spacing w:after="0"/>
              <w:rPr>
                <w:sz w:val="20"/>
                <w:szCs w:val="20"/>
                <w:color w:val="auto"/>
              </w:rPr>
            </w:pPr>
            <w:r>
              <w:rPr>
                <w:rFonts w:ascii="Arial" w:cs="Arial" w:eastAsia="Arial" w:hAnsi="Arial"/>
                <w:sz w:val="13"/>
                <w:szCs w:val="13"/>
                <w:color w:val="auto"/>
                <w:w w:val="96"/>
              </w:rPr>
              <w:t>100%</w:t>
            </w:r>
          </w:p>
        </w:tc>
        <w:tc>
          <w:tcPr>
            <w:tcW w:w="680" w:type="dxa"/>
            <w:vAlign w:val="bottom"/>
            <w:vMerge w:val="restart"/>
            <w:shd w:val="clear" w:color="auto" w:fill="E2EAEF"/>
          </w:tcPr>
          <w:p>
            <w:pPr>
              <w:jc w:val="center"/>
              <w:spacing w:after="0"/>
              <w:rPr>
                <w:sz w:val="20"/>
                <w:szCs w:val="20"/>
                <w:color w:val="auto"/>
              </w:rPr>
            </w:pPr>
            <w:r>
              <w:rPr>
                <w:rFonts w:ascii="Arial" w:cs="Arial" w:eastAsia="Arial" w:hAnsi="Arial"/>
                <w:sz w:val="16"/>
                <w:szCs w:val="16"/>
                <w:color w:val="808285"/>
              </w:rPr>
              <w:t>●</w:t>
            </w:r>
          </w:p>
        </w:tc>
        <w:tc>
          <w:tcPr>
            <w:tcW w:w="480" w:type="dxa"/>
            <w:vAlign w:val="bottom"/>
            <w:shd w:val="clear" w:color="auto" w:fill="E2EAEF"/>
          </w:tcPr>
          <w:p>
            <w:pPr>
              <w:spacing w:after="0"/>
              <w:rPr>
                <w:sz w:val="22"/>
                <w:szCs w:val="22"/>
                <w:color w:val="auto"/>
              </w:rPr>
            </w:pPr>
          </w:p>
        </w:tc>
        <w:tc>
          <w:tcPr>
            <w:tcW w:w="780" w:type="dxa"/>
            <w:vAlign w:val="bottom"/>
            <w:vMerge w:val="restart"/>
            <w:shd w:val="clear" w:color="auto" w:fill="E2EAEF"/>
          </w:tcPr>
          <w:p>
            <w:pPr>
              <w:jc w:val="center"/>
              <w:spacing w:after="0"/>
              <w:rPr>
                <w:sz w:val="20"/>
                <w:szCs w:val="20"/>
                <w:color w:val="auto"/>
              </w:rPr>
            </w:pPr>
            <w:r>
              <w:rPr>
                <w:rFonts w:ascii="Arial" w:cs="Arial" w:eastAsia="Arial" w:hAnsi="Arial"/>
                <w:sz w:val="16"/>
                <w:szCs w:val="16"/>
                <w:color w:val="6D98AD"/>
              </w:rPr>
              <w:t>●</w:t>
            </w:r>
          </w:p>
        </w:tc>
        <w:tc>
          <w:tcPr>
            <w:tcW w:w="540" w:type="dxa"/>
            <w:vAlign w:val="bottom"/>
            <w:shd w:val="clear" w:color="auto" w:fill="E2EAEF"/>
          </w:tcPr>
          <w:p>
            <w:pPr>
              <w:spacing w:after="0"/>
              <w:rPr>
                <w:sz w:val="22"/>
                <w:szCs w:val="22"/>
                <w:color w:val="auto"/>
              </w:rPr>
            </w:pPr>
          </w:p>
        </w:tc>
        <w:tc>
          <w:tcPr>
            <w:tcW w:w="0" w:type="dxa"/>
            <w:vAlign w:val="bottom"/>
          </w:tcPr>
          <w:p>
            <w:pPr>
              <w:spacing w:after="0"/>
              <w:rPr>
                <w:sz w:val="1"/>
                <w:szCs w:val="1"/>
                <w:color w:val="auto"/>
              </w:rPr>
            </w:pPr>
          </w:p>
        </w:tc>
      </w:tr>
      <w:tr>
        <w:trPr>
          <w:trHeight w:val="91"/>
        </w:trPr>
        <w:tc>
          <w:tcPr>
            <w:tcW w:w="3020" w:type="dxa"/>
            <w:vAlign w:val="bottom"/>
            <w:shd w:val="clear" w:color="auto" w:fill="E9F0F3"/>
          </w:tcPr>
          <w:p>
            <w:pPr>
              <w:spacing w:after="0"/>
              <w:rPr>
                <w:sz w:val="7"/>
                <w:szCs w:val="7"/>
                <w:color w:val="auto"/>
              </w:rPr>
            </w:pPr>
          </w:p>
        </w:tc>
        <w:tc>
          <w:tcPr>
            <w:tcW w:w="520" w:type="dxa"/>
            <w:vAlign w:val="bottom"/>
            <w:shd w:val="clear" w:color="auto" w:fill="E9F0F3"/>
          </w:tcPr>
          <w:p>
            <w:pPr>
              <w:spacing w:after="0"/>
              <w:rPr>
                <w:sz w:val="7"/>
                <w:szCs w:val="7"/>
                <w:color w:val="auto"/>
              </w:rPr>
            </w:pPr>
          </w:p>
        </w:tc>
        <w:tc>
          <w:tcPr>
            <w:tcW w:w="800" w:type="dxa"/>
            <w:vAlign w:val="bottom"/>
            <w:vMerge w:val="restart"/>
            <w:shd w:val="clear" w:color="auto" w:fill="E9F0F3"/>
          </w:tcPr>
          <w:p>
            <w:pPr>
              <w:ind w:left="200"/>
              <w:spacing w:after="0"/>
              <w:rPr>
                <w:sz w:val="20"/>
                <w:szCs w:val="20"/>
                <w:color w:val="auto"/>
              </w:rPr>
            </w:pPr>
            <w:r>
              <w:rPr>
                <w:rFonts w:ascii="Arial" w:cs="Arial" w:eastAsia="Arial" w:hAnsi="Arial"/>
                <w:sz w:val="14"/>
                <w:szCs w:val="14"/>
                <w:b w:val="1"/>
                <w:bCs w:val="1"/>
                <w:color w:val="auto"/>
              </w:rPr>
              <w:t>(9)</w:t>
            </w:r>
          </w:p>
        </w:tc>
        <w:tc>
          <w:tcPr>
            <w:tcW w:w="700" w:type="dxa"/>
            <w:vAlign w:val="bottom"/>
            <w:shd w:val="clear" w:color="auto" w:fill="E9F0F3"/>
          </w:tcPr>
          <w:p>
            <w:pPr>
              <w:spacing w:after="0"/>
              <w:rPr>
                <w:sz w:val="7"/>
                <w:szCs w:val="7"/>
                <w:color w:val="auto"/>
              </w:rPr>
            </w:pPr>
          </w:p>
        </w:tc>
        <w:tc>
          <w:tcPr>
            <w:tcW w:w="2660" w:type="dxa"/>
            <w:vAlign w:val="bottom"/>
            <w:shd w:val="clear" w:color="auto" w:fill="E9F0F3"/>
          </w:tcPr>
          <w:p>
            <w:pPr>
              <w:ind w:left="80"/>
              <w:spacing w:after="0" w:line="91" w:lineRule="exact"/>
              <w:rPr>
                <w:sz w:val="20"/>
                <w:szCs w:val="20"/>
                <w:color w:val="auto"/>
              </w:rPr>
            </w:pPr>
            <w:r>
              <w:rPr>
                <w:rFonts w:ascii="Arial" w:cs="Arial" w:eastAsia="Arial" w:hAnsi="Arial"/>
                <w:sz w:val="10"/>
                <w:szCs w:val="10"/>
                <w:color w:val="auto"/>
              </w:rPr>
              <w:t>Europe, Marriott International, Inc.; Principal</w:t>
            </w:r>
          </w:p>
        </w:tc>
        <w:tc>
          <w:tcPr>
            <w:tcW w:w="760" w:type="dxa"/>
            <w:vAlign w:val="bottom"/>
            <w:vMerge w:val="continue"/>
            <w:shd w:val="clear" w:color="auto" w:fill="E9F0F3"/>
          </w:tcPr>
          <w:p>
            <w:pPr>
              <w:spacing w:after="0"/>
              <w:rPr>
                <w:sz w:val="7"/>
                <w:szCs w:val="7"/>
                <w:color w:val="auto"/>
              </w:rPr>
            </w:pPr>
          </w:p>
        </w:tc>
        <w:tc>
          <w:tcPr>
            <w:tcW w:w="680" w:type="dxa"/>
            <w:vAlign w:val="bottom"/>
            <w:vMerge w:val="continue"/>
            <w:shd w:val="clear" w:color="auto" w:fill="E2EAEF"/>
          </w:tcPr>
          <w:p>
            <w:pPr>
              <w:spacing w:after="0"/>
              <w:rPr>
                <w:sz w:val="7"/>
                <w:szCs w:val="7"/>
                <w:color w:val="auto"/>
              </w:rPr>
            </w:pPr>
          </w:p>
        </w:tc>
        <w:tc>
          <w:tcPr>
            <w:tcW w:w="480" w:type="dxa"/>
            <w:vAlign w:val="bottom"/>
            <w:shd w:val="clear" w:color="auto" w:fill="E2EAEF"/>
          </w:tcPr>
          <w:p>
            <w:pPr>
              <w:spacing w:after="0"/>
              <w:rPr>
                <w:sz w:val="7"/>
                <w:szCs w:val="7"/>
                <w:color w:val="auto"/>
              </w:rPr>
            </w:pPr>
          </w:p>
        </w:tc>
        <w:tc>
          <w:tcPr>
            <w:tcW w:w="780" w:type="dxa"/>
            <w:vAlign w:val="bottom"/>
            <w:vMerge w:val="continue"/>
            <w:shd w:val="clear" w:color="auto" w:fill="E2EAEF"/>
          </w:tcPr>
          <w:p>
            <w:pPr>
              <w:spacing w:after="0"/>
              <w:rPr>
                <w:sz w:val="7"/>
                <w:szCs w:val="7"/>
                <w:color w:val="auto"/>
              </w:rPr>
            </w:pPr>
          </w:p>
        </w:tc>
        <w:tc>
          <w:tcPr>
            <w:tcW w:w="540" w:type="dxa"/>
            <w:vAlign w:val="bottom"/>
            <w:shd w:val="clear" w:color="auto" w:fill="E2EAEF"/>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3020" w:type="dxa"/>
            <w:vAlign w:val="bottom"/>
            <w:shd w:val="clear" w:color="auto" w:fill="E9F0F3"/>
          </w:tcPr>
          <w:p>
            <w:pPr>
              <w:spacing w:after="0"/>
              <w:rPr>
                <w:sz w:val="12"/>
                <w:szCs w:val="12"/>
                <w:color w:val="auto"/>
              </w:rPr>
            </w:pPr>
          </w:p>
        </w:tc>
        <w:tc>
          <w:tcPr>
            <w:tcW w:w="520" w:type="dxa"/>
            <w:vAlign w:val="bottom"/>
            <w:shd w:val="clear" w:color="auto" w:fill="E9F0F3"/>
          </w:tcPr>
          <w:p>
            <w:pPr>
              <w:spacing w:after="0"/>
              <w:rPr>
                <w:sz w:val="12"/>
                <w:szCs w:val="12"/>
                <w:color w:val="auto"/>
              </w:rPr>
            </w:pPr>
          </w:p>
        </w:tc>
        <w:tc>
          <w:tcPr>
            <w:tcW w:w="800" w:type="dxa"/>
            <w:vAlign w:val="bottom"/>
            <w:vMerge w:val="continue"/>
            <w:shd w:val="clear" w:color="auto" w:fill="E9F0F3"/>
          </w:tcPr>
          <w:p>
            <w:pPr>
              <w:spacing w:after="0"/>
              <w:rPr>
                <w:sz w:val="12"/>
                <w:szCs w:val="12"/>
                <w:color w:val="auto"/>
              </w:rPr>
            </w:pPr>
          </w:p>
        </w:tc>
        <w:tc>
          <w:tcPr>
            <w:tcW w:w="700" w:type="dxa"/>
            <w:vAlign w:val="bottom"/>
            <w:shd w:val="clear" w:color="auto" w:fill="E9F0F3"/>
          </w:tcPr>
          <w:p>
            <w:pPr>
              <w:spacing w:after="0"/>
              <w:rPr>
                <w:sz w:val="12"/>
                <w:szCs w:val="12"/>
                <w:color w:val="auto"/>
              </w:rPr>
            </w:pPr>
          </w:p>
        </w:tc>
        <w:tc>
          <w:tcPr>
            <w:tcW w:w="2660" w:type="dxa"/>
            <w:vAlign w:val="bottom"/>
            <w:shd w:val="clear" w:color="auto" w:fill="E9F0F3"/>
          </w:tcPr>
          <w:p>
            <w:pPr>
              <w:ind w:left="80"/>
              <w:spacing w:after="0"/>
              <w:rPr>
                <w:sz w:val="20"/>
                <w:szCs w:val="20"/>
                <w:color w:val="auto"/>
              </w:rPr>
            </w:pPr>
            <w:r>
              <w:rPr>
                <w:rFonts w:ascii="Arial" w:cs="Arial" w:eastAsia="Arial" w:hAnsi="Arial"/>
                <w:sz w:val="11"/>
                <w:szCs w:val="11"/>
                <w:color w:val="auto"/>
              </w:rPr>
              <w:t>investor and consultant, Kids Know Best</w:t>
            </w:r>
          </w:p>
        </w:tc>
        <w:tc>
          <w:tcPr>
            <w:tcW w:w="760" w:type="dxa"/>
            <w:vAlign w:val="bottom"/>
            <w:shd w:val="clear" w:color="auto" w:fill="E9F0F3"/>
          </w:tcPr>
          <w:p>
            <w:pPr>
              <w:spacing w:after="0"/>
              <w:rPr>
                <w:sz w:val="12"/>
                <w:szCs w:val="12"/>
                <w:color w:val="auto"/>
              </w:rPr>
            </w:pPr>
          </w:p>
        </w:tc>
        <w:tc>
          <w:tcPr>
            <w:tcW w:w="680" w:type="dxa"/>
            <w:vAlign w:val="bottom"/>
            <w:shd w:val="clear" w:color="auto" w:fill="E2EAEF"/>
          </w:tcPr>
          <w:p>
            <w:pPr>
              <w:spacing w:after="0"/>
              <w:rPr>
                <w:sz w:val="12"/>
                <w:szCs w:val="12"/>
                <w:color w:val="auto"/>
              </w:rPr>
            </w:pPr>
          </w:p>
        </w:tc>
        <w:tc>
          <w:tcPr>
            <w:tcW w:w="480" w:type="dxa"/>
            <w:vAlign w:val="bottom"/>
            <w:shd w:val="clear" w:color="auto" w:fill="E2EAEF"/>
          </w:tcPr>
          <w:p>
            <w:pPr>
              <w:spacing w:after="0"/>
              <w:rPr>
                <w:sz w:val="12"/>
                <w:szCs w:val="12"/>
                <w:color w:val="auto"/>
              </w:rPr>
            </w:pPr>
          </w:p>
        </w:tc>
        <w:tc>
          <w:tcPr>
            <w:tcW w:w="780" w:type="dxa"/>
            <w:vAlign w:val="bottom"/>
            <w:shd w:val="clear" w:color="auto" w:fill="E2EAEF"/>
          </w:tcPr>
          <w:p>
            <w:pPr>
              <w:spacing w:after="0"/>
              <w:rPr>
                <w:sz w:val="12"/>
                <w:szCs w:val="12"/>
                <w:color w:val="auto"/>
              </w:rPr>
            </w:pPr>
          </w:p>
        </w:tc>
        <w:tc>
          <w:tcPr>
            <w:tcW w:w="540" w:type="dxa"/>
            <w:vAlign w:val="bottom"/>
            <w:shd w:val="clear" w:color="auto" w:fill="E2EAE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020" w:type="dxa"/>
            <w:vAlign w:val="bottom"/>
            <w:shd w:val="clear" w:color="auto" w:fill="E9F0F3"/>
          </w:tcPr>
          <w:p>
            <w:pPr>
              <w:spacing w:after="0"/>
              <w:rPr>
                <w:sz w:val="11"/>
                <w:szCs w:val="11"/>
                <w:color w:val="auto"/>
              </w:rPr>
            </w:pPr>
          </w:p>
        </w:tc>
        <w:tc>
          <w:tcPr>
            <w:tcW w:w="520" w:type="dxa"/>
            <w:vAlign w:val="bottom"/>
            <w:shd w:val="clear" w:color="auto" w:fill="E9F0F3"/>
          </w:tcPr>
          <w:p>
            <w:pPr>
              <w:spacing w:after="0"/>
              <w:rPr>
                <w:sz w:val="11"/>
                <w:szCs w:val="11"/>
                <w:color w:val="auto"/>
              </w:rPr>
            </w:pPr>
          </w:p>
        </w:tc>
        <w:tc>
          <w:tcPr>
            <w:tcW w:w="800" w:type="dxa"/>
            <w:vAlign w:val="bottom"/>
            <w:shd w:val="clear" w:color="auto" w:fill="E9F0F3"/>
          </w:tcPr>
          <w:p>
            <w:pPr>
              <w:spacing w:after="0"/>
              <w:rPr>
                <w:sz w:val="11"/>
                <w:szCs w:val="11"/>
                <w:color w:val="auto"/>
              </w:rPr>
            </w:pPr>
          </w:p>
        </w:tc>
        <w:tc>
          <w:tcPr>
            <w:tcW w:w="700" w:type="dxa"/>
            <w:vAlign w:val="bottom"/>
            <w:shd w:val="clear" w:color="auto" w:fill="E9F0F3"/>
          </w:tcPr>
          <w:p>
            <w:pPr>
              <w:spacing w:after="0"/>
              <w:rPr>
                <w:sz w:val="11"/>
                <w:szCs w:val="11"/>
                <w:color w:val="auto"/>
              </w:rPr>
            </w:pPr>
          </w:p>
        </w:tc>
        <w:tc>
          <w:tcPr>
            <w:tcW w:w="2660" w:type="dxa"/>
            <w:vAlign w:val="bottom"/>
            <w:shd w:val="clear" w:color="auto" w:fill="E9F0F3"/>
          </w:tcPr>
          <w:p>
            <w:pPr>
              <w:spacing w:after="0"/>
              <w:rPr>
                <w:sz w:val="11"/>
                <w:szCs w:val="11"/>
                <w:color w:val="auto"/>
              </w:rPr>
            </w:pPr>
          </w:p>
        </w:tc>
        <w:tc>
          <w:tcPr>
            <w:tcW w:w="760" w:type="dxa"/>
            <w:vAlign w:val="bottom"/>
            <w:shd w:val="clear" w:color="auto" w:fill="E9F0F3"/>
          </w:tcPr>
          <w:p>
            <w:pPr>
              <w:spacing w:after="0"/>
              <w:rPr>
                <w:sz w:val="11"/>
                <w:szCs w:val="11"/>
                <w:color w:val="auto"/>
              </w:rPr>
            </w:pPr>
          </w:p>
        </w:tc>
        <w:tc>
          <w:tcPr>
            <w:tcW w:w="680" w:type="dxa"/>
            <w:vAlign w:val="bottom"/>
            <w:shd w:val="clear" w:color="auto" w:fill="E2EAEF"/>
          </w:tcPr>
          <w:p>
            <w:pPr>
              <w:spacing w:after="0"/>
              <w:rPr>
                <w:sz w:val="11"/>
                <w:szCs w:val="11"/>
                <w:color w:val="auto"/>
              </w:rPr>
            </w:pPr>
          </w:p>
        </w:tc>
        <w:tc>
          <w:tcPr>
            <w:tcW w:w="480" w:type="dxa"/>
            <w:vAlign w:val="bottom"/>
            <w:shd w:val="clear" w:color="auto" w:fill="E2EAEF"/>
          </w:tcPr>
          <w:p>
            <w:pPr>
              <w:spacing w:after="0"/>
              <w:rPr>
                <w:sz w:val="11"/>
                <w:szCs w:val="11"/>
                <w:color w:val="auto"/>
              </w:rPr>
            </w:pPr>
          </w:p>
        </w:tc>
        <w:tc>
          <w:tcPr>
            <w:tcW w:w="780" w:type="dxa"/>
            <w:vAlign w:val="bottom"/>
            <w:shd w:val="clear" w:color="auto" w:fill="E2EAEF"/>
          </w:tcPr>
          <w:p>
            <w:pPr>
              <w:spacing w:after="0"/>
              <w:rPr>
                <w:sz w:val="11"/>
                <w:szCs w:val="11"/>
                <w:color w:val="auto"/>
              </w:rPr>
            </w:pPr>
          </w:p>
        </w:tc>
        <w:tc>
          <w:tcPr>
            <w:tcW w:w="540" w:type="dxa"/>
            <w:vAlign w:val="bottom"/>
            <w:shd w:val="clear" w:color="auto" w:fill="E2EAEF"/>
          </w:tcPr>
          <w:p>
            <w:pPr>
              <w:spacing w:after="0"/>
              <w:rPr>
                <w:sz w:val="11"/>
                <w:szCs w:val="11"/>
                <w:color w:val="auto"/>
              </w:rPr>
            </w:pPr>
          </w:p>
        </w:tc>
        <w:tc>
          <w:tcPr>
            <w:tcW w:w="0" w:type="dxa"/>
            <w:vAlign w:val="bottom"/>
          </w:tcPr>
          <w:p>
            <w:pPr>
              <w:spacing w:after="0"/>
              <w:rPr>
                <w:sz w:val="1"/>
                <w:szCs w:val="1"/>
                <w:color w:val="auto"/>
              </w:rPr>
            </w:pPr>
          </w:p>
        </w:tc>
      </w:tr>
      <w:tr>
        <w:trPr>
          <w:trHeight w:val="259"/>
        </w:trPr>
        <w:tc>
          <w:tcPr>
            <w:tcW w:w="3020" w:type="dxa"/>
            <w:vAlign w:val="bottom"/>
          </w:tcPr>
          <w:p>
            <w:pPr>
              <w:ind w:left="1040"/>
              <w:spacing w:after="0"/>
              <w:rPr>
                <w:sz w:val="20"/>
                <w:szCs w:val="20"/>
                <w:color w:val="auto"/>
              </w:rPr>
            </w:pPr>
            <w:r>
              <w:rPr>
                <w:rFonts w:ascii="Arial" w:cs="Arial" w:eastAsia="Arial" w:hAnsi="Arial"/>
                <w:sz w:val="14"/>
                <w:szCs w:val="14"/>
                <w:b w:val="1"/>
                <w:bCs w:val="1"/>
                <w:color w:val="auto"/>
              </w:rPr>
              <w:t>Amanda Sourry</w:t>
            </w:r>
          </w:p>
        </w:tc>
        <w:tc>
          <w:tcPr>
            <w:tcW w:w="520" w:type="dxa"/>
            <w:vAlign w:val="bottom"/>
          </w:tcPr>
          <w:p>
            <w:pPr>
              <w:ind w:left="80"/>
              <w:spacing w:after="0"/>
              <w:rPr>
                <w:sz w:val="20"/>
                <w:szCs w:val="20"/>
                <w:color w:val="auto"/>
              </w:rPr>
            </w:pPr>
            <w:r>
              <w:rPr>
                <w:rFonts w:ascii="Arial" w:cs="Arial" w:eastAsia="Arial" w:hAnsi="Arial"/>
                <w:sz w:val="14"/>
                <w:szCs w:val="14"/>
                <w:color w:val="auto"/>
              </w:rPr>
              <w:t>62</w:t>
            </w:r>
          </w:p>
        </w:tc>
        <w:tc>
          <w:tcPr>
            <w:tcW w:w="800" w:type="dxa"/>
            <w:vAlign w:val="bottom"/>
          </w:tcPr>
          <w:p>
            <w:pPr>
              <w:ind w:left="200"/>
              <w:spacing w:after="0"/>
              <w:rPr>
                <w:sz w:val="20"/>
                <w:szCs w:val="20"/>
                <w:color w:val="auto"/>
              </w:rPr>
            </w:pPr>
            <w:r>
              <w:rPr>
                <w:rFonts w:ascii="Arial" w:cs="Arial" w:eastAsia="Arial" w:hAnsi="Arial"/>
                <w:sz w:val="14"/>
                <w:szCs w:val="14"/>
                <w:color w:val="auto"/>
              </w:rPr>
              <w:t>2016</w:t>
            </w:r>
          </w:p>
        </w:tc>
        <w:tc>
          <w:tcPr>
            <w:tcW w:w="700" w:type="dxa"/>
            <w:vAlign w:val="bottom"/>
          </w:tcPr>
          <w:p>
            <w:pPr>
              <w:jc w:val="right"/>
              <w:ind w:right="155"/>
              <w:spacing w:after="0"/>
              <w:rPr>
                <w:sz w:val="20"/>
                <w:szCs w:val="20"/>
                <w:color w:val="auto"/>
              </w:rPr>
            </w:pPr>
            <w:r>
              <w:rPr>
                <w:rFonts w:ascii="Arial" w:cs="Arial" w:eastAsia="Arial" w:hAnsi="Arial"/>
                <w:sz w:val="14"/>
                <w:szCs w:val="14"/>
                <w:color w:val="auto"/>
              </w:rPr>
              <w:t>1</w:t>
            </w:r>
          </w:p>
        </w:tc>
        <w:tc>
          <w:tcPr>
            <w:tcW w:w="2660" w:type="dxa"/>
            <w:vAlign w:val="bottom"/>
          </w:tcPr>
          <w:p>
            <w:pPr>
              <w:ind w:left="80"/>
              <w:spacing w:after="0"/>
              <w:rPr>
                <w:sz w:val="20"/>
                <w:szCs w:val="20"/>
                <w:color w:val="auto"/>
              </w:rPr>
            </w:pPr>
            <w:r>
              <w:rPr>
                <w:rFonts w:ascii="Arial" w:cs="Arial" w:eastAsia="Arial" w:hAnsi="Arial"/>
                <w:sz w:val="11"/>
                <w:szCs w:val="11"/>
                <w:color w:val="auto"/>
              </w:rPr>
              <w:t>Former President, Unilever</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6"/>
              </w:rPr>
              <w:t>100%</w:t>
            </w:r>
          </w:p>
        </w:tc>
        <w:tc>
          <w:tcPr>
            <w:tcW w:w="680" w:type="dxa"/>
            <w:vAlign w:val="bottom"/>
          </w:tcPr>
          <w:p>
            <w:pPr>
              <w:spacing w:after="0"/>
              <w:rPr>
                <w:sz w:val="22"/>
                <w:szCs w:val="22"/>
                <w:color w:val="auto"/>
              </w:rPr>
            </w:pPr>
          </w:p>
        </w:tc>
        <w:tc>
          <w:tcPr>
            <w:tcW w:w="480" w:type="dxa"/>
            <w:vAlign w:val="bottom"/>
            <w:vMerge w:val="restart"/>
          </w:tcPr>
          <w:p>
            <w:pPr>
              <w:jc w:val="center"/>
              <w:spacing w:after="0"/>
              <w:rPr>
                <w:sz w:val="20"/>
                <w:szCs w:val="20"/>
                <w:color w:val="auto"/>
              </w:rPr>
            </w:pPr>
            <w:r>
              <w:rPr>
                <w:rFonts w:ascii="Arial" w:cs="Arial" w:eastAsia="Arial" w:hAnsi="Arial"/>
                <w:sz w:val="16"/>
                <w:szCs w:val="16"/>
                <w:color w:val="6D98AD"/>
              </w:rPr>
              <w:t>●</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808285"/>
              </w:rPr>
              <w:t>●</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3020" w:type="dxa"/>
            <w:vAlign w:val="bottom"/>
            <w:vMerge w:val="restart"/>
          </w:tcPr>
          <w:p>
            <w:pPr>
              <w:ind w:left="1040"/>
              <w:spacing w:after="0"/>
              <w:rPr>
                <w:sz w:val="20"/>
                <w:szCs w:val="20"/>
                <w:color w:val="auto"/>
              </w:rPr>
            </w:pPr>
            <w:r>
              <w:rPr>
                <w:rFonts w:ascii="Arial" w:cs="Arial" w:eastAsia="Arial" w:hAnsi="Arial"/>
                <w:sz w:val="13"/>
                <w:szCs w:val="13"/>
                <w:color w:val="auto"/>
              </w:rPr>
              <w:t>(Judith Amanda Sourry Knox)</w:t>
            </w:r>
          </w:p>
        </w:tc>
        <w:tc>
          <w:tcPr>
            <w:tcW w:w="520" w:type="dxa"/>
            <w:vAlign w:val="bottom"/>
          </w:tcPr>
          <w:p>
            <w:pPr>
              <w:spacing w:after="0"/>
              <w:rPr>
                <w:sz w:val="12"/>
                <w:szCs w:val="12"/>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(9)</w:t>
            </w:r>
          </w:p>
        </w:tc>
        <w:tc>
          <w:tcPr>
            <w:tcW w:w="700" w:type="dxa"/>
            <w:vAlign w:val="bottom"/>
          </w:tcPr>
          <w:p>
            <w:pPr>
              <w:spacing w:after="0"/>
              <w:rPr>
                <w:sz w:val="12"/>
                <w:szCs w:val="12"/>
                <w:color w:val="auto"/>
              </w:rPr>
            </w:pPr>
          </w:p>
        </w:tc>
        <w:tc>
          <w:tcPr>
            <w:tcW w:w="2660" w:type="dxa"/>
            <w:vAlign w:val="bottom"/>
          </w:tcPr>
          <w:p>
            <w:pPr>
              <w:ind w:left="80"/>
              <w:spacing w:after="0"/>
              <w:rPr>
                <w:sz w:val="20"/>
                <w:szCs w:val="20"/>
                <w:color w:val="auto"/>
              </w:rPr>
            </w:pPr>
            <w:r>
              <w:rPr>
                <w:rFonts w:ascii="Arial" w:cs="Arial" w:eastAsia="Arial" w:hAnsi="Arial"/>
                <w:sz w:val="11"/>
                <w:szCs w:val="11"/>
                <w:color w:val="auto"/>
              </w:rPr>
              <w:t>North America</w:t>
            </w:r>
          </w:p>
        </w:tc>
        <w:tc>
          <w:tcPr>
            <w:tcW w:w="7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30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3020" w:type="dxa"/>
            <w:vAlign w:val="bottom"/>
            <w:shd w:val="clear" w:color="auto" w:fill="6D98AD"/>
          </w:tcPr>
          <w:p>
            <w:pPr>
              <w:ind w:left="1040"/>
              <w:spacing w:after="0"/>
              <w:rPr>
                <w:sz w:val="20"/>
                <w:szCs w:val="20"/>
                <w:color w:val="auto"/>
              </w:rPr>
            </w:pPr>
            <w:r>
              <w:rPr>
                <w:rFonts w:ascii="Arial" w:cs="Arial" w:eastAsia="Arial" w:hAnsi="Arial"/>
                <w:sz w:val="14"/>
                <w:szCs w:val="14"/>
                <w:b w:val="1"/>
                <w:bCs w:val="1"/>
                <w:color w:val="FFFFFF"/>
              </w:rPr>
              <w:t>Number of meetings in 2025</w:t>
            </w:r>
          </w:p>
        </w:tc>
        <w:tc>
          <w:tcPr>
            <w:tcW w:w="520" w:type="dxa"/>
            <w:vAlign w:val="bottom"/>
            <w:shd w:val="clear" w:color="auto" w:fill="6D98AD"/>
          </w:tcPr>
          <w:p>
            <w:pPr>
              <w:spacing w:after="0"/>
              <w:rPr>
                <w:sz w:val="21"/>
                <w:szCs w:val="21"/>
                <w:color w:val="auto"/>
              </w:rPr>
            </w:pPr>
          </w:p>
        </w:tc>
        <w:tc>
          <w:tcPr>
            <w:tcW w:w="800" w:type="dxa"/>
            <w:vAlign w:val="bottom"/>
            <w:shd w:val="clear" w:color="auto" w:fill="6D98AD"/>
          </w:tcPr>
          <w:p>
            <w:pPr>
              <w:spacing w:after="0"/>
              <w:rPr>
                <w:sz w:val="21"/>
                <w:szCs w:val="21"/>
                <w:color w:val="auto"/>
              </w:rPr>
            </w:pPr>
          </w:p>
        </w:tc>
        <w:tc>
          <w:tcPr>
            <w:tcW w:w="700" w:type="dxa"/>
            <w:vAlign w:val="bottom"/>
            <w:shd w:val="clear" w:color="auto" w:fill="6D98AD"/>
          </w:tcPr>
          <w:p>
            <w:pPr>
              <w:spacing w:after="0"/>
              <w:rPr>
                <w:sz w:val="21"/>
                <w:szCs w:val="21"/>
                <w:color w:val="auto"/>
              </w:rPr>
            </w:pPr>
          </w:p>
        </w:tc>
        <w:tc>
          <w:tcPr>
            <w:tcW w:w="2660" w:type="dxa"/>
            <w:vAlign w:val="bottom"/>
            <w:shd w:val="clear" w:color="auto" w:fill="6D98AD"/>
          </w:tcPr>
          <w:p>
            <w:pPr>
              <w:spacing w:after="0"/>
              <w:rPr>
                <w:sz w:val="21"/>
                <w:szCs w:val="21"/>
                <w:color w:val="auto"/>
              </w:rPr>
            </w:pPr>
          </w:p>
        </w:tc>
        <w:tc>
          <w:tcPr>
            <w:tcW w:w="760" w:type="dxa"/>
            <w:vAlign w:val="bottom"/>
            <w:shd w:val="clear" w:color="auto" w:fill="6D98AD"/>
          </w:tcPr>
          <w:p>
            <w:pPr>
              <w:jc w:val="center"/>
              <w:spacing w:after="0"/>
              <w:rPr>
                <w:sz w:val="20"/>
                <w:szCs w:val="20"/>
                <w:color w:val="auto"/>
              </w:rPr>
            </w:pPr>
            <w:r>
              <w:rPr>
                <w:rFonts w:ascii="Arial" w:cs="Arial" w:eastAsia="Arial" w:hAnsi="Arial"/>
                <w:sz w:val="13"/>
                <w:szCs w:val="13"/>
                <w:color w:val="auto"/>
              </w:rPr>
              <w:t>*</w:t>
            </w:r>
          </w:p>
        </w:tc>
        <w:tc>
          <w:tcPr>
            <w:tcW w:w="680" w:type="dxa"/>
            <w:vAlign w:val="bottom"/>
            <w:shd w:val="clear" w:color="auto" w:fill="6D98AD"/>
          </w:tcPr>
          <w:p>
            <w:pPr>
              <w:jc w:val="center"/>
              <w:spacing w:after="0"/>
              <w:rPr>
                <w:sz w:val="20"/>
                <w:szCs w:val="20"/>
                <w:color w:val="auto"/>
              </w:rPr>
            </w:pPr>
            <w:r>
              <w:rPr>
                <w:rFonts w:ascii="Arial" w:cs="Arial" w:eastAsia="Arial" w:hAnsi="Arial"/>
                <w:sz w:val="13"/>
                <w:szCs w:val="13"/>
                <w:b w:val="1"/>
                <w:bCs w:val="1"/>
                <w:color w:val="FFFFFF"/>
                <w:w w:val="96"/>
              </w:rPr>
              <w:t>10</w:t>
            </w:r>
          </w:p>
        </w:tc>
        <w:tc>
          <w:tcPr>
            <w:tcW w:w="480" w:type="dxa"/>
            <w:vAlign w:val="bottom"/>
            <w:shd w:val="clear" w:color="auto" w:fill="6D98AD"/>
          </w:tcPr>
          <w:p>
            <w:pPr>
              <w:jc w:val="center"/>
              <w:spacing w:after="0"/>
              <w:rPr>
                <w:sz w:val="20"/>
                <w:szCs w:val="20"/>
                <w:color w:val="auto"/>
              </w:rPr>
            </w:pPr>
            <w:r>
              <w:rPr>
                <w:rFonts w:ascii="Arial" w:cs="Arial" w:eastAsia="Arial" w:hAnsi="Arial"/>
                <w:sz w:val="13"/>
                <w:szCs w:val="13"/>
                <w:b w:val="1"/>
                <w:bCs w:val="1"/>
                <w:color w:val="FFFFFF"/>
                <w:w w:val="82"/>
              </w:rPr>
              <w:t>7</w:t>
            </w:r>
          </w:p>
        </w:tc>
        <w:tc>
          <w:tcPr>
            <w:tcW w:w="780" w:type="dxa"/>
            <w:vAlign w:val="bottom"/>
            <w:shd w:val="clear" w:color="auto" w:fill="6D98AD"/>
          </w:tcPr>
          <w:p>
            <w:pPr>
              <w:jc w:val="center"/>
              <w:spacing w:after="0"/>
              <w:rPr>
                <w:sz w:val="20"/>
                <w:szCs w:val="20"/>
                <w:color w:val="auto"/>
              </w:rPr>
            </w:pPr>
            <w:r>
              <w:rPr>
                <w:rFonts w:ascii="Arial" w:cs="Arial" w:eastAsia="Arial" w:hAnsi="Arial"/>
                <w:sz w:val="13"/>
                <w:szCs w:val="13"/>
                <w:b w:val="1"/>
                <w:bCs w:val="1"/>
                <w:color w:val="FFFFFF"/>
              </w:rPr>
              <w:t>4</w:t>
            </w:r>
          </w:p>
        </w:tc>
        <w:tc>
          <w:tcPr>
            <w:tcW w:w="540" w:type="dxa"/>
            <w:vAlign w:val="bottom"/>
            <w:shd w:val="clear" w:color="auto" w:fill="6D98AD"/>
          </w:tcPr>
          <w:p>
            <w:pPr>
              <w:jc w:val="center"/>
              <w:spacing w:after="0"/>
              <w:rPr>
                <w:sz w:val="20"/>
                <w:szCs w:val="20"/>
                <w:color w:val="auto"/>
              </w:rPr>
            </w:pPr>
            <w:r>
              <w:rPr>
                <w:rFonts w:ascii="Arial" w:cs="Arial" w:eastAsia="Arial" w:hAnsi="Arial"/>
                <w:sz w:val="13"/>
                <w:szCs w:val="13"/>
                <w:b w:val="1"/>
                <w:bCs w:val="1"/>
                <w:color w:val="FFFFFF"/>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-4187825</wp:posOffset>
            </wp:positionV>
            <wp:extent cx="374015" cy="4008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4015" cy="400875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Committee Key:</w:t>
      </w:r>
    </w:p>
    <w:p>
      <w:pPr>
        <w:spacing w:after="0" w:line="27"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3"/>
          <w:szCs w:val="13"/>
          <w:color w:val="auto"/>
        </w:rPr>
        <w:t>A&amp;RM</w:t>
        <w:tab/>
        <w:t>Audit &amp; Risk Management</w:t>
      </w:r>
    </w:p>
    <w:p>
      <w:pPr>
        <w:spacing w:after="0" w:line="16" w:lineRule="exact"/>
        <w:rPr>
          <w:sz w:val="20"/>
          <w:szCs w:val="20"/>
          <w:color w:val="auto"/>
        </w:rPr>
      </w:pPr>
    </w:p>
    <w:p>
      <w:pPr>
        <w:ind w:left="580" w:hanging="569"/>
        <w:spacing w:after="0"/>
        <w:tabs>
          <w:tab w:leader="none" w:pos="58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Compensation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3"/>
          <w:szCs w:val="13"/>
          <w:color w:val="auto"/>
        </w:rPr>
        <w:t>NG&amp;MD  Nominating, Governance &amp; Management Development</w:t>
      </w:r>
    </w:p>
    <w:p>
      <w:pPr>
        <w:spacing w:after="0" w:line="2"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3"/>
          <w:szCs w:val="13"/>
          <w:color w:val="auto"/>
        </w:rPr>
        <w:t>CR</w:t>
      </w:r>
      <w:r>
        <w:rPr>
          <w:sz w:val="20"/>
          <w:szCs w:val="20"/>
          <w:color w:val="auto"/>
        </w:rPr>
        <w:tab/>
      </w:r>
      <w:r>
        <w:rPr>
          <w:rFonts w:ascii="Arial" w:cs="Arial" w:eastAsia="Arial" w:hAnsi="Arial"/>
          <w:sz w:val="13"/>
          <w:szCs w:val="13"/>
          <w:color w:val="auto"/>
        </w:rPr>
        <w:t>Corporate Responsibility</w:t>
      </w:r>
    </w:p>
    <w:p>
      <w:pPr>
        <w:ind w:left="140" w:hanging="129"/>
        <w:spacing w:after="0" w:line="237" w:lineRule="auto"/>
        <w:tabs>
          <w:tab w:leader="none" w:pos="140" w:val="left"/>
        </w:tabs>
        <w:numPr>
          <w:ilvl w:val="0"/>
          <w:numId w:val="10"/>
        </w:numPr>
        <w:rPr>
          <w:rFonts w:ascii="Arial" w:cs="Arial" w:eastAsia="Arial" w:hAnsi="Arial"/>
          <w:sz w:val="16"/>
          <w:szCs w:val="16"/>
          <w:color w:val="6D98AD"/>
        </w:rPr>
      </w:pPr>
      <w:r>
        <w:rPr>
          <w:rFonts w:ascii="Arial" w:cs="Arial" w:eastAsia="Arial" w:hAnsi="Arial"/>
          <w:sz w:val="13"/>
          <w:szCs w:val="13"/>
          <w:color w:val="auto"/>
        </w:rPr>
        <w:t>Committee Chair</w:t>
      </w:r>
    </w:p>
    <w:p>
      <w:pPr>
        <w:spacing w:after="0" w:line="141" w:lineRule="exact"/>
        <w:rPr>
          <w:sz w:val="20"/>
          <w:szCs w:val="20"/>
          <w:color w:val="auto"/>
        </w:rPr>
      </w:pPr>
    </w:p>
    <w:p>
      <w:pPr>
        <w:ind w:left="120" w:hanging="109"/>
        <w:spacing w:after="0"/>
        <w:tabs>
          <w:tab w:leader="none" w:pos="120" w:val="left"/>
        </w:tabs>
        <w:numPr>
          <w:ilvl w:val="0"/>
          <w:numId w:val="11"/>
        </w:numPr>
        <w:rPr>
          <w:rFonts w:ascii="Arial" w:cs="Arial" w:eastAsia="Arial" w:hAnsi="Arial"/>
          <w:sz w:val="13"/>
          <w:szCs w:val="13"/>
          <w:b w:val="1"/>
          <w:bCs w:val="1"/>
          <w:color w:val="auto"/>
        </w:rPr>
      </w:pPr>
      <w:r>
        <w:rPr>
          <w:rFonts w:ascii="Arial" w:cs="Arial" w:eastAsia="Arial" w:hAnsi="Arial"/>
          <w:sz w:val="13"/>
          <w:szCs w:val="13"/>
          <w:color w:val="auto"/>
        </w:rPr>
        <w:t>The Board of Directors held five meetings during 2025.</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 xml:space="preserve">6 </w:t>
      </w:r>
      <w:r>
        <w:rPr>
          <w:rFonts w:ascii="Arial" w:cs="Arial" w:eastAsia="Arial" w:hAnsi="Arial"/>
          <w:sz w:val="11"/>
          <w:szCs w:val="11"/>
          <w:color w:val="auto"/>
        </w:rPr>
        <w:t>/ PVH CORP. 2026 PROXY STATEMENT</w:t>
      </w:r>
      <w:r>
        <w:rPr>
          <w:rFonts w:ascii="Arial" w:cs="Arial" w:eastAsia="Arial" w:hAnsi="Arial"/>
          <w:sz w:val="11"/>
          <w:szCs w:val="11"/>
          <w:b w:val="1"/>
          <w:bCs w:val="1"/>
          <w:color w:val="auto"/>
        </w:rPr>
        <w:t xml:space="preserve"> / </w:t>
      </w:r>
      <w:r>
        <w:rPr>
          <w:rFonts w:ascii="Arial" w:cs="Arial" w:eastAsia="Arial" w:hAnsi="Arial"/>
          <w:sz w:val="11"/>
          <w:szCs w:val="11"/>
          <w:b w:val="1"/>
          <w:bCs w:val="1"/>
          <w:color w:val="6D98AD"/>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60" w:top="433" w:right="499" w:bottom="1440" w:gutter="0" w:footer="0" w:header="0"/>
        </w:sectPr>
      </w:pPr>
    </w:p>
    <w:bookmarkStart w:id="9" w:name="page10"/>
    <w:bookmarkEnd w:id="9"/>
    <w:p>
      <w:pPr>
        <w:spacing w:after="0"/>
        <w:rPr>
          <w:sz w:val="20"/>
          <w:szCs w:val="20"/>
          <w:color w:val="auto"/>
        </w:rPr>
      </w:pPr>
      <w:r>
        <w:rPr>
          <w:rFonts w:ascii="Arial" w:cs="Arial" w:eastAsia="Arial" w:hAnsi="Arial"/>
          <w:sz w:val="28"/>
          <w:szCs w:val="28"/>
          <w:b w:val="1"/>
          <w:bCs w:val="1"/>
          <w:color w:val="6D98AD"/>
        </w:rPr>
        <w:t>Demographics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1390650</wp:posOffset>
            </wp:positionH>
            <wp:positionV relativeFrom="paragraph">
              <wp:posOffset>50800</wp:posOffset>
            </wp:positionV>
            <wp:extent cx="4157980" cy="13011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57980" cy="130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8"/>
          <w:szCs w:val="28"/>
          <w:b w:val="1"/>
          <w:bCs w:val="1"/>
          <w:color w:val="6D98AD"/>
        </w:rPr>
        <w:t>Director Nominee Skills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Our director nominees have a broad and diverse set of experience, qualifications, attributes and skills that are vital to the success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107315</wp:posOffset>
            </wp:positionV>
            <wp:extent cx="694817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48170" cy="179705"/>
                    </a:xfrm>
                    <a:prstGeom prst="rect">
                      <a:avLst/>
                    </a:prstGeom>
                    <a:noFill/>
                  </pic:spPr>
                </pic:pic>
              </a:graphicData>
            </a:graphic>
          </wp:anchor>
        </w:drawing>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Operating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6948170" cy="411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48170" cy="411480"/>
                    </a:xfrm>
                    <a:prstGeom prst="rect">
                      <a:avLst/>
                    </a:prstGeom>
                    <a:noFill/>
                  </pic:spPr>
                </pic:pic>
              </a:graphicData>
            </a:graphic>
          </wp:anchor>
        </w:drawing>
      </w:r>
    </w:p>
    <w:p>
      <w:pPr>
        <w:spacing w:after="0" w:line="130" w:lineRule="exact"/>
        <w:rPr>
          <w:sz w:val="20"/>
          <w:szCs w:val="20"/>
          <w:color w:val="auto"/>
        </w:rPr>
      </w:pPr>
    </w:p>
    <w:p>
      <w:pPr>
        <w:ind w:left="40" w:right="5820"/>
        <w:spacing w:after="0" w:line="239" w:lineRule="auto"/>
        <w:rPr>
          <w:sz w:val="20"/>
          <w:szCs w:val="20"/>
          <w:color w:val="auto"/>
        </w:rPr>
      </w:pPr>
      <w:r>
        <w:rPr>
          <w:rFonts w:ascii="Arial" w:cs="Arial" w:eastAsia="Arial" w:hAnsi="Arial"/>
          <w:sz w:val="13"/>
          <w:szCs w:val="13"/>
          <w:color w:val="auto"/>
        </w:rPr>
        <w:t>Chief Executive Officer, President, Chief Operating Officer, Chief Financial Officer or Chief Accounting Officer (or performing similar functions)</w:t>
      </w:r>
    </w:p>
    <w:p>
      <w:pPr>
        <w:spacing w:after="0" w:line="201" w:lineRule="exact"/>
        <w:rPr>
          <w:sz w:val="20"/>
          <w:szCs w:val="20"/>
          <w:color w:val="auto"/>
        </w:rPr>
      </w:pPr>
    </w:p>
    <w:p>
      <w:pPr>
        <w:ind w:left="40" w:right="6020"/>
        <w:spacing w:after="0" w:line="252" w:lineRule="auto"/>
        <w:rPr>
          <w:sz w:val="20"/>
          <w:szCs w:val="20"/>
          <w:color w:val="auto"/>
        </w:rPr>
      </w:pPr>
      <w:r>
        <w:rPr>
          <w:rFonts w:ascii="Arial" w:cs="Arial" w:eastAsia="Arial" w:hAnsi="Arial"/>
          <w:sz w:val="13"/>
          <w:szCs w:val="13"/>
          <w:color w:val="auto"/>
        </w:rPr>
        <w:t>Business Unit Chief Executive Officer, President, Chief Operating Officer or similar leadership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2175510</wp:posOffset>
            </wp:positionH>
            <wp:positionV relativeFrom="paragraph">
              <wp:posOffset>-141605</wp:posOffset>
            </wp:positionV>
            <wp:extent cx="2101850" cy="749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01850" cy="749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67310</wp:posOffset>
            </wp:positionV>
            <wp:extent cx="6948170" cy="306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48170" cy="306705"/>
                    </a:xfrm>
                    <a:prstGeom prst="rect">
                      <a:avLst/>
                    </a:prstGeom>
                    <a:noFill/>
                  </pic:spPr>
                </pic:pic>
              </a:graphicData>
            </a:graphic>
          </wp:anchor>
        </w:drawing>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119380</wp:posOffset>
            </wp:positionV>
            <wp:extent cx="694817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8170" cy="179705"/>
                    </a:xfrm>
                    <a:prstGeom prst="rect">
                      <a:avLst/>
                    </a:prstGeom>
                    <a:noFill/>
                  </pic:spPr>
                </pic:pic>
              </a:graphicData>
            </a:graphic>
          </wp:anchor>
        </w:drawing>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6948170" cy="306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48170" cy="306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Number of Directors</w:t>
      </w:r>
    </w:p>
    <w:p>
      <w:pPr>
        <w:spacing w:after="0" w:line="219" w:lineRule="exact"/>
        <w:rPr>
          <w:sz w:val="20"/>
          <w:szCs w:val="20"/>
          <w:color w:val="auto"/>
        </w:rPr>
      </w:pPr>
    </w:p>
    <w:p>
      <w:pPr>
        <w:jc w:val="right"/>
        <w:ind w:right="120"/>
        <w:spacing w:after="0"/>
        <w:rPr>
          <w:sz w:val="20"/>
          <w:szCs w:val="20"/>
          <w:color w:val="auto"/>
        </w:rPr>
      </w:pPr>
      <w:r>
        <w:rPr>
          <w:rFonts w:ascii="Arial" w:cs="Arial" w:eastAsia="Arial" w:hAnsi="Arial"/>
          <w:sz w:val="22"/>
          <w:szCs w:val="22"/>
          <w:color w:val="6D98AD"/>
        </w:rPr>
        <w:t>7</w:t>
      </w:r>
    </w:p>
    <w:p>
      <w:pPr>
        <w:spacing w:after="0" w:line="324" w:lineRule="exact"/>
        <w:rPr>
          <w:sz w:val="20"/>
          <w:szCs w:val="20"/>
          <w:color w:val="auto"/>
        </w:rPr>
      </w:pPr>
    </w:p>
    <w:p>
      <w:pPr>
        <w:jc w:val="right"/>
        <w:ind w:right="120"/>
        <w:spacing w:after="0"/>
        <w:rPr>
          <w:sz w:val="20"/>
          <w:szCs w:val="20"/>
          <w:color w:val="auto"/>
        </w:rPr>
      </w:pPr>
      <w:r>
        <w:rPr>
          <w:rFonts w:ascii="Arial" w:cs="Arial" w:eastAsia="Arial" w:hAnsi="Arial"/>
          <w:sz w:val="22"/>
          <w:szCs w:val="22"/>
          <w:color w:val="6D98AD"/>
        </w:rPr>
        <w:t>7</w:t>
      </w:r>
    </w:p>
    <w:p>
      <w:pPr>
        <w:spacing w:after="0" w:line="242" w:lineRule="exact"/>
        <w:rPr>
          <w:sz w:val="20"/>
          <w:szCs w:val="20"/>
          <w:color w:val="auto"/>
        </w:rPr>
      </w:pPr>
    </w:p>
    <w:p>
      <w:pPr>
        <w:jc w:val="right"/>
        <w:ind w:right="120"/>
        <w:spacing w:after="0"/>
        <w:rPr>
          <w:sz w:val="20"/>
          <w:szCs w:val="20"/>
          <w:color w:val="auto"/>
        </w:rPr>
      </w:pPr>
      <w:r>
        <w:rPr>
          <w:rFonts w:ascii="Arial" w:cs="Arial" w:eastAsia="Arial" w:hAnsi="Arial"/>
          <w:sz w:val="22"/>
          <w:szCs w:val="22"/>
          <w:color w:val="6D98AD"/>
        </w:rPr>
        <w:t>6</w:t>
      </w:r>
    </w:p>
    <w:p>
      <w:pPr>
        <w:spacing w:after="0" w:line="512" w:lineRule="exact"/>
        <w:rPr>
          <w:sz w:val="20"/>
          <w:szCs w:val="20"/>
          <w:color w:val="auto"/>
        </w:rPr>
      </w:pPr>
    </w:p>
    <w:p>
      <w:pPr>
        <w:sectPr>
          <w:pgSz w:w="11900" w:h="16838" w:orient="portrait"/>
          <w:cols w:equalWidth="0" w:num="2">
            <w:col w:w="9100" w:space="320"/>
            <w:col w:w="1520"/>
          </w:cols>
          <w:pgMar w:left="480" w:top="433" w:right="479" w:bottom="1440" w:gutter="0" w:footer="0" w:header="0"/>
        </w:sectPr>
      </w:pPr>
    </w:p>
    <w:p>
      <w:pPr>
        <w:spacing w:after="0" w:line="72"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Consumer Products or Services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Digital/E-commerce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2175510</wp:posOffset>
            </wp:positionH>
            <wp:positionV relativeFrom="paragraph">
              <wp:posOffset>-81915</wp:posOffset>
            </wp:positionV>
            <wp:extent cx="2692400" cy="749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92400" cy="749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119380</wp:posOffset>
            </wp:positionV>
            <wp:extent cx="6948170" cy="306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48170" cy="306705"/>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2"/>
          <w:szCs w:val="12"/>
          <w:color w:val="auto"/>
        </w:rPr>
        <w:t>Technology/Cyber Risk/Information Security</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Regulatory/Corporate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2175510</wp:posOffset>
            </wp:positionH>
            <wp:positionV relativeFrom="paragraph">
              <wp:posOffset>-81915</wp:posOffset>
            </wp:positionV>
            <wp:extent cx="1795145" cy="749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95145" cy="749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119380</wp:posOffset>
            </wp:positionV>
            <wp:extent cx="6948170" cy="306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48170" cy="306705"/>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International Experience</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2175510</wp:posOffset>
            </wp:positionH>
            <wp:positionV relativeFrom="paragraph">
              <wp:posOffset>-81915</wp:posOffset>
            </wp:positionV>
            <wp:extent cx="1496060" cy="749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96060" cy="749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119380</wp:posOffset>
            </wp:positionV>
            <wp:extent cx="6948170" cy="306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48170" cy="306705"/>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3"/>
          <w:szCs w:val="13"/>
          <w:color w:val="auto"/>
        </w:rPr>
        <w:t>Sales/Marketing/Public Relations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Strategic Planning/Development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2175510</wp:posOffset>
            </wp:positionH>
            <wp:positionV relativeFrom="paragraph">
              <wp:posOffset>-81915</wp:posOffset>
            </wp:positionV>
            <wp:extent cx="2991485" cy="749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91485" cy="749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119380</wp:posOffset>
            </wp:positionV>
            <wp:extent cx="6948170" cy="306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48170" cy="306705"/>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3"/>
          <w:szCs w:val="13"/>
          <w:color w:val="auto"/>
        </w:rPr>
        <w:t>Human Capital Management</w:t>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22"/>
          <w:szCs w:val="22"/>
          <w:color w:val="6D98AD"/>
        </w:rPr>
        <w:t>10</w:t>
      </w:r>
    </w:p>
    <w:p>
      <w:pPr>
        <w:spacing w:after="0" w:line="230" w:lineRule="exact"/>
        <w:rPr>
          <w:sz w:val="20"/>
          <w:szCs w:val="20"/>
          <w:color w:val="auto"/>
        </w:rPr>
      </w:pPr>
    </w:p>
    <w:p>
      <w:pPr>
        <w:jc w:val="right"/>
        <w:ind w:right="120"/>
        <w:spacing w:after="0"/>
        <w:rPr>
          <w:sz w:val="20"/>
          <w:szCs w:val="20"/>
          <w:color w:val="auto"/>
        </w:rPr>
      </w:pPr>
      <w:r>
        <w:rPr>
          <w:rFonts w:ascii="Arial" w:cs="Arial" w:eastAsia="Arial" w:hAnsi="Arial"/>
          <w:sz w:val="22"/>
          <w:szCs w:val="22"/>
          <w:color w:val="6D98AD"/>
        </w:rPr>
        <w:t>9</w:t>
      </w:r>
    </w:p>
    <w:p>
      <w:pPr>
        <w:spacing w:after="0" w:line="230" w:lineRule="exact"/>
        <w:rPr>
          <w:sz w:val="20"/>
          <w:szCs w:val="20"/>
          <w:color w:val="auto"/>
        </w:rPr>
      </w:pPr>
    </w:p>
    <w:p>
      <w:pPr>
        <w:jc w:val="right"/>
        <w:ind w:right="120"/>
        <w:spacing w:after="0"/>
        <w:rPr>
          <w:sz w:val="20"/>
          <w:szCs w:val="20"/>
          <w:color w:val="auto"/>
        </w:rPr>
      </w:pPr>
      <w:r>
        <w:rPr>
          <w:rFonts w:ascii="Arial" w:cs="Arial" w:eastAsia="Arial" w:hAnsi="Arial"/>
          <w:sz w:val="22"/>
          <w:szCs w:val="22"/>
          <w:color w:val="6D98AD"/>
        </w:rPr>
        <w:t>5</w:t>
      </w:r>
    </w:p>
    <w:p>
      <w:pPr>
        <w:spacing w:after="0" w:line="230" w:lineRule="exact"/>
        <w:rPr>
          <w:sz w:val="20"/>
          <w:szCs w:val="20"/>
          <w:color w:val="auto"/>
        </w:rPr>
      </w:pPr>
    </w:p>
    <w:p>
      <w:pPr>
        <w:jc w:val="right"/>
        <w:ind w:right="120"/>
        <w:spacing w:after="0"/>
        <w:rPr>
          <w:sz w:val="20"/>
          <w:szCs w:val="20"/>
          <w:color w:val="auto"/>
        </w:rPr>
      </w:pPr>
      <w:r>
        <w:rPr>
          <w:rFonts w:ascii="Arial" w:cs="Arial" w:eastAsia="Arial" w:hAnsi="Arial"/>
          <w:sz w:val="22"/>
          <w:szCs w:val="22"/>
          <w:color w:val="6D98AD"/>
        </w:rPr>
        <w:t>6</w:t>
      </w:r>
    </w:p>
    <w:p>
      <w:pPr>
        <w:spacing w:after="0" w:line="230" w:lineRule="exact"/>
        <w:rPr>
          <w:sz w:val="20"/>
          <w:szCs w:val="20"/>
          <w:color w:val="auto"/>
        </w:rPr>
      </w:pPr>
    </w:p>
    <w:p>
      <w:pPr>
        <w:jc w:val="right"/>
        <w:ind w:right="120"/>
        <w:spacing w:after="0"/>
        <w:rPr>
          <w:sz w:val="20"/>
          <w:szCs w:val="20"/>
          <w:color w:val="auto"/>
        </w:rPr>
      </w:pPr>
      <w:r>
        <w:rPr>
          <w:rFonts w:ascii="Arial" w:cs="Arial" w:eastAsia="Arial" w:hAnsi="Arial"/>
          <w:sz w:val="22"/>
          <w:szCs w:val="22"/>
          <w:color w:val="6D98AD"/>
        </w:rPr>
        <w:t>9</w:t>
      </w:r>
    </w:p>
    <w:p>
      <w:pPr>
        <w:spacing w:after="0" w:line="230" w:lineRule="exact"/>
        <w:rPr>
          <w:sz w:val="20"/>
          <w:szCs w:val="20"/>
          <w:color w:val="auto"/>
        </w:rPr>
      </w:pPr>
    </w:p>
    <w:p>
      <w:pPr>
        <w:jc w:val="right"/>
        <w:ind w:right="120"/>
        <w:spacing w:after="0"/>
        <w:rPr>
          <w:sz w:val="20"/>
          <w:szCs w:val="20"/>
          <w:color w:val="auto"/>
        </w:rPr>
      </w:pPr>
      <w:r>
        <w:rPr>
          <w:rFonts w:ascii="Arial" w:cs="Arial" w:eastAsia="Arial" w:hAnsi="Arial"/>
          <w:sz w:val="22"/>
          <w:szCs w:val="22"/>
          <w:color w:val="6D98AD"/>
        </w:rPr>
        <w:t>5</w:t>
      </w:r>
    </w:p>
    <w:p>
      <w:pPr>
        <w:spacing w:after="0" w:line="230" w:lineRule="exact"/>
        <w:rPr>
          <w:sz w:val="20"/>
          <w:szCs w:val="20"/>
          <w:color w:val="auto"/>
        </w:rPr>
      </w:pPr>
    </w:p>
    <w:p>
      <w:pPr>
        <w:jc w:val="right"/>
        <w:ind w:right="120"/>
        <w:spacing w:after="0"/>
        <w:rPr>
          <w:sz w:val="20"/>
          <w:szCs w:val="20"/>
          <w:color w:val="auto"/>
        </w:rPr>
      </w:pPr>
      <w:r>
        <w:rPr>
          <w:rFonts w:ascii="Arial" w:cs="Arial" w:eastAsia="Arial" w:hAnsi="Arial"/>
          <w:sz w:val="22"/>
          <w:szCs w:val="22"/>
          <w:color w:val="6D98AD"/>
        </w:rPr>
        <w:t>8</w:t>
      </w:r>
    </w:p>
    <w:p>
      <w:pPr>
        <w:spacing w:after="0" w:line="230" w:lineRule="exact"/>
        <w:rPr>
          <w:sz w:val="20"/>
          <w:szCs w:val="20"/>
          <w:color w:val="auto"/>
        </w:rPr>
      </w:pPr>
    </w:p>
    <w:p>
      <w:pPr>
        <w:jc w:val="right"/>
        <w:ind w:right="120"/>
        <w:spacing w:after="0"/>
        <w:rPr>
          <w:sz w:val="20"/>
          <w:szCs w:val="20"/>
          <w:color w:val="auto"/>
        </w:rPr>
      </w:pPr>
      <w:r>
        <w:rPr>
          <w:rFonts w:ascii="Arial" w:cs="Arial" w:eastAsia="Arial" w:hAnsi="Arial"/>
          <w:sz w:val="22"/>
          <w:szCs w:val="22"/>
          <w:color w:val="6D98AD"/>
        </w:rPr>
        <w:t>10</w:t>
      </w:r>
    </w:p>
    <w:p>
      <w:pPr>
        <w:spacing w:after="0" w:line="230" w:lineRule="exact"/>
        <w:rPr>
          <w:sz w:val="20"/>
          <w:szCs w:val="20"/>
          <w:color w:val="auto"/>
        </w:rPr>
      </w:pPr>
    </w:p>
    <w:p>
      <w:pPr>
        <w:jc w:val="right"/>
        <w:ind w:right="120"/>
        <w:spacing w:after="0"/>
        <w:rPr>
          <w:sz w:val="20"/>
          <w:szCs w:val="20"/>
          <w:color w:val="auto"/>
        </w:rPr>
      </w:pPr>
      <w:r>
        <w:rPr>
          <w:rFonts w:ascii="Arial" w:cs="Arial" w:eastAsia="Arial" w:hAnsi="Arial"/>
          <w:sz w:val="22"/>
          <w:szCs w:val="22"/>
          <w:color w:val="6D98AD"/>
        </w:rPr>
        <w:t>6</w:t>
      </w:r>
    </w:p>
    <w:p>
      <w:pPr>
        <w:spacing w:after="0" w:line="200" w:lineRule="exact"/>
        <w:rPr>
          <w:sz w:val="20"/>
          <w:szCs w:val="20"/>
          <w:color w:val="auto"/>
        </w:rPr>
      </w:pPr>
    </w:p>
    <w:p>
      <w:pPr>
        <w:sectPr>
          <w:pgSz w:w="11900" w:h="16838" w:orient="portrait"/>
          <w:cols w:equalWidth="0" w:num="2">
            <w:col w:w="9840" w:space="720"/>
            <w:col w:w="380"/>
          </w:cols>
          <w:pgMar w:left="480" w:top="433" w:right="479" w:bottom="1440" w:gutter="0" w:footer="0" w:header="0"/>
          <w:type w:val="continuous"/>
        </w:sectPr>
      </w:pPr>
    </w:p>
    <w:p>
      <w:pPr>
        <w:spacing w:after="0" w:line="130" w:lineRule="exact"/>
        <w:rPr>
          <w:sz w:val="20"/>
          <w:szCs w:val="20"/>
          <w:color w:val="auto"/>
        </w:rPr>
      </w:pPr>
    </w:p>
    <w:p>
      <w:pPr>
        <w:ind w:left="7640"/>
        <w:spacing w:after="0"/>
        <w:rPr>
          <w:sz w:val="20"/>
          <w:szCs w:val="20"/>
          <w:color w:val="auto"/>
        </w:rPr>
      </w:pPr>
      <w:r>
        <w:rPr>
          <w:rFonts w:ascii="Arial" w:cs="Arial" w:eastAsia="Arial" w:hAnsi="Arial"/>
          <w:sz w:val="11"/>
          <w:szCs w:val="11"/>
          <w:b w:val="1"/>
          <w:bCs w:val="1"/>
          <w:color w:val="6D98AD"/>
        </w:rPr>
        <w:t xml:space="preserve">PROXY SUMMARY </w:t>
      </w:r>
      <w:r>
        <w:rPr>
          <w:rFonts w:ascii="Arial" w:cs="Arial" w:eastAsia="Arial" w:hAnsi="Arial"/>
          <w:sz w:val="11"/>
          <w:szCs w:val="11"/>
          <w:b w:val="1"/>
          <w:bCs w:val="1"/>
          <w:color w:val="000000"/>
        </w:rPr>
        <w:t>/</w:t>
      </w:r>
      <w:r>
        <w:rPr>
          <w:rFonts w:ascii="Arial" w:cs="Arial" w:eastAsia="Arial" w:hAnsi="Arial"/>
          <w:sz w:val="11"/>
          <w:szCs w:val="11"/>
          <w:b w:val="1"/>
          <w:bCs w:val="1"/>
          <w:color w:val="6D98AD"/>
        </w:rPr>
        <w:t xml:space="preserve"> </w:t>
      </w:r>
      <w:r>
        <w:rPr>
          <w:rFonts w:ascii="Arial" w:cs="Arial" w:eastAsia="Arial" w:hAnsi="Arial"/>
          <w:sz w:val="11"/>
          <w:szCs w:val="11"/>
          <w:color w:val="000000"/>
        </w:rPr>
        <w:t>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695515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433" w:right="479" w:bottom="1440" w:gutter="0" w:footer="0" w:header="0"/>
          <w:type w:val="continuous"/>
        </w:sectPr>
      </w:pPr>
    </w:p>
    <w:bookmarkStart w:id="10" w:name="page11"/>
    <w:bookmarkEnd w:id="10"/>
    <w:p>
      <w:pPr>
        <w:ind w:left="9"/>
        <w:spacing w:after="0"/>
        <w:rPr>
          <w:sz w:val="20"/>
          <w:szCs w:val="20"/>
          <w:color w:val="auto"/>
        </w:rPr>
      </w:pPr>
      <w:r>
        <w:rPr>
          <w:rFonts w:ascii="Arial" w:cs="Arial" w:eastAsia="Arial" w:hAnsi="Arial"/>
          <w:sz w:val="28"/>
          <w:szCs w:val="28"/>
          <w:b w:val="1"/>
          <w:bCs w:val="1"/>
          <w:color w:val="6D98AD"/>
        </w:rPr>
        <w:t xml:space="preserve">2025 Business Highlights </w:t>
      </w:r>
      <w:r>
        <w:rPr>
          <w:rFonts w:ascii="Arial" w:cs="Arial" w:eastAsia="Arial" w:hAnsi="Arial"/>
          <w:sz w:val="28"/>
          <w:szCs w:val="28"/>
          <w:b w:val="1"/>
          <w:bCs w:val="1"/>
          <w:color w:val="808285"/>
        </w:rPr>
        <w:t>(page 38)</w:t>
      </w:r>
    </w:p>
    <w:p>
      <w:pPr>
        <w:spacing w:after="0" w:line="173" w:lineRule="exact"/>
        <w:rPr>
          <w:sz w:val="20"/>
          <w:szCs w:val="20"/>
          <w:color w:val="auto"/>
        </w:rPr>
      </w:pPr>
    </w:p>
    <w:p>
      <w:pPr>
        <w:ind w:left="9" w:right="80"/>
        <w:spacing w:after="0" w:line="282" w:lineRule="auto"/>
        <w:rPr>
          <w:sz w:val="20"/>
          <w:szCs w:val="20"/>
          <w:color w:val="auto"/>
        </w:rPr>
      </w:pPr>
      <w:r>
        <w:rPr>
          <w:rFonts w:ascii="Arial" w:cs="Arial" w:eastAsia="Arial" w:hAnsi="Arial"/>
          <w:sz w:val="14"/>
          <w:szCs w:val="14"/>
          <w:color w:val="auto"/>
        </w:rPr>
        <w:t xml:space="preserve">In 2025, we made important progress on our multi-year journey to build </w:t>
      </w:r>
      <w:r>
        <w:rPr>
          <w:rFonts w:ascii="Arial" w:cs="Arial" w:eastAsia="Arial" w:hAnsi="Arial"/>
          <w:sz w:val="14"/>
          <w:szCs w:val="14"/>
          <w:i w:val="1"/>
          <w:iCs w:val="1"/>
          <w:color w:val="auto"/>
        </w:rPr>
        <w:t>Calvin Klein</w:t>
      </w:r>
      <w:r>
        <w:rPr>
          <w:rFonts w:ascii="Arial" w:cs="Arial" w:eastAsia="Arial" w:hAnsi="Arial"/>
          <w:sz w:val="14"/>
          <w:szCs w:val="14"/>
          <w:color w:val="auto"/>
        </w:rPr>
        <w:t xml:space="preserve"> and </w:t>
      </w:r>
      <w:r>
        <w:rPr>
          <w:rFonts w:ascii="Arial" w:cs="Arial" w:eastAsia="Arial" w:hAnsi="Arial"/>
          <w:sz w:val="14"/>
          <w:szCs w:val="14"/>
          <w:i w:val="1"/>
          <w:iCs w:val="1"/>
          <w:color w:val="auto"/>
        </w:rPr>
        <w:t>TOMMY HILFIGER</w:t>
      </w:r>
      <w:r>
        <w:rPr>
          <w:rFonts w:ascii="Arial" w:cs="Arial" w:eastAsia="Arial" w:hAnsi="Arial"/>
          <w:sz w:val="14"/>
          <w:szCs w:val="14"/>
          <w:color w:val="auto"/>
        </w:rPr>
        <w:t xml:space="preserve"> into their full potential. In the context of an uneven consumer and macro-economic environment, we remained focused on what was within our control, and delivered on our revenue commitment, returning to revenue growth for the year.</w:t>
      </w:r>
    </w:p>
    <w:p>
      <w:pPr>
        <w:spacing w:after="0" w:line="46" w:lineRule="exact"/>
        <w:rPr>
          <w:sz w:val="20"/>
          <w:szCs w:val="20"/>
          <w:color w:val="auto"/>
        </w:rPr>
      </w:pPr>
    </w:p>
    <w:p>
      <w:pPr>
        <w:ind w:left="9" w:right="80"/>
        <w:spacing w:after="0" w:line="258" w:lineRule="auto"/>
        <w:rPr>
          <w:sz w:val="20"/>
          <w:szCs w:val="20"/>
          <w:color w:val="auto"/>
        </w:rPr>
      </w:pPr>
      <w:r>
        <w:rPr>
          <w:rFonts w:ascii="Arial" w:cs="Arial" w:eastAsia="Arial" w:hAnsi="Arial"/>
          <w:sz w:val="14"/>
          <w:szCs w:val="14"/>
          <w:color w:val="auto"/>
        </w:rPr>
        <w:t xml:space="preserve">We strategically leaned into product innovation and drove powerful consumer engagement for both </w:t>
      </w:r>
      <w:r>
        <w:rPr>
          <w:rFonts w:ascii="Arial" w:cs="Arial" w:eastAsia="Arial" w:hAnsi="Arial"/>
          <w:sz w:val="14"/>
          <w:szCs w:val="14"/>
          <w:i w:val="1"/>
          <w:iCs w:val="1"/>
          <w:color w:val="auto"/>
        </w:rPr>
        <w:t>Calvin Klein</w:t>
      </w:r>
      <w:r>
        <w:rPr>
          <w:rFonts w:ascii="Arial" w:cs="Arial" w:eastAsia="Arial" w:hAnsi="Arial"/>
          <w:sz w:val="14"/>
          <w:szCs w:val="14"/>
          <w:color w:val="auto"/>
        </w:rPr>
        <w:t xml:space="preserve"> and </w:t>
      </w:r>
      <w:r>
        <w:rPr>
          <w:rFonts w:ascii="Arial" w:cs="Arial" w:eastAsia="Arial" w:hAnsi="Arial"/>
          <w:sz w:val="14"/>
          <w:szCs w:val="14"/>
          <w:i w:val="1"/>
          <w:iCs w:val="1"/>
          <w:color w:val="auto"/>
        </w:rPr>
        <w:t>TOMMY HILFIGER</w:t>
      </w:r>
      <w:r>
        <w:rPr>
          <w:rFonts w:ascii="Arial" w:cs="Arial" w:eastAsia="Arial" w:hAnsi="Arial"/>
          <w:sz w:val="14"/>
          <w:szCs w:val="14"/>
          <w:color w:val="auto"/>
        </w:rPr>
        <w:t>, bringing our two global iconic brands to life by focusing on each brand’s iconic DNA and making it current for today. We launched cut-through marketing campaigns that connect with culture and our consumers globally and have established partnerships with marquee sports teams, music superstars, actors and influencers that strengthen our brand expression and engage our consumers.</w:t>
      </w:r>
    </w:p>
    <w:p>
      <w:pPr>
        <w:spacing w:after="0" w:line="62" w:lineRule="exact"/>
        <w:rPr>
          <w:sz w:val="20"/>
          <w:szCs w:val="20"/>
          <w:color w:val="auto"/>
        </w:rPr>
      </w:pPr>
    </w:p>
    <w:p>
      <w:pPr>
        <w:ind w:left="9" w:right="20"/>
        <w:spacing w:after="0" w:line="264" w:lineRule="auto"/>
        <w:rPr>
          <w:sz w:val="20"/>
          <w:szCs w:val="20"/>
          <w:color w:val="auto"/>
        </w:rPr>
      </w:pPr>
      <w:r>
        <w:rPr>
          <w:rFonts w:ascii="Arial" w:cs="Arial" w:eastAsia="Arial" w:hAnsi="Arial"/>
          <w:sz w:val="14"/>
          <w:szCs w:val="14"/>
          <w:color w:val="auto"/>
        </w:rPr>
        <w:t>Our performance in 2025 was driven by our team’s relentless execution of the PVH+ Plan across regions. In Europe, Middle East and Africa (“EMEA”) we delivered sequentially improving wholesale order books each season, returning to growth beginning with our Fall 2025 season. In the Americas, we continued to outperform in our digital channels throughout the year, and in Asia Pacific (“APAC”), our top-line performance improved each quarter.</w:t>
      </w:r>
    </w:p>
    <w:p>
      <w:pPr>
        <w:spacing w:after="0" w:line="58" w:lineRule="exact"/>
        <w:rPr>
          <w:sz w:val="20"/>
          <w:szCs w:val="20"/>
          <w:color w:val="auto"/>
        </w:rPr>
      </w:pPr>
    </w:p>
    <w:p>
      <w:pPr>
        <w:ind w:left="9" w:right="360"/>
        <w:spacing w:after="0" w:line="282" w:lineRule="auto"/>
        <w:rPr>
          <w:sz w:val="20"/>
          <w:szCs w:val="20"/>
          <w:color w:val="auto"/>
        </w:rPr>
      </w:pPr>
      <w:r>
        <w:rPr>
          <w:rFonts w:ascii="Arial" w:cs="Arial" w:eastAsia="Arial" w:hAnsi="Arial"/>
          <w:sz w:val="14"/>
          <w:szCs w:val="14"/>
          <w:color w:val="auto"/>
        </w:rPr>
        <w:t>Our achievements on each of the five key growth drivers of the PVH+ Plan in 2025 power our brand-building consumer flywheel, where strong products lead to consumer engagement and brand desirability, which in turn leads to strong marketplace execution.</w:t>
      </w:r>
    </w:p>
    <w:p>
      <w:pPr>
        <w:spacing w:after="0" w:line="69" w:lineRule="exact"/>
        <w:rPr>
          <w:sz w:val="20"/>
          <w:szCs w:val="20"/>
          <w:color w:val="auto"/>
        </w:rPr>
      </w:pPr>
    </w:p>
    <w:p>
      <w:pPr>
        <w:ind w:left="9"/>
        <w:spacing w:after="0"/>
        <w:rPr>
          <w:sz w:val="20"/>
          <w:szCs w:val="20"/>
          <w:color w:val="auto"/>
        </w:rPr>
      </w:pPr>
      <w:r>
        <w:rPr>
          <w:rFonts w:ascii="Arial" w:cs="Arial" w:eastAsia="Arial" w:hAnsi="Arial"/>
          <w:sz w:val="14"/>
          <w:szCs w:val="14"/>
          <w:color w:val="auto"/>
        </w:rPr>
        <w:t>Key highlights include:</w:t>
      </w:r>
    </w:p>
    <w:p>
      <w:pPr>
        <w:spacing w:after="0" w:line="110" w:lineRule="exact"/>
        <w:rPr>
          <w:sz w:val="20"/>
          <w:szCs w:val="20"/>
          <w:color w:val="auto"/>
        </w:rPr>
      </w:pPr>
    </w:p>
    <w:p>
      <w:pPr>
        <w:ind w:left="149" w:right="60" w:hanging="149"/>
        <w:spacing w:after="0" w:line="280" w:lineRule="auto"/>
        <w:tabs>
          <w:tab w:leader="none" w:pos="151" w:val="left"/>
        </w:tabs>
        <w:numPr>
          <w:ilvl w:val="0"/>
          <w:numId w:val="12"/>
        </w:numPr>
        <w:rPr>
          <w:rFonts w:ascii="Arial" w:cs="Arial" w:eastAsia="Arial" w:hAnsi="Arial"/>
          <w:sz w:val="14"/>
          <w:szCs w:val="14"/>
          <w:color w:val="auto"/>
        </w:rPr>
      </w:pPr>
      <w:r>
        <w:rPr>
          <w:rFonts w:ascii="Arial" w:cs="Arial" w:eastAsia="Arial" w:hAnsi="Arial"/>
          <w:sz w:val="14"/>
          <w:szCs w:val="14"/>
          <w:color w:val="6D98AD"/>
        </w:rPr>
        <w:t xml:space="preserve">Win with the best product </w:t>
      </w:r>
      <w:r>
        <w:rPr>
          <w:rFonts w:ascii="Arial" w:cs="Arial" w:eastAsia="Arial" w:hAnsi="Arial"/>
          <w:sz w:val="14"/>
          <w:szCs w:val="14"/>
          <w:color w:val="000000"/>
        </w:rPr>
        <w:t>— We continued to bring newness to the biggest product categories, including</w:t>
      </w:r>
      <w:r>
        <w:rPr>
          <w:rFonts w:ascii="Arial" w:cs="Arial" w:eastAsia="Arial" w:hAnsi="Arial"/>
          <w:sz w:val="14"/>
          <w:szCs w:val="14"/>
          <w:color w:val="6D98AD"/>
        </w:rPr>
        <w:t xml:space="preserve"> </w:t>
      </w:r>
      <w:r>
        <w:rPr>
          <w:rFonts w:ascii="Arial" w:cs="Arial" w:eastAsia="Arial" w:hAnsi="Arial"/>
          <w:sz w:val="14"/>
          <w:szCs w:val="14"/>
          <w:i w:val="1"/>
          <w:iCs w:val="1"/>
          <w:color w:val="000000"/>
        </w:rPr>
        <w:t>Calvin Klein</w:t>
      </w:r>
      <w:r>
        <w:rPr>
          <w:rFonts w:ascii="Arial" w:cs="Arial" w:eastAsia="Arial" w:hAnsi="Arial"/>
          <w:sz w:val="14"/>
          <w:szCs w:val="14"/>
          <w:color w:val="6D98AD"/>
        </w:rPr>
        <w:t xml:space="preserve"> </w:t>
      </w:r>
      <w:r>
        <w:rPr>
          <w:rFonts w:ascii="Arial" w:cs="Arial" w:eastAsia="Arial" w:hAnsi="Arial"/>
          <w:sz w:val="14"/>
          <w:szCs w:val="14"/>
          <w:color w:val="000000"/>
        </w:rPr>
        <w:t>underwear (with our innovations in Icon Cotton Stretch</w:t>
      </w:r>
      <w:r>
        <w:rPr>
          <w:rFonts w:ascii="Arial" w:cs="Arial" w:eastAsia="Arial" w:hAnsi="Arial"/>
          <w:sz w:val="14"/>
          <w:szCs w:val="14"/>
          <w:color w:val="6D98AD"/>
        </w:rPr>
        <w:t xml:space="preserve"> </w:t>
      </w:r>
      <w:r>
        <w:rPr>
          <w:rFonts w:ascii="Arial" w:cs="Arial" w:eastAsia="Arial" w:hAnsi="Arial"/>
          <w:sz w:val="14"/>
          <w:szCs w:val="14"/>
          <w:color w:val="000000"/>
        </w:rPr>
        <w:t xml:space="preserve">&amp; Icon Cotton Modal) and denim and </w:t>
      </w:r>
      <w:r>
        <w:rPr>
          <w:rFonts w:ascii="Arial" w:cs="Arial" w:eastAsia="Arial" w:hAnsi="Arial"/>
          <w:sz w:val="14"/>
          <w:szCs w:val="14"/>
          <w:i w:val="1"/>
          <w:iCs w:val="1"/>
          <w:color w:val="000000"/>
        </w:rPr>
        <w:t>TOMMY HILFIGER</w:t>
      </w:r>
      <w:r>
        <w:rPr>
          <w:rFonts w:ascii="Arial" w:cs="Arial" w:eastAsia="Arial" w:hAnsi="Arial"/>
          <w:sz w:val="14"/>
          <w:szCs w:val="14"/>
          <w:color w:val="000000"/>
        </w:rPr>
        <w:t xml:space="preserve"> sweaters and polos.</w:t>
      </w:r>
    </w:p>
    <w:p>
      <w:pPr>
        <w:spacing w:after="0" w:line="1" w:lineRule="exact"/>
        <w:rPr>
          <w:rFonts w:ascii="Arial" w:cs="Arial" w:eastAsia="Arial" w:hAnsi="Arial"/>
          <w:sz w:val="14"/>
          <w:szCs w:val="14"/>
          <w:color w:val="auto"/>
        </w:rPr>
      </w:pPr>
    </w:p>
    <w:p>
      <w:pPr>
        <w:ind w:left="149" w:hanging="149"/>
        <w:spacing w:after="0" w:line="260" w:lineRule="auto"/>
        <w:tabs>
          <w:tab w:leader="none" w:pos="151" w:val="left"/>
        </w:tabs>
        <w:numPr>
          <w:ilvl w:val="0"/>
          <w:numId w:val="12"/>
        </w:numPr>
        <w:rPr>
          <w:rFonts w:ascii="Arial" w:cs="Arial" w:eastAsia="Arial" w:hAnsi="Arial"/>
          <w:sz w:val="14"/>
          <w:szCs w:val="14"/>
          <w:color w:val="auto"/>
        </w:rPr>
      </w:pPr>
      <w:r>
        <w:rPr>
          <w:rFonts w:ascii="Arial" w:cs="Arial" w:eastAsia="Arial" w:hAnsi="Arial"/>
          <w:sz w:val="14"/>
          <w:szCs w:val="14"/>
          <w:color w:val="6D98AD"/>
        </w:rPr>
        <w:t xml:space="preserve">Win with the best consumer engagement </w:t>
      </w:r>
      <w:r>
        <w:rPr>
          <w:rFonts w:ascii="Arial" w:cs="Arial" w:eastAsia="Arial" w:hAnsi="Arial"/>
          <w:sz w:val="14"/>
          <w:szCs w:val="14"/>
          <w:color w:val="000000"/>
        </w:rPr>
        <w:t>— Our brands came to life through full-funnel marketing that connects culture with our consumers, amplified by mega talent, across</w:t>
      </w:r>
      <w:r>
        <w:rPr>
          <w:rFonts w:ascii="Arial" w:cs="Arial" w:eastAsia="Arial" w:hAnsi="Arial"/>
          <w:sz w:val="14"/>
          <w:szCs w:val="14"/>
          <w:color w:val="6D98AD"/>
        </w:rPr>
        <w:t xml:space="preserve"> </w:t>
      </w:r>
      <w:r>
        <w:rPr>
          <w:rFonts w:ascii="Arial" w:cs="Arial" w:eastAsia="Arial" w:hAnsi="Arial"/>
          <w:sz w:val="14"/>
          <w:szCs w:val="14"/>
          <w:color w:val="000000"/>
        </w:rPr>
        <w:t xml:space="preserve">culturally relevant moments, including </w:t>
      </w:r>
      <w:r>
        <w:rPr>
          <w:rFonts w:ascii="Arial" w:cs="Arial" w:eastAsia="Arial" w:hAnsi="Arial"/>
          <w:sz w:val="14"/>
          <w:szCs w:val="14"/>
          <w:i w:val="1"/>
          <w:iCs w:val="1"/>
          <w:color w:val="000000"/>
        </w:rPr>
        <w:t>Calvin Klein</w:t>
      </w:r>
      <w:r>
        <w:rPr>
          <w:rFonts w:ascii="Arial" w:cs="Arial" w:eastAsia="Arial" w:hAnsi="Arial"/>
          <w:sz w:val="14"/>
          <w:szCs w:val="14"/>
          <w:color w:val="000000"/>
        </w:rPr>
        <w:t xml:space="preserve">’s partnership with music superstars Bad Bunny and ROSALÍA, to </w:t>
      </w:r>
      <w:r>
        <w:rPr>
          <w:rFonts w:ascii="Arial" w:cs="Arial" w:eastAsia="Arial" w:hAnsi="Arial"/>
          <w:sz w:val="14"/>
          <w:szCs w:val="14"/>
          <w:i w:val="1"/>
          <w:iCs w:val="1"/>
          <w:color w:val="000000"/>
        </w:rPr>
        <w:t>TOMMY HILFIGER</w:t>
      </w:r>
      <w:r>
        <w:rPr>
          <w:rFonts w:ascii="Arial" w:cs="Arial" w:eastAsia="Arial" w:hAnsi="Arial"/>
          <w:sz w:val="14"/>
          <w:szCs w:val="14"/>
          <w:color w:val="000000"/>
        </w:rPr>
        <w:t>’s global partnerships with Liverpool Football Club and the Cadillac Formula 1</w:t>
      </w:r>
      <w:r>
        <w:rPr>
          <w:rFonts w:ascii="Arial" w:cs="Arial" w:eastAsia="Arial" w:hAnsi="Arial"/>
          <w:sz w:val="16"/>
          <w:szCs w:val="16"/>
          <w:color w:val="000000"/>
          <w:vertAlign w:val="superscript"/>
        </w:rPr>
        <w:t>®</w:t>
      </w:r>
      <w:r>
        <w:rPr>
          <w:rFonts w:ascii="Arial" w:cs="Arial" w:eastAsia="Arial" w:hAnsi="Arial"/>
          <w:sz w:val="14"/>
          <w:szCs w:val="14"/>
          <w:color w:val="000000"/>
        </w:rPr>
        <w:t xml:space="preserve"> team.</w:t>
      </w:r>
    </w:p>
    <w:p>
      <w:pPr>
        <w:spacing w:after="0" w:line="1" w:lineRule="exact"/>
        <w:rPr>
          <w:rFonts w:ascii="Arial" w:cs="Arial" w:eastAsia="Arial" w:hAnsi="Arial"/>
          <w:sz w:val="14"/>
          <w:szCs w:val="14"/>
          <w:color w:val="auto"/>
        </w:rPr>
      </w:pPr>
    </w:p>
    <w:p>
      <w:pPr>
        <w:ind w:left="149" w:hanging="149"/>
        <w:spacing w:after="0" w:line="270" w:lineRule="auto"/>
        <w:tabs>
          <w:tab w:leader="none" w:pos="151" w:val="left"/>
        </w:tabs>
        <w:numPr>
          <w:ilvl w:val="0"/>
          <w:numId w:val="12"/>
        </w:numPr>
        <w:rPr>
          <w:rFonts w:ascii="Arial" w:cs="Arial" w:eastAsia="Arial" w:hAnsi="Arial"/>
          <w:sz w:val="14"/>
          <w:szCs w:val="14"/>
          <w:color w:val="auto"/>
        </w:rPr>
      </w:pPr>
      <w:r>
        <w:rPr>
          <w:rFonts w:ascii="Arial" w:cs="Arial" w:eastAsia="Arial" w:hAnsi="Arial"/>
          <w:sz w:val="14"/>
          <w:szCs w:val="14"/>
          <w:color w:val="6D98AD"/>
        </w:rPr>
        <w:t xml:space="preserve">Win in the digitally-led marketplace </w:t>
      </w:r>
      <w:r>
        <w:rPr>
          <w:rFonts w:ascii="Arial" w:cs="Arial" w:eastAsia="Arial" w:hAnsi="Arial"/>
          <w:sz w:val="14"/>
          <w:szCs w:val="14"/>
          <w:color w:val="000000"/>
        </w:rPr>
        <w:t>— We strengthened and elevated the brand experience across social platforms, e-commerce and stores, and deepened our relationships</w:t>
      </w:r>
      <w:r>
        <w:rPr>
          <w:rFonts w:ascii="Arial" w:cs="Arial" w:eastAsia="Arial" w:hAnsi="Arial"/>
          <w:sz w:val="14"/>
          <w:szCs w:val="14"/>
          <w:color w:val="6D98AD"/>
        </w:rPr>
        <w:t xml:space="preserve"> </w:t>
      </w:r>
      <w:r>
        <w:rPr>
          <w:rFonts w:ascii="Arial" w:cs="Arial" w:eastAsia="Arial" w:hAnsi="Arial"/>
          <w:sz w:val="14"/>
          <w:szCs w:val="14"/>
          <w:color w:val="000000"/>
        </w:rPr>
        <w:t>with our key wholesale partners.</w:t>
      </w:r>
    </w:p>
    <w:p>
      <w:pPr>
        <w:spacing w:after="0" w:line="6" w:lineRule="exact"/>
        <w:rPr>
          <w:rFonts w:ascii="Arial" w:cs="Arial" w:eastAsia="Arial" w:hAnsi="Arial"/>
          <w:sz w:val="14"/>
          <w:szCs w:val="14"/>
          <w:color w:val="auto"/>
        </w:rPr>
      </w:pPr>
    </w:p>
    <w:p>
      <w:pPr>
        <w:ind w:left="149" w:right="260" w:hanging="149"/>
        <w:spacing w:after="0" w:line="280" w:lineRule="auto"/>
        <w:tabs>
          <w:tab w:leader="none" w:pos="151" w:val="left"/>
        </w:tabs>
        <w:numPr>
          <w:ilvl w:val="0"/>
          <w:numId w:val="12"/>
        </w:numPr>
        <w:rPr>
          <w:rFonts w:ascii="Arial" w:cs="Arial" w:eastAsia="Arial" w:hAnsi="Arial"/>
          <w:sz w:val="14"/>
          <w:szCs w:val="14"/>
          <w:color w:val="auto"/>
        </w:rPr>
      </w:pPr>
      <w:r>
        <w:rPr>
          <w:rFonts w:ascii="Arial" w:cs="Arial" w:eastAsia="Arial" w:hAnsi="Arial"/>
          <w:sz w:val="14"/>
          <w:szCs w:val="14"/>
          <w:color w:val="6D98AD"/>
        </w:rPr>
        <w:t xml:space="preserve">Develop a demand- and data-driven operating model </w:t>
      </w:r>
      <w:r>
        <w:rPr>
          <w:rFonts w:ascii="Arial" w:cs="Arial" w:eastAsia="Arial" w:hAnsi="Arial"/>
          <w:sz w:val="14"/>
          <w:szCs w:val="14"/>
          <w:color w:val="000000"/>
        </w:rPr>
        <w:t>— We continued to build out our demand- and data-driven supply chain, focusing on higher availability of important</w:t>
      </w:r>
      <w:r>
        <w:rPr>
          <w:rFonts w:ascii="Arial" w:cs="Arial" w:eastAsia="Arial" w:hAnsi="Arial"/>
          <w:sz w:val="14"/>
          <w:szCs w:val="14"/>
          <w:color w:val="6D98AD"/>
        </w:rPr>
        <w:t xml:space="preserve"> </w:t>
      </w:r>
      <w:r>
        <w:rPr>
          <w:rFonts w:ascii="Arial" w:cs="Arial" w:eastAsia="Arial" w:hAnsi="Arial"/>
          <w:sz w:val="14"/>
          <w:szCs w:val="14"/>
          <w:color w:val="000000"/>
        </w:rPr>
        <w:t>core products and increased stock freshness.</w:t>
      </w:r>
    </w:p>
    <w:p>
      <w:pPr>
        <w:spacing w:after="0" w:line="1" w:lineRule="exact"/>
        <w:rPr>
          <w:rFonts w:ascii="Arial" w:cs="Arial" w:eastAsia="Arial" w:hAnsi="Arial"/>
          <w:sz w:val="14"/>
          <w:szCs w:val="14"/>
          <w:color w:val="auto"/>
        </w:rPr>
      </w:pPr>
    </w:p>
    <w:p>
      <w:pPr>
        <w:ind w:left="149" w:right="60" w:hanging="149"/>
        <w:spacing w:after="0" w:line="282" w:lineRule="auto"/>
        <w:tabs>
          <w:tab w:leader="none" w:pos="151" w:val="left"/>
        </w:tabs>
        <w:numPr>
          <w:ilvl w:val="0"/>
          <w:numId w:val="12"/>
        </w:numPr>
        <w:rPr>
          <w:rFonts w:ascii="Arial" w:cs="Arial" w:eastAsia="Arial" w:hAnsi="Arial"/>
          <w:sz w:val="14"/>
          <w:szCs w:val="14"/>
          <w:color w:val="auto"/>
        </w:rPr>
      </w:pPr>
      <w:r>
        <w:rPr>
          <w:rFonts w:ascii="Arial" w:cs="Arial" w:eastAsia="Arial" w:hAnsi="Arial"/>
          <w:sz w:val="14"/>
          <w:szCs w:val="14"/>
          <w:color w:val="6D98AD"/>
        </w:rPr>
        <w:t xml:space="preserve">Drive efficiencies and invest in growth </w:t>
      </w:r>
      <w:r>
        <w:rPr>
          <w:rFonts w:ascii="Arial" w:cs="Arial" w:eastAsia="Arial" w:hAnsi="Arial"/>
          <w:sz w:val="14"/>
          <w:szCs w:val="14"/>
          <w:color w:val="000000"/>
        </w:rPr>
        <w:t>— We relentlessly focused on driving efficiencies, maintaining cost discipline and simplifying how we work globally to unlock over 200</w:t>
      </w:r>
      <w:r>
        <w:rPr>
          <w:rFonts w:ascii="Arial" w:cs="Arial" w:eastAsia="Arial" w:hAnsi="Arial"/>
          <w:sz w:val="14"/>
          <w:szCs w:val="14"/>
          <w:color w:val="6D98AD"/>
        </w:rPr>
        <w:t xml:space="preserve"> </w:t>
      </w:r>
      <w:r>
        <w:rPr>
          <w:rFonts w:ascii="Arial" w:cs="Arial" w:eastAsia="Arial" w:hAnsi="Arial"/>
          <w:sz w:val="14"/>
          <w:szCs w:val="14"/>
          <w:color w:val="000000"/>
        </w:rPr>
        <w:t>basis points of annualized savings, while continuing to invest in growth initiatives and marketing campaigns.</w:t>
      </w:r>
    </w:p>
    <w:p>
      <w:pPr>
        <w:spacing w:after="0" w:line="10" w:lineRule="exact"/>
        <w:rPr>
          <w:sz w:val="20"/>
          <w:szCs w:val="20"/>
          <w:color w:val="auto"/>
        </w:rPr>
      </w:pPr>
    </w:p>
    <w:p>
      <w:pPr>
        <w:ind w:left="9" w:right="400"/>
        <w:spacing w:after="0" w:line="264" w:lineRule="auto"/>
        <w:rPr>
          <w:sz w:val="20"/>
          <w:szCs w:val="20"/>
          <w:color w:val="auto"/>
        </w:rPr>
      </w:pPr>
      <w:r>
        <w:rPr>
          <w:rFonts w:ascii="Arial" w:cs="Arial" w:eastAsia="Arial" w:hAnsi="Arial"/>
          <w:sz w:val="14"/>
          <w:szCs w:val="14"/>
          <w:color w:val="auto"/>
        </w:rPr>
        <w:t>In 2025, we achieved revenue growth across both brands, drove sequential quarter to quarter improvements in gross margin comparisons despite the negative impact of increased tariffs, and ended the year with healthy inventory levels. We also delivered on our commitment under the PVH+ Plan to return excess cash to stockholders, repurchasing 7.7 million shares for $561 million.</w:t>
      </w:r>
    </w:p>
    <w:p>
      <w:pPr>
        <w:sectPr>
          <w:pgSz w:w="11900" w:h="16838" w:orient="portrait"/>
          <w:cols w:equalWidth="0" w:num="1">
            <w:col w:w="10929"/>
          </w:cols>
          <w:pgMar w:left="471" w:top="162" w:right="499" w:bottom="1440" w:gutter="0" w:footer="0" w:header="0"/>
        </w:sectPr>
      </w:pPr>
    </w:p>
    <w:p>
      <w:pPr>
        <w:spacing w:after="0" w:line="273"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Revenue</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The revenue results by segment were:</w:t>
      </w:r>
    </w:p>
    <w:p>
      <w:pPr>
        <w:spacing w:after="0" w:line="39" w:lineRule="exact"/>
        <w:rPr>
          <w:sz w:val="20"/>
          <w:szCs w:val="20"/>
          <w:color w:val="auto"/>
        </w:rPr>
      </w:pPr>
    </w:p>
    <w:p>
      <w:pPr>
        <w:sectPr>
          <w:pgSz w:w="11900" w:h="16838" w:orient="portrait"/>
          <w:cols w:equalWidth="0" w:num="2">
            <w:col w:w="5029" w:space="720"/>
            <w:col w:w="5180"/>
          </w:cols>
          <w:pgMar w:left="471" w:top="162" w:right="499" w:bottom="1440" w:gutter="0" w:footer="0" w:header="0"/>
          <w:type w:val="continuous"/>
        </w:sectPr>
      </w:pPr>
    </w:p>
    <w:p>
      <w:pPr>
        <w:ind w:left="9"/>
        <w:spacing w:after="0"/>
        <w:rPr>
          <w:sz w:val="20"/>
          <w:szCs w:val="20"/>
          <w:color w:val="auto"/>
        </w:rPr>
      </w:pPr>
      <w:r>
        <w:rPr>
          <w:rFonts w:ascii="Arial" w:cs="Arial" w:eastAsia="Arial" w:hAnsi="Arial"/>
          <w:sz w:val="60"/>
          <w:szCs w:val="60"/>
          <w:color w:val="auto"/>
        </w:rPr>
        <w:t>$9.0B</w:t>
      </w:r>
    </w:p>
    <w:p>
      <w:pPr>
        <w:spacing w:after="0" w:line="111" w:lineRule="exact"/>
        <w:rPr>
          <w:sz w:val="20"/>
          <w:szCs w:val="20"/>
          <w:color w:val="auto"/>
        </w:rPr>
      </w:pPr>
    </w:p>
    <w:p>
      <w:pPr>
        <w:jc w:val="both"/>
        <w:ind w:left="9" w:right="440"/>
        <w:spacing w:after="0" w:line="264" w:lineRule="auto"/>
        <w:rPr>
          <w:sz w:val="20"/>
          <w:szCs w:val="20"/>
          <w:color w:val="auto"/>
        </w:rPr>
      </w:pPr>
      <w:r>
        <w:rPr>
          <w:rFonts w:ascii="Arial" w:cs="Arial" w:eastAsia="Arial" w:hAnsi="Arial"/>
          <w:sz w:val="14"/>
          <w:szCs w:val="14"/>
          <w:color w:val="auto"/>
        </w:rPr>
        <w:t>compared to $8.7 billion in 2024, a 3% increase. The revenue results by brand reflect:</w:t>
      </w:r>
    </w:p>
    <w:p>
      <w:pPr>
        <w:spacing w:after="0" w:line="58" w:lineRule="exact"/>
        <w:rPr>
          <w:sz w:val="20"/>
          <w:szCs w:val="20"/>
          <w:color w:val="auto"/>
        </w:rPr>
      </w:pPr>
    </w:p>
    <w:p>
      <w:pPr>
        <w:ind w:left="149" w:hanging="149"/>
        <w:spacing w:after="0" w:line="264" w:lineRule="auto"/>
        <w:tabs>
          <w:tab w:leader="none" w:pos="151"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 xml:space="preserve">Tommy Hilfiger </w:t>
      </w:r>
      <w:r>
        <w:rPr>
          <w:rFonts w:ascii="Arial" w:cs="Arial" w:eastAsia="Arial" w:hAnsi="Arial"/>
          <w:sz w:val="14"/>
          <w:szCs w:val="14"/>
          <w:color w:val="auto"/>
        </w:rPr>
        <w:t>revenue increased 4%</w:t>
      </w:r>
      <w:r>
        <w:rPr>
          <w:rFonts w:ascii="Arial" w:cs="Arial" w:eastAsia="Arial" w:hAnsi="Arial"/>
          <w:sz w:val="14"/>
          <w:szCs w:val="14"/>
          <w:b w:val="1"/>
          <w:bCs w:val="1"/>
          <w:color w:val="auto"/>
        </w:rPr>
        <w:t xml:space="preserve"> </w:t>
      </w:r>
      <w:r>
        <w:rPr>
          <w:rFonts w:ascii="Arial" w:cs="Arial" w:eastAsia="Arial" w:hAnsi="Arial"/>
          <w:sz w:val="14"/>
          <w:szCs w:val="14"/>
          <w:color w:val="auto"/>
        </w:rPr>
        <w:t>compared to 2024 (increased less than 1%* on a constant currency basis)</w:t>
      </w:r>
    </w:p>
    <w:p>
      <w:pPr>
        <w:spacing w:after="0" w:line="57" w:lineRule="exact"/>
        <w:rPr>
          <w:rFonts w:ascii="Arial" w:cs="Arial" w:eastAsia="Arial" w:hAnsi="Arial"/>
          <w:sz w:val="14"/>
          <w:szCs w:val="14"/>
          <w:color w:val="auto"/>
        </w:rPr>
      </w:pPr>
    </w:p>
    <w:p>
      <w:pPr>
        <w:ind w:left="149" w:hanging="149"/>
        <w:spacing w:after="0" w:line="264" w:lineRule="auto"/>
        <w:tabs>
          <w:tab w:leader="none" w:pos="151"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 xml:space="preserve">Calvin Klein </w:t>
      </w:r>
      <w:r>
        <w:rPr>
          <w:rFonts w:ascii="Arial" w:cs="Arial" w:eastAsia="Arial" w:hAnsi="Arial"/>
          <w:sz w:val="14"/>
          <w:szCs w:val="14"/>
          <w:color w:val="auto"/>
        </w:rPr>
        <w:t>revenue increased 3%</w:t>
      </w:r>
      <w:r>
        <w:rPr>
          <w:rFonts w:ascii="Arial" w:cs="Arial" w:eastAsia="Arial" w:hAnsi="Arial"/>
          <w:sz w:val="14"/>
          <w:szCs w:val="14"/>
          <w:b w:val="1"/>
          <w:bCs w:val="1"/>
          <w:color w:val="auto"/>
        </w:rPr>
        <w:t xml:space="preserve"> </w:t>
      </w:r>
      <w:r>
        <w:rPr>
          <w:rFonts w:ascii="Arial" w:cs="Arial" w:eastAsia="Arial" w:hAnsi="Arial"/>
          <w:sz w:val="14"/>
          <w:szCs w:val="14"/>
          <w:color w:val="auto"/>
        </w:rPr>
        <w:t>compared to 2024 (increased less than 1%* on a constant currency basis)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80"/>
        </w:trPr>
        <w:tc>
          <w:tcPr>
            <w:tcW w:w="1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749CAB"/>
              </w:rPr>
              <w:t>EMEA</w:t>
            </w:r>
          </w:p>
        </w:tc>
        <w:tc>
          <w:tcPr>
            <w:tcW w:w="20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color w:val="749CAB"/>
              </w:rPr>
              <w:t>Americas</w:t>
            </w:r>
          </w:p>
        </w:tc>
        <w:tc>
          <w:tcPr>
            <w:tcW w:w="20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749CAB"/>
              </w:rPr>
              <w:t>APAC</w:t>
            </w:r>
          </w:p>
        </w:tc>
        <w:tc>
          <w:tcPr>
            <w:tcW w:w="1900" w:type="dxa"/>
            <w:vAlign w:val="bottom"/>
            <w:tcBorders>
              <w:top w:val="single" w:sz="8" w:color="auto"/>
            </w:tcBorders>
          </w:tcPr>
          <w:p>
            <w:pPr>
              <w:ind w:left="80"/>
              <w:spacing w:after="0"/>
              <w:rPr>
                <w:sz w:val="20"/>
                <w:szCs w:val="20"/>
                <w:color w:val="auto"/>
              </w:rPr>
            </w:pPr>
            <w:r>
              <w:rPr>
                <w:rFonts w:ascii="Arial" w:cs="Arial" w:eastAsia="Arial" w:hAnsi="Arial"/>
                <w:sz w:val="17"/>
                <w:szCs w:val="17"/>
                <w:b w:val="1"/>
                <w:bCs w:val="1"/>
                <w:color w:val="749CAB"/>
              </w:rPr>
              <w:t>Licensing</w:t>
            </w:r>
          </w:p>
        </w:tc>
      </w:tr>
      <w:tr>
        <w:trPr>
          <w:trHeight w:val="211"/>
        </w:trPr>
        <w:tc>
          <w:tcPr>
            <w:tcW w:w="19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b w:val="1"/>
                <w:bCs w:val="1"/>
                <w:color w:val="auto"/>
              </w:rPr>
              <w:t>EMEA</w:t>
            </w:r>
            <w:r>
              <w:rPr>
                <w:rFonts w:ascii="Arial" w:cs="Arial" w:eastAsia="Arial" w:hAnsi="Arial"/>
                <w:sz w:val="14"/>
                <w:szCs w:val="14"/>
                <w:color w:val="auto"/>
              </w:rPr>
              <w:t xml:space="preserve"> </w:t>
            </w:r>
            <w:r>
              <w:rPr>
                <w:rFonts w:ascii="Arial" w:cs="Arial" w:eastAsia="Arial" w:hAnsi="Arial"/>
                <w:sz w:val="12"/>
                <w:szCs w:val="12"/>
                <w:color w:val="auto"/>
              </w:rPr>
              <w:t>revenue increased</w:t>
            </w:r>
          </w:p>
        </w:tc>
        <w:tc>
          <w:tcPr>
            <w:tcW w:w="20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b w:val="1"/>
                <w:bCs w:val="1"/>
                <w:color w:val="auto"/>
              </w:rPr>
              <w:t>Americas</w:t>
            </w:r>
            <w:r>
              <w:rPr>
                <w:rFonts w:ascii="Arial" w:cs="Arial" w:eastAsia="Arial" w:hAnsi="Arial"/>
                <w:sz w:val="14"/>
                <w:szCs w:val="14"/>
                <w:color w:val="auto"/>
              </w:rPr>
              <w:t xml:space="preserve"> </w:t>
            </w:r>
            <w:r>
              <w:rPr>
                <w:rFonts w:ascii="Arial" w:cs="Arial" w:eastAsia="Arial" w:hAnsi="Arial"/>
                <w:sz w:val="12"/>
                <w:szCs w:val="12"/>
                <w:color w:val="auto"/>
              </w:rPr>
              <w:t>revenue increased</w:t>
            </w:r>
          </w:p>
        </w:tc>
        <w:tc>
          <w:tcPr>
            <w:tcW w:w="20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b w:val="1"/>
                <w:bCs w:val="1"/>
                <w:color w:val="auto"/>
              </w:rPr>
              <w:t>APAC</w:t>
            </w:r>
            <w:r>
              <w:rPr>
                <w:rFonts w:ascii="Arial" w:cs="Arial" w:eastAsia="Arial" w:hAnsi="Arial"/>
                <w:sz w:val="14"/>
                <w:szCs w:val="14"/>
                <w:color w:val="auto"/>
              </w:rPr>
              <w:t xml:space="preserve"> </w:t>
            </w:r>
            <w:r>
              <w:rPr>
                <w:rFonts w:ascii="Arial" w:cs="Arial" w:eastAsia="Arial" w:hAnsi="Arial"/>
                <w:sz w:val="12"/>
                <w:szCs w:val="12"/>
                <w:color w:val="auto"/>
              </w:rPr>
              <w:t>revenue decreased 4%</w:t>
            </w:r>
          </w:p>
        </w:tc>
        <w:tc>
          <w:tcPr>
            <w:tcW w:w="1900" w:type="dxa"/>
            <w:vAlign w:val="bottom"/>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b w:val="1"/>
                <w:bCs w:val="1"/>
                <w:color w:val="auto"/>
              </w:rPr>
              <w:t>Licensing</w:t>
            </w:r>
            <w:r>
              <w:rPr>
                <w:rFonts w:ascii="Arial" w:cs="Arial" w:eastAsia="Arial" w:hAnsi="Arial"/>
                <w:sz w:val="14"/>
                <w:szCs w:val="14"/>
                <w:color w:val="auto"/>
              </w:rPr>
              <w:t xml:space="preserve"> </w:t>
            </w:r>
            <w:r>
              <w:rPr>
                <w:rFonts w:ascii="Arial" w:cs="Arial" w:eastAsia="Arial" w:hAnsi="Arial"/>
                <w:sz w:val="12"/>
                <w:szCs w:val="12"/>
                <w:color w:val="auto"/>
              </w:rPr>
              <w:t>revenue</w:t>
            </w:r>
          </w:p>
        </w:tc>
      </w:tr>
      <w:tr>
        <w:trPr>
          <w:trHeight w:val="141"/>
        </w:trPr>
        <w:tc>
          <w:tcPr>
            <w:tcW w:w="1900" w:type="dxa"/>
            <w:vAlign w:val="bottom"/>
            <w:tcBorders>
              <w:right w:val="single" w:sz="8" w:color="auto"/>
            </w:tcBorders>
          </w:tcPr>
          <w:p>
            <w:pPr>
              <w:ind w:left="140"/>
              <w:spacing w:after="0" w:line="141" w:lineRule="exact"/>
              <w:rPr>
                <w:sz w:val="20"/>
                <w:szCs w:val="20"/>
                <w:color w:val="auto"/>
              </w:rPr>
            </w:pPr>
            <w:r>
              <w:rPr>
                <w:rFonts w:ascii="Arial" w:cs="Arial" w:eastAsia="Arial" w:hAnsi="Arial"/>
                <w:sz w:val="13"/>
                <w:szCs w:val="13"/>
                <w:color w:val="auto"/>
              </w:rPr>
              <w:t>5% compared to 2024</w:t>
            </w:r>
          </w:p>
        </w:tc>
        <w:tc>
          <w:tcPr>
            <w:tcW w:w="2040" w:type="dxa"/>
            <w:vAlign w:val="bottom"/>
            <w:tcBorders>
              <w:right w:val="single" w:sz="8" w:color="auto"/>
            </w:tcBorders>
          </w:tcPr>
          <w:p>
            <w:pPr>
              <w:ind w:left="200"/>
              <w:spacing w:after="0" w:line="141" w:lineRule="exact"/>
              <w:rPr>
                <w:sz w:val="20"/>
                <w:szCs w:val="20"/>
                <w:color w:val="auto"/>
              </w:rPr>
            </w:pPr>
            <w:r>
              <w:rPr>
                <w:rFonts w:ascii="Arial" w:cs="Arial" w:eastAsia="Arial" w:hAnsi="Arial"/>
                <w:sz w:val="13"/>
                <w:szCs w:val="13"/>
                <w:color w:val="auto"/>
              </w:rPr>
              <w:t>6% compared to 2024</w:t>
            </w:r>
          </w:p>
        </w:tc>
        <w:tc>
          <w:tcPr>
            <w:tcW w:w="2040" w:type="dxa"/>
            <w:vAlign w:val="bottom"/>
            <w:tcBorders>
              <w:right w:val="single" w:sz="8" w:color="auto"/>
            </w:tcBorders>
          </w:tcPr>
          <w:p>
            <w:pPr>
              <w:ind w:left="220"/>
              <w:spacing w:after="0" w:line="141" w:lineRule="exact"/>
              <w:rPr>
                <w:sz w:val="20"/>
                <w:szCs w:val="20"/>
                <w:color w:val="auto"/>
              </w:rPr>
            </w:pPr>
            <w:r>
              <w:rPr>
                <w:rFonts w:ascii="Arial" w:cs="Arial" w:eastAsia="Arial" w:hAnsi="Arial"/>
                <w:sz w:val="13"/>
                <w:szCs w:val="13"/>
                <w:color w:val="auto"/>
              </w:rPr>
              <w:t>compared to 2024 (decreased</w:t>
            </w:r>
          </w:p>
        </w:tc>
        <w:tc>
          <w:tcPr>
            <w:tcW w:w="1900" w:type="dxa"/>
            <w:vAlign w:val="bottom"/>
          </w:tcPr>
          <w:p>
            <w:pPr>
              <w:ind w:left="220"/>
              <w:spacing w:after="0" w:line="141" w:lineRule="exact"/>
              <w:rPr>
                <w:sz w:val="20"/>
                <w:szCs w:val="20"/>
                <w:color w:val="auto"/>
              </w:rPr>
            </w:pPr>
            <w:r>
              <w:rPr>
                <w:rFonts w:ascii="Arial" w:cs="Arial" w:eastAsia="Arial" w:hAnsi="Arial"/>
                <w:sz w:val="13"/>
                <w:szCs w:val="13"/>
                <w:color w:val="auto"/>
              </w:rPr>
              <w:t>decreased 2% compared to</w:t>
            </w:r>
          </w:p>
        </w:tc>
      </w:tr>
      <w:tr>
        <w:trPr>
          <w:trHeight w:val="141"/>
        </w:trPr>
        <w:tc>
          <w:tcPr>
            <w:tcW w:w="1900" w:type="dxa"/>
            <w:vAlign w:val="bottom"/>
            <w:tcBorders>
              <w:right w:val="single" w:sz="8" w:color="auto"/>
            </w:tcBorders>
          </w:tcPr>
          <w:p>
            <w:pPr>
              <w:ind w:left="140"/>
              <w:spacing w:after="0" w:line="141" w:lineRule="exact"/>
              <w:rPr>
                <w:sz w:val="20"/>
                <w:szCs w:val="20"/>
                <w:color w:val="auto"/>
              </w:rPr>
            </w:pPr>
            <w:r>
              <w:rPr>
                <w:rFonts w:ascii="Arial" w:cs="Arial" w:eastAsia="Arial" w:hAnsi="Arial"/>
                <w:sz w:val="13"/>
                <w:szCs w:val="13"/>
                <w:color w:val="auto"/>
              </w:rPr>
              <w:t>(decreased 1%* on a</w:t>
            </w:r>
          </w:p>
        </w:tc>
        <w:tc>
          <w:tcPr>
            <w:tcW w:w="204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ind w:left="220"/>
              <w:spacing w:after="0" w:line="141" w:lineRule="exact"/>
              <w:rPr>
                <w:sz w:val="20"/>
                <w:szCs w:val="20"/>
                <w:color w:val="auto"/>
              </w:rPr>
            </w:pPr>
            <w:r>
              <w:rPr>
                <w:rFonts w:ascii="Arial" w:cs="Arial" w:eastAsia="Arial" w:hAnsi="Arial"/>
                <w:sz w:val="13"/>
                <w:szCs w:val="13"/>
                <w:color w:val="auto"/>
              </w:rPr>
              <w:t>4%* on a constant currency</w:t>
            </w:r>
          </w:p>
        </w:tc>
        <w:tc>
          <w:tcPr>
            <w:tcW w:w="1900" w:type="dxa"/>
            <w:vAlign w:val="bottom"/>
          </w:tcPr>
          <w:p>
            <w:pPr>
              <w:ind w:left="220"/>
              <w:spacing w:after="0" w:line="141" w:lineRule="exact"/>
              <w:rPr>
                <w:sz w:val="20"/>
                <w:szCs w:val="20"/>
                <w:color w:val="auto"/>
              </w:rPr>
            </w:pPr>
            <w:r>
              <w:rPr>
                <w:rFonts w:ascii="Arial" w:cs="Arial" w:eastAsia="Arial" w:hAnsi="Arial"/>
                <w:sz w:val="13"/>
                <w:szCs w:val="13"/>
                <w:color w:val="auto"/>
              </w:rPr>
              <w:t>2024</w:t>
            </w:r>
          </w:p>
        </w:tc>
      </w:tr>
      <w:tr>
        <w:trPr>
          <w:trHeight w:val="166"/>
        </w:trPr>
        <w:tc>
          <w:tcPr>
            <w:tcW w:w="190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constant currency basis)</w:t>
            </w:r>
          </w:p>
        </w:tc>
        <w:tc>
          <w:tcPr>
            <w:tcW w:w="204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basis)</w:t>
            </w:r>
          </w:p>
        </w:tc>
        <w:tc>
          <w:tcPr>
            <w:tcW w:w="1900" w:type="dxa"/>
            <w:vAlign w:val="bottom"/>
          </w:tcPr>
          <w:p>
            <w:pPr>
              <w:spacing w:after="0"/>
              <w:rPr>
                <w:sz w:val="14"/>
                <w:szCs w:val="14"/>
                <w:color w:val="auto"/>
              </w:rPr>
            </w:pPr>
          </w:p>
        </w:tc>
      </w:tr>
      <w:tr>
        <w:trPr>
          <w:trHeight w:val="1161"/>
        </w:trPr>
        <w:tc>
          <w:tcPr>
            <w:tcW w:w="190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bl>
    <w:p>
      <w:pPr>
        <w:spacing w:after="0" w:line="145" w:lineRule="exact"/>
        <w:rPr>
          <w:sz w:val="20"/>
          <w:szCs w:val="20"/>
          <w:color w:val="auto"/>
        </w:rPr>
      </w:pPr>
    </w:p>
    <w:p>
      <w:pPr>
        <w:sectPr>
          <w:pgSz w:w="11900" w:h="16838" w:orient="portrait"/>
          <w:cols w:equalWidth="0" w:num="2">
            <w:col w:w="2889" w:space="160"/>
            <w:col w:w="7880"/>
          </w:cols>
          <w:pgMar w:left="471" w:top="162" w:right="499" w:bottom="1440" w:gutter="0" w:footer="0" w:header="0"/>
          <w:type w:val="continuous"/>
        </w:sectPr>
      </w:pPr>
    </w:p>
    <w:p>
      <w:pPr>
        <w:ind w:left="9"/>
        <w:spacing w:after="0"/>
        <w:rPr>
          <w:sz w:val="20"/>
          <w:szCs w:val="20"/>
          <w:color w:val="auto"/>
        </w:rPr>
      </w:pPr>
      <w:r>
        <w:rPr>
          <w:rFonts w:ascii="Arial" w:cs="Arial" w:eastAsia="Arial" w:hAnsi="Arial"/>
          <w:sz w:val="13"/>
          <w:szCs w:val="13"/>
          <w:color w:val="auto"/>
        </w:rPr>
        <w:t>*  Reconciliations to GAAP amounts appear on Exhibit A.</w:t>
      </w:r>
    </w:p>
    <w:p>
      <w:pPr>
        <w:spacing w:after="0" w:line="173"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 xml:space="preserve">8 </w:t>
      </w:r>
      <w:r>
        <w:rPr>
          <w:rFonts w:ascii="Arial" w:cs="Arial" w:eastAsia="Arial" w:hAnsi="Arial"/>
          <w:sz w:val="11"/>
          <w:szCs w:val="11"/>
          <w:color w:val="auto"/>
        </w:rPr>
        <w:t>/ PVH CORP. 2026 PROXY STATEMENT</w:t>
      </w:r>
      <w:r>
        <w:rPr>
          <w:rFonts w:ascii="Arial" w:cs="Arial" w:eastAsia="Arial" w:hAnsi="Arial"/>
          <w:sz w:val="11"/>
          <w:szCs w:val="11"/>
          <w:b w:val="1"/>
          <w:bCs w:val="1"/>
          <w:color w:val="auto"/>
        </w:rPr>
        <w:t xml:space="preserve"> / </w:t>
      </w:r>
      <w:r>
        <w:rPr>
          <w:rFonts w:ascii="Arial" w:cs="Arial" w:eastAsia="Arial" w:hAnsi="Arial"/>
          <w:sz w:val="11"/>
          <w:szCs w:val="11"/>
          <w:b w:val="1"/>
          <w:bCs w:val="1"/>
          <w:color w:val="6D98AD"/>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29"/>
          </w:cols>
          <w:pgMar w:left="471" w:top="162" w:right="499" w:bottom="1440" w:gutter="0" w:footer="0" w:header="0"/>
          <w:type w:val="continuous"/>
        </w:sectPr>
      </w:pPr>
    </w:p>
    <w:bookmarkStart w:id="11" w:name="page12"/>
    <w:bookmarkEnd w:id="11"/>
    <w:p>
      <w:pPr>
        <w:ind w:left="9" w:right="400"/>
        <w:spacing w:after="0" w:line="282" w:lineRule="auto"/>
        <w:rPr>
          <w:sz w:val="20"/>
          <w:szCs w:val="20"/>
          <w:color w:val="auto"/>
        </w:rPr>
      </w:pPr>
      <w:r>
        <w:rPr>
          <w:rFonts w:ascii="Arial" w:cs="Arial" w:eastAsia="Arial" w:hAnsi="Arial"/>
          <w:sz w:val="14"/>
          <w:szCs w:val="14"/>
          <w:color w:val="auto"/>
        </w:rPr>
        <w:t>The following shows our performance against our compensation peer group for the one- and three-year periods ended 2025 based on revenue growth, EBIT growth, and overall ranking, as well as based on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21590</wp:posOffset>
            </wp:positionV>
            <wp:extent cx="4831080" cy="13912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31080" cy="1391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9" w:hanging="169"/>
        <w:spacing w:after="0"/>
        <w:tabs>
          <w:tab w:leader="none" w:pos="169"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Compensation Peer Group Revenue and Non-GAAP EBIT source was company filings as provided by FactSet Research Systems, Inc. (“FactSet”)</w:t>
      </w:r>
    </w:p>
    <w:p>
      <w:pPr>
        <w:spacing w:after="0" w:line="38" w:lineRule="exact"/>
        <w:rPr>
          <w:rFonts w:ascii="Arial" w:cs="Arial" w:eastAsia="Arial" w:hAnsi="Arial"/>
          <w:sz w:val="13"/>
          <w:szCs w:val="13"/>
          <w:color w:val="auto"/>
        </w:rPr>
      </w:pPr>
    </w:p>
    <w:p>
      <w:pPr>
        <w:ind w:left="9"/>
        <w:spacing w:after="0"/>
        <w:rPr>
          <w:rFonts w:ascii="Arial" w:cs="Arial" w:eastAsia="Arial" w:hAnsi="Arial"/>
          <w:sz w:val="13"/>
          <w:szCs w:val="13"/>
          <w:color w:val="auto"/>
        </w:rPr>
      </w:pPr>
      <w:r>
        <w:rPr>
          <w:rFonts w:ascii="Arial" w:cs="Arial" w:eastAsia="Arial" w:hAnsi="Arial"/>
          <w:sz w:val="13"/>
          <w:szCs w:val="13"/>
          <w:color w:val="auto"/>
        </w:rPr>
        <w:t>2  Individual list of Russell 3000 companies for TSR</w:t>
      </w:r>
    </w:p>
    <w:p>
      <w:pPr>
        <w:spacing w:after="0" w:line="38" w:lineRule="exact"/>
        <w:rPr>
          <w:rFonts w:ascii="Arial" w:cs="Arial" w:eastAsia="Arial" w:hAnsi="Arial"/>
          <w:sz w:val="13"/>
          <w:szCs w:val="13"/>
          <w:color w:val="auto"/>
        </w:rPr>
      </w:pPr>
    </w:p>
    <w:p>
      <w:pPr>
        <w:ind w:left="9"/>
        <w:spacing w:after="0"/>
        <w:rPr>
          <w:rFonts w:ascii="Arial" w:cs="Arial" w:eastAsia="Arial" w:hAnsi="Arial"/>
          <w:sz w:val="13"/>
          <w:szCs w:val="13"/>
          <w:color w:val="auto"/>
        </w:rPr>
      </w:pPr>
      <w:r>
        <w:rPr>
          <w:rFonts w:ascii="Arial" w:cs="Arial" w:eastAsia="Arial" w:hAnsi="Arial"/>
          <w:sz w:val="13"/>
          <w:szCs w:val="13"/>
          <w:color w:val="auto"/>
        </w:rPr>
        <w:t>3  Overall percentile rank excludes TSR vs. Russell 3000</w:t>
      </w:r>
    </w:p>
    <w:p>
      <w:pPr>
        <w:spacing w:after="0" w:line="340" w:lineRule="exact"/>
        <w:rPr>
          <w:sz w:val="20"/>
          <w:szCs w:val="20"/>
          <w:color w:val="auto"/>
        </w:rPr>
      </w:pPr>
    </w:p>
    <w:p>
      <w:pPr>
        <w:ind w:left="9"/>
        <w:spacing w:after="0"/>
        <w:rPr>
          <w:sz w:val="20"/>
          <w:szCs w:val="20"/>
          <w:color w:val="auto"/>
        </w:rPr>
      </w:pPr>
      <w:r>
        <w:rPr>
          <w:rFonts w:ascii="Arial" w:cs="Arial" w:eastAsia="Arial" w:hAnsi="Arial"/>
          <w:sz w:val="28"/>
          <w:szCs w:val="28"/>
          <w:b w:val="1"/>
          <w:bCs w:val="1"/>
          <w:color w:val="6D98AD"/>
        </w:rPr>
        <w:t xml:space="preserve">Executive Compensation Highlights </w:t>
      </w:r>
      <w:r>
        <w:rPr>
          <w:rFonts w:ascii="Arial" w:cs="Arial" w:eastAsia="Arial" w:hAnsi="Arial"/>
          <w:sz w:val="28"/>
          <w:szCs w:val="28"/>
          <w:b w:val="1"/>
          <w:bCs w:val="1"/>
          <w:color w:val="808285"/>
        </w:rPr>
        <w:t>(page 43)</w:t>
      </w:r>
    </w:p>
    <w:p>
      <w:pPr>
        <w:sectPr>
          <w:pgSz w:w="11900" w:h="16838" w:orient="portrait"/>
          <w:cols w:equalWidth="0" w:num="1">
            <w:col w:w="10949"/>
          </w:cols>
          <w:pgMar w:left="471" w:top="233" w:right="479" w:bottom="1440" w:gutter="0" w:footer="0" w:header="0"/>
        </w:sectPr>
      </w:pPr>
    </w:p>
    <w:p>
      <w:pPr>
        <w:spacing w:after="0" w:line="173" w:lineRule="exact"/>
        <w:rPr>
          <w:sz w:val="20"/>
          <w:szCs w:val="20"/>
          <w:color w:val="auto"/>
        </w:rPr>
      </w:pPr>
    </w:p>
    <w:p>
      <w:pPr>
        <w:ind w:left="9" w:right="100"/>
        <w:spacing w:after="0" w:line="251" w:lineRule="auto"/>
        <w:rPr>
          <w:sz w:val="20"/>
          <w:szCs w:val="20"/>
          <w:color w:val="auto"/>
        </w:rPr>
      </w:pPr>
      <w:r>
        <w:rPr>
          <w:rFonts w:ascii="Arial" w:cs="Arial" w:eastAsia="Arial" w:hAnsi="Arial"/>
          <w:sz w:val="14"/>
          <w:szCs w:val="14"/>
          <w:color w:val="auto"/>
        </w:rPr>
        <w:t>Our compensation program is designed to pay-for-performance. We believe we should incentivize our executive officers to improve our financial performance, profitably grow our businesses and increase long-term stockholder value — and should reward them based on their success in attaining these objectives. In 2025, our pay-for-performance compensation program continued to align executive compensation with our strategic priorities and balanced short-term financial results with long-term shareholder value creation.</w:t>
      </w:r>
    </w:p>
    <w:p>
      <w:pPr>
        <w:spacing w:after="0" w:line="70" w:lineRule="exact"/>
        <w:rPr>
          <w:sz w:val="20"/>
          <w:szCs w:val="20"/>
          <w:color w:val="auto"/>
        </w:rPr>
      </w:pPr>
    </w:p>
    <w:p>
      <w:pPr>
        <w:ind w:left="9" w:right="40"/>
        <w:spacing w:after="0" w:line="264" w:lineRule="auto"/>
        <w:rPr>
          <w:sz w:val="20"/>
          <w:szCs w:val="20"/>
          <w:color w:val="auto"/>
        </w:rPr>
      </w:pPr>
      <w:r>
        <w:rPr>
          <w:rFonts w:ascii="Arial" w:cs="Arial" w:eastAsia="Arial" w:hAnsi="Arial"/>
          <w:sz w:val="14"/>
          <w:szCs w:val="14"/>
          <w:color w:val="auto"/>
        </w:rPr>
        <w:t>The financial measures for annual bonuses were total PVH EBIT and revenue, and, for NEOs who lead business units, EBIT and revenue for their respective business units. These measures were unchanged from 2024.</w:t>
      </w:r>
    </w:p>
    <w:p>
      <w:pPr>
        <w:spacing w:after="0" w:line="58" w:lineRule="exact"/>
        <w:rPr>
          <w:sz w:val="20"/>
          <w:szCs w:val="20"/>
          <w:color w:val="auto"/>
        </w:rPr>
      </w:pPr>
    </w:p>
    <w:p>
      <w:pPr>
        <w:ind w:left="9"/>
        <w:spacing w:after="0" w:line="253" w:lineRule="auto"/>
        <w:rPr>
          <w:sz w:val="20"/>
          <w:szCs w:val="20"/>
          <w:color w:val="auto"/>
        </w:rPr>
      </w:pPr>
      <w:r>
        <w:rPr>
          <w:rFonts w:ascii="Arial" w:cs="Arial" w:eastAsia="Arial" w:hAnsi="Arial"/>
          <w:sz w:val="14"/>
          <w:szCs w:val="14"/>
          <w:color w:val="auto"/>
        </w:rPr>
        <w:t>We also maintained from 2024 the performance measures for our PSUs using ROIC and relative TSR. As a result, PSUs continue to be evenly weighted between three-year average ROIC goals and three-year relative TSR goals as compared to a custom, industry-appropriate comparator group of companies consistent with our practices since 2021 (the “custom comparator group”). The custom comparator group was unchanged from 2024.</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160"/>
        <w:spacing w:after="0" w:line="255" w:lineRule="auto"/>
        <w:rPr>
          <w:sz w:val="20"/>
          <w:szCs w:val="20"/>
          <w:color w:val="auto"/>
        </w:rPr>
      </w:pPr>
      <w:r>
        <w:rPr>
          <w:rFonts w:ascii="Arial" w:cs="Arial" w:eastAsia="Arial" w:hAnsi="Arial"/>
          <w:sz w:val="14"/>
          <w:szCs w:val="14"/>
          <w:color w:val="auto"/>
        </w:rPr>
        <w:t>Each type of performance-based incentive award (PSUs and annual bonuses) continues to be subject to different performance measures, avoiding a duplicative impact on rewards based on the same performance measure. We believe that the financial measures of our reward programs strengthen our pay-for-performance approach and incentivize our executive officers for company performance.</w:t>
      </w:r>
    </w:p>
    <w:p>
      <w:pPr>
        <w:spacing w:after="0" w:line="63"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All our executive officers participate in our incentive compensation programs, receiving 50% of their incentive award in PSUs and 50% in time-based RSUs, with the exception of Ms. Stone who receives 100% of her incentive award in RSUs as explained on page 52. We believe this approach drives alignment of strategic priorities and drives focus and consistency on performance.</w:t>
      </w:r>
    </w:p>
    <w:p>
      <w:pPr>
        <w:spacing w:after="0" w:line="63"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There were no significant changes to the design of our compensation program in 2025 as compared to 2024 other than discontinuing the grant of stock options to our CEO and CFO, as discussed on page 40. The majority of the compensation packages for our Chief Executive Officer and other executive officers continued to remain aligned to PVH’s performance and consist of short-term and long-term incentive awards with payouts subject to the achievement of specific financial and strategic targets, and equity awards (RSUs and PSUs) continued to be linked to increasing shareholder value over time.</w:t>
      </w:r>
    </w:p>
    <w:p>
      <w:pPr>
        <w:spacing w:after="0" w:line="158" w:lineRule="exact"/>
        <w:rPr>
          <w:sz w:val="20"/>
          <w:szCs w:val="20"/>
          <w:color w:val="auto"/>
        </w:rPr>
      </w:pPr>
    </w:p>
    <w:p>
      <w:pPr>
        <w:sectPr>
          <w:pgSz w:w="11900" w:h="16838" w:orient="portrait"/>
          <w:cols w:equalWidth="0" w:num="2">
            <w:col w:w="5249" w:space="440"/>
            <w:col w:w="5260"/>
          </w:cols>
          <w:pgMar w:left="471" w:top="233" w:right="479" w:bottom="1440" w:gutter="0" w:footer="0" w:header="0"/>
          <w:type w:val="continuous"/>
        </w:sectPr>
      </w:pPr>
    </w:p>
    <w:p>
      <w:pPr>
        <w:ind w:left="7649"/>
        <w:spacing w:after="0"/>
        <w:rPr>
          <w:sz w:val="20"/>
          <w:szCs w:val="20"/>
          <w:color w:val="auto"/>
        </w:rPr>
      </w:pPr>
      <w:r>
        <w:rPr>
          <w:rFonts w:ascii="Arial" w:cs="Arial" w:eastAsia="Arial" w:hAnsi="Arial"/>
          <w:sz w:val="11"/>
          <w:szCs w:val="11"/>
          <w:b w:val="1"/>
          <w:bCs w:val="1"/>
          <w:color w:val="6D98AD"/>
        </w:rPr>
        <w:t xml:space="preserve">PROXY SUMMARY </w:t>
      </w:r>
      <w:r>
        <w:rPr>
          <w:rFonts w:ascii="Arial" w:cs="Arial" w:eastAsia="Arial" w:hAnsi="Arial"/>
          <w:sz w:val="11"/>
          <w:szCs w:val="11"/>
          <w:b w:val="1"/>
          <w:bCs w:val="1"/>
          <w:color w:val="000000"/>
        </w:rPr>
        <w:t>/</w:t>
      </w:r>
      <w:r>
        <w:rPr>
          <w:rFonts w:ascii="Arial" w:cs="Arial" w:eastAsia="Arial" w:hAnsi="Arial"/>
          <w:sz w:val="11"/>
          <w:szCs w:val="11"/>
          <w:b w:val="1"/>
          <w:bCs w:val="1"/>
          <w:color w:val="6D98AD"/>
        </w:rPr>
        <w:t xml:space="preserve"> </w:t>
      </w:r>
      <w:r>
        <w:rPr>
          <w:rFonts w:ascii="Arial" w:cs="Arial" w:eastAsia="Arial" w:hAnsi="Arial"/>
          <w:sz w:val="11"/>
          <w:szCs w:val="11"/>
          <w:color w:val="000000"/>
        </w:rPr>
        <w:t>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233" w:right="479" w:bottom="1440" w:gutter="0" w:footer="0" w:header="0"/>
          <w:type w:val="continuous"/>
        </w:sectPr>
      </w:pPr>
    </w:p>
    <w:bookmarkStart w:id="12" w:name="page13"/>
    <w:bookmarkEnd w:id="12"/>
    <w:p>
      <w:pPr>
        <w:ind w:left="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296545</wp:posOffset>
            </wp:positionH>
            <wp:positionV relativeFrom="page">
              <wp:posOffset>186055</wp:posOffset>
            </wp:positionV>
            <wp:extent cx="694817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48170" cy="7620"/>
                    </a:xfrm>
                    <a:prstGeom prst="rect">
                      <a:avLst/>
                    </a:prstGeom>
                    <a:noFill/>
                  </pic:spPr>
                </pic:pic>
              </a:graphicData>
            </a:graphic>
          </wp:anchor>
        </w:drawing>
        <w:t>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5322570</wp:posOffset>
            </wp:positionH>
            <wp:positionV relativeFrom="paragraph">
              <wp:posOffset>24765</wp:posOffset>
            </wp:positionV>
            <wp:extent cx="1129030" cy="665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29030" cy="665480"/>
                    </a:xfrm>
                    <a:prstGeom prst="rect">
                      <a:avLst/>
                    </a:prstGeom>
                    <a:noFill/>
                  </pic:spPr>
                </pic:pic>
              </a:graphicData>
            </a:graphic>
          </wp:anchor>
        </w:drawing>
      </w:r>
    </w:p>
    <w:p>
      <w:pPr>
        <w:spacing w:after="0" w:line="42" w:lineRule="exact"/>
        <w:rPr>
          <w:sz w:val="20"/>
          <w:szCs w:val="20"/>
          <w:color w:val="auto"/>
        </w:rPr>
      </w:pPr>
    </w:p>
    <w:p>
      <w:pPr>
        <w:ind w:left="9" w:right="3420"/>
        <w:spacing w:after="0" w:line="255" w:lineRule="auto"/>
        <w:rPr>
          <w:sz w:val="20"/>
          <w:szCs w:val="20"/>
          <w:color w:val="auto"/>
        </w:rPr>
      </w:pPr>
      <w:r>
        <w:rPr>
          <w:rFonts w:ascii="Arial" w:cs="Arial" w:eastAsia="Arial" w:hAnsi="Arial"/>
          <w:sz w:val="14"/>
          <w:szCs w:val="14"/>
          <w:color w:val="auto"/>
        </w:rPr>
        <w:t>Our stockholders overwhelmingly approved the compensation of our NEOs at our 2025 Annual Meeting, with over 96% of the votes cast in favor of the advisory proposal. We are pleased that our stockholders have consistently supported our executive compensation program since we began holding say-on-pay votes in 2011 and consider this support in evaluating the effectiveness of our executive compensation program. As shown in the adjoining table, the percentage of votes cast in favor of our advisory proposals over the last five years has never fallen below 92%.</w:t>
      </w:r>
    </w:p>
    <w:p>
      <w:pPr>
        <w:spacing w:after="0" w:line="200" w:lineRule="exact"/>
        <w:rPr>
          <w:sz w:val="20"/>
          <w:szCs w:val="20"/>
          <w:color w:val="auto"/>
        </w:rPr>
      </w:pPr>
    </w:p>
    <w:p>
      <w:pPr>
        <w:spacing w:after="0" w:line="220" w:lineRule="exact"/>
        <w:rPr>
          <w:sz w:val="20"/>
          <w:szCs w:val="20"/>
          <w:color w:val="auto"/>
        </w:rPr>
      </w:pPr>
    </w:p>
    <w:p>
      <w:pPr>
        <w:ind w:left="9"/>
        <w:spacing w:after="0"/>
        <w:rPr>
          <w:sz w:val="20"/>
          <w:szCs w:val="20"/>
          <w:color w:val="auto"/>
        </w:rPr>
      </w:pPr>
      <w:r>
        <w:rPr>
          <w:rFonts w:ascii="Arial" w:cs="Arial" w:eastAsia="Arial" w:hAnsi="Arial"/>
          <w:sz w:val="22"/>
          <w:szCs w:val="22"/>
          <w:b w:val="1"/>
          <w:bCs w:val="1"/>
          <w:color w:val="auto"/>
        </w:rPr>
        <w:t>Compensation Mix</w:t>
      </w:r>
    </w:p>
    <w:p>
      <w:pPr>
        <w:spacing w:after="0" w:line="132" w:lineRule="exact"/>
        <w:rPr>
          <w:sz w:val="20"/>
          <w:szCs w:val="20"/>
          <w:color w:val="auto"/>
        </w:rPr>
      </w:pPr>
    </w:p>
    <w:p>
      <w:pPr>
        <w:ind w:left="9"/>
        <w:spacing w:after="0"/>
        <w:rPr>
          <w:sz w:val="20"/>
          <w:szCs w:val="20"/>
          <w:color w:val="auto"/>
        </w:rPr>
      </w:pPr>
      <w:r>
        <w:rPr>
          <w:rFonts w:ascii="Arial" w:cs="Arial" w:eastAsia="Arial" w:hAnsi="Arial"/>
          <w:sz w:val="14"/>
          <w:szCs w:val="14"/>
          <w:color w:val="auto"/>
        </w:rPr>
        <w:t>As shown below, the distribution of our executive’s full-year target compensation is significantly weighed towards performance-based long- and short-term, variable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174625</wp:posOffset>
            </wp:positionV>
            <wp:extent cx="1944370" cy="13538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44370" cy="135382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167640</wp:posOffset>
            </wp:positionV>
            <wp:extent cx="1839595" cy="12268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39595" cy="122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29" w:hanging="156"/>
        <w:spacing w:after="0" w:line="236" w:lineRule="auto"/>
        <w:rPr>
          <w:sz w:val="20"/>
          <w:szCs w:val="20"/>
          <w:color w:val="auto"/>
        </w:rPr>
      </w:pPr>
      <w:r>
        <w:rPr>
          <w:rFonts w:ascii="Arial" w:cs="Arial" w:eastAsia="Arial" w:hAnsi="Arial"/>
          <w:sz w:val="13"/>
          <w:szCs w:val="13"/>
          <w:color w:val="auto"/>
        </w:rPr>
        <w:t>1 Ms. Stone’s compensation package was established in respect to her role of Executive Vice President, Global Financial Planning and Analysis and prior to her serving as Interim Chief Financial Officer. As a result, her compensation package was not designed in the same way as the other NEOs and is not included in the graph above.</w:t>
      </w:r>
    </w:p>
    <w:p>
      <w:pPr>
        <w:spacing w:after="0" w:line="314" w:lineRule="exact"/>
        <w:rPr>
          <w:sz w:val="20"/>
          <w:szCs w:val="20"/>
          <w:color w:val="auto"/>
        </w:rPr>
      </w:pPr>
    </w:p>
    <w:p>
      <w:pPr>
        <w:ind w:left="9"/>
        <w:spacing w:after="0"/>
        <w:rPr>
          <w:sz w:val="20"/>
          <w:szCs w:val="20"/>
          <w:color w:val="auto"/>
        </w:rPr>
      </w:pPr>
      <w:r>
        <w:rPr>
          <w:rFonts w:ascii="Arial" w:cs="Arial" w:eastAsia="Arial" w:hAnsi="Arial"/>
          <w:sz w:val="28"/>
          <w:szCs w:val="28"/>
          <w:b w:val="1"/>
          <w:bCs w:val="1"/>
          <w:color w:val="6D98AD"/>
        </w:rPr>
        <w:t xml:space="preserve">Governance Highlights </w:t>
      </w:r>
      <w:r>
        <w:rPr>
          <w:rFonts w:ascii="Arial" w:cs="Arial" w:eastAsia="Arial" w:hAnsi="Arial"/>
          <w:sz w:val="28"/>
          <w:szCs w:val="28"/>
          <w:b w:val="1"/>
          <w:bCs w:val="1"/>
          <w:color w:val="808285"/>
        </w:rPr>
        <w:t>(page 18)</w:t>
      </w:r>
    </w:p>
    <w:p>
      <w:pPr>
        <w:spacing w:after="0" w:line="126" w:lineRule="exact"/>
        <w:rPr>
          <w:sz w:val="20"/>
          <w:szCs w:val="20"/>
          <w:color w:val="auto"/>
        </w:rPr>
      </w:pPr>
    </w:p>
    <w:p>
      <w:pPr>
        <w:ind w:left="9"/>
        <w:spacing w:after="0"/>
        <w:rPr>
          <w:sz w:val="20"/>
          <w:szCs w:val="20"/>
          <w:color w:val="auto"/>
        </w:rPr>
      </w:pPr>
      <w:r>
        <w:rPr>
          <w:rFonts w:ascii="Arial" w:cs="Arial" w:eastAsia="Arial" w:hAnsi="Arial"/>
          <w:sz w:val="14"/>
          <w:szCs w:val="14"/>
          <w:color w:val="auto"/>
        </w:rPr>
        <w:t>PVH is committed to excellence in corporate governance and corporate responsibility, as evidenced by the policies and practices summarized below.</w:t>
      </w:r>
    </w:p>
    <w:p>
      <w:pPr>
        <w:sectPr>
          <w:pgSz w:w="11900" w:h="16838" w:orient="portrait"/>
          <w:cols w:equalWidth="0" w:num="1">
            <w:col w:w="10889"/>
          </w:cols>
          <w:pgMar w:left="471" w:top="378" w:right="539" w:bottom="1440" w:gutter="0" w:footer="0" w:header="0"/>
        </w:sectPr>
      </w:pPr>
    </w:p>
    <w:p>
      <w:pPr>
        <w:spacing w:after="0" w:line="137" w:lineRule="exact"/>
        <w:rPr>
          <w:sz w:val="20"/>
          <w:szCs w:val="20"/>
          <w:color w:val="auto"/>
        </w:rPr>
      </w:pPr>
    </w:p>
    <w:p>
      <w:pPr>
        <w:ind w:left="9"/>
        <w:spacing w:after="0"/>
        <w:rPr>
          <w:sz w:val="20"/>
          <w:szCs w:val="20"/>
          <w:color w:val="auto"/>
        </w:rPr>
      </w:pPr>
      <w:r>
        <w:rPr>
          <w:rFonts w:ascii="Arial" w:cs="Arial" w:eastAsia="Arial" w:hAnsi="Arial"/>
          <w:sz w:val="22"/>
          <w:szCs w:val="22"/>
          <w:b w:val="1"/>
          <w:bCs w:val="1"/>
          <w:color w:val="auto"/>
        </w:rPr>
        <w:t>Independence</w:t>
      </w:r>
    </w:p>
    <w:p>
      <w:pPr>
        <w:spacing w:after="0" w:line="62" w:lineRule="exact"/>
        <w:rPr>
          <w:sz w:val="20"/>
          <w:szCs w:val="20"/>
          <w:color w:val="auto"/>
        </w:rPr>
      </w:pPr>
    </w:p>
    <w:p>
      <w:pPr>
        <w:ind w:left="149" w:hanging="149"/>
        <w:spacing w:after="0"/>
        <w:tabs>
          <w:tab w:leader="none" w:pos="149"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of our directors are independent except for our CEO</w:t>
      </w:r>
    </w:p>
    <w:p>
      <w:pPr>
        <w:spacing w:after="0" w:line="39" w:lineRule="exact"/>
        <w:rPr>
          <w:rFonts w:ascii="Arial" w:cs="Arial" w:eastAsia="Arial" w:hAnsi="Arial"/>
          <w:sz w:val="14"/>
          <w:szCs w:val="14"/>
          <w:color w:val="auto"/>
        </w:rPr>
      </w:pPr>
    </w:p>
    <w:p>
      <w:pPr>
        <w:ind w:left="149" w:hanging="149"/>
        <w:spacing w:after="0"/>
        <w:tabs>
          <w:tab w:leader="none" w:pos="149"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Independent directors meet regularly in executive session</w:t>
      </w:r>
    </w:p>
    <w:p>
      <w:pPr>
        <w:spacing w:after="0" w:line="51" w:lineRule="exact"/>
        <w:rPr>
          <w:rFonts w:ascii="Arial" w:cs="Arial" w:eastAsia="Arial" w:hAnsi="Arial"/>
          <w:sz w:val="14"/>
          <w:szCs w:val="14"/>
          <w:color w:val="auto"/>
        </w:rPr>
      </w:pPr>
    </w:p>
    <w:p>
      <w:pPr>
        <w:ind w:left="149" w:hanging="149"/>
        <w:spacing w:after="0"/>
        <w:tabs>
          <w:tab w:leader="none" w:pos="149"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members of the Board’s standing committees are independent</w:t>
      </w:r>
    </w:p>
    <w:p>
      <w:pPr>
        <w:spacing w:after="0" w:line="90" w:lineRule="exact"/>
        <w:rPr>
          <w:sz w:val="20"/>
          <w:szCs w:val="20"/>
          <w:color w:val="auto"/>
        </w:rPr>
      </w:pPr>
    </w:p>
    <w:p>
      <w:pPr>
        <w:ind w:left="9"/>
        <w:spacing w:after="0"/>
        <w:rPr>
          <w:sz w:val="20"/>
          <w:szCs w:val="20"/>
          <w:color w:val="auto"/>
        </w:rPr>
      </w:pPr>
      <w:r>
        <w:rPr>
          <w:rFonts w:ascii="Arial" w:cs="Arial" w:eastAsia="Arial" w:hAnsi="Arial"/>
          <w:sz w:val="22"/>
          <w:szCs w:val="22"/>
          <w:b w:val="1"/>
          <w:bCs w:val="1"/>
          <w:color w:val="auto"/>
        </w:rPr>
        <w:t>Accountability</w:t>
      </w:r>
    </w:p>
    <w:p>
      <w:pPr>
        <w:spacing w:after="0" w:line="62" w:lineRule="exact"/>
        <w:rPr>
          <w:sz w:val="20"/>
          <w:szCs w:val="20"/>
          <w:color w:val="auto"/>
        </w:rPr>
      </w:pPr>
    </w:p>
    <w:p>
      <w:pPr>
        <w:ind w:left="149" w:hanging="149"/>
        <w:spacing w:after="0"/>
        <w:tabs>
          <w:tab w:leader="none" w:pos="149"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Directors are elected annually by a majority vote (in uncontested elections)</w:t>
      </w:r>
    </w:p>
    <w:p>
      <w:pPr>
        <w:spacing w:after="0" w:line="39" w:lineRule="exact"/>
        <w:rPr>
          <w:rFonts w:ascii="Arial" w:cs="Arial" w:eastAsia="Arial" w:hAnsi="Arial"/>
          <w:sz w:val="14"/>
          <w:szCs w:val="14"/>
          <w:color w:val="auto"/>
        </w:rPr>
      </w:pPr>
    </w:p>
    <w:p>
      <w:pPr>
        <w:ind w:left="149" w:hanging="149"/>
        <w:spacing w:after="0"/>
        <w:tabs>
          <w:tab w:leader="none" w:pos="149"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hold an annual stockholder advisory vote to approve NEO compensation</w:t>
      </w:r>
    </w:p>
    <w:p>
      <w:pPr>
        <w:spacing w:after="0" w:line="39" w:lineRule="exact"/>
        <w:rPr>
          <w:rFonts w:ascii="Arial" w:cs="Arial" w:eastAsia="Arial" w:hAnsi="Arial"/>
          <w:sz w:val="14"/>
          <w:szCs w:val="14"/>
          <w:color w:val="auto"/>
        </w:rPr>
      </w:pPr>
    </w:p>
    <w:p>
      <w:pPr>
        <w:ind w:left="149" w:hanging="149"/>
        <w:spacing w:after="0"/>
        <w:tabs>
          <w:tab w:leader="none" w:pos="149"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Incentive compensation for executives is subject to our Clawback Policy</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Alignment With Stockholder Interests</w:t>
      </w:r>
    </w:p>
    <w:p>
      <w:pPr>
        <w:spacing w:after="0" w:line="62" w:lineRule="exact"/>
        <w:rPr>
          <w:sz w:val="20"/>
          <w:szCs w:val="20"/>
          <w:color w:val="auto"/>
        </w:rPr>
      </w:pPr>
    </w:p>
    <w:p>
      <w:pPr>
        <w:ind w:left="140" w:hanging="137"/>
        <w:spacing w:after="0"/>
        <w:tabs>
          <w:tab w:leader="none" w:pos="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executive compensation program emphasizes pay for performance</w:t>
      </w:r>
    </w:p>
    <w:p>
      <w:pPr>
        <w:spacing w:after="0" w:line="39" w:lineRule="exact"/>
        <w:rPr>
          <w:rFonts w:ascii="Arial" w:cs="Arial" w:eastAsia="Arial" w:hAnsi="Arial"/>
          <w:sz w:val="14"/>
          <w:szCs w:val="14"/>
          <w:color w:val="auto"/>
        </w:rPr>
      </w:pPr>
    </w:p>
    <w:p>
      <w:pPr>
        <w:ind w:left="140" w:right="460" w:hanging="137"/>
        <w:spacing w:after="0" w:line="280" w:lineRule="auto"/>
        <w:tabs>
          <w:tab w:leader="none" w:pos="142"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Executive officers, other members of our Executive Leadership Team and directors are subject to robust stock ownership guidelines</w:t>
      </w:r>
    </w:p>
    <w:p>
      <w:pPr>
        <w:spacing w:after="0" w:line="1" w:lineRule="exact"/>
        <w:rPr>
          <w:rFonts w:ascii="Arial" w:cs="Arial" w:eastAsia="Arial" w:hAnsi="Arial"/>
          <w:sz w:val="14"/>
          <w:szCs w:val="14"/>
          <w:color w:val="auto"/>
        </w:rPr>
      </w:pPr>
    </w:p>
    <w:p>
      <w:pPr>
        <w:ind w:left="140" w:right="280" w:hanging="137"/>
        <w:spacing w:after="0" w:line="282" w:lineRule="auto"/>
        <w:tabs>
          <w:tab w:leader="none" w:pos="142"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Directors and officers are prohibited from hedging and pledging our common stock</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Practices</w:t>
      </w:r>
    </w:p>
    <w:p>
      <w:pPr>
        <w:spacing w:after="0" w:line="62" w:lineRule="exact"/>
        <w:rPr>
          <w:sz w:val="20"/>
          <w:szCs w:val="20"/>
          <w:color w:val="auto"/>
        </w:rPr>
      </w:pPr>
    </w:p>
    <w:p>
      <w:pPr>
        <w:ind w:left="140" w:hanging="137"/>
        <w:spacing w:after="0"/>
        <w:tabs>
          <w:tab w:leader="none" w:pos="1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have an independent Chair</w:t>
      </w:r>
    </w:p>
    <w:p>
      <w:pPr>
        <w:spacing w:after="0" w:line="39" w:lineRule="exact"/>
        <w:rPr>
          <w:rFonts w:ascii="Arial" w:cs="Arial" w:eastAsia="Arial" w:hAnsi="Arial"/>
          <w:sz w:val="14"/>
          <w:szCs w:val="14"/>
          <w:color w:val="auto"/>
        </w:rPr>
      </w:pPr>
    </w:p>
    <w:p>
      <w:pPr>
        <w:ind w:left="140" w:right="400" w:hanging="137"/>
        <w:spacing w:after="0" w:line="272" w:lineRule="auto"/>
        <w:tabs>
          <w:tab w:leader="none" w:pos="142"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Corporate Governance Guidelines are publicly available and reviewed annually</w:t>
      </w:r>
    </w:p>
    <w:p>
      <w:pPr>
        <w:ind w:left="140" w:right="500" w:hanging="137"/>
        <w:spacing w:after="0" w:line="280" w:lineRule="auto"/>
        <w:tabs>
          <w:tab w:leader="none" w:pos="142"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have a rigorous annual Board, committee and individual director self-evaluation process</w:t>
      </w:r>
    </w:p>
    <w:p>
      <w:pPr>
        <w:spacing w:after="0" w:line="1" w:lineRule="exact"/>
        <w:rPr>
          <w:rFonts w:ascii="Arial" w:cs="Arial" w:eastAsia="Arial" w:hAnsi="Arial"/>
          <w:sz w:val="14"/>
          <w:szCs w:val="14"/>
          <w:color w:val="auto"/>
        </w:rPr>
      </w:pPr>
    </w:p>
    <w:p>
      <w:pPr>
        <w:ind w:left="140" w:hanging="137"/>
        <w:spacing w:after="0"/>
        <w:tabs>
          <w:tab w:leader="none" w:pos="1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have an ongoing refreshment process in place for the Board</w:t>
      </w:r>
    </w:p>
    <w:p>
      <w:pPr>
        <w:spacing w:after="0" w:line="189" w:lineRule="exact"/>
        <w:rPr>
          <w:sz w:val="20"/>
          <w:szCs w:val="20"/>
          <w:color w:val="auto"/>
        </w:rPr>
      </w:pPr>
    </w:p>
    <w:p>
      <w:pPr>
        <w:sectPr>
          <w:pgSz w:w="11900" w:h="16838" w:orient="portrait"/>
          <w:cols w:equalWidth="0" w:num="2">
            <w:col w:w="4969" w:space="720"/>
            <w:col w:w="5200"/>
          </w:cols>
          <w:pgMar w:left="471" w:top="378" w:right="539" w:bottom="1440" w:gutter="0" w:footer="0" w:header="0"/>
          <w:type w:val="continuous"/>
        </w:sectPr>
      </w:pPr>
    </w:p>
    <w:p>
      <w:pPr>
        <w:ind w:left="9"/>
        <w:spacing w:after="0"/>
        <w:rPr>
          <w:sz w:val="20"/>
          <w:szCs w:val="20"/>
          <w:color w:val="auto"/>
        </w:rPr>
      </w:pPr>
      <w:r>
        <w:rPr>
          <w:rFonts w:ascii="Arial" w:cs="Arial" w:eastAsia="Arial" w:hAnsi="Arial"/>
          <w:sz w:val="11"/>
          <w:szCs w:val="11"/>
          <w:b w:val="1"/>
          <w:bCs w:val="1"/>
          <w:color w:val="auto"/>
        </w:rPr>
        <w:t xml:space="preserve">10 </w:t>
      </w:r>
      <w:r>
        <w:rPr>
          <w:rFonts w:ascii="Arial" w:cs="Arial" w:eastAsia="Arial" w:hAnsi="Arial"/>
          <w:sz w:val="11"/>
          <w:szCs w:val="11"/>
          <w:color w:val="auto"/>
        </w:rPr>
        <w:t>/ PVH CORP. 2026 PROXY STATEMENT</w:t>
      </w:r>
      <w:r>
        <w:rPr>
          <w:rFonts w:ascii="Arial" w:cs="Arial" w:eastAsia="Arial" w:hAnsi="Arial"/>
          <w:sz w:val="11"/>
          <w:szCs w:val="11"/>
          <w:b w:val="1"/>
          <w:bCs w:val="1"/>
          <w:color w:val="auto"/>
        </w:rPr>
        <w:t xml:space="preserve"> / </w:t>
      </w:r>
      <w:r>
        <w:rPr>
          <w:rFonts w:ascii="Arial" w:cs="Arial" w:eastAsia="Arial" w:hAnsi="Arial"/>
          <w:sz w:val="11"/>
          <w:szCs w:val="11"/>
          <w:b w:val="1"/>
          <w:bCs w:val="1"/>
          <w:color w:val="6D98AD"/>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889"/>
          </w:cols>
          <w:pgMar w:left="471" w:top="378" w:right="539" w:bottom="1440" w:gutter="0" w:footer="0" w:header="0"/>
          <w:type w:val="continuous"/>
        </w:sectPr>
      </w:pPr>
    </w:p>
    <w:bookmarkStart w:id="13" w:name="page14"/>
    <w:bookmarkEnd w:id="13"/>
    <w:p>
      <w:pPr>
        <w:ind w:left="9"/>
        <w:spacing w:after="0"/>
        <w:rPr>
          <w:sz w:val="20"/>
          <w:szCs w:val="20"/>
          <w:color w:val="auto"/>
        </w:rPr>
      </w:pPr>
      <w:r>
        <w:rPr>
          <w:rFonts w:ascii="Arial" w:cs="Arial" w:eastAsia="Arial" w:hAnsi="Arial"/>
          <w:sz w:val="22"/>
          <w:szCs w:val="22"/>
          <w:b w:val="1"/>
          <w:bCs w:val="1"/>
          <w:color w:val="auto"/>
        </w:rPr>
        <w:t>Governance</w:t>
      </w:r>
    </w:p>
    <w:p>
      <w:pPr>
        <w:spacing w:after="0" w:line="62" w:lineRule="exact"/>
        <w:rPr>
          <w:sz w:val="20"/>
          <w:szCs w:val="20"/>
          <w:color w:val="auto"/>
        </w:rPr>
      </w:pPr>
    </w:p>
    <w:p>
      <w:pPr>
        <w:ind w:left="149" w:right="60" w:hanging="149"/>
        <w:spacing w:after="0" w:line="272" w:lineRule="auto"/>
        <w:tabs>
          <w:tab w:leader="none" w:pos="151"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are committed to the development of our associates and recognize that they are our greatest asset and key to our continued success</w:t>
      </w:r>
    </w:p>
    <w:p>
      <w:pPr>
        <w:ind w:left="149" w:right="120" w:hanging="149"/>
        <w:spacing w:after="0" w:line="280" w:lineRule="auto"/>
        <w:tabs>
          <w:tab w:leader="none" w:pos="151"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continuously review governance practices and consider adopting additional best practice principles</w:t>
      </w:r>
    </w:p>
    <w:p>
      <w:pPr>
        <w:spacing w:after="0" w:line="1" w:lineRule="exact"/>
        <w:rPr>
          <w:rFonts w:ascii="Arial" w:cs="Arial" w:eastAsia="Arial" w:hAnsi="Arial"/>
          <w:sz w:val="14"/>
          <w:szCs w:val="14"/>
          <w:color w:val="auto"/>
        </w:rPr>
      </w:pPr>
    </w:p>
    <w:p>
      <w:pPr>
        <w:ind w:left="149" w:hanging="149"/>
        <w:spacing w:after="0" w:line="272" w:lineRule="auto"/>
        <w:tabs>
          <w:tab w:leader="none" w:pos="151"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embrace clear, understandable and detailed financial reporting and corporate disclosure</w:t>
      </w:r>
    </w:p>
    <w:p>
      <w:pPr>
        <w:ind w:left="149" w:right="260" w:hanging="149"/>
        <w:spacing w:after="0" w:line="264" w:lineRule="auto"/>
        <w:tabs>
          <w:tab w:leader="none" w:pos="151"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Code of Business Conduct and Ethics, our Code of Ethics for our Chief Executive Officer and Senior Financial Officers, and the charters for all of our Board committees are available on our website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Corporate Responsibility</w:t>
      </w:r>
    </w:p>
    <w:p>
      <w:pPr>
        <w:spacing w:after="0" w:line="62" w:lineRule="exact"/>
        <w:rPr>
          <w:sz w:val="20"/>
          <w:szCs w:val="20"/>
          <w:color w:val="auto"/>
        </w:rPr>
      </w:pPr>
    </w:p>
    <w:p>
      <w:pPr>
        <w:ind w:left="140" w:right="20" w:hanging="137"/>
        <w:spacing w:after="0" w:line="263" w:lineRule="auto"/>
        <w:tabs>
          <w:tab w:leader="none" w:pos="142"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are committed to delivering against our corporate responsibility commitments, and provide substantial information about our practices and policies on our website and in our annual Corporate Responsibility Report</w:t>
      </w:r>
    </w:p>
    <w:p>
      <w:pPr>
        <w:ind w:left="140" w:right="120" w:hanging="137"/>
        <w:spacing w:after="0" w:line="258" w:lineRule="auto"/>
        <w:tabs>
          <w:tab w:leader="none" w:pos="142"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We first adopted our </w:t>
      </w:r>
      <w:r>
        <w:rPr>
          <w:rFonts w:ascii="Arial" w:cs="Arial" w:eastAsia="Arial" w:hAnsi="Arial"/>
          <w:sz w:val="14"/>
          <w:szCs w:val="14"/>
          <w:i w:val="1"/>
          <w:iCs w:val="1"/>
          <w:color w:val="auto"/>
        </w:rPr>
        <w:t>A Shared Commitment</w:t>
      </w:r>
      <w:r>
        <w:rPr>
          <w:rFonts w:ascii="Arial" w:cs="Arial" w:eastAsia="Arial" w:hAnsi="Arial"/>
          <w:sz w:val="14"/>
          <w:szCs w:val="14"/>
          <w:color w:val="auto"/>
        </w:rPr>
        <w:t xml:space="preserve"> code of conduct for suppliers and business partners in 1991, and have since expanded its scope and adapted its goals to embody our commitment to the workers who manufacture our products, their communities and the environment</w:t>
      </w:r>
    </w:p>
    <w:p>
      <w:pPr>
        <w:spacing w:after="0" w:line="571" w:lineRule="exact"/>
        <w:rPr>
          <w:sz w:val="20"/>
          <w:szCs w:val="20"/>
          <w:color w:val="auto"/>
        </w:rPr>
      </w:pPr>
    </w:p>
    <w:p>
      <w:pPr>
        <w:sectPr>
          <w:pgSz w:w="11900" w:h="16838" w:orient="portrait"/>
          <w:cols w:equalWidth="0" w:num="2">
            <w:col w:w="5209" w:space="480"/>
            <w:col w:w="5260"/>
          </w:cols>
          <w:pgMar w:left="471" w:top="119" w:right="479" w:bottom="1440" w:gutter="0" w:footer="0" w:header="0"/>
        </w:sectPr>
      </w:pPr>
    </w:p>
    <w:p>
      <w:pPr>
        <w:ind w:left="9"/>
        <w:spacing w:after="0"/>
        <w:rPr>
          <w:sz w:val="20"/>
          <w:szCs w:val="20"/>
          <w:color w:val="auto"/>
        </w:rPr>
      </w:pPr>
      <w:r>
        <w:rPr>
          <w:rFonts w:ascii="Arial" w:cs="Arial" w:eastAsia="Arial" w:hAnsi="Arial"/>
          <w:sz w:val="22"/>
          <w:szCs w:val="22"/>
          <w:b w:val="1"/>
          <w:bCs w:val="1"/>
          <w:color w:val="auto"/>
        </w:rPr>
        <w:t>2025 Governance Actions</w:t>
      </w:r>
    </w:p>
    <w:p>
      <w:pPr>
        <w:spacing w:after="0" w:line="62" w:lineRule="exact"/>
        <w:rPr>
          <w:sz w:val="20"/>
          <w:szCs w:val="20"/>
          <w:color w:val="auto"/>
        </w:rPr>
      </w:pPr>
    </w:p>
    <w:p>
      <w:pPr>
        <w:ind w:left="9"/>
        <w:spacing w:after="0"/>
        <w:rPr>
          <w:sz w:val="20"/>
          <w:szCs w:val="20"/>
          <w:color w:val="auto"/>
        </w:rPr>
      </w:pPr>
      <w:r>
        <w:rPr>
          <w:rFonts w:ascii="Arial" w:cs="Arial" w:eastAsia="Arial" w:hAnsi="Arial"/>
          <w:sz w:val="14"/>
          <w:szCs w:val="14"/>
          <w:color w:val="auto"/>
        </w:rPr>
        <w:t>We are continuing our pursuit of excellence in governance matters and of our commitment to corporate responsibility.</w:t>
      </w:r>
    </w:p>
    <w:p>
      <w:pPr>
        <w:sectPr>
          <w:pgSz w:w="11900" w:h="16838" w:orient="portrait"/>
          <w:cols w:equalWidth="0" w:num="1">
            <w:col w:w="10949"/>
          </w:cols>
          <w:pgMar w:left="471" w:top="119" w:right="479" w:bottom="1440" w:gutter="0" w:footer="0" w:header="0"/>
          <w:type w:val="continuous"/>
        </w:sectPr>
      </w:pPr>
    </w:p>
    <w:p>
      <w:pPr>
        <w:spacing w:after="0" w:line="145" w:lineRule="exact"/>
        <w:rPr>
          <w:sz w:val="20"/>
          <w:szCs w:val="20"/>
          <w:color w:val="auto"/>
        </w:rPr>
      </w:pPr>
    </w:p>
    <w:p>
      <w:pPr>
        <w:ind w:left="149" w:hanging="149"/>
        <w:spacing w:after="0" w:line="255" w:lineRule="auto"/>
        <w:tabs>
          <w:tab w:leader="none" w:pos="151"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have an on-going Board refreshment program, with a focus on the directors having a range of experiences and skills. As a result of this effort, four directors have joined our Board over the last four years. Coupled with director retirements and resignations, this has reduced the average tenure of our director nominees over the last five years from 8.8 years to 6.2 years.</w:t>
      </w:r>
    </w:p>
    <w:p>
      <w:pPr>
        <w:spacing w:after="0" w:line="16" w:lineRule="exact"/>
        <w:rPr>
          <w:rFonts w:ascii="Arial" w:cs="Arial" w:eastAsia="Arial" w:hAnsi="Arial"/>
          <w:sz w:val="14"/>
          <w:szCs w:val="14"/>
          <w:color w:val="auto"/>
        </w:rPr>
      </w:pPr>
    </w:p>
    <w:p>
      <w:pPr>
        <w:ind w:left="149" w:hanging="149"/>
        <w:spacing w:after="0"/>
        <w:tabs>
          <w:tab w:leader="none" w:pos="149"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published our 17th annual Corporate Responsibility Report in 2025.</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137" w:right="160" w:hanging="137"/>
        <w:spacing w:after="0" w:line="264" w:lineRule="auto"/>
        <w:tabs>
          <w:tab w:leader="none" w:pos="139"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recently amended our By-Laws to lower the threshold required for stockholders to call a special meeting from a majority to 25% of our outstanding shares, which is consistent with peer companies.</w:t>
      </w:r>
    </w:p>
    <w:p>
      <w:pPr>
        <w:spacing w:after="0" w:line="690" w:lineRule="exact"/>
        <w:rPr>
          <w:sz w:val="20"/>
          <w:szCs w:val="20"/>
          <w:color w:val="auto"/>
        </w:rPr>
      </w:pPr>
    </w:p>
    <w:p>
      <w:pPr>
        <w:sectPr>
          <w:pgSz w:w="11900" w:h="16838" w:orient="portrait"/>
          <w:cols w:equalWidth="0" w:num="2">
            <w:col w:w="5149" w:space="543"/>
            <w:col w:w="5257"/>
          </w:cols>
          <w:pgMar w:left="471" w:top="119" w:right="479" w:bottom="1440" w:gutter="0" w:footer="0" w:header="0"/>
          <w:type w:val="continuous"/>
        </w:sectPr>
      </w:pPr>
    </w:p>
    <w:p>
      <w:pPr>
        <w:ind w:left="7589"/>
        <w:spacing w:after="0"/>
        <w:rPr>
          <w:sz w:val="20"/>
          <w:szCs w:val="20"/>
          <w:color w:val="auto"/>
        </w:rPr>
      </w:pPr>
      <w:r>
        <w:rPr>
          <w:rFonts w:ascii="Arial" w:cs="Arial" w:eastAsia="Arial" w:hAnsi="Arial"/>
          <w:sz w:val="11"/>
          <w:szCs w:val="11"/>
          <w:b w:val="1"/>
          <w:bCs w:val="1"/>
          <w:color w:val="6D98AD"/>
        </w:rPr>
        <w:t xml:space="preserve">PROXY SUMMARY </w:t>
      </w:r>
      <w:r>
        <w:rPr>
          <w:rFonts w:ascii="Arial" w:cs="Arial" w:eastAsia="Arial" w:hAnsi="Arial"/>
          <w:sz w:val="11"/>
          <w:szCs w:val="11"/>
          <w:b w:val="1"/>
          <w:bCs w:val="1"/>
          <w:color w:val="000000"/>
        </w:rPr>
        <w:t>/</w:t>
      </w:r>
      <w:r>
        <w:rPr>
          <w:rFonts w:ascii="Arial" w:cs="Arial" w:eastAsia="Arial" w:hAnsi="Arial"/>
          <w:sz w:val="11"/>
          <w:szCs w:val="11"/>
          <w:b w:val="1"/>
          <w:bCs w:val="1"/>
          <w:color w:val="6D98AD"/>
        </w:rPr>
        <w:t xml:space="preserve"> </w:t>
      </w:r>
      <w:r>
        <w:rPr>
          <w:rFonts w:ascii="Arial" w:cs="Arial" w:eastAsia="Arial" w:hAnsi="Arial"/>
          <w:sz w:val="11"/>
          <w:szCs w:val="11"/>
          <w:color w:val="000000"/>
        </w:rPr>
        <w:t>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695515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119" w:right="47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41"/>
          <w:szCs w:val="41"/>
          <w:b w:val="1"/>
          <w:bCs w:val="1"/>
          <w:color w:val="6D98AD"/>
        </w:rPr>
        <w:t>Proposal 1:</w:t>
      </w:r>
    </w:p>
    <w:p>
      <w:pPr>
        <w:spacing w:after="0" w:line="30" w:lineRule="exact"/>
        <w:rPr>
          <w:sz w:val="20"/>
          <w:szCs w:val="20"/>
          <w:color w:val="auto"/>
        </w:rPr>
      </w:pPr>
    </w:p>
    <w:p>
      <w:pPr>
        <w:spacing w:after="0"/>
        <w:rPr>
          <w:sz w:val="20"/>
          <w:szCs w:val="20"/>
          <w:color w:val="auto"/>
        </w:rPr>
      </w:pPr>
      <w:r>
        <w:rPr>
          <w:rFonts w:ascii="Arial" w:cs="Arial" w:eastAsia="Arial" w:hAnsi="Arial"/>
          <w:sz w:val="41"/>
          <w:szCs w:val="41"/>
          <w:b w:val="1"/>
          <w:bCs w:val="1"/>
          <w:color w:val="auto"/>
        </w:rPr>
        <w:t>Election of Directors</w:t>
      </w:r>
    </w:p>
    <w:p>
      <w:pPr>
        <w:spacing w:after="0" w:line="200" w:lineRule="exact"/>
        <w:rPr>
          <w:sz w:val="20"/>
          <w:szCs w:val="20"/>
          <w:color w:val="auto"/>
        </w:rPr>
      </w:pPr>
    </w:p>
    <w:p>
      <w:pPr>
        <w:spacing w:after="0" w:line="369" w:lineRule="exact"/>
        <w:rPr>
          <w:sz w:val="20"/>
          <w:szCs w:val="20"/>
          <w:color w:val="auto"/>
        </w:rPr>
      </w:pPr>
    </w:p>
    <w:p>
      <w:pPr>
        <w:jc w:val="both"/>
        <w:ind w:right="3400"/>
        <w:spacing w:after="0" w:line="223" w:lineRule="auto"/>
        <w:rPr>
          <w:sz w:val="20"/>
          <w:szCs w:val="20"/>
          <w:color w:val="auto"/>
        </w:rPr>
      </w:pPr>
      <w:r>
        <w:rPr>
          <w:rFonts w:ascii="Arial" w:cs="Arial" w:eastAsia="Arial" w:hAnsi="Arial"/>
          <w:sz w:val="18"/>
          <w:szCs w:val="18"/>
          <w:color w:val="auto"/>
        </w:rPr>
        <w:t>The PVH Board of Directors currently consists of ten directors, all of whom are nominees at the Annual Meeting. All nominees elected as directors at the Annual Meeting will serve for a term of one year or until their successors are elected and qualified.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5204460</wp:posOffset>
            </wp:positionH>
            <wp:positionV relativeFrom="paragraph">
              <wp:posOffset>-350520</wp:posOffset>
            </wp:positionV>
            <wp:extent cx="7620" cy="13309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20" cy="1330960"/>
                    </a:xfrm>
                    <a:prstGeom prst="rect">
                      <a:avLst/>
                    </a:prstGeom>
                    <a:noFill/>
                  </pic:spPr>
                </pic:pic>
              </a:graphicData>
            </a:graphic>
          </wp:anchor>
        </w:drawing>
        <w:drawing>
          <wp:anchor simplePos="0" relativeHeight="251657728" behindDoc="1" locked="0" layoutInCell="0" allowOverlap="1">
            <wp:simplePos x="0" y="0"/>
            <wp:positionH relativeFrom="column">
              <wp:posOffset>5332095</wp:posOffset>
            </wp:positionH>
            <wp:positionV relativeFrom="paragraph">
              <wp:posOffset>-306070</wp:posOffset>
            </wp:positionV>
            <wp:extent cx="321310" cy="291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1310" cy="291465"/>
                    </a:xfrm>
                    <a:prstGeom prst="rect">
                      <a:avLst/>
                    </a:prstGeom>
                    <a:noFill/>
                  </pic:spPr>
                </pic:pic>
              </a:graphicData>
            </a:graphic>
          </wp:anchor>
        </w:drawing>
      </w:r>
    </w:p>
    <w:p>
      <w:pPr>
        <w:ind w:left="8400"/>
        <w:spacing w:after="0" w:line="200" w:lineRule="auto"/>
        <w:rPr>
          <w:sz w:val="20"/>
          <w:szCs w:val="20"/>
          <w:color w:val="auto"/>
        </w:rPr>
      </w:pPr>
      <w:r>
        <w:rPr>
          <w:rFonts w:ascii="Arial" w:cs="Arial" w:eastAsia="Arial" w:hAnsi="Arial"/>
          <w:sz w:val="8"/>
          <w:szCs w:val="8"/>
          <w:color w:val="auto"/>
        </w:rPr>
        <w:t>The Board of Directors recommends a</w:t>
      </w:r>
    </w:p>
    <w:p>
      <w:pPr>
        <w:spacing w:after="0"/>
        <w:tabs>
          <w:tab w:leader="none" w:pos="8380" w:val="left"/>
        </w:tabs>
        <w:rPr>
          <w:sz w:val="20"/>
          <w:szCs w:val="20"/>
          <w:color w:val="auto"/>
        </w:rPr>
      </w:pPr>
      <w:r>
        <w:rPr>
          <w:rFonts w:ascii="Arial" w:cs="Arial" w:eastAsia="Arial" w:hAnsi="Arial"/>
          <w:sz w:val="19"/>
          <w:szCs w:val="19"/>
          <w:color w:val="auto"/>
        </w:rPr>
        <w:t>Directors is not currently aware of any reason why any nominee might be unable to serve.</w:t>
      </w:r>
      <w:r>
        <w:rPr>
          <w:sz w:val="20"/>
          <w:szCs w:val="20"/>
          <w:color w:val="auto"/>
        </w:rPr>
        <w:tab/>
      </w:r>
      <w:r>
        <w:rPr>
          <w:rFonts w:ascii="Arial" w:cs="Arial" w:eastAsia="Arial" w:hAnsi="Arial"/>
          <w:sz w:val="21"/>
          <w:szCs w:val="21"/>
          <w:color w:val="auto"/>
          <w:vertAlign w:val="subscript"/>
        </w:rPr>
        <w:t>vote FOR the election of the ten</w:t>
      </w:r>
    </w:p>
    <w:p>
      <w:pPr>
        <w:spacing w:after="0" w:line="13"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nominees introduced below.</w:t>
      </w:r>
    </w:p>
    <w:p>
      <w:pPr>
        <w:spacing w:after="0" w:line="84"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Proxies received in response to this</w:t>
      </w:r>
    </w:p>
    <w:p>
      <w:pPr>
        <w:spacing w:after="0" w:line="18"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solicitation will be voted FOR the</w:t>
      </w:r>
    </w:p>
    <w:p>
      <w:pPr>
        <w:spacing w:after="0" w:line="4"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election of all ten nominees unless the</w:t>
      </w:r>
    </w:p>
    <w:p>
      <w:pPr>
        <w:spacing w:after="0" w:line="4"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stockholder specifies otherwise.</w:t>
      </w:r>
    </w:p>
    <w:p>
      <w:pPr>
        <w:spacing w:after="0" w:line="273" w:lineRule="exact"/>
        <w:rPr>
          <w:sz w:val="20"/>
          <w:szCs w:val="20"/>
          <w:color w:val="auto"/>
        </w:rPr>
      </w:pPr>
    </w:p>
    <w:p>
      <w:pPr>
        <w:ind w:right="140"/>
        <w:spacing w:after="0" w:line="241" w:lineRule="auto"/>
        <w:rPr>
          <w:sz w:val="20"/>
          <w:szCs w:val="20"/>
          <w:color w:val="auto"/>
        </w:rPr>
      </w:pPr>
      <w:r>
        <w:rPr>
          <w:rFonts w:ascii="Arial" w:cs="Arial" w:eastAsia="Arial" w:hAnsi="Arial"/>
          <w:sz w:val="19"/>
          <w:szCs w:val="19"/>
          <w:color w:val="auto"/>
        </w:rPr>
        <w:t>The election of directors in an uncontested election requires the affirmative vote of a majority of the votes cast at an annual meeting. Our Corporate Governance Guidelines provide that a director seeking re-election who does not receive a majority vote from stockholders must offer a letter of resignation. The Nominating, Governance &amp; Management Development Committee will make a recommendation to the full Board on whether to accept or reject any such resignation, or whether other action should be taken.</w:t>
      </w:r>
    </w:p>
    <w:p>
      <w:pPr>
        <w:spacing w:after="0" w:line="69" w:lineRule="exact"/>
        <w:rPr>
          <w:sz w:val="20"/>
          <w:szCs w:val="20"/>
          <w:color w:val="auto"/>
        </w:rPr>
      </w:pPr>
    </w:p>
    <w:p>
      <w:pPr>
        <w:ind w:right="100"/>
        <w:spacing w:after="0" w:line="243" w:lineRule="auto"/>
        <w:rPr>
          <w:sz w:val="20"/>
          <w:szCs w:val="20"/>
          <w:color w:val="auto"/>
        </w:rPr>
      </w:pPr>
      <w:r>
        <w:rPr>
          <w:rFonts w:ascii="Arial" w:cs="Arial" w:eastAsia="Arial" w:hAnsi="Arial"/>
          <w:sz w:val="19"/>
          <w:szCs w:val="19"/>
          <w:color w:val="auto"/>
        </w:rPr>
        <w:t>The Board must act on the Nominating, Governance &amp; Management Development Committee’s recommendation and publicly disclose its decision and the rationale behind it within 90 days from the date election results are certified. The Committee and the Board may consider any factors and information they deem appropriate and relevant in making their respective decisions. The director who has tendered a resignation cannot participate in formal discussions about whether to accept that resignation.</w:t>
      </w:r>
    </w:p>
    <w:p>
      <w:pPr>
        <w:spacing w:after="0" w:line="3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12 </w:t>
      </w:r>
      <w:r>
        <w:rPr>
          <w:rFonts w:ascii="Arial" w:cs="Arial" w:eastAsia="Arial" w:hAnsi="Arial"/>
          <w:sz w:val="11"/>
          <w:szCs w:val="11"/>
          <w:color w:val="auto"/>
        </w:rPr>
        <w:t>/ PVH CORP.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695515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800"/>
          </w:cols>
          <w:pgMar w:left="480" w:top="94" w:right="619" w:bottom="1440" w:gutter="0" w:footer="0" w:header="0"/>
        </w:sectPr>
      </w:pPr>
    </w:p>
    <w:bookmarkStart w:id="15" w:name="page16"/>
    <w:bookmarkEnd w:id="15"/>
    <w:p>
      <w:pPr>
        <w:spacing w:after="0"/>
        <w:rPr>
          <w:sz w:val="20"/>
          <w:szCs w:val="20"/>
          <w:color w:val="auto"/>
        </w:rPr>
      </w:pPr>
      <w:r>
        <w:rPr>
          <w:rFonts w:ascii="Arial" w:cs="Arial" w:eastAsia="Arial" w:hAnsi="Arial"/>
          <w:sz w:val="28"/>
          <w:szCs w:val="28"/>
          <w:b w:val="1"/>
          <w:bCs w:val="1"/>
          <w:color w:val="6D98AD"/>
        </w:rPr>
        <w:t>Nominees for Election</w:t>
      </w:r>
    </w:p>
    <w:p>
      <w:pPr>
        <w:sectPr>
          <w:pgSz w:w="11900" w:h="16838" w:orient="portrait"/>
          <w:cols w:equalWidth="0" w:num="1">
            <w:col w:w="10940"/>
          </w:cols>
          <w:pgMar w:left="480" w:top="162" w:right="479" w:bottom="1440" w:gutter="0" w:footer="0" w:header="0"/>
        </w:sectPr>
      </w:pPr>
    </w:p>
    <w:p>
      <w:pPr>
        <w:spacing w:after="0" w:line="319" w:lineRule="exact"/>
        <w:rPr>
          <w:sz w:val="20"/>
          <w:szCs w:val="20"/>
          <w:color w:val="auto"/>
        </w:rPr>
      </w:pPr>
    </w:p>
    <w:p>
      <w:pPr>
        <w:spacing w:after="0"/>
        <w:rPr>
          <w:sz w:val="20"/>
          <w:szCs w:val="20"/>
          <w:color w:val="auto"/>
        </w:rPr>
      </w:pPr>
      <w:r>
        <w:rPr>
          <w:rFonts w:ascii="Arial" w:cs="Arial" w:eastAsia="Arial" w:hAnsi="Arial"/>
          <w:sz w:val="31"/>
          <w:szCs w:val="31"/>
          <w:color w:val="auto"/>
        </w:rPr>
        <w:t>Jesper Andersen</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Executive Vice President and Chief Financial Officer, LEGO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233680</wp:posOffset>
            </wp:positionV>
            <wp:extent cx="694817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pacing w:after="0" w:line="374" w:lineRule="exact"/>
        <w:rPr>
          <w:sz w:val="20"/>
          <w:szCs w:val="20"/>
          <w:color w:val="auto"/>
        </w:rPr>
      </w:pPr>
    </w:p>
    <w:p>
      <w:pPr>
        <w:sectPr>
          <w:pgSz w:w="11900" w:h="16838" w:orient="portrait"/>
          <w:cols w:equalWidth="0" w:num="2">
            <w:col w:w="3280" w:space="720"/>
            <w:col w:w="6940"/>
          </w:cols>
          <w:pgMar w:left="480" w:top="162" w:right="479" w:bottom="1440" w:gutter="0" w:footer="0" w:header="0"/>
          <w:type w:val="continuous"/>
        </w:sectPr>
      </w:pPr>
    </w:p>
    <w:p>
      <w:pPr>
        <w:spacing w:after="0" w:line="118"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-113030</wp:posOffset>
            </wp:positionV>
            <wp:extent cx="822960" cy="8229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107" w:lineRule="exact"/>
        <w:rPr>
          <w:sz w:val="20"/>
          <w:szCs w:val="20"/>
          <w:color w:val="auto"/>
        </w:rPr>
      </w:pPr>
    </w:p>
    <w:p>
      <w:pPr>
        <w:ind w:left="2860" w:right="2340" w:hanging="148"/>
        <w:spacing w:after="0" w:line="272" w:lineRule="auto"/>
        <w:tabs>
          <w:tab w:leader="none" w:pos="2862"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Executive Vice President and Chief Financial Officer of LEGO Group (a global toy company) since October 2020</w:t>
      </w:r>
    </w:p>
    <w:p>
      <w:pPr>
        <w:ind w:left="2860" w:hanging="148"/>
        <w:spacing w:after="0"/>
        <w:tabs>
          <w:tab w:leader="none" w:pos="28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Chief Financial Officer at Upfield from 2018 to 2020</w:t>
      </w:r>
    </w:p>
    <w:p>
      <w:pPr>
        <w:spacing w:after="0" w:line="39" w:lineRule="exact"/>
        <w:rPr>
          <w:rFonts w:ascii="Arial" w:cs="Arial" w:eastAsia="Arial" w:hAnsi="Arial"/>
          <w:sz w:val="14"/>
          <w:szCs w:val="14"/>
          <w:color w:val="auto"/>
        </w:rPr>
      </w:pPr>
    </w:p>
    <w:p>
      <w:pPr>
        <w:ind w:left="2860" w:hanging="148"/>
        <w:spacing w:after="0"/>
        <w:tabs>
          <w:tab w:leader="none" w:pos="28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Chief Financial Officer at Beiersdorf from 2015 to 2018</w:t>
      </w:r>
    </w:p>
    <w:p>
      <w:pPr>
        <w:spacing w:after="0" w:line="27" w:lineRule="exact"/>
        <w:rPr>
          <w:rFonts w:ascii="Arial" w:cs="Arial" w:eastAsia="Arial" w:hAnsi="Arial"/>
          <w:sz w:val="14"/>
          <w:szCs w:val="14"/>
          <w:color w:val="auto"/>
        </w:rPr>
      </w:pPr>
    </w:p>
    <w:p>
      <w:pPr>
        <w:ind w:left="2860" w:right="2200" w:hanging="148"/>
        <w:spacing w:after="0" w:line="245" w:lineRule="auto"/>
        <w:tabs>
          <w:tab w:leader="none" w:pos="2862" w:val="left"/>
        </w:tabs>
        <w:numPr>
          <w:ilvl w:val="0"/>
          <w:numId w:val="23"/>
        </w:numPr>
        <w:rPr>
          <w:rFonts w:ascii="Arial" w:cs="Arial" w:eastAsia="Arial" w:hAnsi="Arial"/>
          <w:sz w:val="14"/>
          <w:szCs w:val="14"/>
          <w:color w:val="auto"/>
        </w:rPr>
      </w:pPr>
      <w:r>
        <w:rPr>
          <w:rFonts w:ascii="Arial" w:cs="Arial" w:eastAsia="Arial" w:hAnsi="Arial"/>
          <w:sz w:val="14"/>
          <w:szCs w:val="14"/>
          <w:color w:val="auto"/>
        </w:rPr>
        <w:t>Various finance leadership roles at Colgate-Palmolive in Europe, Asia and North America from 1994 to 2015</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6D98AD"/>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-26035</wp:posOffset>
            </wp:positionV>
            <wp:extent cx="522033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20335" cy="7620"/>
                    </a:xfrm>
                    <a:prstGeom prst="rect">
                      <a:avLst/>
                    </a:prstGeom>
                    <a:noFill/>
                  </pic:spPr>
                </pic:pic>
              </a:graphicData>
            </a:graphic>
          </wp:anchor>
        </w:drawing>
      </w:r>
    </w:p>
    <w:p>
      <w:pPr>
        <w:sectPr>
          <w:pgSz w:w="11900" w:h="16838" w:orient="portrait"/>
          <w:cols w:equalWidth="0" w:num="1">
            <w:col w:w="10940"/>
          </w:cols>
          <w:pgMar w:left="480" w:top="162" w:right="47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Age: 55</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Director Since 2024</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 Audit &amp; Risk Management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31"/>
          <w:szCs w:val="31"/>
          <w:color w:val="auto"/>
        </w:rPr>
        <w:t>Ajay Bhalla</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Expertise</w:t>
            </w:r>
          </w:p>
        </w:tc>
        <w:tc>
          <w:tcPr>
            <w:tcW w:w="3900" w:type="dxa"/>
            <w:vAlign w:val="bottom"/>
          </w:tcPr>
          <w:p>
            <w:pPr>
              <w:ind w:left="220"/>
              <w:spacing w:after="0"/>
              <w:rPr>
                <w:sz w:val="20"/>
                <w:szCs w:val="20"/>
                <w:color w:val="auto"/>
              </w:rPr>
            </w:pPr>
            <w:r>
              <w:rPr>
                <w:rFonts w:ascii="Arial" w:cs="Arial" w:eastAsia="Arial" w:hAnsi="Arial"/>
                <w:sz w:val="16"/>
                <w:szCs w:val="16"/>
                <w:b w:val="1"/>
                <w:bCs w:val="1"/>
                <w:color w:val="auto"/>
              </w:rPr>
              <w:t>Other public company boards</w:t>
            </w:r>
          </w:p>
        </w:tc>
      </w:tr>
      <w:tr>
        <w:trPr>
          <w:trHeight w:val="259"/>
        </w:trPr>
        <w:tc>
          <w:tcPr>
            <w:tcW w:w="4320" w:type="dxa"/>
            <w:vAlign w:val="bottom"/>
          </w:tcPr>
          <w:p>
            <w:pPr>
              <w:ind w:left="20"/>
              <w:spacing w:after="0"/>
              <w:rPr>
                <w:sz w:val="20"/>
                <w:szCs w:val="20"/>
                <w:color w:val="auto"/>
              </w:rPr>
            </w:pPr>
            <w:r>
              <w:rPr>
                <w:rFonts w:ascii="Arial" w:cs="Arial" w:eastAsia="Arial" w:hAnsi="Arial"/>
                <w:sz w:val="14"/>
                <w:szCs w:val="14"/>
                <w:color w:val="auto"/>
              </w:rPr>
              <w:t>Mr. Andersen is a seasoned global leader with experience driving</w:t>
            </w:r>
          </w:p>
        </w:tc>
        <w:tc>
          <w:tcPr>
            <w:tcW w:w="3900" w:type="dxa"/>
            <w:vAlign w:val="bottom"/>
          </w:tcPr>
          <w:p>
            <w:pPr>
              <w:ind w:left="220"/>
              <w:spacing w:after="0"/>
              <w:rPr>
                <w:sz w:val="20"/>
                <w:szCs w:val="20"/>
                <w:color w:val="auto"/>
              </w:rPr>
            </w:pPr>
            <w:r>
              <w:rPr>
                <w:rFonts w:ascii="Arial" w:cs="Arial" w:eastAsia="Arial" w:hAnsi="Arial"/>
                <w:sz w:val="14"/>
                <w:szCs w:val="14"/>
                <w:color w:val="auto"/>
              </w:rPr>
              <w:t>• None</w:t>
            </w:r>
          </w:p>
        </w:tc>
      </w:tr>
      <w:tr>
        <w:trPr>
          <w:trHeight w:val="165"/>
        </w:trPr>
        <w:tc>
          <w:tcPr>
            <w:tcW w:w="4320" w:type="dxa"/>
            <w:vAlign w:val="bottom"/>
          </w:tcPr>
          <w:p>
            <w:pPr>
              <w:ind w:left="20"/>
              <w:spacing w:after="0"/>
              <w:rPr>
                <w:sz w:val="20"/>
                <w:szCs w:val="20"/>
                <w:color w:val="auto"/>
              </w:rPr>
            </w:pPr>
            <w:r>
              <w:rPr>
                <w:rFonts w:ascii="Arial" w:cs="Arial" w:eastAsia="Arial" w:hAnsi="Arial"/>
                <w:sz w:val="14"/>
                <w:szCs w:val="14"/>
                <w:color w:val="auto"/>
              </w:rPr>
              <w:t>sustainable, brand-accretive growth at one of the most iconic,</w:t>
            </w:r>
          </w:p>
        </w:tc>
        <w:tc>
          <w:tcPr>
            <w:tcW w:w="3900" w:type="dxa"/>
            <w:vAlign w:val="bottom"/>
          </w:tcPr>
          <w:p>
            <w:pPr>
              <w:spacing w:after="0"/>
              <w:rPr>
                <w:sz w:val="14"/>
                <w:szCs w:val="14"/>
                <w:color w:val="auto"/>
              </w:rPr>
            </w:pPr>
          </w:p>
        </w:tc>
      </w:tr>
      <w:tr>
        <w:trPr>
          <w:trHeight w:val="165"/>
        </w:trPr>
        <w:tc>
          <w:tcPr>
            <w:tcW w:w="4320" w:type="dxa"/>
            <w:vAlign w:val="bottom"/>
          </w:tcPr>
          <w:p>
            <w:pPr>
              <w:ind w:left="20"/>
              <w:spacing w:after="0"/>
              <w:rPr>
                <w:sz w:val="20"/>
                <w:szCs w:val="20"/>
                <w:color w:val="auto"/>
              </w:rPr>
            </w:pPr>
            <w:r>
              <w:rPr>
                <w:rFonts w:ascii="Arial" w:cs="Arial" w:eastAsia="Arial" w:hAnsi="Arial"/>
                <w:sz w:val="14"/>
                <w:szCs w:val="14"/>
                <w:color w:val="auto"/>
              </w:rPr>
              <w:t>high-performing consumer brands in the world. He has strong</w:t>
            </w:r>
          </w:p>
        </w:tc>
        <w:tc>
          <w:tcPr>
            <w:tcW w:w="3900" w:type="dxa"/>
            <w:vAlign w:val="bottom"/>
          </w:tcPr>
          <w:p>
            <w:pPr>
              <w:spacing w:after="0"/>
              <w:rPr>
                <w:sz w:val="14"/>
                <w:szCs w:val="14"/>
                <w:color w:val="auto"/>
              </w:rPr>
            </w:pPr>
          </w:p>
        </w:tc>
      </w:tr>
      <w:tr>
        <w:trPr>
          <w:trHeight w:val="165"/>
        </w:trPr>
        <w:tc>
          <w:tcPr>
            <w:tcW w:w="4320" w:type="dxa"/>
            <w:vAlign w:val="bottom"/>
          </w:tcPr>
          <w:p>
            <w:pPr>
              <w:ind w:left="20"/>
              <w:spacing w:after="0"/>
              <w:rPr>
                <w:sz w:val="20"/>
                <w:szCs w:val="20"/>
                <w:color w:val="auto"/>
              </w:rPr>
            </w:pPr>
            <w:r>
              <w:rPr>
                <w:rFonts w:ascii="Arial" w:cs="Arial" w:eastAsia="Arial" w:hAnsi="Arial"/>
                <w:sz w:val="14"/>
                <w:szCs w:val="14"/>
                <w:color w:val="auto"/>
              </w:rPr>
              <w:t>financial acumen, omnichannel experience and a data-driven</w:t>
            </w:r>
          </w:p>
        </w:tc>
        <w:tc>
          <w:tcPr>
            <w:tcW w:w="3900" w:type="dxa"/>
            <w:vAlign w:val="bottom"/>
          </w:tcPr>
          <w:p>
            <w:pPr>
              <w:spacing w:after="0"/>
              <w:rPr>
                <w:sz w:val="14"/>
                <w:szCs w:val="14"/>
                <w:color w:val="auto"/>
              </w:rPr>
            </w:pPr>
          </w:p>
        </w:tc>
      </w:tr>
      <w:tr>
        <w:trPr>
          <w:trHeight w:val="186"/>
        </w:trPr>
        <w:tc>
          <w:tcPr>
            <w:tcW w:w="4320" w:type="dxa"/>
            <w:vAlign w:val="bottom"/>
          </w:tcPr>
          <w:p>
            <w:pPr>
              <w:ind w:left="20"/>
              <w:spacing w:after="0"/>
              <w:rPr>
                <w:sz w:val="20"/>
                <w:szCs w:val="20"/>
                <w:color w:val="auto"/>
              </w:rPr>
            </w:pPr>
            <w:r>
              <w:rPr>
                <w:rFonts w:ascii="Arial" w:cs="Arial" w:eastAsia="Arial" w:hAnsi="Arial"/>
                <w:sz w:val="14"/>
                <w:szCs w:val="14"/>
                <w:color w:val="auto"/>
              </w:rPr>
              <w:t>approach from over 25 years of global leadership experience.</w:t>
            </w:r>
          </w:p>
        </w:tc>
        <w:tc>
          <w:tcPr>
            <w:tcW w:w="3900" w:type="dxa"/>
            <w:vAlign w:val="bottom"/>
          </w:tcPr>
          <w:p>
            <w:pPr>
              <w:spacing w:after="0"/>
              <w:rPr>
                <w:sz w:val="16"/>
                <w:szCs w:val="16"/>
                <w:color w:val="auto"/>
              </w:rPr>
            </w:pPr>
          </w:p>
        </w:tc>
      </w:tr>
      <w:tr>
        <w:trPr>
          <w:trHeight w:val="121"/>
        </w:trPr>
        <w:tc>
          <w:tcPr>
            <w:tcW w:w="4320" w:type="dxa"/>
            <w:vAlign w:val="bottom"/>
            <w:tcBorders>
              <w:bottom w:val="single" w:sz="8" w:color="auto"/>
            </w:tcBorders>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r>
    </w:tbl>
    <w:p>
      <w:pPr>
        <w:spacing w:after="0" w:line="308" w:lineRule="exact"/>
        <w:rPr>
          <w:sz w:val="20"/>
          <w:szCs w:val="20"/>
          <w:color w:val="auto"/>
        </w:rPr>
      </w:pPr>
    </w:p>
    <w:p>
      <w:pPr>
        <w:ind w:left="1300"/>
        <w:spacing w:after="0"/>
        <w:rPr>
          <w:sz w:val="20"/>
          <w:szCs w:val="20"/>
          <w:color w:val="auto"/>
        </w:rPr>
      </w:pPr>
      <w:r>
        <w:rPr>
          <w:rFonts w:ascii="Arial" w:cs="Arial" w:eastAsia="Arial" w:hAnsi="Arial"/>
          <w:sz w:val="14"/>
          <w:szCs w:val="14"/>
          <w:i w:val="1"/>
          <w:iCs w:val="1"/>
          <w:color w:val="auto"/>
        </w:rPr>
        <w:t>Former President, Cyber &amp; Intelligence, Mastercard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240665</wp:posOffset>
            </wp:positionV>
            <wp:extent cx="694817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pacing w:after="0" w:line="374" w:lineRule="exact"/>
        <w:rPr>
          <w:sz w:val="20"/>
          <w:szCs w:val="20"/>
          <w:color w:val="auto"/>
        </w:rPr>
      </w:pPr>
    </w:p>
    <w:p>
      <w:pPr>
        <w:sectPr>
          <w:pgSz w:w="11900" w:h="16838" w:orient="portrait"/>
          <w:cols w:equalWidth="0" w:num="2">
            <w:col w:w="1980" w:space="720"/>
            <w:col w:w="8240"/>
          </w:cols>
          <w:pgMar w:left="480" w:top="162"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6D98AD"/>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-988060</wp:posOffset>
            </wp:positionV>
            <wp:extent cx="822960" cy="8229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Age: 60</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Director Since 2022</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 Audit &amp; Risk Management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Experience</w:t>
      </w:r>
    </w:p>
    <w:p>
      <w:pPr>
        <w:spacing w:after="0" w:line="138" w:lineRule="exact"/>
        <w:rPr>
          <w:sz w:val="20"/>
          <w:szCs w:val="20"/>
          <w:color w:val="auto"/>
        </w:rPr>
      </w:pPr>
    </w:p>
    <w:p>
      <w:pPr>
        <w:ind w:left="160" w:right="560" w:hanging="148"/>
        <w:spacing w:after="0" w:line="263" w:lineRule="auto"/>
        <w:tabs>
          <w:tab w:leader="none" w:pos="162"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President, Cyber &amp; Intelligence, of Mastercard (a global technology company in the payments industry) and a member of Mastercard’s Executive Leadership Team and its Management Committee from 2018 to April 2024</w:t>
      </w:r>
    </w:p>
    <w:p>
      <w:pPr>
        <w:ind w:left="160" w:hanging="148"/>
        <w:spacing w:after="0"/>
        <w:tabs>
          <w:tab w:leader="none" w:pos="1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President of Mastercard’s Enterprise Security Solutions business from 2014 to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522033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20335" cy="762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Expertise</w:t>
            </w:r>
          </w:p>
        </w:tc>
        <w:tc>
          <w:tcPr>
            <w:tcW w:w="3920" w:type="dxa"/>
            <w:vAlign w:val="bottom"/>
          </w:tcPr>
          <w:p>
            <w:pPr>
              <w:ind w:left="240"/>
              <w:spacing w:after="0"/>
              <w:rPr>
                <w:sz w:val="20"/>
                <w:szCs w:val="20"/>
                <w:color w:val="auto"/>
              </w:rPr>
            </w:pPr>
            <w:r>
              <w:rPr>
                <w:rFonts w:ascii="Arial" w:cs="Arial" w:eastAsia="Arial" w:hAnsi="Arial"/>
                <w:sz w:val="16"/>
                <w:szCs w:val="16"/>
                <w:b w:val="1"/>
                <w:bCs w:val="1"/>
                <w:color w:val="auto"/>
              </w:rPr>
              <w:t>Other public company boards</w:t>
            </w:r>
          </w:p>
        </w:tc>
      </w:tr>
      <w:tr>
        <w:trPr>
          <w:trHeight w:val="271"/>
        </w:trPr>
        <w:tc>
          <w:tcPr>
            <w:tcW w:w="4300" w:type="dxa"/>
            <w:vAlign w:val="bottom"/>
          </w:tcPr>
          <w:p>
            <w:pPr>
              <w:ind w:left="20"/>
              <w:spacing w:after="0"/>
              <w:rPr>
                <w:sz w:val="20"/>
                <w:szCs w:val="20"/>
                <w:color w:val="auto"/>
              </w:rPr>
            </w:pPr>
            <w:r>
              <w:rPr>
                <w:rFonts w:ascii="Arial" w:cs="Arial" w:eastAsia="Arial" w:hAnsi="Arial"/>
                <w:sz w:val="14"/>
                <w:szCs w:val="14"/>
                <w:color w:val="auto"/>
              </w:rPr>
              <w:t>Mr. Bhalla has extensive experience in digital commerce and</w:t>
            </w:r>
          </w:p>
        </w:tc>
        <w:tc>
          <w:tcPr>
            <w:tcW w:w="3920" w:type="dxa"/>
            <w:vAlign w:val="bottom"/>
          </w:tcPr>
          <w:p>
            <w:pPr>
              <w:ind w:left="240"/>
              <w:spacing w:after="0"/>
              <w:rPr>
                <w:sz w:val="20"/>
                <w:szCs w:val="20"/>
                <w:color w:val="auto"/>
              </w:rPr>
            </w:pPr>
            <w:r>
              <w:rPr>
                <w:rFonts w:ascii="Arial" w:cs="Arial" w:eastAsia="Arial" w:hAnsi="Arial"/>
                <w:sz w:val="14"/>
                <w:szCs w:val="14"/>
                <w:color w:val="auto"/>
              </w:rPr>
              <w:t>• None</w:t>
            </w:r>
          </w:p>
        </w:tc>
      </w:tr>
      <w:tr>
        <w:trPr>
          <w:trHeight w:val="165"/>
        </w:trPr>
        <w:tc>
          <w:tcPr>
            <w:tcW w:w="4300" w:type="dxa"/>
            <w:vAlign w:val="bottom"/>
          </w:tcPr>
          <w:p>
            <w:pPr>
              <w:ind w:left="20"/>
              <w:spacing w:after="0"/>
              <w:rPr>
                <w:sz w:val="20"/>
                <w:szCs w:val="20"/>
                <w:color w:val="auto"/>
              </w:rPr>
            </w:pPr>
            <w:r>
              <w:rPr>
                <w:rFonts w:ascii="Arial" w:cs="Arial" w:eastAsia="Arial" w:hAnsi="Arial"/>
                <w:sz w:val="14"/>
                <w:szCs w:val="14"/>
                <w:color w:val="auto"/>
              </w:rPr>
              <w:t>cybersecurity. His work has driven the development of</w:t>
            </w:r>
          </w:p>
        </w:tc>
        <w:tc>
          <w:tcPr>
            <w:tcW w:w="3920" w:type="dxa"/>
            <w:vAlign w:val="bottom"/>
          </w:tcPr>
          <w:p>
            <w:pPr>
              <w:spacing w:after="0"/>
              <w:rPr>
                <w:sz w:val="14"/>
                <w:szCs w:val="14"/>
                <w:color w:val="auto"/>
              </w:rPr>
            </w:pPr>
          </w:p>
        </w:tc>
      </w:tr>
      <w:tr>
        <w:trPr>
          <w:trHeight w:val="165"/>
        </w:trPr>
        <w:tc>
          <w:tcPr>
            <w:tcW w:w="4300" w:type="dxa"/>
            <w:vAlign w:val="bottom"/>
          </w:tcPr>
          <w:p>
            <w:pPr>
              <w:ind w:left="20"/>
              <w:spacing w:after="0"/>
              <w:rPr>
                <w:sz w:val="20"/>
                <w:szCs w:val="20"/>
                <w:color w:val="auto"/>
              </w:rPr>
            </w:pPr>
            <w:r>
              <w:rPr>
                <w:rFonts w:ascii="Arial" w:cs="Arial" w:eastAsia="Arial" w:hAnsi="Arial"/>
                <w:sz w:val="14"/>
                <w:szCs w:val="14"/>
                <w:color w:val="auto"/>
              </w:rPr>
              <w:t>technologies and solutions to help Mastercard provide safe,</w:t>
            </w:r>
          </w:p>
        </w:tc>
        <w:tc>
          <w:tcPr>
            <w:tcW w:w="3920" w:type="dxa"/>
            <w:vAlign w:val="bottom"/>
          </w:tcPr>
          <w:p>
            <w:pPr>
              <w:spacing w:after="0"/>
              <w:rPr>
                <w:sz w:val="14"/>
                <w:szCs w:val="14"/>
                <w:color w:val="auto"/>
              </w:rPr>
            </w:pPr>
          </w:p>
        </w:tc>
      </w:tr>
      <w:tr>
        <w:trPr>
          <w:trHeight w:val="165"/>
        </w:trPr>
        <w:tc>
          <w:tcPr>
            <w:tcW w:w="4300" w:type="dxa"/>
            <w:vAlign w:val="bottom"/>
          </w:tcPr>
          <w:p>
            <w:pPr>
              <w:ind w:left="20"/>
              <w:spacing w:after="0"/>
              <w:rPr>
                <w:sz w:val="20"/>
                <w:szCs w:val="20"/>
                <w:color w:val="auto"/>
              </w:rPr>
            </w:pPr>
            <w:r>
              <w:rPr>
                <w:rFonts w:ascii="Arial" w:cs="Arial" w:eastAsia="Arial" w:hAnsi="Arial"/>
                <w:sz w:val="14"/>
                <w:szCs w:val="14"/>
                <w:color w:val="auto"/>
              </w:rPr>
              <w:t>secure and frictionless interactions for consumers and its</w:t>
            </w:r>
          </w:p>
        </w:tc>
        <w:tc>
          <w:tcPr>
            <w:tcW w:w="3920" w:type="dxa"/>
            <w:vAlign w:val="bottom"/>
          </w:tcPr>
          <w:p>
            <w:pPr>
              <w:spacing w:after="0"/>
              <w:rPr>
                <w:sz w:val="14"/>
                <w:szCs w:val="14"/>
                <w:color w:val="auto"/>
              </w:rPr>
            </w:pPr>
          </w:p>
        </w:tc>
      </w:tr>
      <w:tr>
        <w:trPr>
          <w:trHeight w:val="165"/>
        </w:trPr>
        <w:tc>
          <w:tcPr>
            <w:tcW w:w="4300" w:type="dxa"/>
            <w:vAlign w:val="bottom"/>
          </w:tcPr>
          <w:p>
            <w:pPr>
              <w:ind w:left="20"/>
              <w:spacing w:after="0"/>
              <w:rPr>
                <w:sz w:val="20"/>
                <w:szCs w:val="20"/>
                <w:color w:val="auto"/>
              </w:rPr>
            </w:pPr>
            <w:r>
              <w:rPr>
                <w:rFonts w:ascii="Arial" w:cs="Arial" w:eastAsia="Arial" w:hAnsi="Arial"/>
                <w:sz w:val="14"/>
                <w:szCs w:val="14"/>
                <w:color w:val="auto"/>
              </w:rPr>
              <w:t>customers and partners around the world, helping to advance</w:t>
            </w:r>
          </w:p>
        </w:tc>
        <w:tc>
          <w:tcPr>
            <w:tcW w:w="3920" w:type="dxa"/>
            <w:vAlign w:val="bottom"/>
          </w:tcPr>
          <w:p>
            <w:pPr>
              <w:spacing w:after="0"/>
              <w:rPr>
                <w:sz w:val="14"/>
                <w:szCs w:val="14"/>
                <w:color w:val="auto"/>
              </w:rPr>
            </w:pPr>
          </w:p>
        </w:tc>
      </w:tr>
      <w:tr>
        <w:trPr>
          <w:trHeight w:val="165"/>
        </w:trPr>
        <w:tc>
          <w:tcPr>
            <w:tcW w:w="4300" w:type="dxa"/>
            <w:vAlign w:val="bottom"/>
          </w:tcPr>
          <w:p>
            <w:pPr>
              <w:ind w:left="20"/>
              <w:spacing w:after="0"/>
              <w:rPr>
                <w:sz w:val="20"/>
                <w:szCs w:val="20"/>
                <w:color w:val="auto"/>
              </w:rPr>
            </w:pPr>
            <w:r>
              <w:rPr>
                <w:rFonts w:ascii="Arial" w:cs="Arial" w:eastAsia="Arial" w:hAnsi="Arial"/>
                <w:sz w:val="14"/>
                <w:szCs w:val="14"/>
                <w:color w:val="auto"/>
              </w:rPr>
              <w:t>trust and inclusion in the digital ecosystem. This includes helping</w:t>
            </w:r>
          </w:p>
        </w:tc>
        <w:tc>
          <w:tcPr>
            <w:tcW w:w="3920" w:type="dxa"/>
            <w:vAlign w:val="bottom"/>
          </w:tcPr>
          <w:p>
            <w:pPr>
              <w:spacing w:after="0"/>
              <w:rPr>
                <w:sz w:val="14"/>
                <w:szCs w:val="14"/>
                <w:color w:val="auto"/>
              </w:rPr>
            </w:pPr>
          </w:p>
        </w:tc>
      </w:tr>
      <w:tr>
        <w:trPr>
          <w:trHeight w:val="165"/>
        </w:trPr>
        <w:tc>
          <w:tcPr>
            <w:tcW w:w="4300" w:type="dxa"/>
            <w:vAlign w:val="bottom"/>
          </w:tcPr>
          <w:p>
            <w:pPr>
              <w:ind w:left="20"/>
              <w:spacing w:after="0"/>
              <w:rPr>
                <w:sz w:val="20"/>
                <w:szCs w:val="20"/>
                <w:color w:val="auto"/>
              </w:rPr>
            </w:pPr>
            <w:r>
              <w:rPr>
                <w:rFonts w:ascii="Arial" w:cs="Arial" w:eastAsia="Arial" w:hAnsi="Arial"/>
                <w:sz w:val="14"/>
                <w:szCs w:val="14"/>
                <w:color w:val="auto"/>
              </w:rPr>
              <w:t>lead Mastercard’s pioneering work in the deployment of artificial</w:t>
            </w:r>
          </w:p>
        </w:tc>
        <w:tc>
          <w:tcPr>
            <w:tcW w:w="3920" w:type="dxa"/>
            <w:vAlign w:val="bottom"/>
          </w:tcPr>
          <w:p>
            <w:pPr>
              <w:spacing w:after="0"/>
              <w:rPr>
                <w:sz w:val="14"/>
                <w:szCs w:val="14"/>
                <w:color w:val="auto"/>
              </w:rPr>
            </w:pPr>
          </w:p>
        </w:tc>
      </w:tr>
      <w:tr>
        <w:trPr>
          <w:trHeight w:val="165"/>
        </w:trPr>
        <w:tc>
          <w:tcPr>
            <w:tcW w:w="4300" w:type="dxa"/>
            <w:vAlign w:val="bottom"/>
          </w:tcPr>
          <w:p>
            <w:pPr>
              <w:ind w:left="20"/>
              <w:spacing w:after="0"/>
              <w:rPr>
                <w:sz w:val="20"/>
                <w:szCs w:val="20"/>
                <w:color w:val="auto"/>
              </w:rPr>
            </w:pPr>
            <w:r>
              <w:rPr>
                <w:rFonts w:ascii="Arial" w:cs="Arial" w:eastAsia="Arial" w:hAnsi="Arial"/>
                <w:sz w:val="14"/>
                <w:szCs w:val="14"/>
                <w:color w:val="auto"/>
              </w:rPr>
              <w:t>intelligence (“AI”), digital and crypto currencies, digital identity</w:t>
            </w:r>
          </w:p>
        </w:tc>
        <w:tc>
          <w:tcPr>
            <w:tcW w:w="3920" w:type="dxa"/>
            <w:vAlign w:val="bottom"/>
          </w:tcPr>
          <w:p>
            <w:pPr>
              <w:spacing w:after="0"/>
              <w:rPr>
                <w:sz w:val="14"/>
                <w:szCs w:val="14"/>
                <w:color w:val="auto"/>
              </w:rPr>
            </w:pPr>
          </w:p>
        </w:tc>
      </w:tr>
      <w:tr>
        <w:trPr>
          <w:trHeight w:val="165"/>
        </w:trPr>
        <w:tc>
          <w:tcPr>
            <w:tcW w:w="4300" w:type="dxa"/>
            <w:vAlign w:val="bottom"/>
          </w:tcPr>
          <w:p>
            <w:pPr>
              <w:ind w:left="20"/>
              <w:spacing w:after="0"/>
              <w:rPr>
                <w:sz w:val="20"/>
                <w:szCs w:val="20"/>
                <w:color w:val="auto"/>
              </w:rPr>
            </w:pPr>
            <w:r>
              <w:rPr>
                <w:rFonts w:ascii="Arial" w:cs="Arial" w:eastAsia="Arial" w:hAnsi="Arial"/>
                <w:sz w:val="14"/>
                <w:szCs w:val="14"/>
                <w:color w:val="auto"/>
              </w:rPr>
              <w:t>solutions, and cybersecurity across the global payments industry.</w:t>
            </w:r>
          </w:p>
        </w:tc>
        <w:tc>
          <w:tcPr>
            <w:tcW w:w="3920" w:type="dxa"/>
            <w:vAlign w:val="bottom"/>
          </w:tcPr>
          <w:p>
            <w:pPr>
              <w:spacing w:after="0"/>
              <w:rPr>
                <w:sz w:val="14"/>
                <w:szCs w:val="14"/>
                <w:color w:val="auto"/>
              </w:rPr>
            </w:pPr>
          </w:p>
        </w:tc>
      </w:tr>
      <w:tr>
        <w:trPr>
          <w:trHeight w:val="165"/>
        </w:trPr>
        <w:tc>
          <w:tcPr>
            <w:tcW w:w="4300" w:type="dxa"/>
            <w:vAlign w:val="bottom"/>
          </w:tcPr>
          <w:p>
            <w:pPr>
              <w:ind w:left="20"/>
              <w:spacing w:after="0"/>
              <w:rPr>
                <w:sz w:val="20"/>
                <w:szCs w:val="20"/>
                <w:color w:val="auto"/>
              </w:rPr>
            </w:pPr>
            <w:r>
              <w:rPr>
                <w:rFonts w:ascii="Arial" w:cs="Arial" w:eastAsia="Arial" w:hAnsi="Arial"/>
                <w:sz w:val="14"/>
                <w:szCs w:val="14"/>
                <w:color w:val="auto"/>
              </w:rPr>
              <w:t>Mr. Bhalla also has experience in mergers and acquisitions,</w:t>
            </w:r>
          </w:p>
        </w:tc>
        <w:tc>
          <w:tcPr>
            <w:tcW w:w="3920" w:type="dxa"/>
            <w:vAlign w:val="bottom"/>
          </w:tcPr>
          <w:p>
            <w:pPr>
              <w:spacing w:after="0"/>
              <w:rPr>
                <w:sz w:val="14"/>
                <w:szCs w:val="14"/>
                <w:color w:val="auto"/>
              </w:rPr>
            </w:pPr>
          </w:p>
        </w:tc>
      </w:tr>
      <w:tr>
        <w:trPr>
          <w:trHeight w:val="165"/>
        </w:trPr>
        <w:tc>
          <w:tcPr>
            <w:tcW w:w="4300" w:type="dxa"/>
            <w:vAlign w:val="bottom"/>
          </w:tcPr>
          <w:p>
            <w:pPr>
              <w:ind w:left="20"/>
              <w:spacing w:after="0"/>
              <w:rPr>
                <w:sz w:val="20"/>
                <w:szCs w:val="20"/>
                <w:color w:val="auto"/>
              </w:rPr>
            </w:pPr>
            <w:r>
              <w:rPr>
                <w:rFonts w:ascii="Arial" w:cs="Arial" w:eastAsia="Arial" w:hAnsi="Arial"/>
                <w:sz w:val="14"/>
                <w:szCs w:val="14"/>
                <w:color w:val="auto"/>
              </w:rPr>
              <w:t>expanding customer segments and operating footprint, and risk</w:t>
            </w:r>
          </w:p>
        </w:tc>
        <w:tc>
          <w:tcPr>
            <w:tcW w:w="3920" w:type="dxa"/>
            <w:vAlign w:val="bottom"/>
          </w:tcPr>
          <w:p>
            <w:pPr>
              <w:spacing w:after="0"/>
              <w:rPr>
                <w:sz w:val="14"/>
                <w:szCs w:val="14"/>
                <w:color w:val="auto"/>
              </w:rPr>
            </w:pPr>
          </w:p>
        </w:tc>
      </w:tr>
      <w:tr>
        <w:trPr>
          <w:trHeight w:val="165"/>
        </w:trPr>
        <w:tc>
          <w:tcPr>
            <w:tcW w:w="4300" w:type="dxa"/>
            <w:vAlign w:val="bottom"/>
          </w:tcPr>
          <w:p>
            <w:pPr>
              <w:ind w:left="20"/>
              <w:spacing w:after="0"/>
              <w:rPr>
                <w:sz w:val="20"/>
                <w:szCs w:val="20"/>
                <w:color w:val="auto"/>
              </w:rPr>
            </w:pPr>
            <w:r>
              <w:rPr>
                <w:rFonts w:ascii="Arial" w:cs="Arial" w:eastAsia="Arial" w:hAnsi="Arial"/>
                <w:sz w:val="14"/>
                <w:szCs w:val="14"/>
                <w:color w:val="auto"/>
              </w:rPr>
              <w:t>and audit management. Additionally, he was involved in</w:t>
            </w:r>
          </w:p>
        </w:tc>
        <w:tc>
          <w:tcPr>
            <w:tcW w:w="3920" w:type="dxa"/>
            <w:vAlign w:val="bottom"/>
          </w:tcPr>
          <w:p>
            <w:pPr>
              <w:spacing w:after="0"/>
              <w:rPr>
                <w:sz w:val="14"/>
                <w:szCs w:val="14"/>
                <w:color w:val="auto"/>
              </w:rPr>
            </w:pPr>
          </w:p>
        </w:tc>
      </w:tr>
      <w:tr>
        <w:trPr>
          <w:trHeight w:val="165"/>
        </w:trPr>
        <w:tc>
          <w:tcPr>
            <w:tcW w:w="4300" w:type="dxa"/>
            <w:vAlign w:val="bottom"/>
          </w:tcPr>
          <w:p>
            <w:pPr>
              <w:ind w:left="20"/>
              <w:spacing w:after="0"/>
              <w:rPr>
                <w:sz w:val="20"/>
                <w:szCs w:val="20"/>
                <w:color w:val="auto"/>
              </w:rPr>
            </w:pPr>
            <w:r>
              <w:rPr>
                <w:rFonts w:ascii="Arial" w:cs="Arial" w:eastAsia="Arial" w:hAnsi="Arial"/>
                <w:sz w:val="14"/>
                <w:szCs w:val="14"/>
                <w:color w:val="auto"/>
              </w:rPr>
              <w:t>supporting Mastercard’s environmental, social and governance</w:t>
            </w:r>
          </w:p>
        </w:tc>
        <w:tc>
          <w:tcPr>
            <w:tcW w:w="3920" w:type="dxa"/>
            <w:vAlign w:val="bottom"/>
          </w:tcPr>
          <w:p>
            <w:pPr>
              <w:spacing w:after="0"/>
              <w:rPr>
                <w:sz w:val="14"/>
                <w:szCs w:val="14"/>
                <w:color w:val="auto"/>
              </w:rPr>
            </w:pPr>
          </w:p>
        </w:tc>
      </w:tr>
      <w:tr>
        <w:trPr>
          <w:trHeight w:val="186"/>
        </w:trPr>
        <w:tc>
          <w:tcPr>
            <w:tcW w:w="4300" w:type="dxa"/>
            <w:vAlign w:val="bottom"/>
          </w:tcPr>
          <w:p>
            <w:pPr>
              <w:ind w:left="20"/>
              <w:spacing w:after="0"/>
              <w:rPr>
                <w:sz w:val="20"/>
                <w:szCs w:val="20"/>
                <w:color w:val="auto"/>
              </w:rPr>
            </w:pPr>
            <w:r>
              <w:rPr>
                <w:rFonts w:ascii="Arial" w:cs="Arial" w:eastAsia="Arial" w:hAnsi="Arial"/>
                <w:sz w:val="14"/>
                <w:szCs w:val="14"/>
                <w:color w:val="auto"/>
              </w:rPr>
              <w:t>commitments.</w:t>
            </w:r>
          </w:p>
        </w:tc>
        <w:tc>
          <w:tcPr>
            <w:tcW w:w="3920" w:type="dxa"/>
            <w:vAlign w:val="bottom"/>
          </w:tcPr>
          <w:p>
            <w:pPr>
              <w:spacing w:after="0"/>
              <w:rPr>
                <w:sz w:val="16"/>
                <w:szCs w:val="16"/>
                <w:color w:val="auto"/>
              </w:rPr>
            </w:pPr>
          </w:p>
        </w:tc>
      </w:tr>
      <w:tr>
        <w:trPr>
          <w:trHeight w:val="121"/>
        </w:trPr>
        <w:tc>
          <w:tcPr>
            <w:tcW w:w="430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r>
    </w:tbl>
    <w:p>
      <w:pPr>
        <w:spacing w:after="0" w:line="173" w:lineRule="exact"/>
        <w:rPr>
          <w:sz w:val="20"/>
          <w:szCs w:val="20"/>
          <w:color w:val="auto"/>
        </w:rPr>
      </w:pPr>
    </w:p>
    <w:p>
      <w:pPr>
        <w:sectPr>
          <w:pgSz w:w="11900" w:h="16838" w:orient="portrait"/>
          <w:cols w:equalWidth="0" w:num="2">
            <w:col w:w="1980" w:space="720"/>
            <w:col w:w="8240"/>
          </w:cols>
          <w:pgMar w:left="480" w:top="162" w:right="479" w:bottom="1440" w:gutter="0" w:footer="0" w:header="0"/>
          <w:type w:val="continuous"/>
        </w:sectPr>
      </w:pPr>
    </w:p>
    <w:p>
      <w:pPr>
        <w:ind w:left="6480"/>
        <w:spacing w:after="0"/>
        <w:rPr>
          <w:sz w:val="20"/>
          <w:szCs w:val="20"/>
          <w:color w:val="auto"/>
        </w:rPr>
      </w:pPr>
      <w:r>
        <w:rPr>
          <w:rFonts w:ascii="Arial" w:cs="Arial" w:eastAsia="Arial" w:hAnsi="Arial"/>
          <w:sz w:val="10"/>
          <w:szCs w:val="10"/>
          <w:b w:val="1"/>
          <w:bCs w:val="1"/>
          <w:color w:val="6D98AD"/>
        </w:rPr>
        <w:t xml:space="preserve">PROPOSAL 1: ELECTION OF DIRECTORS </w:t>
      </w:r>
      <w:r>
        <w:rPr>
          <w:rFonts w:ascii="Arial" w:cs="Arial" w:eastAsia="Arial" w:hAnsi="Arial"/>
          <w:sz w:val="10"/>
          <w:szCs w:val="10"/>
          <w:color w:val="000000"/>
        </w:rPr>
        <w:t>/ PVH CORP. 2026 PROXY STATEMENT /</w:t>
      </w:r>
      <w:r>
        <w:rPr>
          <w:rFonts w:ascii="Arial" w:cs="Arial" w:eastAsia="Arial" w:hAnsi="Arial"/>
          <w:sz w:val="10"/>
          <w:szCs w:val="10"/>
          <w:b w:val="1"/>
          <w:bCs w:val="1"/>
          <w:color w:val="6D98AD"/>
        </w:rPr>
        <w:t xml:space="preserve"> </w:t>
      </w:r>
      <w:r>
        <w:rPr>
          <w:rFonts w:ascii="Arial" w:cs="Arial" w:eastAsia="Arial" w:hAnsi="Arial"/>
          <w:sz w:val="10"/>
          <w:szCs w:val="10"/>
          <w:b w:val="1"/>
          <w:bCs w:val="1"/>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695515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162" w:right="479" w:bottom="1440" w:gutter="0" w:footer="0" w:header="0"/>
          <w:type w:val="continuous"/>
        </w:sectPr>
      </w:pPr>
    </w:p>
    <w:bookmarkStart w:id="16" w:name="page17"/>
    <w:bookmarkEnd w:id="16"/>
    <w:p>
      <w:pPr>
        <w:spacing w:after="0" w:line="190" w:lineRule="auto"/>
        <w:framePr w:w="1120" w:h="128" w:wrap="auto" w:vAnchor="page" w:hAnchor="page" w:x="440" w:y="3616"/>
        <w:rPr>
          <w:rFonts w:ascii="Arial" w:cs="Arial" w:eastAsia="Arial" w:hAnsi="Arial"/>
          <w:sz w:val="14"/>
          <w:szCs w:val="14"/>
          <w:color w:val="auto"/>
        </w:rPr>
      </w:pPr>
      <w:r>
        <w:rPr>
          <w:rFonts w:ascii="Arial" w:cs="Arial" w:eastAsia="Arial" w:hAnsi="Arial"/>
          <w:sz w:val="14"/>
          <w:szCs w:val="14"/>
          <w:color w:val="auto"/>
        </w:rPr>
        <w:t>• Compensation</w:t>
      </w:r>
    </w:p>
    <w:p>
      <w:pPr>
        <w:spacing w:after="0" w:line="197" w:lineRule="auto"/>
        <w:framePr w:w="960" w:h="142" w:wrap="auto" w:vAnchor="page" w:hAnchor="page" w:x="440" w:y="3378"/>
        <w:rPr>
          <w:rFonts w:ascii="Arial" w:cs="Arial" w:eastAsia="Arial" w:hAnsi="Arial"/>
          <w:sz w:val="15"/>
          <w:szCs w:val="15"/>
          <w:b w:val="1"/>
          <w:bCs w:val="1"/>
          <w:color w:val="auto"/>
        </w:rPr>
      </w:pPr>
      <w:r>
        <w:rPr>
          <w:rFonts w:ascii="Arial" w:cs="Arial" w:eastAsia="Arial" w:hAnsi="Arial"/>
          <w:sz w:val="15"/>
          <w:szCs w:val="15"/>
          <w:b w:val="1"/>
          <w:bCs w:val="1"/>
          <w:color w:val="auto"/>
        </w:rPr>
        <w:t>Committees</w:t>
      </w:r>
    </w:p>
    <w:p>
      <w:pPr>
        <w:spacing w:after="0" w:line="190" w:lineRule="auto"/>
        <w:framePr w:w="1500" w:h="128" w:wrap="auto" w:vAnchor="page" w:hAnchor="page" w:x="440" w:y="3074"/>
        <w:rPr>
          <w:rFonts w:ascii="Arial" w:cs="Arial" w:eastAsia="Arial" w:hAnsi="Arial"/>
          <w:sz w:val="14"/>
          <w:szCs w:val="14"/>
          <w:b w:val="1"/>
          <w:bCs w:val="1"/>
          <w:color w:val="auto"/>
        </w:rPr>
      </w:pPr>
      <w:r>
        <w:rPr>
          <w:rFonts w:ascii="Arial" w:cs="Arial" w:eastAsia="Arial" w:hAnsi="Arial"/>
          <w:sz w:val="14"/>
          <w:szCs w:val="14"/>
          <w:b w:val="1"/>
          <w:bCs w:val="1"/>
          <w:color w:val="auto"/>
        </w:rPr>
        <w:t>Chair Since June 2022</w:t>
      </w:r>
    </w:p>
    <w:p>
      <w:pPr>
        <w:spacing w:after="0" w:line="190" w:lineRule="auto"/>
        <w:framePr w:w="1320" w:h="128" w:wrap="auto" w:vAnchor="page" w:hAnchor="page" w:x="440" w:y="2839"/>
        <w:rPr>
          <w:rFonts w:ascii="Arial" w:cs="Arial" w:eastAsia="Arial" w:hAnsi="Arial"/>
          <w:sz w:val="14"/>
          <w:szCs w:val="14"/>
          <w:b w:val="1"/>
          <w:bCs w:val="1"/>
          <w:color w:val="auto"/>
        </w:rPr>
      </w:pPr>
      <w:r>
        <w:rPr>
          <w:rFonts w:ascii="Arial" w:cs="Arial" w:eastAsia="Arial" w:hAnsi="Arial"/>
          <w:sz w:val="14"/>
          <w:szCs w:val="14"/>
          <w:b w:val="1"/>
          <w:bCs w:val="1"/>
          <w:color w:val="auto"/>
        </w:rPr>
        <w:t>Director Since 2022</w:t>
      </w:r>
    </w:p>
    <w:p>
      <w:pPr>
        <w:spacing w:after="0" w:line="205" w:lineRule="auto"/>
        <w:framePr w:w="560" w:h="128" w:wrap="auto" w:vAnchor="page" w:hAnchor="page" w:x="440" w:y="2615"/>
        <w:rPr>
          <w:rFonts w:ascii="Arial" w:cs="Arial" w:eastAsia="Arial" w:hAnsi="Arial"/>
          <w:sz w:val="13"/>
          <w:szCs w:val="13"/>
          <w:b w:val="1"/>
          <w:bCs w:val="1"/>
          <w:color w:val="auto"/>
        </w:rPr>
      </w:pPr>
      <w:r>
        <w:rPr>
          <w:rFonts w:ascii="Arial" w:cs="Arial" w:eastAsia="Arial" w:hAnsi="Arial"/>
          <w:sz w:val="13"/>
          <w:szCs w:val="13"/>
          <w:b w:val="1"/>
          <w:bCs w:val="1"/>
          <w:color w:val="auto"/>
        </w:rPr>
        <w:t>Age: 63</w:t>
      </w:r>
    </w:p>
    <w:p>
      <w:pPr>
        <w:spacing w:after="0" w:line="191" w:lineRule="auto"/>
        <w:framePr w:w="2680" w:h="284" w:wrap="auto" w:vAnchor="page" w:hAnchor="page" w:x="440" w:y="457"/>
        <w:rPr>
          <w:rFonts w:ascii="Arial" w:cs="Arial" w:eastAsia="Arial" w:hAnsi="Arial"/>
          <w:sz w:val="31"/>
          <w:szCs w:val="31"/>
          <w:b w:val="1"/>
          <w:bCs w:val="1"/>
          <w:color w:val="auto"/>
        </w:rPr>
      </w:pPr>
      <w:r>
        <w:rPr>
          <w:rFonts w:ascii="Arial" w:cs="Arial" w:eastAsia="Arial" w:hAnsi="Arial"/>
          <w:sz w:val="31"/>
          <w:szCs w:val="31"/>
          <w:b w:val="1"/>
          <w:bCs w:val="1"/>
          <w:color w:val="auto"/>
        </w:rPr>
        <w:t>Michael M. Calbert</w:t>
      </w:r>
    </w:p>
    <w:p>
      <w:pPr>
        <w:spacing w:after="0" w:line="197" w:lineRule="auto"/>
        <w:framePr w:w="1000" w:h="142" w:wrap="auto" w:vAnchor="page" w:hAnchor="page" w:x="440" w:y="2377"/>
        <w:rPr>
          <w:rFonts w:ascii="Arial" w:cs="Arial" w:eastAsia="Arial" w:hAnsi="Arial"/>
          <w:sz w:val="15"/>
          <w:szCs w:val="15"/>
          <w:b w:val="1"/>
          <w:bCs w:val="1"/>
          <w:color w:val="6D98AD"/>
        </w:rPr>
      </w:pPr>
      <w:r>
        <w:rPr>
          <w:rFonts w:ascii="Arial" w:cs="Arial" w:eastAsia="Arial" w:hAnsi="Arial"/>
          <w:sz w:val="15"/>
          <w:szCs w:val="15"/>
          <w:b w:val="1"/>
          <w:bCs w:val="1"/>
          <w:color w:val="6D98AD"/>
        </w:rPr>
        <w:t>Independent</w:t>
      </w:r>
    </w:p>
    <w:p>
      <w:pPr>
        <w:ind w:left="4009"/>
        <w:spacing w:after="0"/>
        <w:rPr>
          <w:sz w:val="20"/>
          <w:szCs w:val="20"/>
          <w:color w:val="auto"/>
        </w:rPr>
      </w:pPr>
      <w:r>
        <w:rPr>
          <w:rFonts w:ascii="Arial" w:cs="Arial" w:eastAsia="Arial" w:hAnsi="Arial"/>
          <w:sz w:val="14"/>
          <w:szCs w:val="14"/>
          <w:i w:val="1"/>
          <w:iCs w:val="1"/>
          <w:color w:val="auto"/>
        </w:rPr>
        <w:t>Former Chairman of the Board, Dollar General Corporation</w:t>
      </w:r>
    </w:p>
    <w:p>
      <w:pPr>
        <w:spacing w:after="0" w:line="20" w:lineRule="exact"/>
        <w:rPr>
          <w:rFonts w:ascii="Arial" w:cs="Arial" w:eastAsia="Arial" w:hAnsi="Arial"/>
          <w:sz w:val="15"/>
          <w:szCs w:val="15"/>
          <w:b w:val="1"/>
          <w:bCs w:val="1"/>
          <w:color w:val="6D98AD"/>
        </w:rPr>
      </w:pPr>
      <w:r>
        <w:rPr>
          <w:rFonts w:ascii="Arial" w:cs="Arial" w:eastAsia="Arial" w:hAnsi="Arial"/>
          <w:sz w:val="15"/>
          <w:szCs w:val="15"/>
          <w:b w:val="1"/>
          <w:bCs w:val="1"/>
          <w:color w:val="6D98AD"/>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4817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pacing w:after="0" w:line="343" w:lineRule="exact"/>
        <w:rPr>
          <w:rFonts w:ascii="Arial" w:cs="Arial" w:eastAsia="Arial" w:hAnsi="Arial"/>
          <w:sz w:val="15"/>
          <w:szCs w:val="15"/>
          <w:b w:val="1"/>
          <w:bCs w:val="1"/>
          <w:color w:val="6D98AD"/>
        </w:rPr>
      </w:pPr>
    </w:p>
    <w:p>
      <w:pPr>
        <w:ind w:left="2729"/>
        <w:spacing w:after="0"/>
        <w:rPr>
          <w:sz w:val="20"/>
          <w:szCs w:val="20"/>
          <w:color w:val="auto"/>
        </w:rPr>
      </w:pPr>
      <w:r>
        <w:rPr>
          <w:rFonts w:ascii="Arial" w:cs="Arial" w:eastAsia="Arial" w:hAnsi="Arial"/>
          <w:sz w:val="16"/>
          <w:szCs w:val="16"/>
          <w:b w:val="1"/>
          <w:bCs w:val="1"/>
          <w:color w:val="auto"/>
        </w:rPr>
        <w:t>Experience</w:t>
      </w:r>
    </w:p>
    <w:p>
      <w:pPr>
        <w:spacing w:after="0" w:line="20" w:lineRule="exact"/>
        <w:rPr>
          <w:rFonts w:ascii="Arial" w:cs="Arial" w:eastAsia="Arial" w:hAnsi="Arial"/>
          <w:sz w:val="15"/>
          <w:szCs w:val="15"/>
          <w:b w:val="1"/>
          <w:bCs w:val="1"/>
          <w:color w:val="6D98AD"/>
        </w:rPr>
      </w:pPr>
      <w:r>
        <w:rPr>
          <w:rFonts w:ascii="Arial" w:cs="Arial" w:eastAsia="Arial" w:hAnsi="Arial"/>
          <w:sz w:val="15"/>
          <w:szCs w:val="15"/>
          <w:b w:val="1"/>
          <w:bCs w:val="1"/>
          <w:color w:val="6D98AD"/>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822960" cy="8229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107" w:lineRule="exact"/>
        <w:rPr>
          <w:rFonts w:ascii="Arial" w:cs="Arial" w:eastAsia="Arial" w:hAnsi="Arial"/>
          <w:sz w:val="15"/>
          <w:szCs w:val="15"/>
          <w:b w:val="1"/>
          <w:bCs w:val="1"/>
          <w:color w:val="6D98AD"/>
        </w:rPr>
      </w:pPr>
    </w:p>
    <w:p>
      <w:pPr>
        <w:ind w:left="2869" w:hanging="136"/>
        <w:spacing w:after="0"/>
        <w:tabs>
          <w:tab w:leader="none" w:pos="2869"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Chairman of the Board, Dollar General Corporation (a discount retailer) from 2016 to February 2026</w:t>
      </w:r>
    </w:p>
    <w:p>
      <w:pPr>
        <w:spacing w:after="0" w:line="51" w:lineRule="exact"/>
        <w:rPr>
          <w:rFonts w:ascii="Arial" w:cs="Arial" w:eastAsia="Arial" w:hAnsi="Arial"/>
          <w:sz w:val="14"/>
          <w:szCs w:val="14"/>
          <w:color w:val="auto"/>
        </w:rPr>
      </w:pPr>
    </w:p>
    <w:p>
      <w:pPr>
        <w:ind w:left="2869" w:hanging="136"/>
        <w:spacing w:after="0"/>
        <w:tabs>
          <w:tab w:leader="none" w:pos="2869" w:val="left"/>
        </w:tabs>
        <w:numPr>
          <w:ilvl w:val="0"/>
          <w:numId w:val="25"/>
        </w:numPr>
        <w:rPr>
          <w:rFonts w:ascii="Arial" w:cs="Arial" w:eastAsia="Arial" w:hAnsi="Arial"/>
          <w:sz w:val="14"/>
          <w:szCs w:val="14"/>
          <w:color w:val="auto"/>
        </w:rPr>
      </w:pPr>
      <w:r>
        <w:rPr>
          <w:rFonts w:ascii="Arial" w:cs="Arial" w:eastAsia="Arial" w:hAnsi="Arial"/>
          <w:sz w:val="14"/>
          <w:szCs w:val="14"/>
          <w:color w:val="auto"/>
        </w:rPr>
        <w:t>Member of the private equity firm KKR &amp; Co. L.P., where he led the retail industry team from 2000 until his retirement in 2014</w:t>
      </w:r>
    </w:p>
    <w:p>
      <w:pPr>
        <w:spacing w:after="0" w:line="74" w:lineRule="exact"/>
        <w:rPr>
          <w:rFonts w:ascii="Arial" w:cs="Arial" w:eastAsia="Arial" w:hAnsi="Arial"/>
          <w:sz w:val="14"/>
          <w:szCs w:val="14"/>
          <w:color w:val="auto"/>
        </w:rPr>
      </w:pPr>
    </w:p>
    <w:p>
      <w:pPr>
        <w:ind w:left="2869" w:hanging="136"/>
        <w:spacing w:after="0"/>
        <w:tabs>
          <w:tab w:leader="none" w:pos="2869"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Chief Financial Officer of Randall’s Food Markets from 1997 to 1999</w:t>
      </w:r>
    </w:p>
    <w:p>
      <w:pPr>
        <w:spacing w:after="0" w:line="51" w:lineRule="exact"/>
        <w:rPr>
          <w:rFonts w:ascii="Arial" w:cs="Arial" w:eastAsia="Arial" w:hAnsi="Arial"/>
          <w:sz w:val="14"/>
          <w:szCs w:val="14"/>
          <w:color w:val="auto"/>
        </w:rPr>
      </w:pPr>
    </w:p>
    <w:p>
      <w:pPr>
        <w:ind w:left="2869" w:hanging="136"/>
        <w:spacing w:after="0"/>
        <w:tabs>
          <w:tab w:leader="none" w:pos="2869" w:val="left"/>
        </w:tabs>
        <w:numPr>
          <w:ilvl w:val="0"/>
          <w:numId w:val="25"/>
        </w:numPr>
        <w:rPr>
          <w:rFonts w:ascii="Arial" w:cs="Arial" w:eastAsia="Arial" w:hAnsi="Arial"/>
          <w:sz w:val="14"/>
          <w:szCs w:val="14"/>
          <w:color w:val="auto"/>
        </w:rPr>
      </w:pPr>
      <w:r>
        <w:rPr>
          <w:rFonts w:ascii="Arial" w:cs="Arial" w:eastAsia="Arial" w:hAnsi="Arial"/>
          <w:sz w:val="14"/>
          <w:szCs w:val="14"/>
          <w:color w:val="auto"/>
        </w:rPr>
        <w:t>Certified public accountant with Arthur Andersen Worldwide from 1985 to 1994</w:t>
      </w:r>
    </w:p>
    <w:p>
      <w:pPr>
        <w:spacing w:after="0" w:line="20" w:lineRule="exact"/>
        <w:rPr>
          <w:rFonts w:ascii="Arial" w:cs="Arial" w:eastAsia="Arial" w:hAnsi="Arial"/>
          <w:sz w:val="15"/>
          <w:szCs w:val="15"/>
          <w:b w:val="1"/>
          <w:bCs w:val="1"/>
          <w:color w:val="6D98AD"/>
        </w:rPr>
      </w:pPr>
      <w:r>
        <w:rPr>
          <w:rFonts w:ascii="Arial" w:cs="Arial" w:eastAsia="Arial" w:hAnsi="Arial"/>
          <w:sz w:val="15"/>
          <w:szCs w:val="15"/>
          <w:b w:val="1"/>
          <w:bCs w:val="1"/>
          <w:color w:val="6D98AD"/>
        </w:rPr>
        <w:drawing>
          <wp:anchor simplePos="0" relativeHeight="251657728" behindDoc="1" locked="0" layoutInCell="0" allowOverlap="1">
            <wp:simplePos x="0" y="0"/>
            <wp:positionH relativeFrom="column">
              <wp:posOffset>1732915</wp:posOffset>
            </wp:positionH>
            <wp:positionV relativeFrom="paragraph">
              <wp:posOffset>85090</wp:posOffset>
            </wp:positionV>
            <wp:extent cx="521271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2715" cy="7620"/>
                    </a:xfrm>
                    <a:prstGeom prst="rect">
                      <a:avLst/>
                    </a:prstGeom>
                    <a:noFill/>
                  </pic:spPr>
                </pic:pic>
              </a:graphicData>
            </a:graphic>
          </wp:anchor>
        </w:drawing>
      </w:r>
    </w:p>
    <w:p>
      <w:pPr>
        <w:sectPr>
          <w:pgSz w:w="11900" w:h="16838" w:orient="portrait"/>
          <w:cols w:equalWidth="0" w:num="1">
            <w:col w:w="10809"/>
          </w:cols>
          <w:pgMar w:left="471" w:top="447" w:right="619" w:bottom="1440" w:gutter="0" w:footer="0" w:header="0"/>
        </w:sectPr>
      </w:pPr>
    </w:p>
    <w:p>
      <w:pPr>
        <w:spacing w:after="0" w:line="259" w:lineRule="exact"/>
        <w:rPr>
          <w:rFonts w:ascii="Arial" w:cs="Arial" w:eastAsia="Arial" w:hAnsi="Arial"/>
          <w:sz w:val="15"/>
          <w:szCs w:val="15"/>
          <w:b w:val="1"/>
          <w:bCs w:val="1"/>
          <w:color w:val="6D98AD"/>
        </w:rPr>
      </w:pPr>
    </w:p>
    <w:p>
      <w:pPr>
        <w:ind w:left="2729"/>
        <w:spacing w:after="0"/>
        <w:rPr>
          <w:sz w:val="20"/>
          <w:szCs w:val="20"/>
          <w:color w:val="auto"/>
        </w:rPr>
      </w:pPr>
      <w:r>
        <w:rPr>
          <w:rFonts w:ascii="Arial" w:cs="Arial" w:eastAsia="Arial" w:hAnsi="Arial"/>
          <w:sz w:val="16"/>
          <w:szCs w:val="16"/>
          <w:b w:val="1"/>
          <w:bCs w:val="1"/>
          <w:color w:val="auto"/>
        </w:rPr>
        <w:t>Expertise</w:t>
      </w:r>
    </w:p>
    <w:p>
      <w:pPr>
        <w:spacing w:after="0" w:line="127" w:lineRule="exact"/>
        <w:rPr>
          <w:rFonts w:ascii="Arial" w:cs="Arial" w:eastAsia="Arial" w:hAnsi="Arial"/>
          <w:sz w:val="15"/>
          <w:szCs w:val="15"/>
          <w:b w:val="1"/>
          <w:bCs w:val="1"/>
          <w:color w:val="6D98AD"/>
        </w:rPr>
      </w:pPr>
    </w:p>
    <w:p>
      <w:pPr>
        <w:ind w:left="2729"/>
        <w:spacing w:after="0" w:line="248" w:lineRule="auto"/>
        <w:rPr>
          <w:sz w:val="20"/>
          <w:szCs w:val="20"/>
          <w:color w:val="auto"/>
        </w:rPr>
      </w:pPr>
      <w:r>
        <w:rPr>
          <w:rFonts w:ascii="Arial" w:cs="Arial" w:eastAsia="Arial" w:hAnsi="Arial"/>
          <w:sz w:val="14"/>
          <w:szCs w:val="14"/>
          <w:color w:val="auto"/>
        </w:rPr>
        <w:t>Mr. Calbert is experienced with corporate finance and strategic business planning activities. As the former head of KKR’s global retail industry team, Mr. Calbert has a strong background and extensive experience in advising and managing companies in the retail industry, including evaluating business strategies and operations, financial plans and structures, risk, and management teams. His former service on various private and public company boards in the retail</w:t>
      </w:r>
    </w:p>
    <w:p>
      <w:pPr>
        <w:spacing w:after="0" w:line="4" w:lineRule="exact"/>
        <w:rPr>
          <w:rFonts w:ascii="Arial" w:cs="Arial" w:eastAsia="Arial" w:hAnsi="Arial"/>
          <w:sz w:val="15"/>
          <w:szCs w:val="15"/>
          <w:b w:val="1"/>
          <w:bCs w:val="1"/>
          <w:color w:val="6D98AD"/>
        </w:rPr>
      </w:pPr>
    </w:p>
    <w:p>
      <w:pPr>
        <w:jc w:val="center"/>
        <w:ind w:right="51"/>
        <w:spacing w:after="0"/>
        <w:rPr>
          <w:sz w:val="20"/>
          <w:szCs w:val="20"/>
          <w:color w:val="auto"/>
        </w:rPr>
      </w:pPr>
      <w:r>
        <w:rPr>
          <w:rFonts w:ascii="Arial" w:cs="Arial" w:eastAsia="Arial" w:hAnsi="Arial"/>
          <w:sz w:val="14"/>
          <w:szCs w:val="14"/>
          <w:color w:val="auto"/>
        </w:rPr>
        <w:t>• Nominating, Governance &amp; Management industry, as well as his current service on the board of another public</w:t>
      </w:r>
    </w:p>
    <w:p>
      <w:pPr>
        <w:spacing w:after="0" w:line="4" w:lineRule="exact"/>
        <w:rPr>
          <w:rFonts w:ascii="Arial" w:cs="Arial" w:eastAsia="Arial" w:hAnsi="Arial"/>
          <w:sz w:val="15"/>
          <w:szCs w:val="15"/>
          <w:b w:val="1"/>
          <w:bCs w:val="1"/>
          <w:color w:val="6D98AD"/>
        </w:rPr>
      </w:pPr>
    </w:p>
    <w:p>
      <w:pPr>
        <w:ind w:left="2729" w:right="200" w:hanging="2579"/>
        <w:spacing w:after="0" w:line="253" w:lineRule="auto"/>
        <w:tabs>
          <w:tab w:leader="none" w:pos="2708" w:val="left"/>
        </w:tabs>
        <w:rPr>
          <w:sz w:val="20"/>
          <w:szCs w:val="20"/>
          <w:color w:val="auto"/>
        </w:rPr>
      </w:pPr>
      <w:r>
        <w:rPr>
          <w:rFonts w:ascii="Arial" w:cs="Arial" w:eastAsia="Arial" w:hAnsi="Arial"/>
          <w:sz w:val="14"/>
          <w:szCs w:val="14"/>
          <w:color w:val="auto"/>
        </w:rPr>
        <w:t>Development</w:t>
      </w:r>
      <w:r>
        <w:rPr>
          <w:sz w:val="20"/>
          <w:szCs w:val="20"/>
          <w:color w:val="auto"/>
        </w:rPr>
        <w:tab/>
      </w:r>
      <w:r>
        <w:rPr>
          <w:rFonts w:ascii="Arial" w:cs="Arial" w:eastAsia="Arial" w:hAnsi="Arial"/>
          <w:sz w:val="14"/>
          <w:szCs w:val="14"/>
          <w:color w:val="auto"/>
        </w:rPr>
        <w:t>retail company, further strengthens his knowledge and experience. Mr. Calbert also has a significant financial and accounting background.</w:t>
      </w:r>
    </w:p>
    <w:p>
      <w:pPr>
        <w:spacing w:after="0" w:line="20" w:lineRule="exact"/>
        <w:rPr>
          <w:rFonts w:ascii="Arial" w:cs="Arial" w:eastAsia="Arial" w:hAnsi="Arial"/>
          <w:sz w:val="15"/>
          <w:szCs w:val="15"/>
          <w:b w:val="1"/>
          <w:bCs w:val="1"/>
          <w:color w:val="6D98AD"/>
        </w:rPr>
      </w:pPr>
      <w:r>
        <w:rPr>
          <w:rFonts w:ascii="Arial" w:cs="Arial" w:eastAsia="Arial" w:hAnsi="Arial"/>
          <w:sz w:val="15"/>
          <w:szCs w:val="15"/>
          <w:b w:val="1"/>
          <w:bCs w:val="1"/>
          <w:color w:val="6D98AD"/>
        </w:rPr>
        <w:drawing>
          <wp:anchor simplePos="0" relativeHeight="251657728" behindDoc="1" locked="0" layoutInCell="0" allowOverlap="1">
            <wp:simplePos x="0" y="0"/>
            <wp:positionH relativeFrom="column">
              <wp:posOffset>1732915</wp:posOffset>
            </wp:positionH>
            <wp:positionV relativeFrom="paragraph">
              <wp:posOffset>71755</wp:posOffset>
            </wp:positionV>
            <wp:extent cx="521271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2715" cy="7620"/>
                    </a:xfrm>
                    <a:prstGeom prst="rect">
                      <a:avLst/>
                    </a:prstGeom>
                    <a:noFill/>
                  </pic:spPr>
                </pic:pic>
              </a:graphicData>
            </a:graphic>
          </wp:anchor>
        </w:drawing>
      </w:r>
    </w:p>
    <w:p>
      <w:pPr>
        <w:spacing w:after="0" w:line="20" w:lineRule="exact"/>
        <w:rPr>
          <w:rFonts w:ascii="Arial" w:cs="Arial" w:eastAsia="Arial" w:hAnsi="Arial"/>
          <w:sz w:val="15"/>
          <w:szCs w:val="15"/>
          <w:b w:val="1"/>
          <w:bCs w:val="1"/>
          <w:color w:val="6D98AD"/>
        </w:rPr>
      </w:pPr>
      <w:r>
        <w:rPr>
          <w:rFonts w:ascii="Arial" w:cs="Arial" w:eastAsia="Arial" w:hAnsi="Arial"/>
          <w:sz w:val="15"/>
          <w:szCs w:val="15"/>
          <w:b w:val="1"/>
          <w:bCs w:val="1"/>
          <w:color w:val="6D98AD"/>
        </w:rPr>
        <w:br w:type="column"/>
      </w:r>
    </w:p>
    <w:p>
      <w:pPr>
        <w:spacing w:after="0" w:line="239" w:lineRule="exact"/>
        <w:rPr>
          <w:rFonts w:ascii="Arial" w:cs="Arial" w:eastAsia="Arial" w:hAnsi="Arial"/>
          <w:sz w:val="15"/>
          <w:szCs w:val="15"/>
          <w:b w:val="1"/>
          <w:bCs w:val="1"/>
          <w:color w:val="6D98AD"/>
        </w:rPr>
      </w:pPr>
    </w:p>
    <w:p>
      <w:pPr>
        <w:ind w:left="10"/>
        <w:spacing w:after="0"/>
        <w:rPr>
          <w:sz w:val="20"/>
          <w:szCs w:val="20"/>
          <w:color w:val="auto"/>
        </w:rPr>
      </w:pPr>
      <w:r>
        <w:rPr>
          <w:rFonts w:ascii="Arial" w:cs="Arial" w:eastAsia="Arial" w:hAnsi="Arial"/>
          <w:sz w:val="16"/>
          <w:szCs w:val="16"/>
          <w:b w:val="1"/>
          <w:bCs w:val="1"/>
          <w:color w:val="auto"/>
        </w:rPr>
        <w:t>Other public company boards</w:t>
      </w:r>
    </w:p>
    <w:p>
      <w:pPr>
        <w:spacing w:after="0" w:line="127" w:lineRule="exact"/>
        <w:rPr>
          <w:rFonts w:ascii="Arial" w:cs="Arial" w:eastAsia="Arial" w:hAnsi="Arial"/>
          <w:sz w:val="15"/>
          <w:szCs w:val="15"/>
          <w:b w:val="1"/>
          <w:bCs w:val="1"/>
          <w:color w:val="6D98AD"/>
        </w:rPr>
      </w:pPr>
    </w:p>
    <w:p>
      <w:pPr>
        <w:ind w:left="150" w:hanging="150"/>
        <w:spacing w:after="0"/>
        <w:tabs>
          <w:tab w:leader="none" w:pos="150"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 xml:space="preserve">Dollar General Corporation </w:t>
      </w:r>
      <w:r>
        <w:rPr>
          <w:rFonts w:ascii="Arial" w:cs="Arial" w:eastAsia="Arial" w:hAnsi="Arial"/>
          <w:sz w:val="14"/>
          <w:szCs w:val="14"/>
          <w:color w:val="auto"/>
        </w:rPr>
        <w:t>(since 2016)</w:t>
      </w:r>
    </w:p>
    <w:p>
      <w:pPr>
        <w:spacing w:after="0" w:line="51" w:lineRule="exact"/>
        <w:rPr>
          <w:rFonts w:ascii="Arial" w:cs="Arial" w:eastAsia="Arial" w:hAnsi="Arial"/>
          <w:sz w:val="14"/>
          <w:szCs w:val="14"/>
          <w:color w:val="auto"/>
        </w:rPr>
      </w:pPr>
    </w:p>
    <w:p>
      <w:pPr>
        <w:ind w:left="150" w:hanging="150"/>
        <w:spacing w:after="0"/>
        <w:tabs>
          <w:tab w:leader="none" w:pos="150"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 xml:space="preserve">AutoZone, Inc. </w:t>
      </w:r>
      <w:r>
        <w:rPr>
          <w:rFonts w:ascii="Arial" w:cs="Arial" w:eastAsia="Arial" w:hAnsi="Arial"/>
          <w:sz w:val="14"/>
          <w:szCs w:val="14"/>
          <w:color w:val="auto"/>
        </w:rPr>
        <w:t>(2019 to 2021)</w:t>
      </w:r>
    </w:p>
    <w:p>
      <w:pPr>
        <w:spacing w:after="0" w:line="51" w:lineRule="exact"/>
        <w:rPr>
          <w:rFonts w:ascii="Arial" w:cs="Arial" w:eastAsia="Arial" w:hAnsi="Arial"/>
          <w:sz w:val="14"/>
          <w:szCs w:val="14"/>
          <w:color w:val="auto"/>
        </w:rPr>
      </w:pPr>
    </w:p>
    <w:p>
      <w:pPr>
        <w:ind w:left="150" w:hanging="150"/>
        <w:spacing w:after="0" w:line="282" w:lineRule="auto"/>
        <w:tabs>
          <w:tab w:leader="none" w:pos="152"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 xml:space="preserve">Executive Network Partnering Corporation </w:t>
      </w:r>
      <w:r>
        <w:rPr>
          <w:rFonts w:ascii="Arial" w:cs="Arial" w:eastAsia="Arial" w:hAnsi="Arial"/>
          <w:sz w:val="14"/>
          <w:szCs w:val="14"/>
          <w:color w:val="auto"/>
        </w:rPr>
        <w:t>(2020 to</w:t>
      </w:r>
      <w:r>
        <w:rPr>
          <w:rFonts w:ascii="Arial" w:cs="Arial" w:eastAsia="Arial" w:hAnsi="Arial"/>
          <w:sz w:val="14"/>
          <w:szCs w:val="14"/>
          <w:b w:val="1"/>
          <w:bCs w:val="1"/>
          <w:color w:val="auto"/>
        </w:rPr>
        <w:t xml:space="preserve"> </w:t>
      </w:r>
      <w:r>
        <w:rPr>
          <w:rFonts w:ascii="Arial" w:cs="Arial" w:eastAsia="Arial" w:hAnsi="Arial"/>
          <w:sz w:val="14"/>
          <w:szCs w:val="14"/>
          <w:color w:val="auto"/>
        </w:rPr>
        <w:t>2022)</w:t>
      </w:r>
    </w:p>
    <w:p>
      <w:pPr>
        <w:spacing w:after="0" w:line="1239" w:lineRule="exact"/>
        <w:rPr>
          <w:rFonts w:ascii="Arial" w:cs="Arial" w:eastAsia="Arial" w:hAnsi="Arial"/>
          <w:sz w:val="15"/>
          <w:szCs w:val="15"/>
          <w:b w:val="1"/>
          <w:bCs w:val="1"/>
          <w:color w:val="6D98AD"/>
        </w:rPr>
      </w:pPr>
    </w:p>
    <w:p>
      <w:pPr>
        <w:sectPr>
          <w:pgSz w:w="11900" w:h="16838" w:orient="portrait"/>
          <w:cols w:equalWidth="0" w:num="2">
            <w:col w:w="7089" w:space="170"/>
            <w:col w:w="3550"/>
          </w:cols>
          <w:pgMar w:left="471" w:top="447" w:right="619" w:bottom="1440" w:gutter="0" w:footer="0" w:header="0"/>
          <w:type w:val="continuous"/>
        </w:sectPr>
      </w:pPr>
    </w:p>
    <w:p>
      <w:pPr>
        <w:spacing w:after="0" w:line="212" w:lineRule="exact"/>
        <w:rPr>
          <w:rFonts w:ascii="Arial" w:cs="Arial" w:eastAsia="Arial" w:hAnsi="Arial"/>
          <w:sz w:val="15"/>
          <w:szCs w:val="15"/>
          <w:b w:val="1"/>
          <w:bCs w:val="1"/>
          <w:color w:val="6D98AD"/>
        </w:rPr>
      </w:pPr>
    </w:p>
    <w:p>
      <w:pPr>
        <w:ind w:left="9"/>
        <w:spacing w:after="0"/>
        <w:rPr>
          <w:sz w:val="20"/>
          <w:szCs w:val="20"/>
          <w:color w:val="auto"/>
        </w:rPr>
      </w:pPr>
      <w:r>
        <w:rPr>
          <w:rFonts w:ascii="Arial" w:cs="Arial" w:eastAsia="Arial" w:hAnsi="Arial"/>
          <w:sz w:val="31"/>
          <w:szCs w:val="31"/>
          <w:color w:val="auto"/>
        </w:rPr>
        <w:t>Brent Callinicos</w:t>
      </w:r>
    </w:p>
    <w:p>
      <w:pPr>
        <w:spacing w:after="0" w:line="20" w:lineRule="exact"/>
        <w:rPr>
          <w:rFonts w:ascii="Arial" w:cs="Arial" w:eastAsia="Arial" w:hAnsi="Arial"/>
          <w:sz w:val="15"/>
          <w:szCs w:val="15"/>
          <w:b w:val="1"/>
          <w:bCs w:val="1"/>
          <w:color w:val="6D98AD"/>
        </w:rPr>
      </w:pPr>
      <w:r>
        <w:rPr>
          <w:rFonts w:ascii="Arial" w:cs="Arial" w:eastAsia="Arial" w:hAnsi="Arial"/>
          <w:sz w:val="15"/>
          <w:szCs w:val="15"/>
          <w:b w:val="1"/>
          <w:bCs w:val="1"/>
          <w:color w:val="6D98AD"/>
        </w:rPr>
        <w:br w:type="column"/>
      </w:r>
    </w:p>
    <w:p>
      <w:pPr>
        <w:spacing w:after="0" w:line="213" w:lineRule="exact"/>
        <w:rPr>
          <w:rFonts w:ascii="Arial" w:cs="Arial" w:eastAsia="Arial" w:hAnsi="Arial"/>
          <w:sz w:val="15"/>
          <w:szCs w:val="15"/>
          <w:b w:val="1"/>
          <w:bCs w:val="1"/>
          <w:color w:val="6D98AD"/>
        </w:rPr>
      </w:pPr>
    </w:p>
    <w:p>
      <w:pPr>
        <w:ind w:right="2160"/>
        <w:spacing w:after="0" w:line="279" w:lineRule="auto"/>
        <w:rPr>
          <w:sz w:val="20"/>
          <w:szCs w:val="20"/>
          <w:color w:val="auto"/>
        </w:rPr>
      </w:pPr>
      <w:r>
        <w:rPr>
          <w:rFonts w:ascii="Arial" w:cs="Arial" w:eastAsia="Arial" w:hAnsi="Arial"/>
          <w:sz w:val="14"/>
          <w:szCs w:val="14"/>
          <w:i w:val="1"/>
          <w:iCs w:val="1"/>
          <w:color w:val="auto"/>
        </w:rPr>
        <w:t>Former Chief Operating and Chief Financial Officer, Virgin Hyperloop One; Former Chief Financial Officer, Uber Technologies, Inc.</w:t>
      </w:r>
    </w:p>
    <w:p>
      <w:pPr>
        <w:spacing w:after="0" w:line="20" w:lineRule="exact"/>
        <w:rPr>
          <w:rFonts w:ascii="Arial" w:cs="Arial" w:eastAsia="Arial" w:hAnsi="Arial"/>
          <w:sz w:val="15"/>
          <w:szCs w:val="15"/>
          <w:b w:val="1"/>
          <w:bCs w:val="1"/>
          <w:color w:val="6D98AD"/>
        </w:rPr>
      </w:pPr>
      <w:r>
        <w:rPr>
          <w:rFonts w:ascii="Arial" w:cs="Arial" w:eastAsia="Arial" w:hAnsi="Arial"/>
          <w:sz w:val="15"/>
          <w:szCs w:val="15"/>
          <w:b w:val="1"/>
          <w:bCs w:val="1"/>
          <w:color w:val="6D98AD"/>
        </w:rPr>
        <w:drawing>
          <wp:anchor simplePos="0" relativeHeight="251657728" behindDoc="1" locked="0" layoutInCell="0" allowOverlap="1">
            <wp:simplePos x="0" y="0"/>
            <wp:positionH relativeFrom="column">
              <wp:posOffset>-2547620</wp:posOffset>
            </wp:positionH>
            <wp:positionV relativeFrom="paragraph">
              <wp:posOffset>22860</wp:posOffset>
            </wp:positionV>
            <wp:extent cx="694817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pacing w:after="0" w:line="149" w:lineRule="exact"/>
        <w:rPr>
          <w:rFonts w:ascii="Arial" w:cs="Arial" w:eastAsia="Arial" w:hAnsi="Arial"/>
          <w:sz w:val="15"/>
          <w:szCs w:val="15"/>
          <w:b w:val="1"/>
          <w:bCs w:val="1"/>
          <w:color w:val="6D98AD"/>
        </w:rPr>
      </w:pPr>
    </w:p>
    <w:p>
      <w:pPr>
        <w:sectPr>
          <w:pgSz w:w="11900" w:h="16838" w:orient="portrait"/>
          <w:cols w:equalWidth="0" w:num="2">
            <w:col w:w="3289" w:space="720"/>
            <w:col w:w="6800"/>
          </w:cols>
          <w:pgMar w:left="471" w:top="447" w:right="619" w:bottom="1440" w:gutter="0" w:footer="0" w:header="0"/>
          <w:type w:val="continuous"/>
        </w:sectPr>
      </w:pPr>
    </w:p>
    <w:p>
      <w:pPr>
        <w:spacing w:after="0" w:line="200" w:lineRule="exact"/>
        <w:rPr>
          <w:rFonts w:ascii="Arial" w:cs="Arial" w:eastAsia="Arial" w:hAnsi="Arial"/>
          <w:sz w:val="15"/>
          <w:szCs w:val="15"/>
          <w:b w:val="1"/>
          <w:bCs w:val="1"/>
          <w:color w:val="6D98AD"/>
        </w:rPr>
      </w:pPr>
    </w:p>
    <w:p>
      <w:pPr>
        <w:spacing w:after="0" w:line="200" w:lineRule="exact"/>
        <w:rPr>
          <w:rFonts w:ascii="Arial" w:cs="Arial" w:eastAsia="Arial" w:hAnsi="Arial"/>
          <w:sz w:val="15"/>
          <w:szCs w:val="15"/>
          <w:b w:val="1"/>
          <w:bCs w:val="1"/>
          <w:color w:val="6D98AD"/>
        </w:rPr>
      </w:pPr>
    </w:p>
    <w:p>
      <w:pPr>
        <w:spacing w:after="0" w:line="200" w:lineRule="exact"/>
        <w:rPr>
          <w:rFonts w:ascii="Arial" w:cs="Arial" w:eastAsia="Arial" w:hAnsi="Arial"/>
          <w:sz w:val="15"/>
          <w:szCs w:val="15"/>
          <w:b w:val="1"/>
          <w:bCs w:val="1"/>
          <w:color w:val="6D98AD"/>
        </w:rPr>
      </w:pPr>
    </w:p>
    <w:p>
      <w:pPr>
        <w:spacing w:after="0" w:line="200" w:lineRule="exact"/>
        <w:rPr>
          <w:rFonts w:ascii="Arial" w:cs="Arial" w:eastAsia="Arial" w:hAnsi="Arial"/>
          <w:sz w:val="15"/>
          <w:szCs w:val="15"/>
          <w:b w:val="1"/>
          <w:bCs w:val="1"/>
          <w:color w:val="6D98AD"/>
        </w:rPr>
      </w:pPr>
    </w:p>
    <w:p>
      <w:pPr>
        <w:spacing w:after="0" w:line="200" w:lineRule="exact"/>
        <w:rPr>
          <w:rFonts w:ascii="Arial" w:cs="Arial" w:eastAsia="Arial" w:hAnsi="Arial"/>
          <w:sz w:val="15"/>
          <w:szCs w:val="15"/>
          <w:b w:val="1"/>
          <w:bCs w:val="1"/>
          <w:color w:val="6D98AD"/>
        </w:rPr>
      </w:pPr>
    </w:p>
    <w:p>
      <w:pPr>
        <w:spacing w:after="0" w:line="200" w:lineRule="exact"/>
        <w:rPr>
          <w:rFonts w:ascii="Arial" w:cs="Arial" w:eastAsia="Arial" w:hAnsi="Arial"/>
          <w:sz w:val="15"/>
          <w:szCs w:val="15"/>
          <w:b w:val="1"/>
          <w:bCs w:val="1"/>
          <w:color w:val="6D98AD"/>
        </w:rPr>
      </w:pPr>
    </w:p>
    <w:p>
      <w:pPr>
        <w:spacing w:after="0" w:line="214" w:lineRule="exact"/>
        <w:rPr>
          <w:rFonts w:ascii="Arial" w:cs="Arial" w:eastAsia="Arial" w:hAnsi="Arial"/>
          <w:sz w:val="15"/>
          <w:szCs w:val="15"/>
          <w:b w:val="1"/>
          <w:bCs w:val="1"/>
          <w:color w:val="6D98AD"/>
        </w:rPr>
      </w:pPr>
    </w:p>
    <w:p>
      <w:pPr>
        <w:ind w:left="9"/>
        <w:spacing w:after="0"/>
        <w:rPr>
          <w:sz w:val="20"/>
          <w:szCs w:val="20"/>
          <w:color w:val="auto"/>
        </w:rPr>
      </w:pPr>
      <w:r>
        <w:rPr>
          <w:rFonts w:ascii="Arial" w:cs="Arial" w:eastAsia="Arial" w:hAnsi="Arial"/>
          <w:sz w:val="15"/>
          <w:szCs w:val="15"/>
          <w:b w:val="1"/>
          <w:bCs w:val="1"/>
          <w:color w:val="6D98AD"/>
        </w:rPr>
        <w:t>Independent</w:t>
      </w:r>
    </w:p>
    <w:p>
      <w:pPr>
        <w:spacing w:after="0" w:line="20" w:lineRule="exact"/>
        <w:rPr>
          <w:rFonts w:ascii="Arial" w:cs="Arial" w:eastAsia="Arial" w:hAnsi="Arial"/>
          <w:sz w:val="15"/>
          <w:szCs w:val="15"/>
          <w:b w:val="1"/>
          <w:bCs w:val="1"/>
          <w:color w:val="6D98AD"/>
        </w:rPr>
      </w:pPr>
      <w:r>
        <w:rPr>
          <w:rFonts w:ascii="Arial" w:cs="Arial" w:eastAsia="Arial" w:hAnsi="Arial"/>
          <w:sz w:val="15"/>
          <w:szCs w:val="15"/>
          <w:b w:val="1"/>
          <w:bCs w:val="1"/>
          <w:color w:val="6D98AD"/>
        </w:rPr>
        <w:drawing>
          <wp:anchor simplePos="0" relativeHeight="251657728" behindDoc="1" locked="0" layoutInCell="0" allowOverlap="1">
            <wp:simplePos x="0" y="0"/>
            <wp:positionH relativeFrom="column">
              <wp:posOffset>-1905</wp:posOffset>
            </wp:positionH>
            <wp:positionV relativeFrom="paragraph">
              <wp:posOffset>-995680</wp:posOffset>
            </wp:positionV>
            <wp:extent cx="837565" cy="8375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37565" cy="837565"/>
                    </a:xfrm>
                    <a:prstGeom prst="rect">
                      <a:avLst/>
                    </a:prstGeom>
                    <a:noFill/>
                  </pic:spPr>
                </pic:pic>
              </a:graphicData>
            </a:graphic>
          </wp:anchor>
        </w:drawing>
      </w:r>
    </w:p>
    <w:p>
      <w:pPr>
        <w:spacing w:after="0" w:line="47" w:lineRule="exact"/>
        <w:rPr>
          <w:rFonts w:ascii="Arial" w:cs="Arial" w:eastAsia="Arial" w:hAnsi="Arial"/>
          <w:sz w:val="15"/>
          <w:szCs w:val="15"/>
          <w:b w:val="1"/>
          <w:bCs w:val="1"/>
          <w:color w:val="6D98AD"/>
        </w:rPr>
      </w:pPr>
    </w:p>
    <w:p>
      <w:pPr>
        <w:ind w:left="9"/>
        <w:spacing w:after="0"/>
        <w:rPr>
          <w:sz w:val="20"/>
          <w:szCs w:val="20"/>
          <w:color w:val="auto"/>
        </w:rPr>
      </w:pPr>
      <w:r>
        <w:rPr>
          <w:rFonts w:ascii="Arial" w:cs="Arial" w:eastAsia="Arial" w:hAnsi="Arial"/>
          <w:sz w:val="14"/>
          <w:szCs w:val="14"/>
          <w:color w:val="auto"/>
        </w:rPr>
        <w:t>Age: 60</w:t>
      </w:r>
    </w:p>
    <w:p>
      <w:pPr>
        <w:spacing w:after="0" w:line="20" w:lineRule="exact"/>
        <w:rPr>
          <w:rFonts w:ascii="Arial" w:cs="Arial" w:eastAsia="Arial" w:hAnsi="Arial"/>
          <w:sz w:val="15"/>
          <w:szCs w:val="15"/>
          <w:b w:val="1"/>
          <w:bCs w:val="1"/>
          <w:color w:val="6D98AD"/>
        </w:rPr>
      </w:pPr>
      <w:r>
        <w:rPr>
          <w:rFonts w:ascii="Arial" w:cs="Arial" w:eastAsia="Arial" w:hAnsi="Arial"/>
          <w:sz w:val="15"/>
          <w:szCs w:val="15"/>
          <w:b w:val="1"/>
          <w:bCs w:val="1"/>
          <w:color w:val="6D98AD"/>
        </w:rPr>
        <w:br w:type="column"/>
      </w:r>
    </w:p>
    <w:p>
      <w:pPr>
        <w:spacing w:after="0"/>
        <w:rPr>
          <w:sz w:val="20"/>
          <w:szCs w:val="20"/>
          <w:color w:val="auto"/>
        </w:rPr>
      </w:pPr>
      <w:r>
        <w:rPr>
          <w:rFonts w:ascii="Arial" w:cs="Arial" w:eastAsia="Arial" w:hAnsi="Arial"/>
          <w:sz w:val="16"/>
          <w:szCs w:val="16"/>
          <w:b w:val="1"/>
          <w:bCs w:val="1"/>
          <w:color w:val="auto"/>
        </w:rPr>
        <w:t>Experience</w:t>
      </w:r>
    </w:p>
    <w:p>
      <w:pPr>
        <w:spacing w:after="0" w:line="138" w:lineRule="exact"/>
        <w:rPr>
          <w:rFonts w:ascii="Arial" w:cs="Arial" w:eastAsia="Arial" w:hAnsi="Arial"/>
          <w:sz w:val="15"/>
          <w:szCs w:val="15"/>
          <w:b w:val="1"/>
          <w:bCs w:val="1"/>
          <w:color w:val="6D98AD"/>
        </w:rPr>
      </w:pPr>
    </w:p>
    <w:p>
      <w:pPr>
        <w:ind w:left="140" w:right="760" w:hanging="136"/>
        <w:spacing w:after="0" w:line="280" w:lineRule="auto"/>
        <w:tabs>
          <w:tab w:leader="none" w:pos="142"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Chief Operating and Chief Financial Officer of Virgin Hyperloop One (an autonomous transportation company) from January 2017 to March 2018</w:t>
      </w:r>
    </w:p>
    <w:p>
      <w:pPr>
        <w:spacing w:after="0" w:line="1" w:lineRule="exact"/>
        <w:rPr>
          <w:rFonts w:ascii="Arial" w:cs="Arial" w:eastAsia="Arial" w:hAnsi="Arial"/>
          <w:sz w:val="14"/>
          <w:szCs w:val="14"/>
          <w:color w:val="auto"/>
        </w:rPr>
      </w:pPr>
    </w:p>
    <w:p>
      <w:pPr>
        <w:ind w:left="140" w:hanging="136"/>
        <w:spacing w:after="0"/>
        <w:tabs>
          <w:tab w:leader="none" w:pos="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Advisor at Uber Technologies, Inc. (an on-demand car service company) from 2015 to 2016</w:t>
      </w:r>
    </w:p>
    <w:p>
      <w:pPr>
        <w:spacing w:after="0" w:line="51" w:lineRule="exact"/>
        <w:rPr>
          <w:rFonts w:ascii="Arial" w:cs="Arial" w:eastAsia="Arial" w:hAnsi="Arial"/>
          <w:sz w:val="14"/>
          <w:szCs w:val="14"/>
          <w:color w:val="auto"/>
        </w:rPr>
      </w:pPr>
    </w:p>
    <w:p>
      <w:pPr>
        <w:ind w:left="140" w:hanging="136"/>
        <w:spacing w:after="0"/>
        <w:tabs>
          <w:tab w:leader="none" w:pos="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Chief Financial Officer at Uber from 2013 to 2015</w:t>
      </w:r>
    </w:p>
    <w:p>
      <w:pPr>
        <w:spacing w:after="0" w:line="51" w:lineRule="exact"/>
        <w:rPr>
          <w:rFonts w:ascii="Arial" w:cs="Arial" w:eastAsia="Arial" w:hAnsi="Arial"/>
          <w:sz w:val="14"/>
          <w:szCs w:val="14"/>
          <w:color w:val="auto"/>
        </w:rPr>
      </w:pPr>
    </w:p>
    <w:p>
      <w:pPr>
        <w:ind w:left="140" w:hanging="136"/>
        <w:spacing w:after="0" w:line="280" w:lineRule="auto"/>
        <w:tabs>
          <w:tab w:leader="none" w:pos="142" w:val="left"/>
        </w:tabs>
        <w:numPr>
          <w:ilvl w:val="0"/>
          <w:numId w:val="27"/>
        </w:numPr>
        <w:rPr>
          <w:rFonts w:ascii="Arial" w:cs="Arial" w:eastAsia="Arial" w:hAnsi="Arial"/>
          <w:sz w:val="14"/>
          <w:szCs w:val="14"/>
          <w:color w:val="auto"/>
        </w:rPr>
      </w:pPr>
      <w:r>
        <w:rPr>
          <w:rFonts w:ascii="Arial" w:cs="Arial" w:eastAsia="Arial" w:hAnsi="Arial"/>
          <w:sz w:val="14"/>
          <w:szCs w:val="14"/>
          <w:color w:val="auto"/>
        </w:rPr>
        <w:t>Vice President, Treasurer and Chief Accounting Officer of Google Inc. (a global technology leader now known as Alphabet Inc.) from 2012 to 2013</w:t>
      </w:r>
    </w:p>
    <w:p>
      <w:pPr>
        <w:spacing w:after="0" w:line="1" w:lineRule="exact"/>
        <w:rPr>
          <w:rFonts w:ascii="Arial" w:cs="Arial" w:eastAsia="Arial" w:hAnsi="Arial"/>
          <w:sz w:val="14"/>
          <w:szCs w:val="14"/>
          <w:color w:val="auto"/>
        </w:rPr>
      </w:pPr>
    </w:p>
    <w:p>
      <w:pPr>
        <w:ind w:left="140" w:hanging="136"/>
        <w:spacing w:after="0"/>
        <w:tabs>
          <w:tab w:leader="none" w:pos="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Vice President and Treasurer of Google from 2007 to 2012</w:t>
      </w:r>
    </w:p>
    <w:p>
      <w:pPr>
        <w:spacing w:after="0" w:line="20" w:lineRule="exact"/>
        <w:rPr>
          <w:rFonts w:ascii="Arial" w:cs="Arial" w:eastAsia="Arial" w:hAnsi="Arial"/>
          <w:sz w:val="15"/>
          <w:szCs w:val="15"/>
          <w:b w:val="1"/>
          <w:bCs w:val="1"/>
          <w:color w:val="6D98AD"/>
        </w:rPr>
      </w:pPr>
      <w:r>
        <w:rPr>
          <w:rFonts w:ascii="Arial" w:cs="Arial" w:eastAsia="Arial" w:hAnsi="Arial"/>
          <w:sz w:val="15"/>
          <w:szCs w:val="15"/>
          <w:b w:val="1"/>
          <w:bCs w:val="1"/>
          <w:color w:val="6D98AD"/>
        </w:rPr>
        <w:drawing>
          <wp:anchor simplePos="0" relativeHeight="251657728" behindDoc="1" locked="0" layoutInCell="0" allowOverlap="1">
            <wp:simplePos x="0" y="0"/>
            <wp:positionH relativeFrom="column">
              <wp:posOffset>0</wp:posOffset>
            </wp:positionH>
            <wp:positionV relativeFrom="paragraph">
              <wp:posOffset>92710</wp:posOffset>
            </wp:positionV>
            <wp:extent cx="521271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2715" cy="7620"/>
                    </a:xfrm>
                    <a:prstGeom prst="rect">
                      <a:avLst/>
                    </a:prstGeom>
                    <a:noFill/>
                  </pic:spPr>
                </pic:pic>
              </a:graphicData>
            </a:graphic>
          </wp:anchor>
        </w:drawing>
      </w:r>
    </w:p>
    <w:p>
      <w:pPr>
        <w:spacing w:after="0" w:line="216" w:lineRule="exact"/>
        <w:rPr>
          <w:rFonts w:ascii="Arial" w:cs="Arial" w:eastAsia="Arial" w:hAnsi="Arial"/>
          <w:sz w:val="15"/>
          <w:szCs w:val="15"/>
          <w:b w:val="1"/>
          <w:bCs w:val="1"/>
          <w:color w:val="6D98AD"/>
        </w:rPr>
      </w:pPr>
    </w:p>
    <w:p>
      <w:pPr>
        <w:sectPr>
          <w:pgSz w:w="11900" w:h="16838" w:orient="portrait"/>
          <w:cols w:equalWidth="0" w:num="2">
            <w:col w:w="2009" w:space="720"/>
            <w:col w:w="8080"/>
          </w:cols>
          <w:pgMar w:left="471" w:top="447" w:right="619" w:bottom="1440" w:gutter="0" w:footer="0" w:header="0"/>
          <w:type w:val="continuous"/>
        </w:sectPr>
      </w:pPr>
    </w:p>
    <w:p>
      <w:pPr>
        <w:ind w:left="9"/>
        <w:spacing w:after="0"/>
        <w:rPr>
          <w:sz w:val="20"/>
          <w:szCs w:val="20"/>
          <w:color w:val="auto"/>
        </w:rPr>
      </w:pPr>
      <w:r>
        <w:rPr>
          <w:rFonts w:ascii="Arial" w:cs="Arial" w:eastAsia="Arial" w:hAnsi="Arial"/>
          <w:sz w:val="14"/>
          <w:szCs w:val="14"/>
          <w:color w:val="auto"/>
        </w:rPr>
        <w:t>Director Since 2014</w:t>
      </w:r>
    </w:p>
    <w:p>
      <w:pPr>
        <w:spacing w:after="0" w:line="141" w:lineRule="exact"/>
        <w:rPr>
          <w:rFonts w:ascii="Arial" w:cs="Arial" w:eastAsia="Arial" w:hAnsi="Arial"/>
          <w:sz w:val="15"/>
          <w:szCs w:val="15"/>
          <w:b w:val="1"/>
          <w:bCs w:val="1"/>
          <w:color w:val="6D98AD"/>
        </w:rPr>
      </w:pPr>
    </w:p>
    <w:p>
      <w:pPr>
        <w:ind w:left="9"/>
        <w:spacing w:after="0"/>
        <w:rPr>
          <w:sz w:val="20"/>
          <w:szCs w:val="20"/>
          <w:color w:val="auto"/>
        </w:rPr>
      </w:pPr>
      <w:r>
        <w:rPr>
          <w:rFonts w:ascii="Arial" w:cs="Arial" w:eastAsia="Arial" w:hAnsi="Arial"/>
          <w:sz w:val="16"/>
          <w:szCs w:val="16"/>
          <w:b w:val="1"/>
          <w:bCs w:val="1"/>
          <w:color w:val="auto"/>
        </w:rPr>
        <w:t>Committees</w:t>
      </w:r>
    </w:p>
    <w:p>
      <w:pPr>
        <w:spacing w:after="0" w:line="44" w:lineRule="exact"/>
        <w:rPr>
          <w:rFonts w:ascii="Arial" w:cs="Arial" w:eastAsia="Arial" w:hAnsi="Arial"/>
          <w:sz w:val="15"/>
          <w:szCs w:val="15"/>
          <w:b w:val="1"/>
          <w:bCs w:val="1"/>
          <w:color w:val="6D98AD"/>
        </w:rPr>
      </w:pPr>
    </w:p>
    <w:p>
      <w:pPr>
        <w:ind w:left="149" w:hanging="149"/>
        <w:spacing w:after="0"/>
        <w:tabs>
          <w:tab w:leader="none" w:pos="149" w:val="left"/>
        </w:tabs>
        <w:numPr>
          <w:ilvl w:val="0"/>
          <w:numId w:val="28"/>
        </w:numPr>
        <w:rPr>
          <w:rFonts w:ascii="Arial" w:cs="Arial" w:eastAsia="Arial" w:hAnsi="Arial"/>
          <w:sz w:val="14"/>
          <w:szCs w:val="14"/>
          <w:color w:val="auto"/>
        </w:rPr>
      </w:pPr>
      <w:r>
        <w:rPr>
          <w:rFonts w:ascii="Arial" w:cs="Arial" w:eastAsia="Arial" w:hAnsi="Arial"/>
          <w:sz w:val="14"/>
          <w:szCs w:val="14"/>
          <w:color w:val="auto"/>
        </w:rPr>
        <w:t>Audit &amp; Risk Management (Chair)</w:t>
      </w:r>
    </w:p>
    <w:p>
      <w:pPr>
        <w:spacing w:after="0" w:line="51" w:lineRule="exact"/>
        <w:rPr>
          <w:rFonts w:ascii="Arial" w:cs="Arial" w:eastAsia="Arial" w:hAnsi="Arial"/>
          <w:sz w:val="14"/>
          <w:szCs w:val="14"/>
          <w:color w:val="auto"/>
        </w:rPr>
      </w:pPr>
    </w:p>
    <w:p>
      <w:pPr>
        <w:ind w:left="149" w:hanging="149"/>
        <w:spacing w:after="0"/>
        <w:tabs>
          <w:tab w:leader="none" w:pos="149"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Corporate Responsibility</w:t>
      </w:r>
    </w:p>
    <w:p>
      <w:pPr>
        <w:spacing w:after="0" w:line="20" w:lineRule="exact"/>
        <w:rPr>
          <w:rFonts w:ascii="Arial" w:cs="Arial" w:eastAsia="Arial" w:hAnsi="Arial"/>
          <w:sz w:val="15"/>
          <w:szCs w:val="15"/>
          <w:b w:val="1"/>
          <w:bCs w:val="1"/>
          <w:color w:val="6D98AD"/>
        </w:rPr>
      </w:pPr>
      <w:r>
        <w:rPr>
          <w:rFonts w:ascii="Arial" w:cs="Arial" w:eastAsia="Arial" w:hAnsi="Arial"/>
          <w:sz w:val="15"/>
          <w:szCs w:val="15"/>
          <w:b w:val="1"/>
          <w:bCs w:val="1"/>
          <w:color w:val="6D98AD"/>
        </w:rPr>
        <w:br w:type="column"/>
      </w:r>
    </w:p>
    <w:p>
      <w:pPr>
        <w:spacing w:after="0" w:line="22" w:lineRule="exact"/>
        <w:rPr>
          <w:rFonts w:ascii="Arial" w:cs="Arial" w:eastAsia="Arial" w:hAnsi="Arial"/>
          <w:sz w:val="15"/>
          <w:szCs w:val="15"/>
          <w:b w:val="1"/>
          <w:bCs w:val="1"/>
          <w:color w:val="6D98AD"/>
        </w:rPr>
      </w:pPr>
    </w:p>
    <w:p>
      <w:pPr>
        <w:spacing w:after="0"/>
        <w:rPr>
          <w:sz w:val="20"/>
          <w:szCs w:val="20"/>
          <w:color w:val="auto"/>
        </w:rPr>
      </w:pPr>
      <w:r>
        <w:rPr>
          <w:rFonts w:ascii="Arial" w:cs="Arial" w:eastAsia="Arial" w:hAnsi="Arial"/>
          <w:sz w:val="16"/>
          <w:szCs w:val="16"/>
          <w:b w:val="1"/>
          <w:bCs w:val="1"/>
          <w:color w:val="auto"/>
        </w:rPr>
        <w:t>Expertise</w:t>
      </w:r>
    </w:p>
    <w:p>
      <w:pPr>
        <w:spacing w:after="0" w:line="138" w:lineRule="exact"/>
        <w:rPr>
          <w:rFonts w:ascii="Arial" w:cs="Arial" w:eastAsia="Arial" w:hAnsi="Arial"/>
          <w:sz w:val="15"/>
          <w:szCs w:val="15"/>
          <w:b w:val="1"/>
          <w:bCs w:val="1"/>
          <w:color w:val="6D98AD"/>
        </w:rPr>
      </w:pPr>
    </w:p>
    <w:p>
      <w:pPr>
        <w:spacing w:after="0" w:line="253" w:lineRule="auto"/>
        <w:rPr>
          <w:sz w:val="20"/>
          <w:szCs w:val="20"/>
          <w:color w:val="auto"/>
        </w:rPr>
      </w:pPr>
      <w:r>
        <w:rPr>
          <w:rFonts w:ascii="Arial" w:cs="Arial" w:eastAsia="Arial" w:hAnsi="Arial"/>
          <w:sz w:val="14"/>
          <w:szCs w:val="14"/>
          <w:color w:val="auto"/>
        </w:rPr>
        <w:t>Mr. Callinicos has extensive experience working in treasury, financial and accounting roles in public companies and working with public company boards. He has been a senior executive at four companies and has served in several board advisory roles. He has substantial experience with corporate responsibility initiatives, including having run Green Energy Investing at Google.</w:t>
      </w:r>
    </w:p>
    <w:p>
      <w:pPr>
        <w:spacing w:after="0" w:line="20" w:lineRule="exact"/>
        <w:rPr>
          <w:rFonts w:ascii="Arial" w:cs="Arial" w:eastAsia="Arial" w:hAnsi="Arial"/>
          <w:sz w:val="15"/>
          <w:szCs w:val="15"/>
          <w:b w:val="1"/>
          <w:bCs w:val="1"/>
          <w:color w:val="6D98AD"/>
        </w:rPr>
      </w:pPr>
      <w:r>
        <w:rPr>
          <w:rFonts w:ascii="Arial" w:cs="Arial" w:eastAsia="Arial" w:hAnsi="Arial"/>
          <w:sz w:val="15"/>
          <w:szCs w:val="15"/>
          <w:b w:val="1"/>
          <w:bCs w:val="1"/>
          <w:color w:val="6D98AD"/>
        </w:rPr>
        <w:drawing>
          <wp:anchor simplePos="0" relativeHeight="251657728" behindDoc="1" locked="0" layoutInCell="0" allowOverlap="1">
            <wp:simplePos x="0" y="0"/>
            <wp:positionH relativeFrom="column">
              <wp:posOffset>0</wp:posOffset>
            </wp:positionH>
            <wp:positionV relativeFrom="paragraph">
              <wp:posOffset>71755</wp:posOffset>
            </wp:positionV>
            <wp:extent cx="521271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2715" cy="7620"/>
                    </a:xfrm>
                    <a:prstGeom prst="rect">
                      <a:avLst/>
                    </a:prstGeom>
                    <a:noFill/>
                  </pic:spPr>
                </pic:pic>
              </a:graphicData>
            </a:graphic>
          </wp:anchor>
        </w:drawing>
      </w:r>
    </w:p>
    <w:p>
      <w:pPr>
        <w:spacing w:after="0" w:line="20" w:lineRule="exact"/>
        <w:rPr>
          <w:rFonts w:ascii="Arial" w:cs="Arial" w:eastAsia="Arial" w:hAnsi="Arial"/>
          <w:sz w:val="15"/>
          <w:szCs w:val="15"/>
          <w:b w:val="1"/>
          <w:bCs w:val="1"/>
          <w:color w:val="6D98AD"/>
        </w:rPr>
      </w:pPr>
      <w:r>
        <w:rPr>
          <w:rFonts w:ascii="Arial" w:cs="Arial" w:eastAsia="Arial" w:hAnsi="Arial"/>
          <w:sz w:val="15"/>
          <w:szCs w:val="15"/>
          <w:b w:val="1"/>
          <w:bCs w:val="1"/>
          <w:color w:val="6D98AD"/>
        </w:rPr>
        <w:br w:type="column"/>
      </w:r>
    </w:p>
    <w:p>
      <w:pPr>
        <w:spacing w:after="0" w:line="22" w:lineRule="exact"/>
        <w:rPr>
          <w:rFonts w:ascii="Arial" w:cs="Arial" w:eastAsia="Arial" w:hAnsi="Arial"/>
          <w:sz w:val="15"/>
          <w:szCs w:val="15"/>
          <w:b w:val="1"/>
          <w:bCs w:val="1"/>
          <w:color w:val="6D98AD"/>
        </w:rPr>
      </w:pPr>
    </w:p>
    <w:p>
      <w:pPr>
        <w:ind w:left="10"/>
        <w:spacing w:after="0"/>
        <w:rPr>
          <w:sz w:val="20"/>
          <w:szCs w:val="20"/>
          <w:color w:val="auto"/>
        </w:rPr>
      </w:pPr>
      <w:r>
        <w:rPr>
          <w:rFonts w:ascii="Arial" w:cs="Arial" w:eastAsia="Arial" w:hAnsi="Arial"/>
          <w:sz w:val="16"/>
          <w:szCs w:val="16"/>
          <w:b w:val="1"/>
          <w:bCs w:val="1"/>
          <w:color w:val="auto"/>
        </w:rPr>
        <w:t>Other public company boards</w:t>
      </w:r>
    </w:p>
    <w:p>
      <w:pPr>
        <w:spacing w:after="0" w:line="138" w:lineRule="exact"/>
        <w:rPr>
          <w:rFonts w:ascii="Arial" w:cs="Arial" w:eastAsia="Arial" w:hAnsi="Arial"/>
          <w:sz w:val="15"/>
          <w:szCs w:val="15"/>
          <w:b w:val="1"/>
          <w:bCs w:val="1"/>
          <w:color w:val="6D98AD"/>
        </w:rPr>
      </w:pPr>
    </w:p>
    <w:p>
      <w:pPr>
        <w:ind w:left="150" w:hanging="150"/>
        <w:spacing w:after="0"/>
        <w:tabs>
          <w:tab w:leader="none" w:pos="150" w:val="left"/>
        </w:tabs>
        <w:numPr>
          <w:ilvl w:val="0"/>
          <w:numId w:val="29"/>
        </w:numPr>
        <w:rPr>
          <w:rFonts w:ascii="Arial" w:cs="Arial" w:eastAsia="Arial" w:hAnsi="Arial"/>
          <w:sz w:val="14"/>
          <w:szCs w:val="14"/>
          <w:color w:val="auto"/>
        </w:rPr>
      </w:pPr>
      <w:r>
        <w:rPr>
          <w:rFonts w:ascii="Arial" w:cs="Arial" w:eastAsia="Arial" w:hAnsi="Arial"/>
          <w:sz w:val="14"/>
          <w:szCs w:val="14"/>
          <w:b w:val="1"/>
          <w:bCs w:val="1"/>
          <w:color w:val="auto"/>
        </w:rPr>
        <w:t xml:space="preserve">Baidu, Inc. </w:t>
      </w:r>
      <w:r>
        <w:rPr>
          <w:rFonts w:ascii="Arial" w:cs="Arial" w:eastAsia="Arial" w:hAnsi="Arial"/>
          <w:sz w:val="14"/>
          <w:szCs w:val="14"/>
          <w:color w:val="auto"/>
        </w:rPr>
        <w:t>(2015 to February 2025)</w:t>
      </w:r>
    </w:p>
    <w:p>
      <w:pPr>
        <w:spacing w:after="0" w:line="51" w:lineRule="exact"/>
        <w:rPr>
          <w:rFonts w:ascii="Arial" w:cs="Arial" w:eastAsia="Arial" w:hAnsi="Arial"/>
          <w:sz w:val="14"/>
          <w:szCs w:val="14"/>
          <w:color w:val="auto"/>
        </w:rPr>
      </w:pPr>
    </w:p>
    <w:p>
      <w:pPr>
        <w:jc w:val="both"/>
        <w:ind w:left="150" w:right="20" w:hanging="150"/>
        <w:spacing w:after="0" w:line="282" w:lineRule="auto"/>
        <w:tabs>
          <w:tab w:leader="none" w:pos="152" w:val="left"/>
        </w:tabs>
        <w:numPr>
          <w:ilvl w:val="0"/>
          <w:numId w:val="29"/>
        </w:numPr>
        <w:rPr>
          <w:rFonts w:ascii="Arial" w:cs="Arial" w:eastAsia="Arial" w:hAnsi="Arial"/>
          <w:sz w:val="14"/>
          <w:szCs w:val="14"/>
          <w:color w:val="auto"/>
        </w:rPr>
      </w:pPr>
      <w:r>
        <w:rPr>
          <w:rFonts w:ascii="Arial" w:cs="Arial" w:eastAsia="Arial" w:hAnsi="Arial"/>
          <w:sz w:val="14"/>
          <w:szCs w:val="14"/>
          <w:b w:val="1"/>
          <w:bCs w:val="1"/>
          <w:color w:val="auto"/>
        </w:rPr>
        <w:t xml:space="preserve">Rubicon Technologies, Inc. </w:t>
      </w:r>
      <w:r>
        <w:rPr>
          <w:rFonts w:ascii="Arial" w:cs="Arial" w:eastAsia="Arial" w:hAnsi="Arial"/>
          <w:sz w:val="14"/>
          <w:szCs w:val="14"/>
          <w:color w:val="auto"/>
        </w:rPr>
        <w:t>(2015 to February 2026;</w:t>
      </w:r>
      <w:r>
        <w:rPr>
          <w:rFonts w:ascii="Arial" w:cs="Arial" w:eastAsia="Arial" w:hAnsi="Arial"/>
          <w:sz w:val="14"/>
          <w:szCs w:val="14"/>
          <w:b w:val="1"/>
          <w:bCs w:val="1"/>
          <w:color w:val="auto"/>
        </w:rPr>
        <w:t xml:space="preserve"> </w:t>
      </w:r>
      <w:r>
        <w:rPr>
          <w:rFonts w:ascii="Arial" w:cs="Arial" w:eastAsia="Arial" w:hAnsi="Arial"/>
          <w:sz w:val="14"/>
          <w:szCs w:val="14"/>
          <w:color w:val="auto"/>
        </w:rPr>
        <w:t>was a reporting company from 2022 to January 2025)</w:t>
      </w:r>
    </w:p>
    <w:p>
      <w:pPr>
        <w:spacing w:after="0" w:line="627" w:lineRule="exact"/>
        <w:rPr>
          <w:rFonts w:ascii="Arial" w:cs="Arial" w:eastAsia="Arial" w:hAnsi="Arial"/>
          <w:sz w:val="15"/>
          <w:szCs w:val="15"/>
          <w:b w:val="1"/>
          <w:bCs w:val="1"/>
          <w:color w:val="6D98AD"/>
        </w:rPr>
      </w:pPr>
    </w:p>
    <w:p>
      <w:pPr>
        <w:sectPr>
          <w:pgSz w:w="11900" w:h="16838" w:orient="portrait"/>
          <w:cols w:equalWidth="0" w:num="3">
            <w:col w:w="2249" w:space="480"/>
            <w:col w:w="4140" w:space="390"/>
            <w:col w:w="3550"/>
          </w:cols>
          <w:pgMar w:left="471" w:top="447" w:right="619" w:bottom="1440" w:gutter="0" w:footer="0" w:header="0"/>
          <w:type w:val="continuous"/>
        </w:sectPr>
      </w:pPr>
    </w:p>
    <w:p>
      <w:pPr>
        <w:spacing w:after="0" w:line="98" w:lineRule="exact"/>
        <w:rPr>
          <w:rFonts w:ascii="Arial" w:cs="Arial" w:eastAsia="Arial" w:hAnsi="Arial"/>
          <w:sz w:val="15"/>
          <w:szCs w:val="15"/>
          <w:b w:val="1"/>
          <w:bCs w:val="1"/>
          <w:color w:val="6D98AD"/>
        </w:rPr>
      </w:pPr>
    </w:p>
    <w:p>
      <w:pPr>
        <w:ind w:left="9"/>
        <w:spacing w:after="0"/>
        <w:rPr>
          <w:sz w:val="20"/>
          <w:szCs w:val="20"/>
          <w:color w:val="auto"/>
        </w:rPr>
      </w:pPr>
      <w:r>
        <w:rPr>
          <w:rFonts w:ascii="Arial" w:cs="Arial" w:eastAsia="Arial" w:hAnsi="Arial"/>
          <w:sz w:val="10"/>
          <w:szCs w:val="10"/>
          <w:b w:val="1"/>
          <w:bCs w:val="1"/>
          <w:color w:val="auto"/>
        </w:rPr>
        <w:t xml:space="preserve">14 </w:t>
      </w:r>
      <w:r>
        <w:rPr>
          <w:rFonts w:ascii="Arial" w:cs="Arial" w:eastAsia="Arial" w:hAnsi="Arial"/>
          <w:sz w:val="10"/>
          <w:szCs w:val="10"/>
          <w:color w:val="auto"/>
        </w:rPr>
        <w:t>/ PVH CORP. 2026 PROXY STATEMENT /</w:t>
      </w:r>
      <w:r>
        <w:rPr>
          <w:rFonts w:ascii="Arial" w:cs="Arial" w:eastAsia="Arial" w:hAnsi="Arial"/>
          <w:sz w:val="10"/>
          <w:szCs w:val="10"/>
          <w:b w:val="1"/>
          <w:bCs w:val="1"/>
          <w:color w:val="auto"/>
        </w:rPr>
        <w:t xml:space="preserve"> </w:t>
      </w:r>
      <w:r>
        <w:rPr>
          <w:rFonts w:ascii="Arial" w:cs="Arial" w:eastAsia="Arial" w:hAnsi="Arial"/>
          <w:sz w:val="10"/>
          <w:szCs w:val="10"/>
          <w:b w:val="1"/>
          <w:bCs w:val="1"/>
          <w:color w:val="6D98AD"/>
        </w:rPr>
        <w:t>PROPOSAL 1: ELECTION OF DIRECTORS</w:t>
      </w:r>
    </w:p>
    <w:p>
      <w:pPr>
        <w:spacing w:after="0" w:line="20" w:lineRule="exact"/>
        <w:rPr>
          <w:rFonts w:ascii="Arial" w:cs="Arial" w:eastAsia="Arial" w:hAnsi="Arial"/>
          <w:sz w:val="15"/>
          <w:szCs w:val="15"/>
          <w:b w:val="1"/>
          <w:bCs w:val="1"/>
          <w:color w:val="6D98AD"/>
        </w:rPr>
      </w:pPr>
      <w:r>
        <w:rPr>
          <w:rFonts w:ascii="Arial" w:cs="Arial" w:eastAsia="Arial" w:hAnsi="Arial"/>
          <w:sz w:val="15"/>
          <w:szCs w:val="15"/>
          <w:b w:val="1"/>
          <w:bCs w:val="1"/>
          <w:color w:val="6D98AD"/>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695515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809"/>
          </w:cols>
          <w:pgMar w:left="471" w:top="447" w:right="619" w:bottom="1440" w:gutter="0" w:footer="0" w:header="0"/>
          <w:type w:val="continuous"/>
        </w:sectPr>
      </w:pPr>
    </w:p>
    <w:bookmarkStart w:id="17" w:name="page18"/>
    <w:bookmarkEnd w:id="17"/>
    <w:p>
      <w:pPr>
        <w:ind w:left="9"/>
        <w:spacing w:after="0"/>
        <w:rPr>
          <w:sz w:val="20"/>
          <w:szCs w:val="20"/>
          <w:color w:val="auto"/>
        </w:rPr>
      </w:pPr>
      <w:r>
        <w:rPr>
          <w:rFonts w:ascii="Arial" w:cs="Arial" w:eastAsia="Arial" w:hAnsi="Arial"/>
          <w:sz w:val="31"/>
          <w:szCs w:val="31"/>
          <w:color w:val="auto"/>
        </w:rPr>
        <w:t>George Cheeks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Chair of TV Media, Paramount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151130</wp:posOffset>
            </wp:positionV>
            <wp:extent cx="694817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pacing w:after="0" w:line="362" w:lineRule="exact"/>
        <w:rPr>
          <w:sz w:val="20"/>
          <w:szCs w:val="20"/>
          <w:color w:val="auto"/>
        </w:rPr>
      </w:pPr>
    </w:p>
    <w:p>
      <w:pPr>
        <w:sectPr>
          <w:pgSz w:w="11900" w:h="16838" w:orient="portrait"/>
          <w:cols w:equalWidth="0" w:num="2">
            <w:col w:w="3289" w:space="720"/>
            <w:col w:w="6940"/>
          </w:cols>
          <w:pgMar w:left="471" w:top="42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6D98AD"/>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-988060</wp:posOffset>
            </wp:positionV>
            <wp:extent cx="822960" cy="8229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36" w:lineRule="exact"/>
        <w:rPr>
          <w:sz w:val="20"/>
          <w:szCs w:val="20"/>
          <w:color w:val="auto"/>
        </w:rPr>
      </w:pPr>
    </w:p>
    <w:p>
      <w:pPr>
        <w:ind w:left="9"/>
        <w:spacing w:after="0"/>
        <w:rPr>
          <w:sz w:val="20"/>
          <w:szCs w:val="20"/>
          <w:color w:val="auto"/>
        </w:rPr>
      </w:pPr>
      <w:r>
        <w:rPr>
          <w:rFonts w:ascii="Arial" w:cs="Arial" w:eastAsia="Arial" w:hAnsi="Arial"/>
          <w:sz w:val="14"/>
          <w:szCs w:val="14"/>
          <w:color w:val="auto"/>
        </w:rPr>
        <w:t>Age: 61</w:t>
      </w:r>
    </w:p>
    <w:p>
      <w:pPr>
        <w:spacing w:after="0" w:line="75" w:lineRule="exact"/>
        <w:rPr>
          <w:sz w:val="20"/>
          <w:szCs w:val="20"/>
          <w:color w:val="auto"/>
        </w:rPr>
      </w:pPr>
    </w:p>
    <w:p>
      <w:pPr>
        <w:ind w:left="9"/>
        <w:spacing w:after="0"/>
        <w:rPr>
          <w:sz w:val="20"/>
          <w:szCs w:val="20"/>
          <w:color w:val="auto"/>
        </w:rPr>
      </w:pPr>
      <w:r>
        <w:rPr>
          <w:rFonts w:ascii="Arial" w:cs="Arial" w:eastAsia="Arial" w:hAnsi="Arial"/>
          <w:sz w:val="14"/>
          <w:szCs w:val="14"/>
          <w:color w:val="auto"/>
        </w:rPr>
        <w:t>Director Since 2021</w:t>
      </w:r>
    </w:p>
    <w:p>
      <w:pPr>
        <w:spacing w:after="0" w:line="141"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Committees</w:t>
      </w:r>
    </w:p>
    <w:p>
      <w:pPr>
        <w:spacing w:after="0" w:line="44" w:lineRule="exact"/>
        <w:rPr>
          <w:sz w:val="20"/>
          <w:szCs w:val="20"/>
          <w:color w:val="auto"/>
        </w:rPr>
      </w:pPr>
    </w:p>
    <w:p>
      <w:pPr>
        <w:ind w:left="149" w:hanging="149"/>
        <w:spacing w:after="0"/>
        <w:tabs>
          <w:tab w:leader="none" w:pos="149"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Compensation</w:t>
      </w:r>
    </w:p>
    <w:p>
      <w:pPr>
        <w:spacing w:after="0" w:line="51" w:lineRule="exact"/>
        <w:rPr>
          <w:rFonts w:ascii="Arial" w:cs="Arial" w:eastAsia="Arial" w:hAnsi="Arial"/>
          <w:sz w:val="14"/>
          <w:szCs w:val="14"/>
          <w:color w:val="auto"/>
        </w:rPr>
      </w:pPr>
    </w:p>
    <w:p>
      <w:pPr>
        <w:ind w:left="149" w:hanging="149"/>
        <w:spacing w:after="0"/>
        <w:tabs>
          <w:tab w:leader="none" w:pos="149"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Corporate Responsibility</w:t>
      </w:r>
    </w:p>
    <w:p>
      <w:pPr>
        <w:spacing w:after="0" w:line="20" w:lineRule="exact"/>
        <w:rPr>
          <w:sz w:val="20"/>
          <w:szCs w:val="20"/>
          <w:color w:val="auto"/>
        </w:rPr>
      </w:pPr>
      <w:r>
        <w:rPr>
          <w:sz w:val="20"/>
          <w:szCs w:val="20"/>
          <w:color w:val="auto"/>
        </w:rPr>
        <w:br w:type="column"/>
      </w:r>
    </w:p>
    <w:p>
      <w:pPr>
        <w:ind w:left="1"/>
        <w:spacing w:after="0"/>
        <w:rPr>
          <w:sz w:val="20"/>
          <w:szCs w:val="20"/>
          <w:color w:val="auto"/>
        </w:rPr>
      </w:pPr>
      <w:r>
        <w:rPr>
          <w:rFonts w:ascii="Arial" w:cs="Arial" w:eastAsia="Arial" w:hAnsi="Arial"/>
          <w:sz w:val="16"/>
          <w:szCs w:val="16"/>
          <w:b w:val="1"/>
          <w:bCs w:val="1"/>
          <w:color w:val="auto"/>
        </w:rPr>
        <w:t>Experience</w:t>
      </w:r>
    </w:p>
    <w:p>
      <w:pPr>
        <w:spacing w:after="0" w:line="127" w:lineRule="exact"/>
        <w:rPr>
          <w:sz w:val="20"/>
          <w:szCs w:val="20"/>
          <w:color w:val="auto"/>
        </w:rPr>
      </w:pPr>
    </w:p>
    <w:p>
      <w:pPr>
        <w:ind w:left="141" w:right="160" w:hanging="141"/>
        <w:spacing w:after="0" w:line="280" w:lineRule="auto"/>
        <w:tabs>
          <w:tab w:leader="none" w:pos="143"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Chair of TV Media of Paramount, a Skydance Corporation (a global media, streaming and entertainment company), the parent company of CBS, since August 2025</w:t>
      </w:r>
    </w:p>
    <w:p>
      <w:pPr>
        <w:spacing w:after="0" w:line="1" w:lineRule="exact"/>
        <w:rPr>
          <w:rFonts w:ascii="Arial" w:cs="Arial" w:eastAsia="Arial" w:hAnsi="Arial"/>
          <w:sz w:val="14"/>
          <w:szCs w:val="14"/>
          <w:color w:val="auto"/>
        </w:rPr>
      </w:pPr>
    </w:p>
    <w:p>
      <w:pPr>
        <w:ind w:left="141" w:hanging="141"/>
        <w:spacing w:after="0"/>
        <w:tabs>
          <w:tab w:leader="none" w:pos="141"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Co-Chief Executive Officer of Paramount from May 2024 to August 2025</w:t>
      </w:r>
    </w:p>
    <w:p>
      <w:pPr>
        <w:spacing w:after="0" w:line="51" w:lineRule="exact"/>
        <w:rPr>
          <w:rFonts w:ascii="Arial" w:cs="Arial" w:eastAsia="Arial" w:hAnsi="Arial"/>
          <w:sz w:val="14"/>
          <w:szCs w:val="14"/>
          <w:color w:val="auto"/>
        </w:rPr>
      </w:pPr>
    </w:p>
    <w:p>
      <w:pPr>
        <w:ind w:left="141" w:right="360" w:hanging="141"/>
        <w:spacing w:after="0" w:line="280" w:lineRule="auto"/>
        <w:tabs>
          <w:tab w:leader="none" w:pos="143"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President and Chief Executive Officer of CBS Entertainment Group (a news, entertainment and sports media company and studio) from 2020 to August 2025</w:t>
      </w:r>
    </w:p>
    <w:p>
      <w:pPr>
        <w:spacing w:after="0" w:line="1" w:lineRule="exact"/>
        <w:rPr>
          <w:rFonts w:ascii="Arial" w:cs="Arial" w:eastAsia="Arial" w:hAnsi="Arial"/>
          <w:sz w:val="14"/>
          <w:szCs w:val="14"/>
          <w:color w:val="auto"/>
        </w:rPr>
      </w:pPr>
    </w:p>
    <w:p>
      <w:pPr>
        <w:ind w:left="141" w:hanging="141"/>
        <w:spacing w:after="0"/>
        <w:tabs>
          <w:tab w:leader="none" w:pos="141"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Chief Content Officer, News and Sports, Paramount+ from 2021 to August 2025</w:t>
      </w:r>
    </w:p>
    <w:p>
      <w:pPr>
        <w:spacing w:after="0" w:line="51" w:lineRule="exact"/>
        <w:rPr>
          <w:rFonts w:ascii="Arial" w:cs="Arial" w:eastAsia="Arial" w:hAnsi="Arial"/>
          <w:sz w:val="14"/>
          <w:szCs w:val="14"/>
          <w:color w:val="auto"/>
        </w:rPr>
      </w:pPr>
    </w:p>
    <w:p>
      <w:pPr>
        <w:ind w:left="141" w:hanging="141"/>
        <w:spacing w:after="0"/>
        <w:tabs>
          <w:tab w:leader="none" w:pos="141" w:val="left"/>
        </w:tabs>
        <w:numPr>
          <w:ilvl w:val="0"/>
          <w:numId w:val="31"/>
        </w:numPr>
        <w:rPr>
          <w:rFonts w:ascii="Arial" w:cs="Arial" w:eastAsia="Arial" w:hAnsi="Arial"/>
          <w:sz w:val="14"/>
          <w:szCs w:val="14"/>
          <w:color w:val="auto"/>
        </w:rPr>
      </w:pPr>
      <w:r>
        <w:rPr>
          <w:rFonts w:ascii="Arial" w:cs="Arial" w:eastAsia="Arial" w:hAnsi="Arial"/>
          <w:sz w:val="14"/>
          <w:szCs w:val="14"/>
          <w:color w:val="auto"/>
        </w:rPr>
        <w:t>Vice Chairman of NBCUniversal Content Studios from 2019 to 2020</w:t>
      </w:r>
    </w:p>
    <w:p>
      <w:pPr>
        <w:spacing w:after="0" w:line="51" w:lineRule="exact"/>
        <w:rPr>
          <w:rFonts w:ascii="Arial" w:cs="Arial" w:eastAsia="Arial" w:hAnsi="Arial"/>
          <w:sz w:val="14"/>
          <w:szCs w:val="14"/>
          <w:color w:val="auto"/>
        </w:rPr>
      </w:pPr>
    </w:p>
    <w:p>
      <w:pPr>
        <w:ind w:left="141" w:hanging="141"/>
        <w:spacing w:after="0"/>
        <w:tabs>
          <w:tab w:leader="none" w:pos="141"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Co-Chairman of NBC Entertainment from 2018 to 2019</w:t>
      </w:r>
    </w:p>
    <w:p>
      <w:pPr>
        <w:spacing w:after="0" w:line="51" w:lineRule="exact"/>
        <w:rPr>
          <w:rFonts w:ascii="Arial" w:cs="Arial" w:eastAsia="Arial" w:hAnsi="Arial"/>
          <w:sz w:val="14"/>
          <w:szCs w:val="14"/>
          <w:color w:val="auto"/>
        </w:rPr>
      </w:pPr>
    </w:p>
    <w:p>
      <w:pPr>
        <w:ind w:left="141" w:right="340" w:hanging="141"/>
        <w:spacing w:after="0" w:line="280" w:lineRule="auto"/>
        <w:tabs>
          <w:tab w:leader="none" w:pos="143"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Co-President of Universal Cable Productions and President of Late Night Programming at NBC Entertainment from 2017 to 2018</w:t>
      </w:r>
    </w:p>
    <w:p>
      <w:pPr>
        <w:spacing w:after="0" w:line="1" w:lineRule="exact"/>
        <w:rPr>
          <w:rFonts w:ascii="Arial" w:cs="Arial" w:eastAsia="Arial" w:hAnsi="Arial"/>
          <w:sz w:val="14"/>
          <w:szCs w:val="14"/>
          <w:color w:val="auto"/>
        </w:rPr>
      </w:pPr>
    </w:p>
    <w:p>
      <w:pPr>
        <w:ind w:left="141" w:hanging="141"/>
        <w:spacing w:after="0"/>
        <w:tabs>
          <w:tab w:leader="none" w:pos="141"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President of Business Operations and Late Night Programming at NBC Entertainment from 2014 to 2017</w:t>
      </w:r>
    </w:p>
    <w:p>
      <w:pPr>
        <w:spacing w:after="0" w:line="51" w:lineRule="exact"/>
        <w:rPr>
          <w:rFonts w:ascii="Arial" w:cs="Arial" w:eastAsia="Arial" w:hAnsi="Arial"/>
          <w:sz w:val="14"/>
          <w:szCs w:val="14"/>
          <w:color w:val="auto"/>
        </w:rPr>
      </w:pPr>
    </w:p>
    <w:p>
      <w:pPr>
        <w:ind w:left="141" w:hanging="141"/>
        <w:spacing w:after="0"/>
        <w:tabs>
          <w:tab w:leader="none" w:pos="141"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Executive Vice President of Business Operations at NBCUniversal from 2012 to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92710</wp:posOffset>
            </wp:positionV>
            <wp:extent cx="519049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90490" cy="7620"/>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2048" w:space="720"/>
            <w:col w:w="8181"/>
          </w:cols>
          <w:pgMar w:left="471" w:top="426" w:right="479" w:bottom="1440" w:gutter="0" w:footer="0" w:header="0"/>
          <w:type w:val="continuous"/>
        </w:sectPr>
      </w:pPr>
    </w:p>
    <w:tbl>
      <w:tblPr>
        <w:tblLayout w:type="fixed"/>
        <w:tblInd w:w="2769" w:type="dxa"/>
        <w:tblCellMar>
          <w:top w:w="0" w:type="dxa"/>
          <w:left w:w="0" w:type="dxa"/>
          <w:bottom w:w="0" w:type="dxa"/>
          <w:right w:w="0" w:type="dxa"/>
        </w:tblCellMar>
      </w:tblPr>
      <w:tr>
        <w:trPr>
          <w:trHeight w:val="216"/>
        </w:trPr>
        <w:tc>
          <w:tcPr>
            <w:tcW w:w="4280" w:type="dxa"/>
            <w:vAlign w:val="bottom"/>
          </w:tcPr>
          <w:p>
            <w:pPr>
              <w:spacing w:after="0"/>
              <w:rPr>
                <w:sz w:val="20"/>
                <w:szCs w:val="20"/>
                <w:color w:val="auto"/>
              </w:rPr>
            </w:pPr>
            <w:r>
              <w:rPr>
                <w:rFonts w:ascii="Arial" w:cs="Arial" w:eastAsia="Arial" w:hAnsi="Arial"/>
                <w:sz w:val="16"/>
                <w:szCs w:val="16"/>
                <w:b w:val="1"/>
                <w:bCs w:val="1"/>
                <w:color w:val="auto"/>
              </w:rPr>
              <w:t>Expertise</w:t>
            </w:r>
          </w:p>
        </w:tc>
        <w:tc>
          <w:tcPr>
            <w:tcW w:w="3880" w:type="dxa"/>
            <w:vAlign w:val="bottom"/>
          </w:tcPr>
          <w:p>
            <w:pPr>
              <w:ind w:left="240"/>
              <w:spacing w:after="0"/>
              <w:rPr>
                <w:sz w:val="20"/>
                <w:szCs w:val="20"/>
                <w:color w:val="auto"/>
              </w:rPr>
            </w:pPr>
            <w:r>
              <w:rPr>
                <w:rFonts w:ascii="Arial" w:cs="Arial" w:eastAsia="Arial" w:hAnsi="Arial"/>
                <w:sz w:val="16"/>
                <w:szCs w:val="16"/>
                <w:b w:val="1"/>
                <w:bCs w:val="1"/>
                <w:color w:val="auto"/>
              </w:rPr>
              <w:t>Other public company boards</w:t>
            </w:r>
          </w:p>
        </w:tc>
      </w:tr>
      <w:tr>
        <w:trPr>
          <w:trHeight w:val="259"/>
        </w:trPr>
        <w:tc>
          <w:tcPr>
            <w:tcW w:w="4280" w:type="dxa"/>
            <w:vAlign w:val="bottom"/>
          </w:tcPr>
          <w:p>
            <w:pPr>
              <w:spacing w:after="0"/>
              <w:rPr>
                <w:sz w:val="20"/>
                <w:szCs w:val="20"/>
                <w:color w:val="auto"/>
              </w:rPr>
            </w:pPr>
            <w:r>
              <w:rPr>
                <w:rFonts w:ascii="Arial" w:cs="Arial" w:eastAsia="Arial" w:hAnsi="Arial"/>
                <w:sz w:val="14"/>
                <w:szCs w:val="14"/>
                <w:color w:val="auto"/>
              </w:rPr>
              <w:t>Through his more than 25 years of experience in the media and</w:t>
            </w:r>
          </w:p>
        </w:tc>
        <w:tc>
          <w:tcPr>
            <w:tcW w:w="3880" w:type="dxa"/>
            <w:vAlign w:val="bottom"/>
          </w:tcPr>
          <w:p>
            <w:pPr>
              <w:ind w:left="240"/>
              <w:spacing w:after="0"/>
              <w:rPr>
                <w:sz w:val="20"/>
                <w:szCs w:val="20"/>
                <w:color w:val="auto"/>
              </w:rPr>
            </w:pPr>
            <w:r>
              <w:rPr>
                <w:rFonts w:ascii="Arial" w:cs="Arial" w:eastAsia="Arial" w:hAnsi="Arial"/>
                <w:sz w:val="14"/>
                <w:szCs w:val="14"/>
                <w:color w:val="auto"/>
              </w:rPr>
              <w:t>• None</w:t>
            </w:r>
          </w:p>
        </w:tc>
      </w:tr>
      <w:tr>
        <w:trPr>
          <w:trHeight w:val="165"/>
        </w:trPr>
        <w:tc>
          <w:tcPr>
            <w:tcW w:w="4280" w:type="dxa"/>
            <w:vAlign w:val="bottom"/>
          </w:tcPr>
          <w:p>
            <w:pPr>
              <w:spacing w:after="0"/>
              <w:rPr>
                <w:sz w:val="20"/>
                <w:szCs w:val="20"/>
                <w:color w:val="auto"/>
              </w:rPr>
            </w:pPr>
            <w:r>
              <w:rPr>
                <w:rFonts w:ascii="Arial" w:cs="Arial" w:eastAsia="Arial" w:hAnsi="Arial"/>
                <w:sz w:val="14"/>
                <w:szCs w:val="14"/>
                <w:color w:val="auto"/>
              </w:rPr>
              <w:t>entertainment industry, Mr. Cheeks has demonstrated a deep</w:t>
            </w:r>
          </w:p>
        </w:tc>
        <w:tc>
          <w:tcPr>
            <w:tcW w:w="3880" w:type="dxa"/>
            <w:vAlign w:val="bottom"/>
          </w:tcPr>
          <w:p>
            <w:pPr>
              <w:spacing w:after="0"/>
              <w:rPr>
                <w:sz w:val="14"/>
                <w:szCs w:val="14"/>
                <w:color w:val="auto"/>
              </w:rPr>
            </w:pPr>
          </w:p>
        </w:tc>
      </w:tr>
      <w:tr>
        <w:trPr>
          <w:trHeight w:val="165"/>
        </w:trPr>
        <w:tc>
          <w:tcPr>
            <w:tcW w:w="4280" w:type="dxa"/>
            <w:vAlign w:val="bottom"/>
          </w:tcPr>
          <w:p>
            <w:pPr>
              <w:spacing w:after="0"/>
              <w:rPr>
                <w:sz w:val="20"/>
                <w:szCs w:val="20"/>
                <w:color w:val="auto"/>
              </w:rPr>
            </w:pPr>
            <w:r>
              <w:rPr>
                <w:rFonts w:ascii="Arial" w:cs="Arial" w:eastAsia="Arial" w:hAnsi="Arial"/>
                <w:sz w:val="14"/>
                <w:szCs w:val="14"/>
                <w:color w:val="auto"/>
              </w:rPr>
              <w:t>understanding of how an iconic brand grows with its audience in</w:t>
            </w:r>
          </w:p>
        </w:tc>
        <w:tc>
          <w:tcPr>
            <w:tcW w:w="3880" w:type="dxa"/>
            <w:vAlign w:val="bottom"/>
          </w:tcPr>
          <w:p>
            <w:pPr>
              <w:spacing w:after="0"/>
              <w:rPr>
                <w:sz w:val="14"/>
                <w:szCs w:val="14"/>
                <w:color w:val="auto"/>
              </w:rPr>
            </w:pPr>
          </w:p>
        </w:tc>
      </w:tr>
      <w:tr>
        <w:trPr>
          <w:trHeight w:val="165"/>
        </w:trPr>
        <w:tc>
          <w:tcPr>
            <w:tcW w:w="4280" w:type="dxa"/>
            <w:vAlign w:val="bottom"/>
          </w:tcPr>
          <w:p>
            <w:pPr>
              <w:spacing w:after="0"/>
              <w:rPr>
                <w:sz w:val="20"/>
                <w:szCs w:val="20"/>
                <w:color w:val="auto"/>
              </w:rPr>
            </w:pPr>
            <w:r>
              <w:rPr>
                <w:rFonts w:ascii="Arial" w:cs="Arial" w:eastAsia="Arial" w:hAnsi="Arial"/>
                <w:sz w:val="14"/>
                <w:szCs w:val="14"/>
                <w:color w:val="auto"/>
              </w:rPr>
              <w:t>the context of changing distribution, culture, lifestyles and</w:t>
            </w:r>
          </w:p>
        </w:tc>
        <w:tc>
          <w:tcPr>
            <w:tcW w:w="3880" w:type="dxa"/>
            <w:vAlign w:val="bottom"/>
          </w:tcPr>
          <w:p>
            <w:pPr>
              <w:spacing w:after="0"/>
              <w:rPr>
                <w:sz w:val="14"/>
                <w:szCs w:val="14"/>
                <w:color w:val="auto"/>
              </w:rPr>
            </w:pPr>
          </w:p>
        </w:tc>
      </w:tr>
      <w:tr>
        <w:trPr>
          <w:trHeight w:val="165"/>
        </w:trPr>
        <w:tc>
          <w:tcPr>
            <w:tcW w:w="4280" w:type="dxa"/>
            <w:vAlign w:val="bottom"/>
          </w:tcPr>
          <w:p>
            <w:pPr>
              <w:spacing w:after="0"/>
              <w:rPr>
                <w:sz w:val="20"/>
                <w:szCs w:val="20"/>
                <w:color w:val="auto"/>
              </w:rPr>
            </w:pPr>
            <w:r>
              <w:rPr>
                <w:rFonts w:ascii="Arial" w:cs="Arial" w:eastAsia="Arial" w:hAnsi="Arial"/>
                <w:sz w:val="14"/>
                <w:szCs w:val="14"/>
                <w:color w:val="auto"/>
              </w:rPr>
              <w:t>preferences. He has served in several senior executive positions</w:t>
            </w:r>
          </w:p>
        </w:tc>
        <w:tc>
          <w:tcPr>
            <w:tcW w:w="3880" w:type="dxa"/>
            <w:vAlign w:val="bottom"/>
          </w:tcPr>
          <w:p>
            <w:pPr>
              <w:spacing w:after="0"/>
              <w:rPr>
                <w:sz w:val="14"/>
                <w:szCs w:val="14"/>
                <w:color w:val="auto"/>
              </w:rPr>
            </w:pPr>
          </w:p>
        </w:tc>
      </w:tr>
      <w:tr>
        <w:trPr>
          <w:trHeight w:val="186"/>
        </w:trPr>
        <w:tc>
          <w:tcPr>
            <w:tcW w:w="4280" w:type="dxa"/>
            <w:vAlign w:val="bottom"/>
          </w:tcPr>
          <w:p>
            <w:pPr>
              <w:spacing w:after="0"/>
              <w:rPr>
                <w:sz w:val="20"/>
                <w:szCs w:val="20"/>
                <w:color w:val="auto"/>
              </w:rPr>
            </w:pPr>
            <w:r>
              <w:rPr>
                <w:rFonts w:ascii="Arial" w:cs="Arial" w:eastAsia="Arial" w:hAnsi="Arial"/>
                <w:sz w:val="14"/>
                <w:szCs w:val="14"/>
                <w:color w:val="auto"/>
              </w:rPr>
              <w:t>with responsibility for creative, business and operational matters.</w:t>
            </w:r>
          </w:p>
        </w:tc>
        <w:tc>
          <w:tcPr>
            <w:tcW w:w="3880" w:type="dxa"/>
            <w:vAlign w:val="bottom"/>
          </w:tcPr>
          <w:p>
            <w:pPr>
              <w:spacing w:after="0"/>
              <w:rPr>
                <w:sz w:val="16"/>
                <w:szCs w:val="16"/>
                <w:color w:val="auto"/>
              </w:rPr>
            </w:pPr>
          </w:p>
        </w:tc>
      </w:tr>
      <w:tr>
        <w:trPr>
          <w:trHeight w:val="156"/>
        </w:trPr>
        <w:tc>
          <w:tcPr>
            <w:tcW w:w="4280" w:type="dxa"/>
            <w:vAlign w:val="bottom"/>
            <w:tcBorders>
              <w:bottom w:val="single" w:sz="8" w:color="auto"/>
            </w:tcBorders>
          </w:tcPr>
          <w:p>
            <w:pPr>
              <w:spacing w:after="0"/>
              <w:rPr>
                <w:sz w:val="13"/>
                <w:szCs w:val="13"/>
                <w:color w:val="auto"/>
              </w:rPr>
            </w:pPr>
          </w:p>
        </w:tc>
        <w:tc>
          <w:tcPr>
            <w:tcW w:w="388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0949"/>
          </w:cols>
          <w:pgMar w:left="471" w:top="426" w:right="479" w:bottom="1440" w:gutter="0" w:footer="0" w:header="0"/>
          <w:type w:val="continuous"/>
        </w:sectPr>
      </w:pPr>
    </w:p>
    <w:p>
      <w:pPr>
        <w:spacing w:after="0" w:line="87" w:lineRule="exact"/>
        <w:rPr>
          <w:sz w:val="20"/>
          <w:szCs w:val="20"/>
          <w:color w:val="auto"/>
        </w:rPr>
      </w:pPr>
    </w:p>
    <w:p>
      <w:pPr>
        <w:ind w:left="9"/>
        <w:spacing w:after="0"/>
        <w:rPr>
          <w:sz w:val="20"/>
          <w:szCs w:val="20"/>
          <w:color w:val="auto"/>
        </w:rPr>
      </w:pPr>
      <w:r>
        <w:rPr>
          <w:rFonts w:ascii="Arial" w:cs="Arial" w:eastAsia="Arial" w:hAnsi="Arial"/>
          <w:sz w:val="31"/>
          <w:szCs w:val="31"/>
          <w:color w:val="auto"/>
        </w:rPr>
        <w:t>Kate Gulliver</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Chief Financial Officer and Chief Administrative Officer, Wayfair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158750</wp:posOffset>
            </wp:positionV>
            <wp:extent cx="694817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pacing w:after="0" w:line="362" w:lineRule="exact"/>
        <w:rPr>
          <w:sz w:val="20"/>
          <w:szCs w:val="20"/>
          <w:color w:val="auto"/>
        </w:rPr>
      </w:pPr>
    </w:p>
    <w:p>
      <w:pPr>
        <w:sectPr>
          <w:pgSz w:w="11900" w:h="16838" w:orient="portrait"/>
          <w:cols w:equalWidth="0" w:num="2">
            <w:col w:w="3289" w:space="720"/>
            <w:col w:w="6940"/>
          </w:cols>
          <w:pgMar w:left="471" w:top="426"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6D98AD"/>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-988060</wp:posOffset>
            </wp:positionV>
            <wp:extent cx="822960" cy="8229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48" w:lineRule="exact"/>
        <w:rPr>
          <w:sz w:val="20"/>
          <w:szCs w:val="20"/>
          <w:color w:val="auto"/>
        </w:rPr>
      </w:pPr>
    </w:p>
    <w:p>
      <w:pPr>
        <w:ind w:left="9"/>
        <w:spacing w:after="0"/>
        <w:rPr>
          <w:sz w:val="20"/>
          <w:szCs w:val="20"/>
          <w:color w:val="auto"/>
        </w:rPr>
      </w:pPr>
      <w:r>
        <w:rPr>
          <w:rFonts w:ascii="Arial" w:cs="Arial" w:eastAsia="Arial" w:hAnsi="Arial"/>
          <w:sz w:val="14"/>
          <w:szCs w:val="14"/>
          <w:color w:val="auto"/>
        </w:rPr>
        <w:t>Age: 44</w:t>
      </w:r>
    </w:p>
    <w:p>
      <w:pPr>
        <w:spacing w:after="0" w:line="63" w:lineRule="exact"/>
        <w:rPr>
          <w:sz w:val="20"/>
          <w:szCs w:val="20"/>
          <w:color w:val="auto"/>
        </w:rPr>
      </w:pPr>
    </w:p>
    <w:p>
      <w:pPr>
        <w:ind w:left="9"/>
        <w:spacing w:after="0"/>
        <w:rPr>
          <w:sz w:val="20"/>
          <w:szCs w:val="20"/>
          <w:color w:val="auto"/>
        </w:rPr>
      </w:pPr>
      <w:r>
        <w:rPr>
          <w:rFonts w:ascii="Arial" w:cs="Arial" w:eastAsia="Arial" w:hAnsi="Arial"/>
          <w:sz w:val="14"/>
          <w:szCs w:val="14"/>
          <w:color w:val="auto"/>
        </w:rPr>
        <w:t>Director Since 2024</w:t>
      </w:r>
    </w:p>
    <w:p>
      <w:pPr>
        <w:spacing w:after="0" w:line="141"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Committee</w:t>
      </w:r>
    </w:p>
    <w:p>
      <w:pPr>
        <w:spacing w:after="0" w:line="44" w:lineRule="exact"/>
        <w:rPr>
          <w:sz w:val="20"/>
          <w:szCs w:val="20"/>
          <w:color w:val="auto"/>
        </w:rPr>
      </w:pPr>
    </w:p>
    <w:p>
      <w:pPr>
        <w:ind w:left="9"/>
        <w:spacing w:after="0"/>
        <w:rPr>
          <w:sz w:val="20"/>
          <w:szCs w:val="20"/>
          <w:color w:val="auto"/>
        </w:rPr>
      </w:pPr>
      <w:r>
        <w:rPr>
          <w:rFonts w:ascii="Arial" w:cs="Arial" w:eastAsia="Arial" w:hAnsi="Arial"/>
          <w:sz w:val="14"/>
          <w:szCs w:val="14"/>
          <w:color w:val="auto"/>
        </w:rPr>
        <w:t>• Audit &amp; Risk Management</w:t>
      </w:r>
    </w:p>
    <w:p>
      <w:pPr>
        <w:spacing w:after="0" w:line="20" w:lineRule="exact"/>
        <w:rPr>
          <w:sz w:val="20"/>
          <w:szCs w:val="20"/>
          <w:color w:val="auto"/>
        </w:rPr>
      </w:pPr>
      <w:r>
        <w:rPr>
          <w:sz w:val="20"/>
          <w:szCs w:val="20"/>
          <w:color w:val="auto"/>
        </w:rPr>
        <w:br w:type="column"/>
      </w:r>
    </w:p>
    <w:p>
      <w:pPr>
        <w:ind w:left="1"/>
        <w:spacing w:after="0"/>
        <w:rPr>
          <w:sz w:val="20"/>
          <w:szCs w:val="20"/>
          <w:color w:val="auto"/>
        </w:rPr>
      </w:pPr>
      <w:r>
        <w:rPr>
          <w:rFonts w:ascii="Arial" w:cs="Arial" w:eastAsia="Arial" w:hAnsi="Arial"/>
          <w:sz w:val="16"/>
          <w:szCs w:val="16"/>
          <w:b w:val="1"/>
          <w:bCs w:val="1"/>
          <w:color w:val="auto"/>
        </w:rPr>
        <w:t>Experience</w:t>
      </w:r>
    </w:p>
    <w:p>
      <w:pPr>
        <w:spacing w:after="0" w:line="138" w:lineRule="exact"/>
        <w:rPr>
          <w:sz w:val="20"/>
          <w:szCs w:val="20"/>
          <w:color w:val="auto"/>
        </w:rPr>
      </w:pPr>
    </w:p>
    <w:p>
      <w:pPr>
        <w:ind w:left="141" w:right="220" w:hanging="141"/>
        <w:spacing w:after="0" w:line="280" w:lineRule="auto"/>
        <w:tabs>
          <w:tab w:leader="none" w:pos="143"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Chief Financial Officer and Chief Administrative Officer of Wayfair (one of the world’s largest online destinations for the home) since November 2022</w:t>
      </w:r>
    </w:p>
    <w:p>
      <w:pPr>
        <w:spacing w:after="0" w:line="1" w:lineRule="exact"/>
        <w:rPr>
          <w:rFonts w:ascii="Arial" w:cs="Arial" w:eastAsia="Arial" w:hAnsi="Arial"/>
          <w:sz w:val="14"/>
          <w:szCs w:val="14"/>
          <w:color w:val="auto"/>
        </w:rPr>
      </w:pPr>
    </w:p>
    <w:p>
      <w:pPr>
        <w:ind w:left="141" w:hanging="141"/>
        <w:spacing w:after="0"/>
        <w:tabs>
          <w:tab w:leader="none" w:pos="141"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Incoming Chief Financial Officer at Wayfair from May 2022 to November 2022</w:t>
      </w:r>
    </w:p>
    <w:p>
      <w:pPr>
        <w:spacing w:after="0" w:line="51" w:lineRule="exact"/>
        <w:rPr>
          <w:rFonts w:ascii="Arial" w:cs="Arial" w:eastAsia="Arial" w:hAnsi="Arial"/>
          <w:sz w:val="14"/>
          <w:szCs w:val="14"/>
          <w:color w:val="auto"/>
        </w:rPr>
      </w:pPr>
    </w:p>
    <w:p>
      <w:pPr>
        <w:ind w:left="141" w:hanging="141"/>
        <w:spacing w:after="0"/>
        <w:tabs>
          <w:tab w:leader="none" w:pos="141"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Chief People Officer at Wayfair from May 2016 to May 2022</w:t>
      </w:r>
    </w:p>
    <w:p>
      <w:pPr>
        <w:spacing w:after="0" w:line="51" w:lineRule="exact"/>
        <w:rPr>
          <w:rFonts w:ascii="Arial" w:cs="Arial" w:eastAsia="Arial" w:hAnsi="Arial"/>
          <w:sz w:val="14"/>
          <w:szCs w:val="14"/>
          <w:color w:val="auto"/>
        </w:rPr>
      </w:pPr>
    </w:p>
    <w:p>
      <w:pPr>
        <w:ind w:left="141" w:hanging="141"/>
        <w:spacing w:after="0"/>
        <w:tabs>
          <w:tab w:leader="none" w:pos="141"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Previously managed Wayfair’s Investor Relations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519049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90490" cy="7620"/>
                    </a:xfrm>
                    <a:prstGeom prst="rect">
                      <a:avLst/>
                    </a:prstGeom>
                    <a:noFill/>
                  </pic:spPr>
                </pic:pic>
              </a:graphicData>
            </a:graphic>
          </wp:anchor>
        </w:drawing>
      </w:r>
    </w:p>
    <w:p>
      <w:pPr>
        <w:spacing w:after="0" w:line="274" w:lineRule="exact"/>
        <w:rPr>
          <w:sz w:val="20"/>
          <w:szCs w:val="20"/>
          <w:color w:val="auto"/>
        </w:rPr>
      </w:pPr>
    </w:p>
    <w:p>
      <w:pPr>
        <w:ind w:left="1"/>
        <w:spacing w:after="0"/>
        <w:tabs>
          <w:tab w:leader="none" w:pos="4501" w:val="left"/>
        </w:tabs>
        <w:rPr>
          <w:sz w:val="20"/>
          <w:szCs w:val="20"/>
          <w:color w:val="auto"/>
        </w:rPr>
      </w:pPr>
      <w:r>
        <w:rPr>
          <w:rFonts w:ascii="Arial" w:cs="Arial" w:eastAsia="Arial" w:hAnsi="Arial"/>
          <w:sz w:val="16"/>
          <w:szCs w:val="16"/>
          <w:b w:val="1"/>
          <w:bCs w:val="1"/>
          <w:color w:val="auto"/>
        </w:rPr>
        <w:t>Expertise</w:t>
      </w:r>
      <w:r>
        <w:rPr>
          <w:sz w:val="20"/>
          <w:szCs w:val="20"/>
          <w:color w:val="auto"/>
        </w:rPr>
        <w:tab/>
      </w:r>
      <w:r>
        <w:rPr>
          <w:rFonts w:ascii="Arial" w:cs="Arial" w:eastAsia="Arial" w:hAnsi="Arial"/>
          <w:sz w:val="16"/>
          <w:szCs w:val="16"/>
          <w:b w:val="1"/>
          <w:bCs w:val="1"/>
          <w:color w:val="auto"/>
        </w:rPr>
        <w:t>Other public company boards</w:t>
      </w:r>
    </w:p>
    <w:p>
      <w:pPr>
        <w:spacing w:after="0" w:line="138" w:lineRule="exact"/>
        <w:rPr>
          <w:sz w:val="20"/>
          <w:szCs w:val="20"/>
          <w:color w:val="auto"/>
        </w:rPr>
      </w:pPr>
    </w:p>
    <w:p>
      <w:pPr>
        <w:ind w:left="1"/>
        <w:spacing w:after="0"/>
        <w:tabs>
          <w:tab w:leader="none" w:pos="4501" w:val="left"/>
        </w:tabs>
        <w:rPr>
          <w:sz w:val="20"/>
          <w:szCs w:val="20"/>
          <w:color w:val="auto"/>
        </w:rPr>
      </w:pPr>
      <w:r>
        <w:rPr>
          <w:rFonts w:ascii="Arial" w:cs="Arial" w:eastAsia="Arial" w:hAnsi="Arial"/>
          <w:sz w:val="14"/>
          <w:szCs w:val="14"/>
          <w:color w:val="auto"/>
        </w:rPr>
        <w:t>Ms. Gulliver is a proven leader who has a consumer-centric, data-</w:t>
      </w:r>
      <w:r>
        <w:rPr>
          <w:sz w:val="20"/>
          <w:szCs w:val="20"/>
          <w:color w:val="auto"/>
        </w:rPr>
        <w:tab/>
      </w:r>
      <w:r>
        <w:rPr>
          <w:rFonts w:ascii="Arial" w:cs="Arial" w:eastAsia="Arial" w:hAnsi="Arial"/>
          <w:sz w:val="14"/>
          <w:szCs w:val="14"/>
          <w:color w:val="auto"/>
        </w:rPr>
        <w:t>• None</w:t>
      </w:r>
    </w:p>
    <w:p>
      <w:pPr>
        <w:spacing w:after="0" w:line="18" w:lineRule="exact"/>
        <w:rPr>
          <w:sz w:val="20"/>
          <w:szCs w:val="20"/>
          <w:color w:val="auto"/>
        </w:rPr>
      </w:pPr>
    </w:p>
    <w:p>
      <w:pPr>
        <w:ind w:left="1"/>
        <w:spacing w:after="0"/>
        <w:rPr>
          <w:sz w:val="20"/>
          <w:szCs w:val="20"/>
          <w:color w:val="auto"/>
        </w:rPr>
      </w:pPr>
      <w:r>
        <w:rPr>
          <w:rFonts w:ascii="Arial" w:cs="Arial" w:eastAsia="Arial" w:hAnsi="Arial"/>
          <w:sz w:val="14"/>
          <w:szCs w:val="14"/>
          <w:color w:val="auto"/>
        </w:rPr>
        <w:t>driven approach. She has held multiple leadership roles in</w:t>
      </w:r>
    </w:p>
    <w:p>
      <w:pPr>
        <w:spacing w:after="0" w:line="4" w:lineRule="exact"/>
        <w:rPr>
          <w:sz w:val="20"/>
          <w:szCs w:val="20"/>
          <w:color w:val="auto"/>
        </w:rPr>
      </w:pPr>
    </w:p>
    <w:p>
      <w:pPr>
        <w:ind w:left="1"/>
        <w:spacing w:after="0"/>
        <w:rPr>
          <w:sz w:val="20"/>
          <w:szCs w:val="20"/>
          <w:color w:val="auto"/>
        </w:rPr>
      </w:pPr>
      <w:r>
        <w:rPr>
          <w:rFonts w:ascii="Arial" w:cs="Arial" w:eastAsia="Arial" w:hAnsi="Arial"/>
          <w:sz w:val="14"/>
          <w:szCs w:val="14"/>
          <w:color w:val="auto"/>
        </w:rPr>
        <w:t>finance, human relations and investor relations at a top</w:t>
      </w:r>
    </w:p>
    <w:p>
      <w:pPr>
        <w:spacing w:after="0" w:line="4" w:lineRule="exact"/>
        <w:rPr>
          <w:sz w:val="20"/>
          <w:szCs w:val="20"/>
          <w:color w:val="auto"/>
        </w:rPr>
      </w:pPr>
    </w:p>
    <w:p>
      <w:pPr>
        <w:ind w:left="1"/>
        <w:spacing w:after="0"/>
        <w:rPr>
          <w:sz w:val="20"/>
          <w:szCs w:val="20"/>
          <w:color w:val="auto"/>
        </w:rPr>
      </w:pPr>
      <w:r>
        <w:rPr>
          <w:rFonts w:ascii="Arial" w:cs="Arial" w:eastAsia="Arial" w:hAnsi="Arial"/>
          <w:sz w:val="14"/>
          <w:szCs w:val="14"/>
          <w:color w:val="auto"/>
        </w:rPr>
        <w:t>ecommerce business and has diverse experience scaling a fast-</w:t>
      </w:r>
    </w:p>
    <w:p>
      <w:pPr>
        <w:spacing w:after="0" w:line="4" w:lineRule="exact"/>
        <w:rPr>
          <w:sz w:val="20"/>
          <w:szCs w:val="20"/>
          <w:color w:val="auto"/>
        </w:rPr>
      </w:pPr>
    </w:p>
    <w:p>
      <w:pPr>
        <w:ind w:left="1"/>
        <w:spacing w:after="0"/>
        <w:rPr>
          <w:sz w:val="20"/>
          <w:szCs w:val="20"/>
          <w:color w:val="auto"/>
        </w:rPr>
      </w:pPr>
      <w:r>
        <w:rPr>
          <w:rFonts w:ascii="Arial" w:cs="Arial" w:eastAsia="Arial" w:hAnsi="Arial"/>
          <w:sz w:val="14"/>
          <w:szCs w:val="14"/>
          <w:color w:val="auto"/>
        </w:rPr>
        <w:t>growing digital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106045</wp:posOffset>
            </wp:positionV>
            <wp:extent cx="519049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9049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8" w:space="720"/>
            <w:col w:w="8181"/>
          </w:cols>
          <w:pgMar w:left="471" w:top="426" w:right="479" w:bottom="1440" w:gutter="0" w:footer="0" w:header="0"/>
          <w:type w:val="continuous"/>
        </w:sectPr>
      </w:pPr>
    </w:p>
    <w:p>
      <w:pPr>
        <w:spacing w:after="0" w:line="152" w:lineRule="exact"/>
        <w:rPr>
          <w:sz w:val="20"/>
          <w:szCs w:val="20"/>
          <w:color w:val="auto"/>
        </w:rPr>
      </w:pPr>
    </w:p>
    <w:p>
      <w:pPr>
        <w:ind w:left="6489"/>
        <w:spacing w:after="0"/>
        <w:rPr>
          <w:sz w:val="20"/>
          <w:szCs w:val="20"/>
          <w:color w:val="auto"/>
        </w:rPr>
      </w:pPr>
      <w:r>
        <w:rPr>
          <w:rFonts w:ascii="Arial" w:cs="Arial" w:eastAsia="Arial" w:hAnsi="Arial"/>
          <w:sz w:val="10"/>
          <w:szCs w:val="10"/>
          <w:b w:val="1"/>
          <w:bCs w:val="1"/>
          <w:color w:val="6D98AD"/>
        </w:rPr>
        <w:t xml:space="preserve">PROPOSAL 1: ELECTION OF DIRECTORS </w:t>
      </w:r>
      <w:r>
        <w:rPr>
          <w:rFonts w:ascii="Arial" w:cs="Arial" w:eastAsia="Arial" w:hAnsi="Arial"/>
          <w:sz w:val="10"/>
          <w:szCs w:val="10"/>
          <w:color w:val="000000"/>
        </w:rPr>
        <w:t>/ PVH CORP. 2026 PROXY STATEMENT /</w:t>
      </w:r>
      <w:r>
        <w:rPr>
          <w:rFonts w:ascii="Arial" w:cs="Arial" w:eastAsia="Arial" w:hAnsi="Arial"/>
          <w:sz w:val="10"/>
          <w:szCs w:val="10"/>
          <w:b w:val="1"/>
          <w:bCs w:val="1"/>
          <w:color w:val="6D98AD"/>
        </w:rPr>
        <w:t xml:space="preserve"> </w:t>
      </w:r>
      <w:r>
        <w:rPr>
          <w:rFonts w:ascii="Arial" w:cs="Arial" w:eastAsia="Arial" w:hAnsi="Arial"/>
          <w:sz w:val="10"/>
          <w:szCs w:val="10"/>
          <w:b w:val="1"/>
          <w:bCs w:val="1"/>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695515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426" w:right="479" w:bottom="1440" w:gutter="0" w:footer="0" w:header="0"/>
          <w:type w:val="continuous"/>
        </w:sectPr>
      </w:pPr>
    </w:p>
    <w:bookmarkStart w:id="18" w:name="page19"/>
    <w:bookmarkEnd w:id="18"/>
    <w:p>
      <w:pPr>
        <w:ind w:left="9"/>
        <w:spacing w:after="0"/>
        <w:rPr>
          <w:sz w:val="20"/>
          <w:szCs w:val="20"/>
          <w:color w:val="auto"/>
        </w:rPr>
      </w:pPr>
      <w:r>
        <w:rPr>
          <w:rFonts w:ascii="Arial" w:cs="Arial" w:eastAsia="Arial" w:hAnsi="Arial"/>
          <w:sz w:val="31"/>
          <w:szCs w:val="31"/>
          <w:color w:val="auto"/>
        </w:rPr>
        <w:t>Stefan Larsson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Chief Executive Officer, PVH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151130</wp:posOffset>
            </wp:positionV>
            <wp:extent cx="694817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pacing w:after="0" w:line="362" w:lineRule="exact"/>
        <w:rPr>
          <w:sz w:val="20"/>
          <w:szCs w:val="20"/>
          <w:color w:val="auto"/>
        </w:rPr>
      </w:pPr>
    </w:p>
    <w:p>
      <w:pPr>
        <w:sectPr>
          <w:pgSz w:w="11900" w:h="16838" w:orient="portrait"/>
          <w:cols w:equalWidth="0" w:num="2">
            <w:col w:w="3289" w:space="720"/>
            <w:col w:w="6920"/>
          </w:cols>
          <w:pgMar w:left="471" w:top="42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
        <w:spacing w:after="0"/>
        <w:rPr>
          <w:sz w:val="20"/>
          <w:szCs w:val="20"/>
          <w:color w:val="auto"/>
        </w:rPr>
      </w:pPr>
      <w:r>
        <w:rPr>
          <w:rFonts w:ascii="Arial" w:cs="Arial" w:eastAsia="Arial" w:hAnsi="Arial"/>
          <w:sz w:val="14"/>
          <w:szCs w:val="14"/>
          <w:color w:val="auto"/>
        </w:rPr>
        <w:t>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-998855</wp:posOffset>
            </wp:positionV>
            <wp:extent cx="837565" cy="8299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37565" cy="829945"/>
                    </a:xfrm>
                    <a:prstGeom prst="rect">
                      <a:avLst/>
                    </a:prstGeom>
                    <a:noFill/>
                  </pic:spPr>
                </pic:pic>
              </a:graphicData>
            </a:graphic>
          </wp:anchor>
        </w:drawing>
      </w:r>
    </w:p>
    <w:p>
      <w:pPr>
        <w:spacing w:after="0" w:line="31" w:lineRule="exact"/>
        <w:rPr>
          <w:sz w:val="20"/>
          <w:szCs w:val="20"/>
          <w:color w:val="auto"/>
        </w:rPr>
      </w:pPr>
    </w:p>
    <w:p>
      <w:pPr>
        <w:ind w:left="9"/>
        <w:spacing w:after="0"/>
        <w:rPr>
          <w:sz w:val="20"/>
          <w:szCs w:val="20"/>
          <w:color w:val="auto"/>
        </w:rPr>
      </w:pPr>
      <w:r>
        <w:rPr>
          <w:rFonts w:ascii="Arial" w:cs="Arial" w:eastAsia="Arial" w:hAnsi="Arial"/>
          <w:sz w:val="14"/>
          <w:szCs w:val="14"/>
          <w:color w:val="auto"/>
        </w:rPr>
        <w:t>Director Since 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Experience</w:t>
      </w:r>
    </w:p>
    <w:p>
      <w:pPr>
        <w:spacing w:after="0" w:line="127" w:lineRule="exact"/>
        <w:rPr>
          <w:sz w:val="20"/>
          <w:szCs w:val="20"/>
          <w:color w:val="auto"/>
        </w:rPr>
      </w:pPr>
    </w:p>
    <w:p>
      <w:pPr>
        <w:ind w:left="140" w:hanging="136"/>
        <w:spacing w:after="0"/>
        <w:tabs>
          <w:tab w:leader="none" w:pos="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PVH Corp.’s Chief Executive Officer since 2021. Prior to his current role he served as President of PVH from 2019 through 2021.</w:t>
      </w:r>
    </w:p>
    <w:p>
      <w:pPr>
        <w:spacing w:after="0" w:line="51" w:lineRule="exact"/>
        <w:rPr>
          <w:rFonts w:ascii="Arial" w:cs="Arial" w:eastAsia="Arial" w:hAnsi="Arial"/>
          <w:sz w:val="14"/>
          <w:szCs w:val="14"/>
          <w:color w:val="auto"/>
        </w:rPr>
      </w:pPr>
    </w:p>
    <w:p>
      <w:pPr>
        <w:ind w:left="140" w:right="160" w:hanging="136"/>
        <w:spacing w:after="0" w:line="280" w:lineRule="auto"/>
        <w:tabs>
          <w:tab w:leader="none" w:pos="142"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President, Chief Executive Officer and Director of Ralph Lauren Corp. from 2015 to 2017, where he successfully refocused the company on what made it iconic, improved its performance, and set the path for future growth.</w:t>
      </w:r>
    </w:p>
    <w:p>
      <w:pPr>
        <w:spacing w:after="0" w:line="1" w:lineRule="exact"/>
        <w:rPr>
          <w:rFonts w:ascii="Arial" w:cs="Arial" w:eastAsia="Arial" w:hAnsi="Arial"/>
          <w:sz w:val="14"/>
          <w:szCs w:val="14"/>
          <w:color w:val="auto"/>
        </w:rPr>
      </w:pPr>
    </w:p>
    <w:p>
      <w:pPr>
        <w:ind w:left="140" w:right="320" w:hanging="136"/>
        <w:spacing w:after="0" w:line="280" w:lineRule="auto"/>
        <w:tabs>
          <w:tab w:leader="none" w:pos="142" w:val="left"/>
        </w:tabs>
        <w:numPr>
          <w:ilvl w:val="0"/>
          <w:numId w:val="33"/>
        </w:numPr>
        <w:rPr>
          <w:rFonts w:ascii="Arial" w:cs="Arial" w:eastAsia="Arial" w:hAnsi="Arial"/>
          <w:sz w:val="14"/>
          <w:szCs w:val="14"/>
          <w:color w:val="auto"/>
        </w:rPr>
      </w:pPr>
      <w:r>
        <w:rPr>
          <w:rFonts w:ascii="Arial" w:cs="Arial" w:eastAsia="Arial" w:hAnsi="Arial"/>
          <w:sz w:val="14"/>
          <w:szCs w:val="14"/>
          <w:color w:val="auto"/>
        </w:rPr>
        <w:t>Global President of Old Navy (a division of Gap Inc.) from 2012 to 2015, where he helped deliver 12 consecutive quarters of profitable growth and positioned the brand among the top preferred brands among millennials in America.</w:t>
      </w:r>
    </w:p>
    <w:p>
      <w:pPr>
        <w:spacing w:after="0" w:line="1" w:lineRule="exact"/>
        <w:rPr>
          <w:rFonts w:ascii="Arial" w:cs="Arial" w:eastAsia="Arial" w:hAnsi="Arial"/>
          <w:sz w:val="14"/>
          <w:szCs w:val="14"/>
          <w:color w:val="auto"/>
        </w:rPr>
      </w:pPr>
    </w:p>
    <w:p>
      <w:pPr>
        <w:ind w:left="140" w:right="80" w:hanging="136"/>
        <w:spacing w:after="0" w:line="282" w:lineRule="auto"/>
        <w:tabs>
          <w:tab w:leader="none" w:pos="142"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nearly 15 years, held multiple key leadership roles on the team responsible for growing H&amp;M, with revenues increasing from approximately $3 billion to approximately $17 billion and operations expanding from 12 to 44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521271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2715" cy="7620"/>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2009" w:space="720"/>
            <w:col w:w="8200"/>
          </w:cols>
          <w:pgMar w:left="471" w:top="426" w:right="499" w:bottom="1440" w:gutter="0" w:footer="0" w:header="0"/>
          <w:type w:val="continuous"/>
        </w:sectPr>
      </w:pPr>
    </w:p>
    <w:tbl>
      <w:tblPr>
        <w:tblLayout w:type="fixed"/>
        <w:tblInd w:w="2729"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Arial" w:cs="Arial" w:eastAsia="Arial" w:hAnsi="Arial"/>
                <w:sz w:val="16"/>
                <w:szCs w:val="16"/>
                <w:b w:val="1"/>
                <w:bCs w:val="1"/>
                <w:color w:val="auto"/>
              </w:rPr>
              <w:t>Expertise</w:t>
            </w:r>
          </w:p>
        </w:tc>
        <w:tc>
          <w:tcPr>
            <w:tcW w:w="3880" w:type="dxa"/>
            <w:vAlign w:val="bottom"/>
          </w:tcPr>
          <w:p>
            <w:pPr>
              <w:ind w:left="220"/>
              <w:spacing w:after="0"/>
              <w:rPr>
                <w:sz w:val="20"/>
                <w:szCs w:val="20"/>
                <w:color w:val="auto"/>
              </w:rPr>
            </w:pPr>
            <w:r>
              <w:rPr>
                <w:rFonts w:ascii="Arial" w:cs="Arial" w:eastAsia="Arial" w:hAnsi="Arial"/>
                <w:sz w:val="16"/>
                <w:szCs w:val="16"/>
                <w:b w:val="1"/>
                <w:bCs w:val="1"/>
                <w:color w:val="auto"/>
              </w:rPr>
              <w:t>Other public company boards</w:t>
            </w:r>
          </w:p>
        </w:tc>
      </w:tr>
      <w:tr>
        <w:trPr>
          <w:trHeight w:val="259"/>
        </w:trPr>
        <w:tc>
          <w:tcPr>
            <w:tcW w:w="4320" w:type="dxa"/>
            <w:vAlign w:val="bottom"/>
          </w:tcPr>
          <w:p>
            <w:pPr>
              <w:spacing w:after="0"/>
              <w:rPr>
                <w:sz w:val="20"/>
                <w:szCs w:val="20"/>
                <w:color w:val="auto"/>
              </w:rPr>
            </w:pPr>
            <w:r>
              <w:rPr>
                <w:rFonts w:ascii="Arial" w:cs="Arial" w:eastAsia="Arial" w:hAnsi="Arial"/>
                <w:sz w:val="14"/>
                <w:szCs w:val="14"/>
                <w:color w:val="auto"/>
              </w:rPr>
              <w:t>Mr. Larsson has a proven record of leadership and global</w:t>
            </w:r>
          </w:p>
        </w:tc>
        <w:tc>
          <w:tcPr>
            <w:tcW w:w="3880" w:type="dxa"/>
            <w:vAlign w:val="bottom"/>
          </w:tcPr>
          <w:p>
            <w:pPr>
              <w:ind w:left="220"/>
              <w:spacing w:after="0"/>
              <w:rPr>
                <w:sz w:val="20"/>
                <w:szCs w:val="20"/>
                <w:color w:val="auto"/>
              </w:rPr>
            </w:pPr>
            <w:r>
              <w:rPr>
                <w:rFonts w:ascii="Arial" w:cs="Arial" w:eastAsia="Arial" w:hAnsi="Arial"/>
                <w:sz w:val="14"/>
                <w:szCs w:val="14"/>
                <w:color w:val="auto"/>
              </w:rPr>
              <w:t>• None</w:t>
            </w:r>
          </w:p>
        </w:tc>
      </w:tr>
      <w:tr>
        <w:trPr>
          <w:trHeight w:val="165"/>
        </w:trPr>
        <w:tc>
          <w:tcPr>
            <w:tcW w:w="4320" w:type="dxa"/>
            <w:vAlign w:val="bottom"/>
          </w:tcPr>
          <w:p>
            <w:pPr>
              <w:spacing w:after="0"/>
              <w:rPr>
                <w:sz w:val="20"/>
                <w:szCs w:val="20"/>
                <w:color w:val="auto"/>
              </w:rPr>
            </w:pPr>
            <w:r>
              <w:rPr>
                <w:rFonts w:ascii="Arial" w:cs="Arial" w:eastAsia="Arial" w:hAnsi="Arial"/>
                <w:sz w:val="14"/>
                <w:szCs w:val="14"/>
                <w:color w:val="auto"/>
              </w:rPr>
              <w:t>experience in driving transformation and brand building in an</w:t>
            </w:r>
          </w:p>
        </w:tc>
        <w:tc>
          <w:tcPr>
            <w:tcW w:w="3880" w:type="dxa"/>
            <w:vAlign w:val="bottom"/>
          </w:tcPr>
          <w:p>
            <w:pPr>
              <w:spacing w:after="0"/>
              <w:rPr>
                <w:sz w:val="14"/>
                <w:szCs w:val="14"/>
                <w:color w:val="auto"/>
              </w:rPr>
            </w:pPr>
          </w:p>
        </w:tc>
      </w:tr>
      <w:tr>
        <w:trPr>
          <w:trHeight w:val="165"/>
        </w:trPr>
        <w:tc>
          <w:tcPr>
            <w:tcW w:w="4320" w:type="dxa"/>
            <w:vAlign w:val="bottom"/>
          </w:tcPr>
          <w:p>
            <w:pPr>
              <w:spacing w:after="0"/>
              <w:rPr>
                <w:sz w:val="20"/>
                <w:szCs w:val="20"/>
                <w:color w:val="auto"/>
              </w:rPr>
            </w:pPr>
            <w:r>
              <w:rPr>
                <w:rFonts w:ascii="Arial" w:cs="Arial" w:eastAsia="Arial" w:hAnsi="Arial"/>
                <w:sz w:val="14"/>
                <w:szCs w:val="14"/>
                <w:color w:val="auto"/>
              </w:rPr>
              <w:t>increasingly dynamic and ever-changing consumer landscape. He</w:t>
            </w:r>
          </w:p>
        </w:tc>
        <w:tc>
          <w:tcPr>
            <w:tcW w:w="3880" w:type="dxa"/>
            <w:vAlign w:val="bottom"/>
          </w:tcPr>
          <w:p>
            <w:pPr>
              <w:spacing w:after="0"/>
              <w:rPr>
                <w:sz w:val="14"/>
                <w:szCs w:val="14"/>
                <w:color w:val="auto"/>
              </w:rPr>
            </w:pPr>
          </w:p>
        </w:tc>
      </w:tr>
      <w:tr>
        <w:trPr>
          <w:trHeight w:val="165"/>
        </w:trPr>
        <w:tc>
          <w:tcPr>
            <w:tcW w:w="4320" w:type="dxa"/>
            <w:vAlign w:val="bottom"/>
          </w:tcPr>
          <w:p>
            <w:pPr>
              <w:spacing w:after="0"/>
              <w:rPr>
                <w:sz w:val="20"/>
                <w:szCs w:val="20"/>
                <w:color w:val="auto"/>
              </w:rPr>
            </w:pPr>
            <w:r>
              <w:rPr>
                <w:rFonts w:ascii="Arial" w:cs="Arial" w:eastAsia="Arial" w:hAnsi="Arial"/>
                <w:sz w:val="14"/>
                <w:szCs w:val="14"/>
                <w:color w:val="auto"/>
              </w:rPr>
              <w:t>is highly regarded for his strategic focus and operational track</w:t>
            </w:r>
          </w:p>
        </w:tc>
        <w:tc>
          <w:tcPr>
            <w:tcW w:w="3880" w:type="dxa"/>
            <w:vAlign w:val="bottom"/>
          </w:tcPr>
          <w:p>
            <w:pPr>
              <w:spacing w:after="0"/>
              <w:rPr>
                <w:sz w:val="14"/>
                <w:szCs w:val="14"/>
                <w:color w:val="auto"/>
              </w:rPr>
            </w:pPr>
          </w:p>
        </w:tc>
      </w:tr>
      <w:tr>
        <w:trPr>
          <w:trHeight w:val="165"/>
        </w:trPr>
        <w:tc>
          <w:tcPr>
            <w:tcW w:w="4320" w:type="dxa"/>
            <w:vAlign w:val="bottom"/>
          </w:tcPr>
          <w:p>
            <w:pPr>
              <w:spacing w:after="0"/>
              <w:rPr>
                <w:sz w:val="20"/>
                <w:szCs w:val="20"/>
                <w:color w:val="auto"/>
              </w:rPr>
            </w:pPr>
            <w:r>
              <w:rPr>
                <w:rFonts w:ascii="Arial" w:cs="Arial" w:eastAsia="Arial" w:hAnsi="Arial"/>
                <w:sz w:val="14"/>
                <w:szCs w:val="14"/>
                <w:color w:val="auto"/>
              </w:rPr>
              <w:t>record. As PVH’s Chief Executive Officer, he provides insight to</w:t>
            </w:r>
          </w:p>
        </w:tc>
        <w:tc>
          <w:tcPr>
            <w:tcW w:w="3880" w:type="dxa"/>
            <w:vAlign w:val="bottom"/>
          </w:tcPr>
          <w:p>
            <w:pPr>
              <w:spacing w:after="0"/>
              <w:rPr>
                <w:sz w:val="14"/>
                <w:szCs w:val="14"/>
                <w:color w:val="auto"/>
              </w:rPr>
            </w:pPr>
          </w:p>
        </w:tc>
      </w:tr>
      <w:tr>
        <w:trPr>
          <w:trHeight w:val="165"/>
        </w:trPr>
        <w:tc>
          <w:tcPr>
            <w:tcW w:w="4320" w:type="dxa"/>
            <w:vAlign w:val="bottom"/>
          </w:tcPr>
          <w:p>
            <w:pPr>
              <w:spacing w:after="0"/>
              <w:rPr>
                <w:sz w:val="20"/>
                <w:szCs w:val="20"/>
                <w:color w:val="auto"/>
              </w:rPr>
            </w:pPr>
            <w:r>
              <w:rPr>
                <w:rFonts w:ascii="Arial" w:cs="Arial" w:eastAsia="Arial" w:hAnsi="Arial"/>
                <w:sz w:val="14"/>
                <w:szCs w:val="14"/>
                <w:color w:val="auto"/>
              </w:rPr>
              <w:t>the Board on our business and management team, and drives the</w:t>
            </w:r>
          </w:p>
        </w:tc>
        <w:tc>
          <w:tcPr>
            <w:tcW w:w="3880" w:type="dxa"/>
            <w:vAlign w:val="bottom"/>
          </w:tcPr>
          <w:p>
            <w:pPr>
              <w:spacing w:after="0"/>
              <w:rPr>
                <w:sz w:val="14"/>
                <w:szCs w:val="14"/>
                <w:color w:val="auto"/>
              </w:rPr>
            </w:pPr>
          </w:p>
        </w:tc>
      </w:tr>
      <w:tr>
        <w:trPr>
          <w:trHeight w:val="165"/>
        </w:trPr>
        <w:tc>
          <w:tcPr>
            <w:tcW w:w="4320" w:type="dxa"/>
            <w:vAlign w:val="bottom"/>
          </w:tcPr>
          <w:p>
            <w:pPr>
              <w:spacing w:after="0"/>
              <w:rPr>
                <w:sz w:val="20"/>
                <w:szCs w:val="20"/>
                <w:color w:val="auto"/>
              </w:rPr>
            </w:pPr>
            <w:r>
              <w:rPr>
                <w:rFonts w:ascii="Arial" w:cs="Arial" w:eastAsia="Arial" w:hAnsi="Arial"/>
                <w:sz w:val="14"/>
                <w:szCs w:val="14"/>
                <w:color w:val="auto"/>
              </w:rPr>
              <w:t>PVH+ Plan, his multi-year strategy for PVH’s next chapter of</w:t>
            </w:r>
          </w:p>
        </w:tc>
        <w:tc>
          <w:tcPr>
            <w:tcW w:w="3880" w:type="dxa"/>
            <w:vAlign w:val="bottom"/>
          </w:tcPr>
          <w:p>
            <w:pPr>
              <w:spacing w:after="0"/>
              <w:rPr>
                <w:sz w:val="14"/>
                <w:szCs w:val="14"/>
                <w:color w:val="auto"/>
              </w:rPr>
            </w:pPr>
          </w:p>
        </w:tc>
      </w:tr>
      <w:tr>
        <w:trPr>
          <w:trHeight w:val="186"/>
        </w:trPr>
        <w:tc>
          <w:tcPr>
            <w:tcW w:w="4320" w:type="dxa"/>
            <w:vAlign w:val="bottom"/>
          </w:tcPr>
          <w:p>
            <w:pPr>
              <w:spacing w:after="0"/>
              <w:rPr>
                <w:sz w:val="20"/>
                <w:szCs w:val="20"/>
                <w:color w:val="auto"/>
              </w:rPr>
            </w:pPr>
            <w:r>
              <w:rPr>
                <w:rFonts w:ascii="Arial" w:cs="Arial" w:eastAsia="Arial" w:hAnsi="Arial"/>
                <w:sz w:val="14"/>
                <w:szCs w:val="14"/>
                <w:color w:val="auto"/>
              </w:rPr>
              <w:t>growth.</w:t>
            </w:r>
          </w:p>
        </w:tc>
        <w:tc>
          <w:tcPr>
            <w:tcW w:w="3880" w:type="dxa"/>
            <w:vAlign w:val="bottom"/>
          </w:tcPr>
          <w:p>
            <w:pPr>
              <w:spacing w:after="0"/>
              <w:rPr>
                <w:sz w:val="16"/>
                <w:szCs w:val="16"/>
                <w:color w:val="auto"/>
              </w:rPr>
            </w:pPr>
          </w:p>
        </w:tc>
      </w:tr>
      <w:tr>
        <w:trPr>
          <w:trHeight w:val="156"/>
        </w:trPr>
        <w:tc>
          <w:tcPr>
            <w:tcW w:w="4320" w:type="dxa"/>
            <w:vAlign w:val="bottom"/>
            <w:tcBorders>
              <w:bottom w:val="single" w:sz="8" w:color="auto"/>
            </w:tcBorders>
          </w:tcPr>
          <w:p>
            <w:pPr>
              <w:spacing w:after="0"/>
              <w:rPr>
                <w:sz w:val="13"/>
                <w:szCs w:val="13"/>
                <w:color w:val="auto"/>
              </w:rPr>
            </w:pPr>
          </w:p>
        </w:tc>
        <w:tc>
          <w:tcPr>
            <w:tcW w:w="388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0929"/>
          </w:cols>
          <w:pgMar w:left="471" w:top="426" w:right="499" w:bottom="1440" w:gutter="0" w:footer="0" w:header="0"/>
          <w:type w:val="continuous"/>
        </w:sectPr>
      </w:pPr>
    </w:p>
    <w:p>
      <w:pPr>
        <w:spacing w:after="0" w:line="87" w:lineRule="exact"/>
        <w:rPr>
          <w:sz w:val="20"/>
          <w:szCs w:val="20"/>
          <w:color w:val="auto"/>
        </w:rPr>
      </w:pPr>
    </w:p>
    <w:p>
      <w:pPr>
        <w:ind w:left="9"/>
        <w:spacing w:after="0"/>
        <w:rPr>
          <w:sz w:val="20"/>
          <w:szCs w:val="20"/>
          <w:color w:val="auto"/>
        </w:rPr>
      </w:pPr>
      <w:r>
        <w:rPr>
          <w:rFonts w:ascii="Arial" w:cs="Arial" w:eastAsia="Arial" w:hAnsi="Arial"/>
          <w:sz w:val="31"/>
          <w:szCs w:val="31"/>
          <w:color w:val="auto"/>
        </w:rPr>
        <w:t>G. Penny McIntyre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Former Chief Executive Officer, Sunrise Senior Living,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218440</wp:posOffset>
            </wp:positionV>
            <wp:extent cx="694817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pacing w:after="0" w:line="374" w:lineRule="exact"/>
        <w:rPr>
          <w:sz w:val="20"/>
          <w:szCs w:val="20"/>
          <w:color w:val="auto"/>
        </w:rPr>
      </w:pPr>
    </w:p>
    <w:p>
      <w:pPr>
        <w:sectPr>
          <w:pgSz w:w="11900" w:h="16838" w:orient="portrait"/>
          <w:cols w:equalWidth="0" w:num="2">
            <w:col w:w="3289" w:space="720"/>
            <w:col w:w="6920"/>
          </w:cols>
          <w:pgMar w:left="471" w:top="426" w:right="499" w:bottom="1440" w:gutter="0" w:footer="0" w:header="0"/>
          <w:type w:val="continuous"/>
        </w:sectPr>
      </w:pPr>
    </w:p>
    <w:p>
      <w:pPr>
        <w:spacing w:after="0" w:line="82" w:lineRule="exact"/>
        <w:rPr>
          <w:sz w:val="20"/>
          <w:szCs w:val="20"/>
          <w:color w:val="auto"/>
        </w:rPr>
      </w:pPr>
    </w:p>
    <w:p>
      <w:pPr>
        <w:ind w:left="2729"/>
        <w:spacing w:after="0"/>
        <w:rPr>
          <w:sz w:val="20"/>
          <w:szCs w:val="20"/>
          <w:color w:val="auto"/>
        </w:rPr>
      </w:pPr>
      <w:r>
        <w:rPr>
          <w:rFonts w:ascii="Arial" w:cs="Arial" w:eastAsia="Arial" w:hAnsi="Arial"/>
          <w:sz w:val="16"/>
          <w:szCs w:val="16"/>
          <w:b w:val="1"/>
          <w:b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837565" cy="8375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37565" cy="837565"/>
                    </a:xfrm>
                    <a:prstGeom prst="rect">
                      <a:avLst/>
                    </a:prstGeom>
                    <a:noFill/>
                  </pic:spPr>
                </pic:pic>
              </a:graphicData>
            </a:graphic>
          </wp:anchor>
        </w:drawing>
      </w:r>
    </w:p>
    <w:p>
      <w:pPr>
        <w:spacing w:after="0" w:line="118" w:lineRule="exact"/>
        <w:rPr>
          <w:sz w:val="20"/>
          <w:szCs w:val="20"/>
          <w:color w:val="auto"/>
        </w:rPr>
      </w:pPr>
    </w:p>
    <w:p>
      <w:pPr>
        <w:ind w:left="2729"/>
        <w:spacing w:after="0"/>
        <w:rPr>
          <w:sz w:val="20"/>
          <w:szCs w:val="20"/>
          <w:color w:val="auto"/>
        </w:rPr>
      </w:pPr>
      <w:r>
        <w:rPr>
          <w:rFonts w:ascii="Arial" w:cs="Arial" w:eastAsia="Arial" w:hAnsi="Arial"/>
          <w:sz w:val="14"/>
          <w:szCs w:val="14"/>
          <w:color w:val="auto"/>
        </w:rPr>
        <w:t>• Chief Executive Officer of Sunrise Senior Living, LLC (a provider of senior living services) from November 2013 to May 2014</w:t>
      </w:r>
    </w:p>
    <w:p>
      <w:pPr>
        <w:spacing w:after="0" w:line="51" w:lineRule="exact"/>
        <w:rPr>
          <w:sz w:val="20"/>
          <w:szCs w:val="20"/>
          <w:color w:val="auto"/>
        </w:rPr>
      </w:pPr>
    </w:p>
    <w:p>
      <w:pPr>
        <w:ind w:left="2729"/>
        <w:spacing w:after="0"/>
        <w:rPr>
          <w:sz w:val="20"/>
          <w:szCs w:val="20"/>
          <w:color w:val="auto"/>
        </w:rPr>
      </w:pPr>
      <w:r>
        <w:rPr>
          <w:rFonts w:ascii="Arial" w:cs="Arial" w:eastAsia="Arial" w:hAnsi="Arial"/>
          <w:sz w:val="14"/>
          <w:szCs w:val="14"/>
          <w:color w:val="auto"/>
        </w:rPr>
        <w:t>• President of the Consumer Group of Newell Brands from 2011 to 2012</w:t>
      </w:r>
    </w:p>
    <w:p>
      <w:pPr>
        <w:spacing w:after="0" w:line="51" w:lineRule="exact"/>
        <w:rPr>
          <w:sz w:val="20"/>
          <w:szCs w:val="20"/>
          <w:color w:val="auto"/>
        </w:rPr>
      </w:pPr>
    </w:p>
    <w:p>
      <w:pPr>
        <w:ind w:left="2729"/>
        <w:spacing w:after="0"/>
        <w:rPr>
          <w:sz w:val="20"/>
          <w:szCs w:val="20"/>
          <w:color w:val="auto"/>
        </w:rPr>
      </w:pPr>
      <w:r>
        <w:rPr>
          <w:rFonts w:ascii="Arial" w:cs="Arial" w:eastAsia="Arial" w:hAnsi="Arial"/>
          <w:sz w:val="14"/>
          <w:szCs w:val="14"/>
          <w:color w:val="auto"/>
        </w:rPr>
        <w:t>• Group President of Newell Brands’ Office Products Group from 2009 to 2012</w:t>
      </w:r>
    </w:p>
    <w:p>
      <w:pPr>
        <w:spacing w:after="0" w:line="51" w:lineRule="exact"/>
        <w:rPr>
          <w:sz w:val="20"/>
          <w:szCs w:val="20"/>
          <w:color w:val="auto"/>
        </w:rPr>
      </w:pPr>
    </w:p>
    <w:p>
      <w:pPr>
        <w:jc w:val="right"/>
        <w:ind w:left="2729" w:right="240"/>
        <w:spacing w:after="0" w:line="256" w:lineRule="auto"/>
        <w:rPr>
          <w:sz w:val="20"/>
          <w:szCs w:val="20"/>
          <w:color w:val="auto"/>
        </w:rPr>
      </w:pPr>
      <w:r>
        <w:rPr>
          <w:rFonts w:ascii="Arial" w:cs="Arial" w:eastAsia="Arial" w:hAnsi="Arial"/>
          <w:sz w:val="14"/>
          <w:szCs w:val="14"/>
          <w:color w:val="auto"/>
        </w:rPr>
        <w:t>• Senior Vice President, General Manager, Functional Beverages (overseeing still beverages, such as water, tea and coffee) at The Coca-Cola Company, after holding a series of marketing positions of escalating responsibility, including Group Marketing</w:t>
      </w:r>
    </w:p>
    <w:p>
      <w:pPr>
        <w:ind w:left="2869"/>
        <w:spacing w:after="0" w:line="190" w:lineRule="auto"/>
        <w:rPr>
          <w:sz w:val="20"/>
          <w:szCs w:val="20"/>
          <w:color w:val="auto"/>
        </w:rPr>
      </w:pPr>
      <w:r>
        <w:rPr>
          <w:rFonts w:ascii="Arial" w:cs="Arial" w:eastAsia="Arial" w:hAnsi="Arial"/>
          <w:sz w:val="14"/>
          <w:szCs w:val="14"/>
          <w:color w:val="auto"/>
        </w:rPr>
        <w:t>Director, Europe, Asia and Middle East</w:t>
      </w:r>
    </w:p>
    <w:p>
      <w:pPr>
        <w:ind w:left="9"/>
        <w:spacing w:after="0"/>
        <w:rPr>
          <w:sz w:val="20"/>
          <w:szCs w:val="20"/>
          <w:color w:val="auto"/>
        </w:rPr>
      </w:pPr>
      <w:r>
        <w:rPr>
          <w:rFonts w:ascii="Arial" w:cs="Arial" w:eastAsia="Arial" w:hAnsi="Arial"/>
          <w:sz w:val="16"/>
          <w:szCs w:val="16"/>
          <w:b w:val="1"/>
          <w:bCs w:val="1"/>
          <w:color w:val="6D98AD"/>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10795</wp:posOffset>
            </wp:positionV>
            <wp:extent cx="521271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2715" cy="7620"/>
                    </a:xfrm>
                    <a:prstGeom prst="rect">
                      <a:avLst/>
                    </a:prstGeom>
                    <a:noFill/>
                  </pic:spPr>
                </pic:pic>
              </a:graphicData>
            </a:graphic>
          </wp:anchor>
        </w:drawing>
      </w:r>
    </w:p>
    <w:p>
      <w:pPr>
        <w:sectPr>
          <w:pgSz w:w="11900" w:h="16838" w:orient="portrait"/>
          <w:cols w:equalWidth="0" w:num="1">
            <w:col w:w="10929"/>
          </w:cols>
          <w:pgMar w:left="471" w:top="426" w:right="499" w:bottom="1440" w:gutter="0" w:footer="0" w:header="0"/>
          <w:type w:val="continuous"/>
        </w:sectPr>
      </w:pPr>
    </w:p>
    <w:p>
      <w:pPr>
        <w:spacing w:after="0" w:line="40" w:lineRule="exact"/>
        <w:rPr>
          <w:sz w:val="20"/>
          <w:szCs w:val="20"/>
          <w:color w:val="auto"/>
        </w:rPr>
      </w:pPr>
    </w:p>
    <w:p>
      <w:pPr>
        <w:ind w:left="9"/>
        <w:spacing w:after="0"/>
        <w:rPr>
          <w:sz w:val="20"/>
          <w:szCs w:val="20"/>
          <w:color w:val="auto"/>
        </w:rPr>
      </w:pPr>
      <w:r>
        <w:rPr>
          <w:rFonts w:ascii="Arial" w:cs="Arial" w:eastAsia="Arial" w:hAnsi="Arial"/>
          <w:sz w:val="14"/>
          <w:szCs w:val="14"/>
          <w:color w:val="auto"/>
        </w:rPr>
        <w:t>Age: 64</w:t>
      </w:r>
    </w:p>
    <w:p>
      <w:pPr>
        <w:spacing w:after="0" w:line="63" w:lineRule="exact"/>
        <w:rPr>
          <w:sz w:val="20"/>
          <w:szCs w:val="20"/>
          <w:color w:val="auto"/>
        </w:rPr>
      </w:pPr>
    </w:p>
    <w:p>
      <w:pPr>
        <w:ind w:left="9"/>
        <w:spacing w:after="0"/>
        <w:rPr>
          <w:sz w:val="20"/>
          <w:szCs w:val="20"/>
          <w:color w:val="auto"/>
        </w:rPr>
      </w:pPr>
      <w:r>
        <w:rPr>
          <w:rFonts w:ascii="Arial" w:cs="Arial" w:eastAsia="Arial" w:hAnsi="Arial"/>
          <w:sz w:val="14"/>
          <w:szCs w:val="14"/>
          <w:color w:val="auto"/>
        </w:rPr>
        <w:t>Director Since 2015</w:t>
      </w:r>
    </w:p>
    <w:p>
      <w:pPr>
        <w:spacing w:after="0" w:line="141"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Committee</w:t>
      </w:r>
    </w:p>
    <w:p>
      <w:pPr>
        <w:spacing w:after="0" w:line="44" w:lineRule="exact"/>
        <w:rPr>
          <w:sz w:val="20"/>
          <w:szCs w:val="20"/>
          <w:color w:val="auto"/>
        </w:rPr>
      </w:pPr>
    </w:p>
    <w:p>
      <w:pPr>
        <w:ind w:left="149" w:right="320" w:hanging="149"/>
        <w:spacing w:after="0" w:line="282" w:lineRule="auto"/>
        <w:tabs>
          <w:tab w:leader="none" w:pos="151"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Corporate Responsibility (Chair)</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4520" w:val="left"/>
        </w:tabs>
        <w:rPr>
          <w:sz w:val="20"/>
          <w:szCs w:val="20"/>
          <w:color w:val="auto"/>
        </w:rPr>
      </w:pPr>
      <w:r>
        <w:rPr>
          <w:rFonts w:ascii="Arial" w:cs="Arial" w:eastAsia="Arial" w:hAnsi="Arial"/>
          <w:sz w:val="15"/>
          <w:szCs w:val="15"/>
          <w:b w:val="1"/>
          <w:bCs w:val="1"/>
          <w:color w:val="auto"/>
        </w:rPr>
        <w:t>Expertise</w:t>
      </w:r>
      <w:r>
        <w:rPr>
          <w:sz w:val="20"/>
          <w:szCs w:val="20"/>
          <w:color w:val="auto"/>
        </w:rPr>
        <w:tab/>
      </w:r>
      <w:r>
        <w:rPr>
          <w:rFonts w:ascii="Arial" w:cs="Arial" w:eastAsia="Arial" w:hAnsi="Arial"/>
          <w:sz w:val="15"/>
          <w:szCs w:val="15"/>
          <w:b w:val="1"/>
          <w:bCs w:val="1"/>
          <w:color w:val="auto"/>
        </w:rPr>
        <w:t>Other public company boards</w:t>
      </w:r>
    </w:p>
    <w:p>
      <w:pPr>
        <w:spacing w:after="0" w:line="150" w:lineRule="exact"/>
        <w:rPr>
          <w:sz w:val="20"/>
          <w:szCs w:val="20"/>
          <w:color w:val="auto"/>
        </w:rPr>
      </w:pPr>
    </w:p>
    <w:p>
      <w:pPr>
        <w:ind w:right="3180"/>
        <w:spacing w:after="0" w:line="252" w:lineRule="auto"/>
        <w:rPr>
          <w:sz w:val="20"/>
          <w:szCs w:val="20"/>
          <w:color w:val="auto"/>
        </w:rPr>
      </w:pPr>
      <w:r>
        <w:rPr>
          <w:rFonts w:ascii="Arial" w:cs="Arial" w:eastAsia="Arial" w:hAnsi="Arial"/>
          <w:sz w:val="14"/>
          <w:szCs w:val="14"/>
          <w:color w:val="auto"/>
        </w:rPr>
        <w:t>Ms. McIntyre has extensive general management experience gained • None through operating consumer packaged goods businesses in multiple channels across multiple geographies. She has led sales, marketing and operations teams in Europe, Africa, Japan and the U.S. She has a background in consumer insights, brand building and digital commerce gained through her employment with Coca-Cola, Newell Brands and SC Johnson Wax.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201295</wp:posOffset>
            </wp:positionV>
            <wp:extent cx="521271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271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9" w:space="720"/>
            <w:col w:w="8200"/>
          </w:cols>
          <w:pgMar w:left="471" w:top="426" w:right="499" w:bottom="1440" w:gutter="0" w:footer="0" w:header="0"/>
          <w:type w:val="continuous"/>
        </w:sectPr>
      </w:pPr>
    </w:p>
    <w:p>
      <w:pPr>
        <w:spacing w:after="0" w:line="302" w:lineRule="exact"/>
        <w:rPr>
          <w:sz w:val="20"/>
          <w:szCs w:val="20"/>
          <w:color w:val="auto"/>
        </w:rPr>
      </w:pPr>
    </w:p>
    <w:p>
      <w:pPr>
        <w:ind w:left="9"/>
        <w:spacing w:after="0"/>
        <w:rPr>
          <w:sz w:val="20"/>
          <w:szCs w:val="20"/>
          <w:color w:val="auto"/>
        </w:rPr>
      </w:pPr>
      <w:r>
        <w:rPr>
          <w:rFonts w:ascii="Arial" w:cs="Arial" w:eastAsia="Arial" w:hAnsi="Arial"/>
          <w:sz w:val="10"/>
          <w:szCs w:val="10"/>
          <w:b w:val="1"/>
          <w:bCs w:val="1"/>
          <w:color w:val="auto"/>
        </w:rPr>
        <w:t xml:space="preserve">16 </w:t>
      </w:r>
      <w:r>
        <w:rPr>
          <w:rFonts w:ascii="Arial" w:cs="Arial" w:eastAsia="Arial" w:hAnsi="Arial"/>
          <w:sz w:val="10"/>
          <w:szCs w:val="10"/>
          <w:color w:val="auto"/>
        </w:rPr>
        <w:t>/ PVH CORP. 2026 PROXY STATEMENT /</w:t>
      </w:r>
      <w:r>
        <w:rPr>
          <w:rFonts w:ascii="Arial" w:cs="Arial" w:eastAsia="Arial" w:hAnsi="Arial"/>
          <w:sz w:val="10"/>
          <w:szCs w:val="10"/>
          <w:b w:val="1"/>
          <w:bCs w:val="1"/>
          <w:color w:val="auto"/>
        </w:rPr>
        <w:t xml:space="preserve"> </w:t>
      </w:r>
      <w:r>
        <w:rPr>
          <w:rFonts w:ascii="Arial" w:cs="Arial" w:eastAsia="Arial" w:hAnsi="Arial"/>
          <w:sz w:val="10"/>
          <w:szCs w:val="10"/>
          <w:b w:val="1"/>
          <w:bCs w:val="1"/>
          <w:color w:val="6D98AD"/>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695515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29"/>
          </w:cols>
          <w:pgMar w:left="471" w:top="426" w:right="499" w:bottom="1440" w:gutter="0" w:footer="0" w:header="0"/>
          <w:type w:val="continuous"/>
        </w:sectPr>
      </w:pPr>
    </w:p>
    <w:bookmarkStart w:id="19" w:name="page20"/>
    <w:bookmarkEnd w:id="19"/>
    <w:p>
      <w:pPr>
        <w:ind w:left="9"/>
        <w:spacing w:after="0"/>
        <w:rPr>
          <w:sz w:val="20"/>
          <w:szCs w:val="20"/>
          <w:color w:val="auto"/>
        </w:rPr>
      </w:pPr>
      <w:r>
        <w:rPr>
          <w:rFonts w:ascii="Arial" w:cs="Arial" w:eastAsia="Arial" w:hAnsi="Arial"/>
          <w:sz w:val="31"/>
          <w:szCs w:val="31"/>
          <w:color w:val="auto"/>
        </w:rPr>
        <w:t>Amy McPherson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260"/>
        <w:spacing w:after="0" w:line="279" w:lineRule="auto"/>
        <w:rPr>
          <w:sz w:val="20"/>
          <w:szCs w:val="20"/>
          <w:color w:val="auto"/>
        </w:rPr>
      </w:pPr>
      <w:r>
        <w:rPr>
          <w:rFonts w:ascii="Arial" w:cs="Arial" w:eastAsia="Arial" w:hAnsi="Arial"/>
          <w:sz w:val="14"/>
          <w:szCs w:val="14"/>
          <w:i w:val="1"/>
          <w:iCs w:val="1"/>
          <w:color w:val="auto"/>
        </w:rPr>
        <w:t>Retired President and Former Managing Director, Europe, Marriott International, Inc.; Principal investor and consultant, Kids Know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15875</wp:posOffset>
            </wp:positionV>
            <wp:extent cx="694817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pacing w:after="0" w:line="149" w:lineRule="exact"/>
        <w:rPr>
          <w:sz w:val="20"/>
          <w:szCs w:val="20"/>
          <w:color w:val="auto"/>
        </w:rPr>
      </w:pPr>
    </w:p>
    <w:p>
      <w:pPr>
        <w:sectPr>
          <w:pgSz w:w="11900" w:h="16838" w:orient="portrait"/>
          <w:cols w:equalWidth="0" w:num="2">
            <w:col w:w="3289" w:space="720"/>
            <w:col w:w="6940"/>
          </w:cols>
          <w:pgMar w:left="471" w:top="426" w:right="479" w:bottom="1440" w:gutter="0" w:footer="0" w:header="0"/>
        </w:sectPr>
      </w:pPr>
    </w:p>
    <w:p>
      <w:pPr>
        <w:ind w:left="2729"/>
        <w:spacing w:after="0"/>
        <w:rPr>
          <w:sz w:val="20"/>
          <w:szCs w:val="20"/>
          <w:color w:val="auto"/>
        </w:rPr>
      </w:pPr>
      <w:r>
        <w:rPr>
          <w:rFonts w:ascii="Arial" w:cs="Arial" w:eastAsia="Arial" w:hAnsi="Arial"/>
          <w:sz w:val="16"/>
          <w:szCs w:val="16"/>
          <w:b w:val="1"/>
          <w:b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822960" cy="8229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107" w:lineRule="exact"/>
        <w:rPr>
          <w:sz w:val="20"/>
          <w:szCs w:val="20"/>
          <w:color w:val="auto"/>
        </w:rPr>
      </w:pPr>
    </w:p>
    <w:p>
      <w:pPr>
        <w:ind w:left="2869" w:hanging="136"/>
        <w:spacing w:after="0"/>
        <w:tabs>
          <w:tab w:leader="none" w:pos="2869"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Principal investor and consultant to Kids Know Best, a kids-focused media business</w:t>
      </w:r>
    </w:p>
    <w:p>
      <w:pPr>
        <w:spacing w:after="0" w:line="51" w:lineRule="exact"/>
        <w:rPr>
          <w:rFonts w:ascii="Arial" w:cs="Arial" w:eastAsia="Arial" w:hAnsi="Arial"/>
          <w:sz w:val="14"/>
          <w:szCs w:val="14"/>
          <w:color w:val="auto"/>
        </w:rPr>
      </w:pPr>
    </w:p>
    <w:p>
      <w:pPr>
        <w:ind w:left="2869" w:right="2740" w:hanging="136"/>
        <w:spacing w:after="0" w:line="280" w:lineRule="auto"/>
        <w:tabs>
          <w:tab w:leader="none" w:pos="2871"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President and Managing Director, Europe at Marriott (a global lodging company) from 2009 to 2019</w:t>
      </w:r>
    </w:p>
    <w:p>
      <w:pPr>
        <w:spacing w:after="0" w:line="1" w:lineRule="exact"/>
        <w:rPr>
          <w:rFonts w:ascii="Arial" w:cs="Arial" w:eastAsia="Arial" w:hAnsi="Arial"/>
          <w:sz w:val="14"/>
          <w:szCs w:val="14"/>
          <w:color w:val="auto"/>
        </w:rPr>
      </w:pPr>
    </w:p>
    <w:p>
      <w:pPr>
        <w:ind w:left="2869" w:right="200" w:hanging="136"/>
        <w:spacing w:after="0" w:line="251" w:lineRule="auto"/>
        <w:tabs>
          <w:tab w:leader="none" w:pos="2871" w:val="left"/>
        </w:tabs>
        <w:numPr>
          <w:ilvl w:val="0"/>
          <w:numId w:val="35"/>
        </w:numPr>
        <w:rPr>
          <w:rFonts w:ascii="Arial" w:cs="Arial" w:eastAsia="Arial" w:hAnsi="Arial"/>
          <w:sz w:val="14"/>
          <w:szCs w:val="14"/>
          <w:color w:val="auto"/>
        </w:rPr>
      </w:pPr>
      <w:r>
        <w:rPr>
          <w:rFonts w:ascii="Arial" w:cs="Arial" w:eastAsia="Arial" w:hAnsi="Arial"/>
          <w:sz w:val="14"/>
          <w:szCs w:val="14"/>
          <w:color w:val="auto"/>
        </w:rPr>
        <w:t>Joined Marriott in 1986 and served in roles of increasing responsibility, including Executive Vice President of Global Sales and Marketing, Senior Vice President of Business Transformation and Integration, and Vice President of Finance and Business Development</w:t>
      </w:r>
    </w:p>
    <w:p>
      <w:pPr>
        <w:spacing w:after="0" w:line="1"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6D98AD"/>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-10795</wp:posOffset>
            </wp:positionV>
            <wp:extent cx="521271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2715" cy="7620"/>
                    </a:xfrm>
                    <a:prstGeom prst="rect">
                      <a:avLst/>
                    </a:prstGeom>
                    <a:noFill/>
                  </pic:spPr>
                </pic:pic>
              </a:graphicData>
            </a:graphic>
          </wp:anchor>
        </w:drawing>
      </w:r>
    </w:p>
    <w:p>
      <w:pPr>
        <w:sectPr>
          <w:pgSz w:w="11900" w:h="16838" w:orient="portrait"/>
          <w:cols w:equalWidth="0" w:num="1">
            <w:col w:w="10949"/>
          </w:cols>
          <w:pgMar w:left="471" w:top="426" w:right="479" w:bottom="1440" w:gutter="0" w:footer="0" w:header="0"/>
          <w:type w:val="continuous"/>
        </w:sectPr>
      </w:pPr>
    </w:p>
    <w:p>
      <w:pPr>
        <w:spacing w:after="0" w:line="40" w:lineRule="exact"/>
        <w:rPr>
          <w:sz w:val="20"/>
          <w:szCs w:val="20"/>
          <w:color w:val="auto"/>
        </w:rPr>
      </w:pPr>
    </w:p>
    <w:p>
      <w:pPr>
        <w:ind w:left="9"/>
        <w:spacing w:after="0"/>
        <w:rPr>
          <w:sz w:val="20"/>
          <w:szCs w:val="20"/>
          <w:color w:val="auto"/>
        </w:rPr>
      </w:pPr>
      <w:r>
        <w:rPr>
          <w:rFonts w:ascii="Arial" w:cs="Arial" w:eastAsia="Arial" w:hAnsi="Arial"/>
          <w:sz w:val="14"/>
          <w:szCs w:val="14"/>
          <w:color w:val="auto"/>
        </w:rPr>
        <w:t>Age: 64</w:t>
      </w:r>
    </w:p>
    <w:p>
      <w:pPr>
        <w:spacing w:after="0" w:line="75" w:lineRule="exact"/>
        <w:rPr>
          <w:sz w:val="20"/>
          <w:szCs w:val="20"/>
          <w:color w:val="auto"/>
        </w:rPr>
      </w:pPr>
    </w:p>
    <w:p>
      <w:pPr>
        <w:ind w:left="9"/>
        <w:spacing w:after="0"/>
        <w:rPr>
          <w:sz w:val="20"/>
          <w:szCs w:val="20"/>
          <w:color w:val="auto"/>
        </w:rPr>
      </w:pPr>
      <w:r>
        <w:rPr>
          <w:rFonts w:ascii="Arial" w:cs="Arial" w:eastAsia="Arial" w:hAnsi="Arial"/>
          <w:sz w:val="14"/>
          <w:szCs w:val="14"/>
          <w:color w:val="auto"/>
        </w:rPr>
        <w:t>Director Since 2017</w:t>
      </w:r>
    </w:p>
    <w:p>
      <w:pPr>
        <w:spacing w:after="0" w:line="141"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Committees</w:t>
      </w:r>
    </w:p>
    <w:p>
      <w:pPr>
        <w:spacing w:after="0" w:line="44" w:lineRule="exact"/>
        <w:rPr>
          <w:sz w:val="20"/>
          <w:szCs w:val="20"/>
          <w:color w:val="auto"/>
        </w:rPr>
      </w:pPr>
    </w:p>
    <w:p>
      <w:pPr>
        <w:ind w:left="149" w:hanging="149"/>
        <w:spacing w:after="0"/>
        <w:tabs>
          <w:tab w:leader="none" w:pos="149" w:val="left"/>
        </w:tabs>
        <w:numPr>
          <w:ilvl w:val="0"/>
          <w:numId w:val="36"/>
        </w:numPr>
        <w:rPr>
          <w:rFonts w:ascii="Arial" w:cs="Arial" w:eastAsia="Arial" w:hAnsi="Arial"/>
          <w:sz w:val="14"/>
          <w:szCs w:val="14"/>
          <w:color w:val="auto"/>
        </w:rPr>
      </w:pPr>
      <w:r>
        <w:rPr>
          <w:rFonts w:ascii="Arial" w:cs="Arial" w:eastAsia="Arial" w:hAnsi="Arial"/>
          <w:sz w:val="14"/>
          <w:szCs w:val="14"/>
          <w:color w:val="auto"/>
        </w:rPr>
        <w:t>Audit &amp; Risk Management</w:t>
      </w:r>
    </w:p>
    <w:p>
      <w:pPr>
        <w:spacing w:after="0" w:line="51" w:lineRule="exact"/>
        <w:rPr>
          <w:rFonts w:ascii="Arial" w:cs="Arial" w:eastAsia="Arial" w:hAnsi="Arial"/>
          <w:sz w:val="14"/>
          <w:szCs w:val="14"/>
          <w:color w:val="auto"/>
        </w:rPr>
      </w:pPr>
    </w:p>
    <w:p>
      <w:pPr>
        <w:jc w:val="both"/>
        <w:ind w:left="149" w:right="160" w:hanging="149"/>
        <w:spacing w:after="0" w:line="264" w:lineRule="auto"/>
        <w:tabs>
          <w:tab w:leader="none" w:pos="151" w:val="left"/>
        </w:tabs>
        <w:numPr>
          <w:ilvl w:val="0"/>
          <w:numId w:val="36"/>
        </w:numPr>
        <w:rPr>
          <w:rFonts w:ascii="Arial" w:cs="Arial" w:eastAsia="Arial" w:hAnsi="Arial"/>
          <w:sz w:val="14"/>
          <w:szCs w:val="14"/>
          <w:color w:val="auto"/>
        </w:rPr>
      </w:pPr>
      <w:r>
        <w:rPr>
          <w:rFonts w:ascii="Arial" w:cs="Arial" w:eastAsia="Arial" w:hAnsi="Arial"/>
          <w:sz w:val="14"/>
          <w:szCs w:val="14"/>
          <w:color w:val="auto"/>
        </w:rPr>
        <w:t>Nominating, Governance &amp; Management Development (Chair)</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20"/>
                <w:szCs w:val="20"/>
                <w:color w:val="auto"/>
              </w:rPr>
            </w:pPr>
            <w:r>
              <w:rPr>
                <w:rFonts w:ascii="Arial" w:cs="Arial" w:eastAsia="Arial" w:hAnsi="Arial"/>
                <w:sz w:val="16"/>
                <w:szCs w:val="16"/>
                <w:b w:val="1"/>
                <w:bCs w:val="1"/>
                <w:color w:val="auto"/>
              </w:rPr>
              <w:t>Expertise</w:t>
            </w:r>
          </w:p>
        </w:tc>
        <w:tc>
          <w:tcPr>
            <w:tcW w:w="3860" w:type="dxa"/>
            <w:vAlign w:val="bottom"/>
          </w:tcPr>
          <w:p>
            <w:pPr>
              <w:ind w:left="200"/>
              <w:spacing w:after="0"/>
              <w:rPr>
                <w:sz w:val="20"/>
                <w:szCs w:val="20"/>
                <w:color w:val="auto"/>
              </w:rPr>
            </w:pPr>
            <w:r>
              <w:rPr>
                <w:rFonts w:ascii="Arial" w:cs="Arial" w:eastAsia="Arial" w:hAnsi="Arial"/>
                <w:sz w:val="16"/>
                <w:szCs w:val="16"/>
                <w:b w:val="1"/>
                <w:bCs w:val="1"/>
                <w:color w:val="auto"/>
              </w:rPr>
              <w:t>Other public company boards</w:t>
            </w:r>
          </w:p>
        </w:tc>
      </w:tr>
      <w:tr>
        <w:trPr>
          <w:trHeight w:val="259"/>
        </w:trPr>
        <w:tc>
          <w:tcPr>
            <w:tcW w:w="4340" w:type="dxa"/>
            <w:vAlign w:val="bottom"/>
          </w:tcPr>
          <w:p>
            <w:pPr>
              <w:spacing w:after="0"/>
              <w:rPr>
                <w:sz w:val="20"/>
                <w:szCs w:val="20"/>
                <w:color w:val="auto"/>
              </w:rPr>
            </w:pPr>
            <w:r>
              <w:rPr>
                <w:rFonts w:ascii="Arial" w:cs="Arial" w:eastAsia="Arial" w:hAnsi="Arial"/>
                <w:sz w:val="14"/>
                <w:szCs w:val="14"/>
                <w:color w:val="auto"/>
              </w:rPr>
              <w:t>Ms. McPherson has considerable experience in overseeing</w:t>
            </w:r>
          </w:p>
        </w:tc>
        <w:tc>
          <w:tcPr>
            <w:tcW w:w="3860" w:type="dxa"/>
            <w:vAlign w:val="bottom"/>
          </w:tcPr>
          <w:p>
            <w:pPr>
              <w:ind w:left="2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Royal Caribbean Cruises Ltd.</w:t>
            </w:r>
            <w:r>
              <w:rPr>
                <w:rFonts w:ascii="Arial" w:cs="Arial" w:eastAsia="Arial" w:hAnsi="Arial"/>
                <w:sz w:val="14"/>
                <w:szCs w:val="14"/>
                <w:color w:val="auto"/>
              </w:rPr>
              <w:t xml:space="preserve"> (since 2020)</w:t>
            </w:r>
          </w:p>
        </w:tc>
      </w:tr>
      <w:tr>
        <w:trPr>
          <w:trHeight w:val="165"/>
        </w:trPr>
        <w:tc>
          <w:tcPr>
            <w:tcW w:w="4340" w:type="dxa"/>
            <w:vAlign w:val="bottom"/>
          </w:tcPr>
          <w:p>
            <w:pPr>
              <w:spacing w:after="0"/>
              <w:rPr>
                <w:sz w:val="20"/>
                <w:szCs w:val="20"/>
                <w:color w:val="auto"/>
              </w:rPr>
            </w:pPr>
            <w:r>
              <w:rPr>
                <w:rFonts w:ascii="Arial" w:cs="Arial" w:eastAsia="Arial" w:hAnsi="Arial"/>
                <w:sz w:val="14"/>
                <w:szCs w:val="14"/>
                <w:color w:val="auto"/>
              </w:rPr>
              <w:t>business operations and development in Europe, having overseen</w:t>
            </w:r>
          </w:p>
        </w:tc>
        <w:tc>
          <w:tcPr>
            <w:tcW w:w="3860" w:type="dxa"/>
            <w:vAlign w:val="bottom"/>
          </w:tcPr>
          <w:p>
            <w:pPr>
              <w:spacing w:after="0"/>
              <w:rPr>
                <w:sz w:val="14"/>
                <w:szCs w:val="14"/>
                <w:color w:val="auto"/>
              </w:rPr>
            </w:pPr>
          </w:p>
        </w:tc>
      </w:tr>
      <w:tr>
        <w:trPr>
          <w:trHeight w:val="165"/>
        </w:trPr>
        <w:tc>
          <w:tcPr>
            <w:tcW w:w="4340" w:type="dxa"/>
            <w:vAlign w:val="bottom"/>
          </w:tcPr>
          <w:p>
            <w:pPr>
              <w:spacing w:after="0"/>
              <w:rPr>
                <w:sz w:val="20"/>
                <w:szCs w:val="20"/>
                <w:color w:val="auto"/>
              </w:rPr>
            </w:pPr>
            <w:r>
              <w:rPr>
                <w:rFonts w:ascii="Arial" w:cs="Arial" w:eastAsia="Arial" w:hAnsi="Arial"/>
                <w:sz w:val="14"/>
                <w:szCs w:val="14"/>
                <w:color w:val="auto"/>
              </w:rPr>
              <w:t>multiple brands of hotels for Marriott, the world’s largest hotel</w:t>
            </w:r>
          </w:p>
        </w:tc>
        <w:tc>
          <w:tcPr>
            <w:tcW w:w="3860" w:type="dxa"/>
            <w:vAlign w:val="bottom"/>
          </w:tcPr>
          <w:p>
            <w:pPr>
              <w:spacing w:after="0"/>
              <w:rPr>
                <w:sz w:val="14"/>
                <w:szCs w:val="14"/>
                <w:color w:val="auto"/>
              </w:rPr>
            </w:pPr>
          </w:p>
        </w:tc>
      </w:tr>
      <w:tr>
        <w:trPr>
          <w:trHeight w:val="165"/>
        </w:trPr>
        <w:tc>
          <w:tcPr>
            <w:tcW w:w="4340" w:type="dxa"/>
            <w:vAlign w:val="bottom"/>
          </w:tcPr>
          <w:p>
            <w:pPr>
              <w:spacing w:after="0"/>
              <w:rPr>
                <w:sz w:val="20"/>
                <w:szCs w:val="20"/>
                <w:color w:val="auto"/>
              </w:rPr>
            </w:pPr>
            <w:r>
              <w:rPr>
                <w:rFonts w:ascii="Arial" w:cs="Arial" w:eastAsia="Arial" w:hAnsi="Arial"/>
                <w:sz w:val="14"/>
                <w:szCs w:val="14"/>
                <w:color w:val="auto"/>
              </w:rPr>
              <w:t>company. She has overseen acquisitions and strategic</w:t>
            </w:r>
          </w:p>
        </w:tc>
        <w:tc>
          <w:tcPr>
            <w:tcW w:w="3860" w:type="dxa"/>
            <w:vAlign w:val="bottom"/>
          </w:tcPr>
          <w:p>
            <w:pPr>
              <w:spacing w:after="0"/>
              <w:rPr>
                <w:sz w:val="14"/>
                <w:szCs w:val="14"/>
                <w:color w:val="auto"/>
              </w:rPr>
            </w:pPr>
          </w:p>
        </w:tc>
      </w:tr>
      <w:tr>
        <w:trPr>
          <w:trHeight w:val="165"/>
        </w:trPr>
        <w:tc>
          <w:tcPr>
            <w:tcW w:w="4340" w:type="dxa"/>
            <w:vAlign w:val="bottom"/>
          </w:tcPr>
          <w:p>
            <w:pPr>
              <w:spacing w:after="0"/>
              <w:rPr>
                <w:sz w:val="20"/>
                <w:szCs w:val="20"/>
                <w:color w:val="auto"/>
              </w:rPr>
            </w:pPr>
            <w:r>
              <w:rPr>
                <w:rFonts w:ascii="Arial" w:cs="Arial" w:eastAsia="Arial" w:hAnsi="Arial"/>
                <w:sz w:val="14"/>
                <w:szCs w:val="14"/>
                <w:color w:val="auto"/>
              </w:rPr>
              <w:t>partnerships and implemented and executed strategies on both a</w:t>
            </w:r>
          </w:p>
        </w:tc>
        <w:tc>
          <w:tcPr>
            <w:tcW w:w="3860" w:type="dxa"/>
            <w:vAlign w:val="bottom"/>
          </w:tcPr>
          <w:p>
            <w:pPr>
              <w:spacing w:after="0"/>
              <w:rPr>
                <w:sz w:val="14"/>
                <w:szCs w:val="14"/>
                <w:color w:val="auto"/>
              </w:rPr>
            </w:pPr>
          </w:p>
        </w:tc>
      </w:tr>
      <w:tr>
        <w:trPr>
          <w:trHeight w:val="165"/>
        </w:trPr>
        <w:tc>
          <w:tcPr>
            <w:tcW w:w="4340" w:type="dxa"/>
            <w:vAlign w:val="bottom"/>
          </w:tcPr>
          <w:p>
            <w:pPr>
              <w:spacing w:after="0"/>
              <w:rPr>
                <w:sz w:val="20"/>
                <w:szCs w:val="20"/>
                <w:color w:val="auto"/>
              </w:rPr>
            </w:pPr>
            <w:r>
              <w:rPr>
                <w:rFonts w:ascii="Arial" w:cs="Arial" w:eastAsia="Arial" w:hAnsi="Arial"/>
                <w:sz w:val="14"/>
                <w:szCs w:val="14"/>
                <w:color w:val="auto"/>
              </w:rPr>
              <w:t>regional and global basis. In addition, Ms. McPherson has</w:t>
            </w:r>
          </w:p>
        </w:tc>
        <w:tc>
          <w:tcPr>
            <w:tcW w:w="3860" w:type="dxa"/>
            <w:vAlign w:val="bottom"/>
          </w:tcPr>
          <w:p>
            <w:pPr>
              <w:spacing w:after="0"/>
              <w:rPr>
                <w:sz w:val="14"/>
                <w:szCs w:val="14"/>
                <w:color w:val="auto"/>
              </w:rPr>
            </w:pPr>
          </w:p>
        </w:tc>
      </w:tr>
      <w:tr>
        <w:trPr>
          <w:trHeight w:val="165"/>
        </w:trPr>
        <w:tc>
          <w:tcPr>
            <w:tcW w:w="4340" w:type="dxa"/>
            <w:vAlign w:val="bottom"/>
          </w:tcPr>
          <w:p>
            <w:pPr>
              <w:spacing w:after="0"/>
              <w:rPr>
                <w:sz w:val="20"/>
                <w:szCs w:val="20"/>
                <w:color w:val="auto"/>
              </w:rPr>
            </w:pPr>
            <w:r>
              <w:rPr>
                <w:rFonts w:ascii="Arial" w:cs="Arial" w:eastAsia="Arial" w:hAnsi="Arial"/>
                <w:sz w:val="14"/>
                <w:szCs w:val="14"/>
                <w:color w:val="auto"/>
              </w:rPr>
              <w:t>experience managing Marriott’s global and field sales, marketing,</w:t>
            </w:r>
          </w:p>
        </w:tc>
        <w:tc>
          <w:tcPr>
            <w:tcW w:w="3860" w:type="dxa"/>
            <w:vAlign w:val="bottom"/>
          </w:tcPr>
          <w:p>
            <w:pPr>
              <w:spacing w:after="0"/>
              <w:rPr>
                <w:sz w:val="14"/>
                <w:szCs w:val="14"/>
                <w:color w:val="auto"/>
              </w:rPr>
            </w:pPr>
          </w:p>
        </w:tc>
      </w:tr>
      <w:tr>
        <w:trPr>
          <w:trHeight w:val="165"/>
        </w:trPr>
        <w:tc>
          <w:tcPr>
            <w:tcW w:w="4340" w:type="dxa"/>
            <w:vAlign w:val="bottom"/>
          </w:tcPr>
          <w:p>
            <w:pPr>
              <w:spacing w:after="0"/>
              <w:rPr>
                <w:sz w:val="20"/>
                <w:szCs w:val="20"/>
                <w:color w:val="auto"/>
              </w:rPr>
            </w:pPr>
            <w:r>
              <w:rPr>
                <w:rFonts w:ascii="Arial" w:cs="Arial" w:eastAsia="Arial" w:hAnsi="Arial"/>
                <w:sz w:val="14"/>
                <w:szCs w:val="14"/>
                <w:color w:val="auto"/>
              </w:rPr>
              <w:t>loyalty program, revenue management, e-commerce, worldwide</w:t>
            </w:r>
          </w:p>
        </w:tc>
        <w:tc>
          <w:tcPr>
            <w:tcW w:w="3860" w:type="dxa"/>
            <w:vAlign w:val="bottom"/>
          </w:tcPr>
          <w:p>
            <w:pPr>
              <w:spacing w:after="0"/>
              <w:rPr>
                <w:sz w:val="14"/>
                <w:szCs w:val="14"/>
                <w:color w:val="auto"/>
              </w:rPr>
            </w:pPr>
          </w:p>
        </w:tc>
      </w:tr>
      <w:tr>
        <w:trPr>
          <w:trHeight w:val="165"/>
        </w:trPr>
        <w:tc>
          <w:tcPr>
            <w:tcW w:w="4340" w:type="dxa"/>
            <w:vAlign w:val="bottom"/>
          </w:tcPr>
          <w:p>
            <w:pPr>
              <w:spacing w:after="0"/>
              <w:rPr>
                <w:sz w:val="20"/>
                <w:szCs w:val="20"/>
                <w:color w:val="auto"/>
              </w:rPr>
            </w:pPr>
            <w:r>
              <w:rPr>
                <w:rFonts w:ascii="Arial" w:cs="Arial" w:eastAsia="Arial" w:hAnsi="Arial"/>
                <w:sz w:val="14"/>
                <w:szCs w:val="14"/>
                <w:color w:val="auto"/>
              </w:rPr>
              <w:t>reservation sales and customer care, and sales channel strategy</w:t>
            </w:r>
          </w:p>
        </w:tc>
        <w:tc>
          <w:tcPr>
            <w:tcW w:w="3860" w:type="dxa"/>
            <w:vAlign w:val="bottom"/>
          </w:tcPr>
          <w:p>
            <w:pPr>
              <w:spacing w:after="0"/>
              <w:rPr>
                <w:sz w:val="14"/>
                <w:szCs w:val="14"/>
                <w:color w:val="auto"/>
              </w:rPr>
            </w:pPr>
          </w:p>
        </w:tc>
      </w:tr>
      <w:tr>
        <w:trPr>
          <w:trHeight w:val="186"/>
        </w:trPr>
        <w:tc>
          <w:tcPr>
            <w:tcW w:w="4340" w:type="dxa"/>
            <w:vAlign w:val="bottom"/>
          </w:tcPr>
          <w:p>
            <w:pPr>
              <w:spacing w:after="0"/>
              <w:rPr>
                <w:sz w:val="20"/>
                <w:szCs w:val="20"/>
                <w:color w:val="auto"/>
              </w:rPr>
            </w:pPr>
            <w:r>
              <w:rPr>
                <w:rFonts w:ascii="Arial" w:cs="Arial" w:eastAsia="Arial" w:hAnsi="Arial"/>
                <w:sz w:val="14"/>
                <w:szCs w:val="14"/>
                <w:color w:val="auto"/>
              </w:rPr>
              <w:t>and analysis.</w:t>
            </w:r>
          </w:p>
        </w:tc>
        <w:tc>
          <w:tcPr>
            <w:tcW w:w="3860" w:type="dxa"/>
            <w:vAlign w:val="bottom"/>
          </w:tcPr>
          <w:p>
            <w:pPr>
              <w:spacing w:after="0"/>
              <w:rPr>
                <w:sz w:val="16"/>
                <w:szCs w:val="16"/>
                <w:color w:val="auto"/>
              </w:rPr>
            </w:pPr>
          </w:p>
        </w:tc>
      </w:tr>
      <w:tr>
        <w:trPr>
          <w:trHeight w:val="156"/>
        </w:trPr>
        <w:tc>
          <w:tcPr>
            <w:tcW w:w="434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2">
            <w:col w:w="2009" w:space="720"/>
            <w:col w:w="8220"/>
          </w:cols>
          <w:pgMar w:left="471" w:top="426" w:right="479" w:bottom="1440" w:gutter="0" w:footer="0" w:header="0"/>
          <w:type w:val="continuous"/>
        </w:sectPr>
      </w:pPr>
    </w:p>
    <w:p>
      <w:pPr>
        <w:spacing w:after="0" w:line="87" w:lineRule="exact"/>
        <w:rPr>
          <w:sz w:val="20"/>
          <w:szCs w:val="20"/>
          <w:color w:val="auto"/>
        </w:rPr>
      </w:pPr>
    </w:p>
    <w:p>
      <w:pPr>
        <w:ind w:left="9"/>
        <w:spacing w:after="0"/>
        <w:rPr>
          <w:sz w:val="20"/>
          <w:szCs w:val="20"/>
          <w:color w:val="auto"/>
        </w:rPr>
      </w:pPr>
      <w:r>
        <w:rPr>
          <w:rFonts w:ascii="Arial" w:cs="Arial" w:eastAsia="Arial" w:hAnsi="Arial"/>
          <w:sz w:val="31"/>
          <w:szCs w:val="31"/>
          <w:color w:val="auto"/>
        </w:rPr>
        <w:t>Amanda Sourry</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Former President, Unilever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158750</wp:posOffset>
            </wp:positionV>
            <wp:extent cx="694817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pacing w:after="0" w:line="362" w:lineRule="exact"/>
        <w:rPr>
          <w:sz w:val="20"/>
          <w:szCs w:val="20"/>
          <w:color w:val="auto"/>
        </w:rPr>
      </w:pPr>
    </w:p>
    <w:p>
      <w:pPr>
        <w:sectPr>
          <w:pgSz w:w="11900" w:h="16838" w:orient="portrait"/>
          <w:cols w:equalWidth="0" w:num="2">
            <w:col w:w="3289" w:space="720"/>
            <w:col w:w="6940"/>
          </w:cols>
          <w:pgMar w:left="471" w:top="426"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6D98AD"/>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-1003300</wp:posOffset>
            </wp:positionV>
            <wp:extent cx="837565" cy="8375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37565" cy="837565"/>
                    </a:xfrm>
                    <a:prstGeom prst="rect">
                      <a:avLst/>
                    </a:prstGeom>
                    <a:noFill/>
                  </pic:spPr>
                </pic:pic>
              </a:graphicData>
            </a:graphic>
          </wp:anchor>
        </w:drawing>
      </w:r>
    </w:p>
    <w:p>
      <w:pPr>
        <w:spacing w:after="0" w:line="36" w:lineRule="exact"/>
        <w:rPr>
          <w:sz w:val="20"/>
          <w:szCs w:val="20"/>
          <w:color w:val="auto"/>
        </w:rPr>
      </w:pPr>
    </w:p>
    <w:p>
      <w:pPr>
        <w:ind w:left="9"/>
        <w:spacing w:after="0"/>
        <w:rPr>
          <w:sz w:val="20"/>
          <w:szCs w:val="20"/>
          <w:color w:val="auto"/>
        </w:rPr>
      </w:pPr>
      <w:r>
        <w:rPr>
          <w:rFonts w:ascii="Arial" w:cs="Arial" w:eastAsia="Arial" w:hAnsi="Arial"/>
          <w:sz w:val="14"/>
          <w:szCs w:val="14"/>
          <w:color w:val="auto"/>
        </w:rPr>
        <w:t>Age: 62</w:t>
      </w:r>
    </w:p>
    <w:p>
      <w:pPr>
        <w:spacing w:after="0" w:line="63" w:lineRule="exact"/>
        <w:rPr>
          <w:sz w:val="20"/>
          <w:szCs w:val="20"/>
          <w:color w:val="auto"/>
        </w:rPr>
      </w:pPr>
    </w:p>
    <w:p>
      <w:pPr>
        <w:ind w:left="9"/>
        <w:spacing w:after="0"/>
        <w:rPr>
          <w:sz w:val="20"/>
          <w:szCs w:val="20"/>
          <w:color w:val="auto"/>
        </w:rPr>
      </w:pPr>
      <w:r>
        <w:rPr>
          <w:rFonts w:ascii="Arial" w:cs="Arial" w:eastAsia="Arial" w:hAnsi="Arial"/>
          <w:sz w:val="14"/>
          <w:szCs w:val="14"/>
          <w:color w:val="auto"/>
        </w:rPr>
        <w:t>Director Since 2016</w:t>
      </w:r>
    </w:p>
    <w:p>
      <w:pPr>
        <w:spacing w:after="0" w:line="141"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Committees</w:t>
      </w:r>
    </w:p>
    <w:p>
      <w:pPr>
        <w:spacing w:after="0" w:line="44" w:lineRule="exact"/>
        <w:rPr>
          <w:sz w:val="20"/>
          <w:szCs w:val="20"/>
          <w:color w:val="auto"/>
        </w:rPr>
      </w:pPr>
    </w:p>
    <w:p>
      <w:pPr>
        <w:ind w:left="149" w:hanging="149"/>
        <w:spacing w:after="0"/>
        <w:tabs>
          <w:tab w:leader="none" w:pos="149"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Compensation (Chair)</w:t>
      </w:r>
    </w:p>
    <w:p>
      <w:pPr>
        <w:spacing w:after="0" w:line="51" w:lineRule="exact"/>
        <w:rPr>
          <w:rFonts w:ascii="Arial" w:cs="Arial" w:eastAsia="Arial" w:hAnsi="Arial"/>
          <w:sz w:val="14"/>
          <w:szCs w:val="14"/>
          <w:color w:val="auto"/>
        </w:rPr>
      </w:pPr>
    </w:p>
    <w:p>
      <w:pPr>
        <w:jc w:val="both"/>
        <w:ind w:left="149" w:right="160" w:hanging="149"/>
        <w:spacing w:after="0" w:line="282" w:lineRule="auto"/>
        <w:tabs>
          <w:tab w:leader="none" w:pos="151" w:val="left"/>
        </w:tabs>
        <w:numPr>
          <w:ilvl w:val="0"/>
          <w:numId w:val="37"/>
        </w:numPr>
        <w:rPr>
          <w:rFonts w:ascii="Arial" w:cs="Arial" w:eastAsia="Arial" w:hAnsi="Arial"/>
          <w:sz w:val="14"/>
          <w:szCs w:val="14"/>
          <w:color w:val="auto"/>
        </w:rPr>
      </w:pPr>
      <w:r>
        <w:rPr>
          <w:rFonts w:ascii="Arial" w:cs="Arial" w:eastAsia="Arial" w:hAnsi="Arial"/>
          <w:sz w:val="14"/>
          <w:szCs w:val="14"/>
          <w:color w:val="auto"/>
        </w:rPr>
        <w:t>Nominating, Governance &amp; Management Development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Experience</w:t>
      </w:r>
    </w:p>
    <w:p>
      <w:pPr>
        <w:spacing w:after="0" w:line="138" w:lineRule="exact"/>
        <w:rPr>
          <w:sz w:val="20"/>
          <w:szCs w:val="20"/>
          <w:color w:val="auto"/>
        </w:rPr>
      </w:pPr>
    </w:p>
    <w:p>
      <w:pPr>
        <w:ind w:left="140" w:right="260" w:hanging="136"/>
        <w:spacing w:after="0" w:line="280" w:lineRule="auto"/>
        <w:tabs>
          <w:tab w:leader="none" w:pos="142"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President of Unilever North America (a personal care, foods, refreshment, and home care consumer products company) from 2018 to 2020</w:t>
      </w:r>
    </w:p>
    <w:p>
      <w:pPr>
        <w:spacing w:after="0" w:line="1" w:lineRule="exact"/>
        <w:rPr>
          <w:rFonts w:ascii="Arial" w:cs="Arial" w:eastAsia="Arial" w:hAnsi="Arial"/>
          <w:sz w:val="14"/>
          <w:szCs w:val="14"/>
          <w:color w:val="auto"/>
        </w:rPr>
      </w:pPr>
    </w:p>
    <w:p>
      <w:pPr>
        <w:ind w:left="140" w:hanging="136"/>
        <w:spacing w:after="0"/>
        <w:tabs>
          <w:tab w:leader="none" w:pos="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Head of Global Customer Development at Unilever from 2018 to 2019</w:t>
      </w:r>
    </w:p>
    <w:p>
      <w:pPr>
        <w:spacing w:after="0" w:line="51" w:lineRule="exact"/>
        <w:rPr>
          <w:rFonts w:ascii="Arial" w:cs="Arial" w:eastAsia="Arial" w:hAnsi="Arial"/>
          <w:sz w:val="14"/>
          <w:szCs w:val="14"/>
          <w:color w:val="auto"/>
        </w:rPr>
      </w:pPr>
    </w:p>
    <w:p>
      <w:pPr>
        <w:ind w:left="140" w:hanging="136"/>
        <w:spacing w:after="0"/>
        <w:tabs>
          <w:tab w:leader="none" w:pos="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President, Global Foods Category at Unilever plc from 2015 to 2017</w:t>
      </w:r>
    </w:p>
    <w:p>
      <w:pPr>
        <w:spacing w:after="0" w:line="51" w:lineRule="exact"/>
        <w:rPr>
          <w:rFonts w:ascii="Arial" w:cs="Arial" w:eastAsia="Arial" w:hAnsi="Arial"/>
          <w:sz w:val="14"/>
          <w:szCs w:val="14"/>
          <w:color w:val="auto"/>
        </w:rPr>
      </w:pPr>
    </w:p>
    <w:p>
      <w:pPr>
        <w:ind w:left="140" w:hanging="136"/>
        <w:spacing w:after="0"/>
        <w:tabs>
          <w:tab w:leader="none" w:pos="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Executive Vice President, Global Haircare at Unilever from 2014 to 2015</w:t>
      </w:r>
    </w:p>
    <w:p>
      <w:pPr>
        <w:spacing w:after="0" w:line="51" w:lineRule="exact"/>
        <w:rPr>
          <w:rFonts w:ascii="Arial" w:cs="Arial" w:eastAsia="Arial" w:hAnsi="Arial"/>
          <w:sz w:val="14"/>
          <w:szCs w:val="14"/>
          <w:color w:val="auto"/>
        </w:rPr>
      </w:pPr>
    </w:p>
    <w:p>
      <w:pPr>
        <w:ind w:left="140" w:hanging="136"/>
        <w:spacing w:after="0"/>
        <w:tabs>
          <w:tab w:leader="none" w:pos="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Executive Vice President of Unilever U.K. and Ireland from 2010 to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521271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2715" cy="7620"/>
                    </a:xfrm>
                    <a:prstGeom prst="rect">
                      <a:avLst/>
                    </a:prstGeom>
                    <a:noFill/>
                  </pic:spPr>
                </pic:pic>
              </a:graphicData>
            </a:graphic>
          </wp:anchor>
        </w:drawing>
      </w:r>
    </w:p>
    <w:p>
      <w:pPr>
        <w:spacing w:after="0" w:line="274" w:lineRule="exact"/>
        <w:rPr>
          <w:sz w:val="20"/>
          <w:szCs w:val="20"/>
          <w:color w:val="auto"/>
        </w:rPr>
      </w:pPr>
    </w:p>
    <w:p>
      <w:pPr>
        <w:spacing w:after="0"/>
        <w:tabs>
          <w:tab w:leader="none" w:pos="4520" w:val="left"/>
        </w:tabs>
        <w:rPr>
          <w:sz w:val="20"/>
          <w:szCs w:val="20"/>
          <w:color w:val="auto"/>
        </w:rPr>
      </w:pPr>
      <w:r>
        <w:rPr>
          <w:rFonts w:ascii="Arial" w:cs="Arial" w:eastAsia="Arial" w:hAnsi="Arial"/>
          <w:sz w:val="16"/>
          <w:szCs w:val="16"/>
          <w:b w:val="1"/>
          <w:bCs w:val="1"/>
          <w:color w:val="auto"/>
        </w:rPr>
        <w:t>Expertise</w:t>
      </w:r>
      <w:r>
        <w:rPr>
          <w:sz w:val="20"/>
          <w:szCs w:val="20"/>
          <w:color w:val="auto"/>
        </w:rPr>
        <w:tab/>
      </w:r>
      <w:r>
        <w:rPr>
          <w:rFonts w:ascii="Arial" w:cs="Arial" w:eastAsia="Arial" w:hAnsi="Arial"/>
          <w:sz w:val="16"/>
          <w:szCs w:val="16"/>
          <w:b w:val="1"/>
          <w:bCs w:val="1"/>
          <w:color w:val="auto"/>
        </w:rPr>
        <w:t>Other public company boards</w:t>
      </w:r>
    </w:p>
    <w:p>
      <w:pPr>
        <w:spacing w:after="0" w:line="138" w:lineRule="exact"/>
        <w:rPr>
          <w:sz w:val="20"/>
          <w:szCs w:val="20"/>
          <w:color w:val="auto"/>
        </w:rPr>
      </w:pPr>
    </w:p>
    <w:p>
      <w:pPr>
        <w:spacing w:after="0"/>
        <w:tabs>
          <w:tab w:leader="none" w:pos="4520" w:val="left"/>
        </w:tabs>
        <w:rPr>
          <w:sz w:val="20"/>
          <w:szCs w:val="20"/>
          <w:color w:val="auto"/>
        </w:rPr>
      </w:pPr>
      <w:r>
        <w:rPr>
          <w:rFonts w:ascii="Arial" w:cs="Arial" w:eastAsia="Arial" w:hAnsi="Arial"/>
          <w:sz w:val="14"/>
          <w:szCs w:val="14"/>
          <w:color w:val="auto"/>
        </w:rPr>
        <w:t>Ms. Sourry has extensive global marketing and business</w:t>
      </w:r>
      <w:r>
        <w:rPr>
          <w:sz w:val="20"/>
          <w:szCs w:val="20"/>
          <w:color w:val="auto"/>
        </w:rPr>
        <w:tab/>
      </w:r>
      <w:r>
        <w:rPr>
          <w:rFonts w:ascii="Arial" w:cs="Arial" w:eastAsia="Arial" w:hAnsi="Arial"/>
          <w:sz w:val="14"/>
          <w:szCs w:val="14"/>
          <w:color w:val="auto"/>
        </w:rPr>
        <w:t xml:space="preserve">• </w:t>
      </w:r>
      <w:r>
        <w:rPr>
          <w:rFonts w:ascii="Arial" w:cs="Arial" w:eastAsia="Arial" w:hAnsi="Arial"/>
          <w:sz w:val="14"/>
          <w:szCs w:val="14"/>
          <w:b w:val="1"/>
          <w:bCs w:val="1"/>
          <w:color w:val="auto"/>
        </w:rPr>
        <w:t>The Kroger Co.</w:t>
      </w:r>
      <w:r>
        <w:rPr>
          <w:rFonts w:ascii="Arial" w:cs="Arial" w:eastAsia="Arial" w:hAnsi="Arial"/>
          <w:sz w:val="14"/>
          <w:szCs w:val="14"/>
          <w:color w:val="auto"/>
        </w:rPr>
        <w:t xml:space="preserve"> (since 2021)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experience in consumer products and customer development,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including overseeing Unilever’s digital efforts. She has held roles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in the U.S. and throughout Europe and served in global product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positions. Ms. Sourry was actively involved in Unilever’s global</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talent and sustainability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521271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1271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9" w:space="720"/>
            <w:col w:w="8220"/>
          </w:cols>
          <w:pgMar w:left="471" w:top="426" w:right="479" w:bottom="1440" w:gutter="0" w:footer="0" w:header="0"/>
          <w:type w:val="continuous"/>
        </w:sectPr>
      </w:pPr>
    </w:p>
    <w:p>
      <w:pPr>
        <w:spacing w:after="0" w:line="152" w:lineRule="exact"/>
        <w:rPr>
          <w:sz w:val="20"/>
          <w:szCs w:val="20"/>
          <w:color w:val="auto"/>
        </w:rPr>
      </w:pPr>
    </w:p>
    <w:p>
      <w:pPr>
        <w:ind w:left="6489"/>
        <w:spacing w:after="0"/>
        <w:rPr>
          <w:sz w:val="20"/>
          <w:szCs w:val="20"/>
          <w:color w:val="auto"/>
        </w:rPr>
      </w:pPr>
      <w:r>
        <w:rPr>
          <w:rFonts w:ascii="Arial" w:cs="Arial" w:eastAsia="Arial" w:hAnsi="Arial"/>
          <w:sz w:val="10"/>
          <w:szCs w:val="10"/>
          <w:b w:val="1"/>
          <w:bCs w:val="1"/>
          <w:color w:val="6D98AD"/>
        </w:rPr>
        <w:t xml:space="preserve">PROPOSAL 1: ELECTION OF DIRECTORS </w:t>
      </w:r>
      <w:r>
        <w:rPr>
          <w:rFonts w:ascii="Arial" w:cs="Arial" w:eastAsia="Arial" w:hAnsi="Arial"/>
          <w:sz w:val="10"/>
          <w:szCs w:val="10"/>
          <w:color w:val="000000"/>
        </w:rPr>
        <w:t>/ PVH CORP. 2026 PROXY STATEMENT /</w:t>
      </w:r>
      <w:r>
        <w:rPr>
          <w:rFonts w:ascii="Arial" w:cs="Arial" w:eastAsia="Arial" w:hAnsi="Arial"/>
          <w:sz w:val="10"/>
          <w:szCs w:val="10"/>
          <w:b w:val="1"/>
          <w:bCs w:val="1"/>
          <w:color w:val="6D98AD"/>
        </w:rPr>
        <w:t xml:space="preserve"> </w:t>
      </w:r>
      <w:r>
        <w:rPr>
          <w:rFonts w:ascii="Arial" w:cs="Arial" w:eastAsia="Arial" w:hAnsi="Arial"/>
          <w:sz w:val="10"/>
          <w:szCs w:val="10"/>
          <w:b w:val="1"/>
          <w:bCs w:val="1"/>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695515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426" w:right="479" w:bottom="1440" w:gutter="0" w:footer="0" w:header="0"/>
          <w:type w:val="continuous"/>
        </w:sectPr>
      </w:pPr>
    </w:p>
    <w:bookmarkStart w:id="20" w:name="page21"/>
    <w:bookmarkEnd w:id="20"/>
    <w:p>
      <w:pPr>
        <w:ind w:left="9"/>
        <w:spacing w:after="0"/>
        <w:rPr>
          <w:sz w:val="20"/>
          <w:szCs w:val="20"/>
          <w:color w:val="auto"/>
        </w:rPr>
      </w:pPr>
      <w:r>
        <w:rPr>
          <w:rFonts w:ascii="Arial" w:cs="Arial" w:eastAsia="Arial" w:hAnsi="Arial"/>
          <w:sz w:val="41"/>
          <w:szCs w:val="41"/>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
        <w:spacing w:after="0"/>
        <w:rPr>
          <w:sz w:val="20"/>
          <w:szCs w:val="20"/>
          <w:color w:val="auto"/>
        </w:rPr>
      </w:pPr>
      <w:r>
        <w:rPr>
          <w:rFonts w:ascii="Arial" w:cs="Arial" w:eastAsia="Arial" w:hAnsi="Arial"/>
          <w:sz w:val="28"/>
          <w:szCs w:val="28"/>
          <w:b w:val="1"/>
          <w:bCs w:val="1"/>
          <w:color w:val="6D98AD"/>
        </w:rPr>
        <w:t>Independence</w:t>
      </w:r>
    </w:p>
    <w:p>
      <w:pPr>
        <w:spacing w:after="0" w:line="114" w:lineRule="exact"/>
        <w:rPr>
          <w:sz w:val="20"/>
          <w:szCs w:val="20"/>
          <w:color w:val="auto"/>
        </w:rPr>
      </w:pPr>
    </w:p>
    <w:p>
      <w:pPr>
        <w:jc w:val="both"/>
        <w:ind w:left="9" w:right="100"/>
        <w:spacing w:after="0" w:line="264" w:lineRule="auto"/>
        <w:rPr>
          <w:sz w:val="20"/>
          <w:szCs w:val="20"/>
          <w:color w:val="auto"/>
        </w:rPr>
      </w:pPr>
      <w:r>
        <w:rPr>
          <w:rFonts w:ascii="Arial" w:cs="Arial" w:eastAsia="Arial" w:hAnsi="Arial"/>
          <w:sz w:val="14"/>
          <w:szCs w:val="14"/>
          <w:color w:val="auto"/>
        </w:rPr>
        <w:t>The Board of Directors has evaluated the independence of each of the directors and nominees for director in relation to the rules of the New York Stock Exchange (“NYSE”). The independence inquiry included the additional criteria for service on the Audit &amp; Risk Management Committee and the Compensation Committee for the directors who are members of those committees. The Board determined that Mr. Larsson, our CEO, is not independent, and that each of our other current directors is independent.</w:t>
      </w:r>
    </w:p>
    <w:p>
      <w:pPr>
        <w:spacing w:after="0" w:line="58" w:lineRule="exact"/>
        <w:rPr>
          <w:sz w:val="20"/>
          <w:szCs w:val="20"/>
          <w:color w:val="auto"/>
        </w:rPr>
      </w:pPr>
    </w:p>
    <w:p>
      <w:pPr>
        <w:ind w:left="9" w:right="40"/>
        <w:spacing w:after="0" w:line="255" w:lineRule="auto"/>
        <w:rPr>
          <w:sz w:val="20"/>
          <w:szCs w:val="20"/>
          <w:color w:val="auto"/>
        </w:rPr>
      </w:pPr>
      <w:r>
        <w:rPr>
          <w:rFonts w:ascii="Arial" w:cs="Arial" w:eastAsia="Arial" w:hAnsi="Arial"/>
          <w:sz w:val="14"/>
          <w:szCs w:val="14"/>
          <w:color w:val="auto"/>
        </w:rPr>
        <w:t>In making these independence determinations, the Board of Directors considers whether a director has or had a relationship with PVH that would disqualify the individual from being considered independent under applicable regulations, that would require disclosure under applicable regulations, or that might otherwise be deemed material to the director, the director’s family or PVH, including whether there are any employment or consulting arrangements between any such individual and a third party that provides services to us. None of the directors, other than Mr. Larsson, has a material relationship with PVH, either directly or as a partner, stockholder or officer of an organization that has a relationship with PVH, nor does any other director have a direct or indirect material interest in any transaction involving PVH.</w:t>
      </w:r>
    </w:p>
    <w:p>
      <w:pPr>
        <w:spacing w:after="0" w:line="63" w:lineRule="exact"/>
        <w:rPr>
          <w:sz w:val="20"/>
          <w:szCs w:val="20"/>
          <w:color w:val="auto"/>
        </w:rPr>
      </w:pPr>
    </w:p>
    <w:p>
      <w:pPr>
        <w:ind w:left="9"/>
        <w:spacing w:after="0"/>
        <w:rPr>
          <w:sz w:val="20"/>
          <w:szCs w:val="20"/>
          <w:color w:val="auto"/>
        </w:rPr>
      </w:pPr>
      <w:r>
        <w:rPr>
          <w:rFonts w:ascii="Arial" w:cs="Arial" w:eastAsia="Arial" w:hAnsi="Arial"/>
          <w:sz w:val="14"/>
          <w:szCs w:val="14"/>
          <w:color w:val="auto"/>
        </w:rPr>
        <w:t>No family relationship exists between any director or executive officer of PVH and any other director or executive officer.</w:t>
      </w:r>
    </w:p>
    <w:p>
      <w:pPr>
        <w:spacing w:after="0" w:line="251" w:lineRule="exact"/>
        <w:rPr>
          <w:sz w:val="20"/>
          <w:szCs w:val="20"/>
          <w:color w:val="auto"/>
        </w:rPr>
      </w:pPr>
    </w:p>
    <w:p>
      <w:pPr>
        <w:ind w:left="9"/>
        <w:spacing w:after="0"/>
        <w:rPr>
          <w:sz w:val="20"/>
          <w:szCs w:val="20"/>
          <w:color w:val="auto"/>
        </w:rPr>
      </w:pPr>
      <w:r>
        <w:rPr>
          <w:rFonts w:ascii="Arial" w:cs="Arial" w:eastAsia="Arial" w:hAnsi="Arial"/>
          <w:sz w:val="28"/>
          <w:szCs w:val="28"/>
          <w:b w:val="1"/>
          <w:bCs w:val="1"/>
          <w:color w:val="6D98AD"/>
        </w:rPr>
        <w:t>Leadership Structure of the Board</w:t>
      </w:r>
    </w:p>
    <w:p>
      <w:pPr>
        <w:spacing w:after="0" w:line="114" w:lineRule="exact"/>
        <w:rPr>
          <w:sz w:val="20"/>
          <w:szCs w:val="20"/>
          <w:color w:val="auto"/>
        </w:rPr>
      </w:pPr>
    </w:p>
    <w:p>
      <w:pPr>
        <w:ind w:left="9" w:right="20"/>
        <w:spacing w:after="0" w:line="255" w:lineRule="auto"/>
        <w:rPr>
          <w:sz w:val="20"/>
          <w:szCs w:val="20"/>
          <w:color w:val="auto"/>
        </w:rPr>
      </w:pPr>
      <w:r>
        <w:rPr>
          <w:rFonts w:ascii="Arial" w:cs="Arial" w:eastAsia="Arial" w:hAnsi="Arial"/>
          <w:sz w:val="14"/>
          <w:szCs w:val="14"/>
          <w:color w:val="auto"/>
        </w:rPr>
        <w:t>The Board believes that no single leadership model is necessarily best for PVH. Historically, the Board had a combined Chair and CEO with an independent presiding director. In 2022, in connection with the retirement of our former CEO as Chair, we reconsidered our Board leadership structure in light of our then new CEO and the evolving Board membership that resulted from our board refreshment program. As a result of that review, we made the decision to have an independent, non-executive Chair. The Board believes that having an independent director serve as Chair is the most effective leadership structure for the Board right now as it allows Mr. Larsson to focus on his responsibilities as Chief Executive Officer, including the execution of the PVH+ Plan.</w:t>
      </w:r>
    </w:p>
    <w:p>
      <w:pPr>
        <w:spacing w:after="0" w:line="63" w:lineRule="exact"/>
        <w:rPr>
          <w:sz w:val="20"/>
          <w:szCs w:val="20"/>
          <w:color w:val="auto"/>
        </w:rPr>
      </w:pPr>
    </w:p>
    <w:p>
      <w:pPr>
        <w:ind w:left="9"/>
        <w:spacing w:after="0" w:line="282" w:lineRule="auto"/>
        <w:rPr>
          <w:sz w:val="20"/>
          <w:szCs w:val="20"/>
          <w:color w:val="auto"/>
        </w:rPr>
      </w:pPr>
      <w:r>
        <w:rPr>
          <w:rFonts w:ascii="Arial" w:cs="Arial" w:eastAsia="Arial" w:hAnsi="Arial"/>
          <w:sz w:val="14"/>
          <w:szCs w:val="14"/>
          <w:color w:val="auto"/>
        </w:rPr>
        <w:t>Michael Calbert has served as Chair since June 2022. Mr. Calbert’s background as a public company director with extensive Chair experience, along with his deep expertise in the retail and consumer sectors, makes him qualified for the Chair role.</w:t>
      </w:r>
    </w:p>
    <w:p>
      <w:pPr>
        <w:sectPr>
          <w:pgSz w:w="11900" w:h="16838" w:orient="portrait"/>
          <w:cols w:equalWidth="0" w:num="1">
            <w:col w:w="10909"/>
          </w:cols>
          <w:pgMar w:left="471" w:top="94" w:right="519" w:bottom="1440" w:gutter="0" w:footer="0" w:header="0"/>
        </w:sectPr>
      </w:pPr>
    </w:p>
    <w:p>
      <w:pPr>
        <w:spacing w:after="0" w:line="199"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auto"/>
        </w:rPr>
        <w:t>The duties of the Chair include:</w:t>
      </w:r>
    </w:p>
    <w:p>
      <w:pPr>
        <w:spacing w:after="0" w:line="181" w:lineRule="exact"/>
        <w:rPr>
          <w:sz w:val="20"/>
          <w:szCs w:val="20"/>
          <w:color w:val="auto"/>
        </w:rPr>
      </w:pPr>
    </w:p>
    <w:p>
      <w:pPr>
        <w:ind w:left="149" w:hanging="149"/>
        <w:spacing w:after="0" w:line="280" w:lineRule="auto"/>
        <w:tabs>
          <w:tab w:leader="none" w:pos="135" w:val="left"/>
        </w:tabs>
        <w:numPr>
          <w:ilvl w:val="0"/>
          <w:numId w:val="39"/>
        </w:numPr>
        <w:rPr>
          <w:rFonts w:ascii="Arial" w:cs="Arial" w:eastAsia="Arial" w:hAnsi="Arial"/>
          <w:sz w:val="14"/>
          <w:szCs w:val="14"/>
          <w:color w:val="auto"/>
        </w:rPr>
      </w:pPr>
      <w:r>
        <w:rPr>
          <w:rFonts w:ascii="Arial" w:cs="Arial" w:eastAsia="Arial" w:hAnsi="Arial"/>
          <w:sz w:val="14"/>
          <w:szCs w:val="14"/>
          <w:b w:val="1"/>
          <w:bCs w:val="1"/>
          <w:color w:val="6D98AD"/>
        </w:rPr>
        <w:t xml:space="preserve">Leading </w:t>
      </w:r>
      <w:r>
        <w:rPr>
          <w:rFonts w:ascii="Arial" w:cs="Arial" w:eastAsia="Arial" w:hAnsi="Arial"/>
          <w:sz w:val="14"/>
          <w:szCs w:val="14"/>
          <w:color w:val="000000"/>
        </w:rPr>
        <w:t>all meetings of the Board, including executive sessions of the independent</w:t>
      </w:r>
      <w:r>
        <w:rPr>
          <w:rFonts w:ascii="Arial" w:cs="Arial" w:eastAsia="Arial" w:hAnsi="Arial"/>
          <w:sz w:val="14"/>
          <w:szCs w:val="14"/>
          <w:b w:val="1"/>
          <w:bCs w:val="1"/>
          <w:color w:val="6D98AD"/>
        </w:rPr>
        <w:t xml:space="preserve"> </w:t>
      </w:r>
      <w:r>
        <w:rPr>
          <w:rFonts w:ascii="Arial" w:cs="Arial" w:eastAsia="Arial" w:hAnsi="Arial"/>
          <w:sz w:val="14"/>
          <w:szCs w:val="14"/>
          <w:color w:val="000000"/>
        </w:rPr>
        <w:t>directors;</w:t>
      </w:r>
    </w:p>
    <w:p>
      <w:pPr>
        <w:spacing w:after="0" w:line="1" w:lineRule="exact"/>
        <w:rPr>
          <w:rFonts w:ascii="Arial" w:cs="Arial" w:eastAsia="Arial" w:hAnsi="Arial"/>
          <w:sz w:val="14"/>
          <w:szCs w:val="14"/>
          <w:color w:val="auto"/>
        </w:rPr>
      </w:pPr>
    </w:p>
    <w:p>
      <w:pPr>
        <w:ind w:left="149" w:right="420" w:hanging="149"/>
        <w:spacing w:after="0" w:line="280" w:lineRule="auto"/>
        <w:tabs>
          <w:tab w:leader="none" w:pos="135" w:val="left"/>
        </w:tabs>
        <w:numPr>
          <w:ilvl w:val="0"/>
          <w:numId w:val="39"/>
        </w:numPr>
        <w:rPr>
          <w:rFonts w:ascii="Arial" w:cs="Arial" w:eastAsia="Arial" w:hAnsi="Arial"/>
          <w:sz w:val="14"/>
          <w:szCs w:val="14"/>
          <w:color w:val="auto"/>
        </w:rPr>
      </w:pPr>
      <w:r>
        <w:rPr>
          <w:rFonts w:ascii="Arial" w:cs="Arial" w:eastAsia="Arial" w:hAnsi="Arial"/>
          <w:sz w:val="14"/>
          <w:szCs w:val="14"/>
          <w:b w:val="1"/>
          <w:bCs w:val="1"/>
          <w:color w:val="6D98AD"/>
        </w:rPr>
        <w:t xml:space="preserve">Serving </w:t>
      </w:r>
      <w:r>
        <w:rPr>
          <w:rFonts w:ascii="Arial" w:cs="Arial" w:eastAsia="Arial" w:hAnsi="Arial"/>
          <w:sz w:val="14"/>
          <w:szCs w:val="14"/>
          <w:color w:val="000000"/>
        </w:rPr>
        <w:t>as the liaison between the non-management directors and the Chief</w:t>
      </w:r>
      <w:r>
        <w:rPr>
          <w:rFonts w:ascii="Arial" w:cs="Arial" w:eastAsia="Arial" w:hAnsi="Arial"/>
          <w:sz w:val="14"/>
          <w:szCs w:val="14"/>
          <w:b w:val="1"/>
          <w:bCs w:val="1"/>
          <w:color w:val="6D98AD"/>
        </w:rPr>
        <w:t xml:space="preserve"> </w:t>
      </w:r>
      <w:r>
        <w:rPr>
          <w:rFonts w:ascii="Arial" w:cs="Arial" w:eastAsia="Arial" w:hAnsi="Arial"/>
          <w:sz w:val="14"/>
          <w:szCs w:val="14"/>
          <w:color w:val="000000"/>
        </w:rPr>
        <w:t>Executive Officer;</w:t>
      </w:r>
    </w:p>
    <w:p>
      <w:pPr>
        <w:spacing w:after="0" w:line="1" w:lineRule="exact"/>
        <w:rPr>
          <w:rFonts w:ascii="Arial" w:cs="Arial" w:eastAsia="Arial" w:hAnsi="Arial"/>
          <w:sz w:val="14"/>
          <w:szCs w:val="14"/>
          <w:color w:val="auto"/>
        </w:rPr>
      </w:pPr>
    </w:p>
    <w:p>
      <w:pPr>
        <w:ind w:left="149" w:right="460" w:hanging="149"/>
        <w:spacing w:after="0" w:line="280" w:lineRule="auto"/>
        <w:tabs>
          <w:tab w:leader="none" w:pos="135" w:val="left"/>
        </w:tabs>
        <w:numPr>
          <w:ilvl w:val="0"/>
          <w:numId w:val="39"/>
        </w:numPr>
        <w:rPr>
          <w:rFonts w:ascii="Arial" w:cs="Arial" w:eastAsia="Arial" w:hAnsi="Arial"/>
          <w:sz w:val="14"/>
          <w:szCs w:val="14"/>
          <w:color w:val="auto"/>
        </w:rPr>
      </w:pPr>
      <w:r>
        <w:rPr>
          <w:rFonts w:ascii="Arial" w:cs="Arial" w:eastAsia="Arial" w:hAnsi="Arial"/>
          <w:sz w:val="14"/>
          <w:szCs w:val="14"/>
          <w:b w:val="1"/>
          <w:bCs w:val="1"/>
          <w:color w:val="6D98AD"/>
        </w:rPr>
        <w:t xml:space="preserve">Guiding </w:t>
      </w:r>
      <w:r>
        <w:rPr>
          <w:rFonts w:ascii="Arial" w:cs="Arial" w:eastAsia="Arial" w:hAnsi="Arial"/>
          <w:sz w:val="14"/>
          <w:szCs w:val="14"/>
          <w:color w:val="000000"/>
        </w:rPr>
        <w:t>the annual review of the Chief Executive Officer’s performance and</w:t>
      </w:r>
      <w:r>
        <w:rPr>
          <w:rFonts w:ascii="Arial" w:cs="Arial" w:eastAsia="Arial" w:hAnsi="Arial"/>
          <w:sz w:val="14"/>
          <w:szCs w:val="14"/>
          <w:b w:val="1"/>
          <w:bCs w:val="1"/>
          <w:color w:val="6D98AD"/>
        </w:rPr>
        <w:t xml:space="preserve"> </w:t>
      </w:r>
      <w:r>
        <w:rPr>
          <w:rFonts w:ascii="Arial" w:cs="Arial" w:eastAsia="Arial" w:hAnsi="Arial"/>
          <w:sz w:val="14"/>
          <w:szCs w:val="14"/>
          <w:color w:val="000000"/>
        </w:rPr>
        <w:t>compensation;</w:t>
      </w:r>
    </w:p>
    <w:p>
      <w:pPr>
        <w:spacing w:after="0" w:line="1" w:lineRule="exact"/>
        <w:rPr>
          <w:rFonts w:ascii="Arial" w:cs="Arial" w:eastAsia="Arial" w:hAnsi="Arial"/>
          <w:sz w:val="14"/>
          <w:szCs w:val="14"/>
          <w:color w:val="auto"/>
        </w:rPr>
      </w:pPr>
    </w:p>
    <w:p>
      <w:pPr>
        <w:ind w:left="149" w:right="120" w:hanging="149"/>
        <w:spacing w:after="0" w:line="280" w:lineRule="auto"/>
        <w:tabs>
          <w:tab w:leader="none" w:pos="135" w:val="left"/>
        </w:tabs>
        <w:numPr>
          <w:ilvl w:val="0"/>
          <w:numId w:val="39"/>
        </w:numPr>
        <w:rPr>
          <w:rFonts w:ascii="Arial" w:cs="Arial" w:eastAsia="Arial" w:hAnsi="Arial"/>
          <w:sz w:val="14"/>
          <w:szCs w:val="14"/>
          <w:color w:val="auto"/>
        </w:rPr>
      </w:pPr>
      <w:r>
        <w:rPr>
          <w:rFonts w:ascii="Arial" w:cs="Arial" w:eastAsia="Arial" w:hAnsi="Arial"/>
          <w:sz w:val="14"/>
          <w:szCs w:val="14"/>
          <w:b w:val="1"/>
          <w:bCs w:val="1"/>
          <w:color w:val="6D98AD"/>
        </w:rPr>
        <w:t xml:space="preserve">Serving </w:t>
      </w:r>
      <w:r>
        <w:rPr>
          <w:rFonts w:ascii="Arial" w:cs="Arial" w:eastAsia="Arial" w:hAnsi="Arial"/>
          <w:sz w:val="14"/>
          <w:szCs w:val="14"/>
          <w:color w:val="000000"/>
        </w:rPr>
        <w:t>as a sounding board for, and providing advice and guidance to, the Chief</w:t>
      </w:r>
      <w:r>
        <w:rPr>
          <w:rFonts w:ascii="Arial" w:cs="Arial" w:eastAsia="Arial" w:hAnsi="Arial"/>
          <w:sz w:val="14"/>
          <w:szCs w:val="14"/>
          <w:b w:val="1"/>
          <w:bCs w:val="1"/>
          <w:color w:val="6D98AD"/>
        </w:rPr>
        <w:t xml:space="preserve"> </w:t>
      </w:r>
      <w:r>
        <w:rPr>
          <w:rFonts w:ascii="Arial" w:cs="Arial" w:eastAsia="Arial" w:hAnsi="Arial"/>
          <w:sz w:val="14"/>
          <w:szCs w:val="14"/>
          <w:color w:val="000000"/>
        </w:rPr>
        <w:t>Executive Officer;</w:t>
      </w:r>
    </w:p>
    <w:p>
      <w:pPr>
        <w:spacing w:after="0" w:line="1" w:lineRule="exact"/>
        <w:rPr>
          <w:rFonts w:ascii="Arial" w:cs="Arial" w:eastAsia="Arial" w:hAnsi="Arial"/>
          <w:sz w:val="14"/>
          <w:szCs w:val="14"/>
          <w:color w:val="auto"/>
        </w:rPr>
      </w:pPr>
    </w:p>
    <w:p>
      <w:pPr>
        <w:ind w:left="149" w:right="300" w:hanging="149"/>
        <w:spacing w:after="0" w:line="282" w:lineRule="auto"/>
        <w:tabs>
          <w:tab w:leader="none" w:pos="135" w:val="left"/>
        </w:tabs>
        <w:numPr>
          <w:ilvl w:val="0"/>
          <w:numId w:val="39"/>
        </w:numPr>
        <w:rPr>
          <w:rFonts w:ascii="Arial" w:cs="Arial" w:eastAsia="Arial" w:hAnsi="Arial"/>
          <w:sz w:val="14"/>
          <w:szCs w:val="14"/>
          <w:color w:val="auto"/>
        </w:rPr>
      </w:pPr>
      <w:r>
        <w:rPr>
          <w:rFonts w:ascii="Arial" w:cs="Arial" w:eastAsia="Arial" w:hAnsi="Arial"/>
          <w:sz w:val="14"/>
          <w:szCs w:val="14"/>
          <w:b w:val="1"/>
          <w:bCs w:val="1"/>
          <w:color w:val="6D98AD"/>
        </w:rPr>
        <w:t xml:space="preserve">Discussing </w:t>
      </w:r>
      <w:r>
        <w:rPr>
          <w:rFonts w:ascii="Arial" w:cs="Arial" w:eastAsia="Arial" w:hAnsi="Arial"/>
          <w:sz w:val="14"/>
          <w:szCs w:val="14"/>
          <w:color w:val="000000"/>
        </w:rPr>
        <w:t>with management or approving non-routine information sent to the</w:t>
      </w:r>
      <w:r>
        <w:rPr>
          <w:rFonts w:ascii="Arial" w:cs="Arial" w:eastAsia="Arial" w:hAnsi="Arial"/>
          <w:sz w:val="14"/>
          <w:szCs w:val="14"/>
          <w:b w:val="1"/>
          <w:bCs w:val="1"/>
          <w:color w:val="6D98AD"/>
        </w:rPr>
        <w:t xml:space="preserve"> </w:t>
      </w:r>
      <w:r>
        <w:rPr>
          <w:rFonts w:ascii="Arial" w:cs="Arial" w:eastAsia="Arial" w:hAnsi="Arial"/>
          <w:sz w:val="14"/>
          <w:szCs w:val="14"/>
          <w:color w:val="000000"/>
        </w:rPr>
        <w:t>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39" w:right="340" w:hanging="139"/>
        <w:spacing w:after="0" w:line="280" w:lineRule="auto"/>
        <w:tabs>
          <w:tab w:leader="none" w:pos="125" w:val="left"/>
        </w:tabs>
        <w:numPr>
          <w:ilvl w:val="0"/>
          <w:numId w:val="40"/>
        </w:numPr>
        <w:rPr>
          <w:rFonts w:ascii="Arial" w:cs="Arial" w:eastAsia="Arial" w:hAnsi="Arial"/>
          <w:sz w:val="14"/>
          <w:szCs w:val="14"/>
          <w:color w:val="auto"/>
        </w:rPr>
      </w:pPr>
      <w:r>
        <w:rPr>
          <w:rFonts w:ascii="Arial" w:cs="Arial" w:eastAsia="Arial" w:hAnsi="Arial"/>
          <w:sz w:val="14"/>
          <w:szCs w:val="14"/>
          <w:b w:val="1"/>
          <w:bCs w:val="1"/>
          <w:color w:val="6D98AD"/>
        </w:rPr>
        <w:t xml:space="preserve">Ensuring implementation </w:t>
      </w:r>
      <w:r>
        <w:rPr>
          <w:rFonts w:ascii="Arial" w:cs="Arial" w:eastAsia="Arial" w:hAnsi="Arial"/>
          <w:sz w:val="14"/>
          <w:szCs w:val="14"/>
          <w:color w:val="000000"/>
        </w:rPr>
        <w:t>of Board requests on standing and timely agenda</w:t>
      </w:r>
      <w:r>
        <w:rPr>
          <w:rFonts w:ascii="Arial" w:cs="Arial" w:eastAsia="Arial" w:hAnsi="Arial"/>
          <w:sz w:val="14"/>
          <w:szCs w:val="14"/>
          <w:b w:val="1"/>
          <w:bCs w:val="1"/>
          <w:color w:val="6D98AD"/>
        </w:rPr>
        <w:t xml:space="preserve"> </w:t>
      </w:r>
      <w:r>
        <w:rPr>
          <w:rFonts w:ascii="Arial" w:cs="Arial" w:eastAsia="Arial" w:hAnsi="Arial"/>
          <w:sz w:val="14"/>
          <w:szCs w:val="14"/>
          <w:color w:val="000000"/>
        </w:rPr>
        <w:t>items;</w:t>
      </w:r>
    </w:p>
    <w:p>
      <w:pPr>
        <w:spacing w:after="0" w:line="1" w:lineRule="exact"/>
        <w:rPr>
          <w:rFonts w:ascii="Arial" w:cs="Arial" w:eastAsia="Arial" w:hAnsi="Arial"/>
          <w:sz w:val="14"/>
          <w:szCs w:val="14"/>
          <w:color w:val="auto"/>
        </w:rPr>
      </w:pPr>
    </w:p>
    <w:p>
      <w:pPr>
        <w:ind w:left="119" w:hanging="119"/>
        <w:spacing w:after="0"/>
        <w:tabs>
          <w:tab w:leader="none" w:pos="119" w:val="left"/>
        </w:tabs>
        <w:numPr>
          <w:ilvl w:val="0"/>
          <w:numId w:val="40"/>
        </w:numPr>
        <w:rPr>
          <w:rFonts w:ascii="Arial" w:cs="Arial" w:eastAsia="Arial" w:hAnsi="Arial"/>
          <w:sz w:val="14"/>
          <w:szCs w:val="14"/>
          <w:color w:val="auto"/>
        </w:rPr>
      </w:pPr>
      <w:r>
        <w:rPr>
          <w:rFonts w:ascii="Arial" w:cs="Arial" w:eastAsia="Arial" w:hAnsi="Arial"/>
          <w:sz w:val="14"/>
          <w:szCs w:val="14"/>
          <w:b w:val="1"/>
          <w:bCs w:val="1"/>
          <w:color w:val="6D98AD"/>
        </w:rPr>
        <w:t xml:space="preserve">Reviewing </w:t>
      </w:r>
      <w:r>
        <w:rPr>
          <w:rFonts w:ascii="Arial" w:cs="Arial" w:eastAsia="Arial" w:hAnsi="Arial"/>
          <w:sz w:val="14"/>
          <w:szCs w:val="14"/>
          <w:color w:val="000000"/>
        </w:rPr>
        <w:t>and approving meeting agendas;</w:t>
      </w:r>
    </w:p>
    <w:p>
      <w:pPr>
        <w:spacing w:after="0" w:line="51" w:lineRule="exact"/>
        <w:rPr>
          <w:rFonts w:ascii="Arial" w:cs="Arial" w:eastAsia="Arial" w:hAnsi="Arial"/>
          <w:sz w:val="14"/>
          <w:szCs w:val="14"/>
          <w:color w:val="auto"/>
        </w:rPr>
      </w:pPr>
    </w:p>
    <w:p>
      <w:pPr>
        <w:ind w:left="119" w:hanging="119"/>
        <w:spacing w:after="0"/>
        <w:tabs>
          <w:tab w:leader="none" w:pos="119" w:val="left"/>
        </w:tabs>
        <w:numPr>
          <w:ilvl w:val="0"/>
          <w:numId w:val="40"/>
        </w:numPr>
        <w:rPr>
          <w:rFonts w:ascii="Arial" w:cs="Arial" w:eastAsia="Arial" w:hAnsi="Arial"/>
          <w:sz w:val="14"/>
          <w:szCs w:val="14"/>
          <w:color w:val="auto"/>
        </w:rPr>
      </w:pPr>
      <w:r>
        <w:rPr>
          <w:rFonts w:ascii="Arial" w:cs="Arial" w:eastAsia="Arial" w:hAnsi="Arial"/>
          <w:sz w:val="14"/>
          <w:szCs w:val="14"/>
          <w:b w:val="1"/>
          <w:bCs w:val="1"/>
          <w:color w:val="6D98AD"/>
        </w:rPr>
        <w:t xml:space="preserve">Ensuring </w:t>
      </w:r>
      <w:r>
        <w:rPr>
          <w:rFonts w:ascii="Arial" w:cs="Arial" w:eastAsia="Arial" w:hAnsi="Arial"/>
          <w:sz w:val="14"/>
          <w:szCs w:val="14"/>
          <w:color w:val="000000"/>
        </w:rPr>
        <w:t>there is sufficient time for discussion of all agenda items;</w:t>
      </w:r>
    </w:p>
    <w:p>
      <w:pPr>
        <w:spacing w:after="0" w:line="51" w:lineRule="exact"/>
        <w:rPr>
          <w:rFonts w:ascii="Arial" w:cs="Arial" w:eastAsia="Arial" w:hAnsi="Arial"/>
          <w:sz w:val="14"/>
          <w:szCs w:val="14"/>
          <w:color w:val="auto"/>
        </w:rPr>
      </w:pPr>
    </w:p>
    <w:p>
      <w:pPr>
        <w:ind w:left="119" w:hanging="119"/>
        <w:spacing w:after="0"/>
        <w:tabs>
          <w:tab w:leader="none" w:pos="119" w:val="left"/>
        </w:tabs>
        <w:numPr>
          <w:ilvl w:val="0"/>
          <w:numId w:val="40"/>
        </w:numPr>
        <w:rPr>
          <w:rFonts w:ascii="Arial" w:cs="Arial" w:eastAsia="Arial" w:hAnsi="Arial"/>
          <w:sz w:val="14"/>
          <w:szCs w:val="14"/>
          <w:color w:val="auto"/>
        </w:rPr>
      </w:pPr>
      <w:r>
        <w:rPr>
          <w:rFonts w:ascii="Arial" w:cs="Arial" w:eastAsia="Arial" w:hAnsi="Arial"/>
          <w:sz w:val="14"/>
          <w:szCs w:val="14"/>
          <w:b w:val="1"/>
          <w:bCs w:val="1"/>
          <w:color w:val="6D98AD"/>
        </w:rPr>
        <w:t xml:space="preserve">Driving </w:t>
      </w:r>
      <w:r>
        <w:rPr>
          <w:rFonts w:ascii="Arial" w:cs="Arial" w:eastAsia="Arial" w:hAnsi="Arial"/>
          <w:sz w:val="14"/>
          <w:szCs w:val="14"/>
          <w:color w:val="000000"/>
        </w:rPr>
        <w:t>the Board refreshment program;</w:t>
      </w:r>
    </w:p>
    <w:p>
      <w:pPr>
        <w:spacing w:after="0" w:line="51" w:lineRule="exact"/>
        <w:rPr>
          <w:rFonts w:ascii="Arial" w:cs="Arial" w:eastAsia="Arial" w:hAnsi="Arial"/>
          <w:sz w:val="14"/>
          <w:szCs w:val="14"/>
          <w:color w:val="auto"/>
        </w:rPr>
      </w:pPr>
    </w:p>
    <w:p>
      <w:pPr>
        <w:ind w:left="119" w:hanging="119"/>
        <w:spacing w:after="0"/>
        <w:tabs>
          <w:tab w:leader="none" w:pos="119" w:val="left"/>
        </w:tabs>
        <w:numPr>
          <w:ilvl w:val="0"/>
          <w:numId w:val="40"/>
        </w:numPr>
        <w:rPr>
          <w:rFonts w:ascii="Arial" w:cs="Arial" w:eastAsia="Arial" w:hAnsi="Arial"/>
          <w:sz w:val="14"/>
          <w:szCs w:val="14"/>
          <w:color w:val="auto"/>
        </w:rPr>
      </w:pPr>
      <w:r>
        <w:rPr>
          <w:rFonts w:ascii="Arial" w:cs="Arial" w:eastAsia="Arial" w:hAnsi="Arial"/>
          <w:sz w:val="14"/>
          <w:szCs w:val="14"/>
          <w:b w:val="1"/>
          <w:bCs w:val="1"/>
          <w:color w:val="6D98AD"/>
        </w:rPr>
        <w:t xml:space="preserve">Calling </w:t>
      </w:r>
      <w:r>
        <w:rPr>
          <w:rFonts w:ascii="Arial" w:cs="Arial" w:eastAsia="Arial" w:hAnsi="Arial"/>
          <w:sz w:val="14"/>
          <w:szCs w:val="14"/>
          <w:color w:val="000000"/>
        </w:rPr>
        <w:t>meetings of the independent directors, if appropriate; and</w:t>
      </w:r>
    </w:p>
    <w:p>
      <w:pPr>
        <w:spacing w:after="0" w:line="51" w:lineRule="exact"/>
        <w:rPr>
          <w:rFonts w:ascii="Arial" w:cs="Arial" w:eastAsia="Arial" w:hAnsi="Arial"/>
          <w:sz w:val="14"/>
          <w:szCs w:val="14"/>
          <w:color w:val="auto"/>
        </w:rPr>
      </w:pPr>
    </w:p>
    <w:p>
      <w:pPr>
        <w:ind w:left="139" w:right="440" w:hanging="139"/>
        <w:spacing w:after="0" w:line="282" w:lineRule="auto"/>
        <w:tabs>
          <w:tab w:leader="none" w:pos="125" w:val="left"/>
        </w:tabs>
        <w:numPr>
          <w:ilvl w:val="0"/>
          <w:numId w:val="40"/>
        </w:numPr>
        <w:rPr>
          <w:rFonts w:ascii="Arial" w:cs="Arial" w:eastAsia="Arial" w:hAnsi="Arial"/>
          <w:sz w:val="14"/>
          <w:szCs w:val="14"/>
          <w:color w:val="auto"/>
        </w:rPr>
      </w:pPr>
      <w:r>
        <w:rPr>
          <w:rFonts w:ascii="Arial" w:cs="Arial" w:eastAsia="Arial" w:hAnsi="Arial"/>
          <w:sz w:val="14"/>
          <w:szCs w:val="14"/>
          <w:b w:val="1"/>
          <w:bCs w:val="1"/>
          <w:color w:val="6D98AD"/>
        </w:rPr>
        <w:t xml:space="preserve">Participating </w:t>
      </w:r>
      <w:r>
        <w:rPr>
          <w:rFonts w:ascii="Arial" w:cs="Arial" w:eastAsia="Arial" w:hAnsi="Arial"/>
          <w:sz w:val="14"/>
          <w:szCs w:val="14"/>
          <w:color w:val="000000"/>
        </w:rPr>
        <w:t>in, or consulting on, communications with stockholders, when</w:t>
      </w:r>
      <w:r>
        <w:rPr>
          <w:rFonts w:ascii="Arial" w:cs="Arial" w:eastAsia="Arial" w:hAnsi="Arial"/>
          <w:sz w:val="14"/>
          <w:szCs w:val="14"/>
          <w:b w:val="1"/>
          <w:bCs w:val="1"/>
          <w:color w:val="6D98AD"/>
        </w:rPr>
        <w:t xml:space="preserve"> </w:t>
      </w:r>
      <w:r>
        <w:rPr>
          <w:rFonts w:ascii="Arial" w:cs="Arial" w:eastAsia="Arial" w:hAnsi="Arial"/>
          <w:sz w:val="14"/>
          <w:szCs w:val="14"/>
          <w:color w:val="000000"/>
        </w:rPr>
        <w:t>appropriate.</w:t>
      </w:r>
    </w:p>
    <w:p>
      <w:pPr>
        <w:spacing w:after="0" w:line="434" w:lineRule="exact"/>
        <w:rPr>
          <w:sz w:val="20"/>
          <w:szCs w:val="20"/>
          <w:color w:val="auto"/>
        </w:rPr>
      </w:pPr>
    </w:p>
    <w:p>
      <w:pPr>
        <w:sectPr>
          <w:pgSz w:w="11900" w:h="16838" w:orient="portrait"/>
          <w:cols w:equalWidth="0" w:num="2">
            <w:col w:w="5349" w:space="281"/>
            <w:col w:w="5279"/>
          </w:cols>
          <w:pgMar w:left="471" w:top="94" w:right="519" w:bottom="1440" w:gutter="0" w:footer="0" w:header="0"/>
          <w:type w:val="continuous"/>
        </w:sectPr>
      </w:pPr>
    </w:p>
    <w:p>
      <w:pPr>
        <w:ind w:left="9" w:right="220"/>
        <w:spacing w:after="0" w:line="258" w:lineRule="auto"/>
        <w:rPr>
          <w:sz w:val="20"/>
          <w:szCs w:val="20"/>
          <w:color w:val="auto"/>
        </w:rPr>
      </w:pPr>
      <w:r>
        <w:rPr>
          <w:rFonts w:ascii="Arial" w:cs="Arial" w:eastAsia="Arial" w:hAnsi="Arial"/>
          <w:sz w:val="14"/>
          <w:szCs w:val="14"/>
          <w:color w:val="auto"/>
        </w:rPr>
        <w:t>We do not anticipate a situation in the foreseeable future where we would recombine the roles of Chair and CEO. Our Corporate Governance Guidelines provide that, if the Chief Executive Officer (or another associate) serves as Chair, or the Chair otherwise is not independent, the Nominating, Governance &amp; Management Development Committee must nominate, and the independent directors must elect, an independent director to serve as presiding director. Any independent director serving as presiding director will have duties similar to those described for the Chair.</w:t>
      </w:r>
    </w:p>
    <w:p>
      <w:pPr>
        <w:spacing w:after="0" w:line="62" w:lineRule="exact"/>
        <w:rPr>
          <w:sz w:val="20"/>
          <w:szCs w:val="20"/>
          <w:color w:val="auto"/>
        </w:rPr>
      </w:pPr>
    </w:p>
    <w:p>
      <w:pPr>
        <w:ind w:left="9" w:right="100"/>
        <w:spacing w:after="0" w:line="264" w:lineRule="auto"/>
        <w:rPr>
          <w:sz w:val="20"/>
          <w:szCs w:val="20"/>
          <w:color w:val="auto"/>
        </w:rPr>
      </w:pPr>
      <w:r>
        <w:rPr>
          <w:rFonts w:ascii="Arial" w:cs="Arial" w:eastAsia="Arial" w:hAnsi="Arial"/>
          <w:sz w:val="14"/>
          <w:szCs w:val="14"/>
          <w:color w:val="auto"/>
        </w:rPr>
        <w:t>In addition to having an independent Chair (or presiding director, when applicable), the Board has adopted a number of governance practices to ensure effective independent oversight. Among these practices, which are set forth in our Corporate Governance Guidelines, are a requirement that the members of all key Board committees meet the independence requirements prescribed by the NYSE, and a policy that the Board will hold executive sessions of the independent directors at least four times each year.</w:t>
      </w:r>
    </w:p>
    <w:p>
      <w:pPr>
        <w:spacing w:after="0" w:line="149"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 xml:space="preserve">18 </w:t>
      </w:r>
      <w:r>
        <w:rPr>
          <w:rFonts w:ascii="Arial" w:cs="Arial" w:eastAsia="Arial" w:hAnsi="Arial"/>
          <w:sz w:val="11"/>
          <w:szCs w:val="11"/>
          <w:color w:val="auto"/>
        </w:rPr>
        <w:t>/ PVH CORP.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09"/>
          </w:cols>
          <w:pgMar w:left="471" w:top="94" w:right="51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28"/>
          <w:szCs w:val="28"/>
          <w:b w:val="1"/>
          <w:bCs w:val="1"/>
          <w:color w:val="6D98AD"/>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140335</wp:posOffset>
            </wp:positionV>
            <wp:extent cx="4831080" cy="385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831080" cy="385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60"/>
        <w:spacing w:after="0" w:line="258" w:lineRule="auto"/>
        <w:rPr>
          <w:sz w:val="20"/>
          <w:szCs w:val="20"/>
          <w:color w:val="auto"/>
        </w:rPr>
      </w:pPr>
      <w:r>
        <w:rPr>
          <w:rFonts w:ascii="Arial" w:cs="Arial" w:eastAsia="Arial" w:hAnsi="Arial"/>
          <w:sz w:val="14"/>
          <w:szCs w:val="14"/>
          <w:color w:val="auto"/>
        </w:rPr>
        <w:t>In performing their functions, each committee has full access to management, as well as the authority to engage advisors. Committee chairs report on their committees’ activities, including agenda items relating to risk, at each Board meeting following a committee meeting, and can raise risk issues with the full Board at that time. The Board and each of its committees also meets with, receives reports from, and works with management to navigate our company and businesses through the impacts of macroeconomic events as we seek to mitigate the effects through business, operational, financial and human capital management initiatives.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CORPORATE GOVERNANCE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695515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433" w:right="479" w:bottom="1440" w:gutter="0" w:footer="0" w:header="0"/>
        </w:sectPr>
      </w:pPr>
    </w:p>
    <w:bookmarkStart w:id="22" w:name="page23"/>
    <w:bookmarkEnd w:id="22"/>
    <w:p>
      <w:pPr>
        <w:spacing w:after="0" w:line="282" w:lineRule="auto"/>
        <w:rPr>
          <w:sz w:val="20"/>
          <w:szCs w:val="20"/>
          <w:color w:val="auto"/>
        </w:rPr>
      </w:pPr>
      <w:r>
        <w:rPr>
          <w:rFonts w:ascii="Arial" w:cs="Arial" w:eastAsia="Arial" w:hAnsi="Arial"/>
          <w:sz w:val="14"/>
          <w:szCs w:val="14"/>
          <w:color w:val="auto"/>
        </w:rPr>
        <w:t>Management is charged with managing risk. Management communicates routinely with the Board and Board committees on the significant risks that it has identified and how they are being managed. It provides the following reports and information to the Board’s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74295</wp:posOffset>
            </wp:positionV>
            <wp:extent cx="6948170" cy="19297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48170" cy="1929765"/>
                    </a:xfrm>
                    <a:prstGeom prst="rect">
                      <a:avLst/>
                    </a:prstGeom>
                    <a:noFill/>
                  </pic:spPr>
                </pic:pic>
              </a:graphicData>
            </a:graphic>
          </wp:anchor>
        </w:drawing>
      </w:r>
    </w:p>
    <w:p>
      <w:pPr>
        <w:sectPr>
          <w:pgSz w:w="11900" w:h="16838" w:orient="portrait"/>
          <w:cols w:equalWidth="0" w:num="1">
            <w:col w:w="10800"/>
          </w:cols>
          <w:pgMar w:left="480" w:top="221" w:right="619" w:bottom="1440" w:gutter="0" w:footer="0" w:header="0"/>
        </w:sectPr>
      </w:pPr>
    </w:p>
    <w:p>
      <w:pPr>
        <w:spacing w:after="0" w:line="26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 the Audit &amp; Risk Management Committee</w:t>
      </w:r>
    </w:p>
    <w:p>
      <w:pPr>
        <w:spacing w:after="0" w:line="75" w:lineRule="exact"/>
        <w:rPr>
          <w:sz w:val="20"/>
          <w:szCs w:val="20"/>
          <w:color w:val="auto"/>
        </w:rPr>
      </w:pPr>
    </w:p>
    <w:p>
      <w:pPr>
        <w:ind w:left="280" w:hanging="132"/>
        <w:spacing w:after="0" w:line="255" w:lineRule="auto"/>
        <w:tabs>
          <w:tab w:leader="none" w:pos="282" w:val="left"/>
        </w:tabs>
        <w:numPr>
          <w:ilvl w:val="0"/>
          <w:numId w:val="41"/>
        </w:numPr>
        <w:rPr>
          <w:rFonts w:ascii="Arial" w:cs="Arial" w:eastAsia="Arial" w:hAnsi="Arial"/>
          <w:sz w:val="14"/>
          <w:szCs w:val="14"/>
          <w:b w:val="1"/>
          <w:bCs w:val="1"/>
          <w:color w:val="auto"/>
        </w:rPr>
      </w:pPr>
      <w:r>
        <w:rPr>
          <w:rFonts w:ascii="Arial" w:cs="Arial" w:eastAsia="Arial" w:hAnsi="Arial"/>
          <w:sz w:val="14"/>
          <w:szCs w:val="14"/>
          <w:color w:val="auto"/>
        </w:rPr>
        <w:t>an annual enterprise risk management report that identifies our most significant operating risks and the mitigating factors that temper those risks, based on the results of an annual, in-depth exercise in which a broad spectrum of associates and executives from key areas and all regions work with an outside expert to identify relevant areas of risks and mitigating factors;</w:t>
      </w:r>
    </w:p>
    <w:p>
      <w:pPr>
        <w:spacing w:after="0" w:line="16" w:lineRule="exact"/>
        <w:rPr>
          <w:rFonts w:ascii="Arial" w:cs="Arial" w:eastAsia="Arial" w:hAnsi="Arial"/>
          <w:sz w:val="14"/>
          <w:szCs w:val="14"/>
          <w:b w:val="1"/>
          <w:bCs w:val="1"/>
          <w:color w:val="auto"/>
        </w:rPr>
      </w:pPr>
    </w:p>
    <w:p>
      <w:pPr>
        <w:ind w:left="280" w:right="60" w:hanging="132"/>
        <w:spacing w:after="0" w:line="264" w:lineRule="auto"/>
        <w:tabs>
          <w:tab w:leader="none" w:pos="282" w:val="left"/>
        </w:tabs>
        <w:numPr>
          <w:ilvl w:val="0"/>
          <w:numId w:val="41"/>
        </w:numPr>
        <w:rPr>
          <w:rFonts w:ascii="Arial" w:cs="Arial" w:eastAsia="Arial" w:hAnsi="Arial"/>
          <w:sz w:val="14"/>
          <w:szCs w:val="14"/>
          <w:color w:val="auto"/>
        </w:rPr>
      </w:pPr>
      <w:r>
        <w:rPr>
          <w:rFonts w:ascii="Arial" w:cs="Arial" w:eastAsia="Arial" w:hAnsi="Arial"/>
          <w:sz w:val="14"/>
          <w:szCs w:val="14"/>
          <w:color w:val="auto"/>
        </w:rPr>
        <w:t>quarterly reports on the status of our network security framework, the status of information security initiatives and any new security incidents, and strategies implemented to address those risks;</w:t>
      </w:r>
    </w:p>
    <w:p>
      <w:pPr>
        <w:spacing w:after="0" w:line="10" w:lineRule="exact"/>
        <w:rPr>
          <w:rFonts w:ascii="Arial" w:cs="Arial" w:eastAsia="Arial" w:hAnsi="Arial"/>
          <w:sz w:val="14"/>
          <w:szCs w:val="14"/>
          <w:color w:val="auto"/>
        </w:rPr>
      </w:pPr>
    </w:p>
    <w:p>
      <w:pPr>
        <w:ind w:left="280" w:right="200" w:hanging="132"/>
        <w:spacing w:after="0" w:line="258" w:lineRule="auto"/>
        <w:tabs>
          <w:tab w:leader="none" w:pos="282"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reports at all meetings (other than the quarterly calls to review earnings releases and periodic reports) on our cybersecurity and data privacy efforts, including an annual in-depth review of strategy and initiatives for the coming year, presented by our Chief Information Security Officer (“CISO”);</w:t>
      </w:r>
    </w:p>
    <w:p>
      <w:pPr>
        <w:spacing w:after="0" w:line="14" w:lineRule="exact"/>
        <w:rPr>
          <w:rFonts w:ascii="Arial" w:cs="Arial" w:eastAsia="Arial" w:hAnsi="Arial"/>
          <w:sz w:val="14"/>
          <w:szCs w:val="14"/>
          <w:color w:val="auto"/>
        </w:rPr>
      </w:pPr>
    </w:p>
    <w:p>
      <w:pPr>
        <w:ind w:left="280" w:right="40" w:hanging="132"/>
        <w:spacing w:after="0" w:line="282" w:lineRule="auto"/>
        <w:tabs>
          <w:tab w:leader="none" w:pos="282"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reports at most meetings on risks and developments relating to our IT systems upgrades;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jc w:val="both"/>
        <w:ind w:left="140" w:right="100" w:hanging="140"/>
        <w:spacing w:after="0" w:line="264" w:lineRule="auto"/>
        <w:tabs>
          <w:tab w:leader="none" w:pos="143" w:val="left"/>
        </w:tabs>
        <w:numPr>
          <w:ilvl w:val="0"/>
          <w:numId w:val="42"/>
        </w:numPr>
        <w:rPr>
          <w:rFonts w:ascii="Arial" w:cs="Arial" w:eastAsia="Arial" w:hAnsi="Arial"/>
          <w:sz w:val="14"/>
          <w:szCs w:val="14"/>
          <w:color w:val="auto"/>
        </w:rPr>
      </w:pPr>
      <w:r>
        <w:rPr>
          <w:rFonts w:ascii="Arial" w:cs="Arial" w:eastAsia="Arial" w:hAnsi="Arial"/>
          <w:sz w:val="14"/>
          <w:szCs w:val="14"/>
          <w:color w:val="auto"/>
        </w:rPr>
        <w:t>updates regarding changes in applicable accounting and financial reporting rules, as well as detailed presentations on significant accounting and financial reporting decisions made in connection with a press release or periodic report;</w:t>
      </w:r>
    </w:p>
    <w:p>
      <w:pPr>
        <w:spacing w:after="0" w:line="10" w:lineRule="exact"/>
        <w:rPr>
          <w:rFonts w:ascii="Arial" w:cs="Arial" w:eastAsia="Arial" w:hAnsi="Arial"/>
          <w:sz w:val="14"/>
          <w:szCs w:val="14"/>
          <w:color w:val="auto"/>
        </w:rPr>
      </w:pPr>
    </w:p>
    <w:p>
      <w:pPr>
        <w:ind w:left="140" w:right="120" w:hanging="140"/>
        <w:spacing w:after="0" w:line="258" w:lineRule="auto"/>
        <w:tabs>
          <w:tab w:leader="none" w:pos="143"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annual presentations from the global leads of our Compliance and Privacy teams (who report to our General Counsel) on the status and strategies of our global programs, significant caselaw and regulatory developments and reports, recent and planned training, and whistleblower hotline activity;</w:t>
      </w:r>
    </w:p>
    <w:p>
      <w:pPr>
        <w:spacing w:after="0" w:line="14" w:lineRule="exact"/>
        <w:rPr>
          <w:rFonts w:ascii="Arial" w:cs="Arial" w:eastAsia="Arial" w:hAnsi="Arial"/>
          <w:sz w:val="14"/>
          <w:szCs w:val="14"/>
          <w:color w:val="auto"/>
        </w:rPr>
      </w:pPr>
    </w:p>
    <w:p>
      <w:pPr>
        <w:ind w:left="140" w:right="260" w:hanging="140"/>
        <w:spacing w:after="0" w:line="280" w:lineRule="auto"/>
        <w:tabs>
          <w:tab w:leader="none" w:pos="143"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reports on claims of fraud and auditing and accounting irregularities, as well as legal claims with potentially material impact, when they arise; and</w:t>
      </w:r>
    </w:p>
    <w:p>
      <w:pPr>
        <w:spacing w:after="0" w:line="1" w:lineRule="exact"/>
        <w:rPr>
          <w:rFonts w:ascii="Arial" w:cs="Arial" w:eastAsia="Arial" w:hAnsi="Arial"/>
          <w:sz w:val="14"/>
          <w:szCs w:val="14"/>
          <w:color w:val="auto"/>
        </w:rPr>
      </w:pPr>
    </w:p>
    <w:p>
      <w:pPr>
        <w:ind w:left="140" w:hanging="140"/>
        <w:spacing w:after="0"/>
        <w:tabs>
          <w:tab w:leader="none" w:pos="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presentations on insurance and other areas of risk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683260</wp:posOffset>
            </wp:positionV>
            <wp:extent cx="6948170" cy="3213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48170" cy="321310"/>
                    </a:xfrm>
                    <a:prstGeom prst="rect">
                      <a:avLst/>
                    </a:prstGeom>
                    <a:noFill/>
                  </pic:spPr>
                </pic:pic>
              </a:graphicData>
            </a:graphic>
          </wp:anchor>
        </w:drawing>
      </w:r>
    </w:p>
    <w:p>
      <w:pPr>
        <w:spacing w:after="0" w:line="959" w:lineRule="exact"/>
        <w:rPr>
          <w:sz w:val="20"/>
          <w:szCs w:val="20"/>
          <w:color w:val="auto"/>
        </w:rPr>
      </w:pPr>
    </w:p>
    <w:p>
      <w:pPr>
        <w:sectPr>
          <w:pgSz w:w="11900" w:h="16838" w:orient="portrait"/>
          <w:cols w:equalWidth="0" w:num="2">
            <w:col w:w="5240" w:space="240"/>
            <w:col w:w="5320"/>
          </w:cols>
          <w:pgMar w:left="480" w:top="221" w:right="619" w:bottom="1440" w:gutter="0" w:footer="0" w:header="0"/>
          <w:type w:val="continuous"/>
        </w:sectPr>
      </w:pPr>
    </w:p>
    <w:p>
      <w:pPr>
        <w:spacing w:after="0" w:line="15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 the Compensation Committee</w:t>
      </w:r>
    </w:p>
    <w:p>
      <w:pPr>
        <w:spacing w:after="0" w:line="51" w:lineRule="exact"/>
        <w:rPr>
          <w:sz w:val="20"/>
          <w:szCs w:val="20"/>
          <w:color w:val="auto"/>
        </w:rPr>
      </w:pPr>
    </w:p>
    <w:p>
      <w:pPr>
        <w:ind w:left="300" w:hanging="152"/>
        <w:spacing w:after="0"/>
        <w:tabs>
          <w:tab w:leader="none" w:pos="300" w:val="left"/>
        </w:tabs>
        <w:numPr>
          <w:ilvl w:val="0"/>
          <w:numId w:val="43"/>
        </w:numPr>
        <w:rPr>
          <w:rFonts w:ascii="Arial" w:cs="Arial" w:eastAsia="Arial" w:hAnsi="Arial"/>
          <w:sz w:val="14"/>
          <w:szCs w:val="14"/>
          <w:b w:val="1"/>
          <w:bCs w:val="1"/>
          <w:color w:val="auto"/>
        </w:rPr>
      </w:pPr>
      <w:r>
        <w:rPr>
          <w:rFonts w:ascii="Arial" w:cs="Arial" w:eastAsia="Arial" w:hAnsi="Arial"/>
          <w:sz w:val="14"/>
          <w:szCs w:val="14"/>
          <w:color w:val="auto"/>
        </w:rPr>
        <w:t>an annual risk assessment that analyzes the risks represented by each component of the compensation program, as well as mitigating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160020</wp:posOffset>
            </wp:positionV>
            <wp:extent cx="6948170" cy="688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48170" cy="688340"/>
                    </a:xfrm>
                    <a:prstGeom prst="rect">
                      <a:avLst/>
                    </a:prstGeom>
                    <a:noFill/>
                  </pic:spPr>
                </pic:pic>
              </a:graphicData>
            </a:graphic>
          </wp:anchor>
        </w:drawing>
      </w:r>
    </w:p>
    <w:p>
      <w:pPr>
        <w:sectPr>
          <w:pgSz w:w="11900" w:h="16838" w:orient="portrait"/>
          <w:cols w:equalWidth="0" w:num="1">
            <w:col w:w="10800"/>
          </w:cols>
          <w:pgMar w:left="480" w:top="221" w:right="619" w:bottom="1440" w:gutter="0" w:footer="0" w:header="0"/>
          <w:type w:val="continuous"/>
        </w:sectPr>
      </w:pPr>
    </w:p>
    <w:p>
      <w:pPr>
        <w:spacing w:after="0" w:line="39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 the Nominating, Governance &amp; Management Development Committee</w:t>
      </w:r>
    </w:p>
    <w:p>
      <w:pPr>
        <w:spacing w:after="0" w:line="86" w:lineRule="exact"/>
        <w:rPr>
          <w:sz w:val="20"/>
          <w:szCs w:val="20"/>
          <w:color w:val="auto"/>
        </w:rPr>
      </w:pPr>
    </w:p>
    <w:p>
      <w:pPr>
        <w:ind w:left="280" w:hanging="132"/>
        <w:spacing w:after="0" w:line="264" w:lineRule="auto"/>
        <w:tabs>
          <w:tab w:leader="none" w:pos="282" w:val="left"/>
        </w:tabs>
        <w:numPr>
          <w:ilvl w:val="0"/>
          <w:numId w:val="44"/>
        </w:numPr>
        <w:rPr>
          <w:rFonts w:ascii="Arial" w:cs="Arial" w:eastAsia="Arial" w:hAnsi="Arial"/>
          <w:sz w:val="14"/>
          <w:szCs w:val="14"/>
          <w:b w:val="1"/>
          <w:bCs w:val="1"/>
          <w:color w:val="auto"/>
        </w:rPr>
      </w:pPr>
      <w:r>
        <w:rPr>
          <w:rFonts w:ascii="Arial" w:cs="Arial" w:eastAsia="Arial" w:hAnsi="Arial"/>
          <w:sz w:val="14"/>
          <w:szCs w:val="14"/>
          <w:color w:val="auto"/>
        </w:rPr>
        <w:t>the results of the rigorous annual evaluation program of individual directors, the Board and Board committees in order to determine if they are performing effectively and in the best interests of PVH and our stockholders;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jc w:val="both"/>
        <w:ind w:left="143" w:right="100" w:hanging="143"/>
        <w:spacing w:after="0" w:line="264" w:lineRule="auto"/>
        <w:tabs>
          <w:tab w:leader="none" w:pos="145" w:val="left"/>
        </w:tabs>
        <w:numPr>
          <w:ilvl w:val="0"/>
          <w:numId w:val="45"/>
        </w:numPr>
        <w:rPr>
          <w:rFonts w:ascii="Arial" w:cs="Arial" w:eastAsia="Arial" w:hAnsi="Arial"/>
          <w:sz w:val="14"/>
          <w:szCs w:val="14"/>
          <w:b w:val="1"/>
          <w:bCs w:val="1"/>
          <w:color w:val="auto"/>
        </w:rPr>
      </w:pPr>
      <w:r>
        <w:rPr>
          <w:rFonts w:ascii="Arial" w:cs="Arial" w:eastAsia="Arial" w:hAnsi="Arial"/>
          <w:sz w:val="14"/>
          <w:szCs w:val="14"/>
          <w:color w:val="auto"/>
        </w:rPr>
        <w:t>developments in governance practices in the areas of stockholder rights and board structure and governance, which are considered as part of the committee’s annual review of our policies and charter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231140</wp:posOffset>
            </wp:positionV>
            <wp:extent cx="6948170" cy="792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48170" cy="79248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240" w:space="157"/>
            <w:col w:w="5403"/>
          </w:cols>
          <w:pgMar w:left="480" w:top="221" w:right="619" w:bottom="1440" w:gutter="0" w:footer="0" w:header="0"/>
          <w:type w:val="continuous"/>
        </w:sectPr>
      </w:pPr>
    </w:p>
    <w:p>
      <w:pPr>
        <w:spacing w:after="0" w:line="27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 the Corporate Responsibility Committee</w:t>
      </w:r>
    </w:p>
    <w:p>
      <w:pPr>
        <w:spacing w:after="0" w:line="75" w:lineRule="exact"/>
        <w:rPr>
          <w:sz w:val="20"/>
          <w:szCs w:val="20"/>
          <w:color w:val="auto"/>
        </w:rPr>
      </w:pPr>
    </w:p>
    <w:p>
      <w:pPr>
        <w:ind w:left="280" w:hanging="132"/>
        <w:spacing w:after="0" w:line="258" w:lineRule="auto"/>
        <w:tabs>
          <w:tab w:leader="none" w:pos="282" w:val="left"/>
        </w:tabs>
        <w:numPr>
          <w:ilvl w:val="0"/>
          <w:numId w:val="46"/>
        </w:numPr>
        <w:rPr>
          <w:rFonts w:ascii="Arial" w:cs="Arial" w:eastAsia="Arial" w:hAnsi="Arial"/>
          <w:sz w:val="14"/>
          <w:szCs w:val="14"/>
          <w:b w:val="1"/>
          <w:bCs w:val="1"/>
          <w:color w:val="auto"/>
        </w:rPr>
      </w:pPr>
      <w:r>
        <w:rPr>
          <w:rFonts w:ascii="Arial" w:cs="Arial" w:eastAsia="Arial" w:hAnsi="Arial"/>
          <w:sz w:val="14"/>
          <w:szCs w:val="14"/>
          <w:color w:val="auto"/>
        </w:rPr>
        <w:t>our response to climate and environmental risk, including cross-sector collaboration on global solutions and relevant policies, and evolving business practices, such as reducing waste, prioritizing environmentally preferred raw materials, and investing in renewable energy;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ind w:left="143" w:right="600" w:hanging="143"/>
        <w:spacing w:after="0" w:line="282" w:lineRule="auto"/>
        <w:tabs>
          <w:tab w:leader="none" w:pos="145" w:val="left"/>
        </w:tabs>
        <w:numPr>
          <w:ilvl w:val="0"/>
          <w:numId w:val="47"/>
        </w:numPr>
        <w:rPr>
          <w:rFonts w:ascii="Arial" w:cs="Arial" w:eastAsia="Arial" w:hAnsi="Arial"/>
          <w:sz w:val="14"/>
          <w:szCs w:val="14"/>
          <w:b w:val="1"/>
          <w:bCs w:val="1"/>
          <w:color w:val="auto"/>
        </w:rPr>
      </w:pPr>
      <w:r>
        <w:rPr>
          <w:rFonts w:ascii="Arial" w:cs="Arial" w:eastAsia="Arial" w:hAnsi="Arial"/>
          <w:sz w:val="14"/>
          <w:szCs w:val="14"/>
          <w:color w:val="auto"/>
        </w:rPr>
        <w:t>updates on significant corporate responsibility-related events and activities impacting the industry, including human rights risks.</w:t>
      </w:r>
    </w:p>
    <w:p>
      <w:pPr>
        <w:spacing w:after="0" w:line="561" w:lineRule="exact"/>
        <w:rPr>
          <w:sz w:val="20"/>
          <w:szCs w:val="20"/>
          <w:color w:val="auto"/>
        </w:rPr>
      </w:pPr>
    </w:p>
    <w:p>
      <w:pPr>
        <w:sectPr>
          <w:pgSz w:w="11900" w:h="16838" w:orient="portrait"/>
          <w:cols w:equalWidth="0" w:num="2">
            <w:col w:w="5100" w:space="297"/>
            <w:col w:w="5403"/>
          </w:cols>
          <w:pgMar w:left="480" w:top="221" w:right="61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 xml:space="preserve">20 </w:t>
      </w:r>
      <w:r>
        <w:rPr>
          <w:rFonts w:ascii="Arial" w:cs="Arial" w:eastAsia="Arial" w:hAnsi="Arial"/>
          <w:sz w:val="10"/>
          <w:szCs w:val="10"/>
          <w:color w:val="auto"/>
        </w:rPr>
        <w:t>/ PVH CORP. 2026 PROXY STATEMENT /</w:t>
      </w:r>
      <w:r>
        <w:rPr>
          <w:rFonts w:ascii="Arial" w:cs="Arial" w:eastAsia="Arial" w:hAnsi="Arial"/>
          <w:sz w:val="10"/>
          <w:szCs w:val="10"/>
          <w:b w:val="1"/>
          <w:bCs w:val="1"/>
          <w:color w:val="auto"/>
        </w:rPr>
        <w:t xml:space="preserve"> </w:t>
      </w:r>
      <w:r>
        <w:rPr>
          <w:rFonts w:ascii="Arial" w:cs="Arial" w:eastAsia="Arial" w:hAnsi="Arial"/>
          <w:sz w:val="10"/>
          <w:szCs w:val="10"/>
          <w:b w:val="1"/>
          <w:bCs w:val="1"/>
          <w:color w:val="6D98A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228600</wp:posOffset>
            </wp:positionV>
            <wp:extent cx="6955155"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800"/>
          </w:cols>
          <w:pgMar w:left="480" w:top="221" w:right="61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296545</wp:posOffset>
            </wp:positionH>
            <wp:positionV relativeFrom="page">
              <wp:posOffset>186055</wp:posOffset>
            </wp:positionV>
            <wp:extent cx="6948170" cy="31788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48170" cy="3178810"/>
                    </a:xfrm>
                    <a:prstGeom prst="rect">
                      <a:avLst/>
                    </a:prstGeom>
                    <a:noFill/>
                  </pic:spPr>
                </pic:pic>
              </a:graphicData>
            </a:graphic>
          </wp:anchor>
        </w:drawing>
        <w:t>Cybersecurity and Data Privacy</w:t>
      </w:r>
    </w:p>
    <w:p>
      <w:pPr>
        <w:spacing w:after="0" w:line="127" w:lineRule="exact"/>
        <w:rPr>
          <w:sz w:val="20"/>
          <w:szCs w:val="20"/>
          <w:color w:val="auto"/>
        </w:rPr>
      </w:pPr>
    </w:p>
    <w:p>
      <w:pPr>
        <w:ind w:right="500"/>
        <w:spacing w:after="0" w:line="264" w:lineRule="auto"/>
        <w:rPr>
          <w:sz w:val="20"/>
          <w:szCs w:val="20"/>
          <w:color w:val="auto"/>
        </w:rPr>
      </w:pPr>
      <w:r>
        <w:rPr>
          <w:rFonts w:ascii="Arial" w:cs="Arial" w:eastAsia="Arial" w:hAnsi="Arial"/>
          <w:sz w:val="14"/>
          <w:szCs w:val="14"/>
          <w:color w:val="FFFFFF"/>
        </w:rPr>
        <w:t>Cybersecurity and Data Privacy are priority matters as part of our management of risks. Our principal objectives are to protect our information technology equipment, networks, systems, and data (associate, consumer, customer and other business partners) globally, as well as our intellectual property and confidential business information.</w:t>
      </w:r>
    </w:p>
    <w:p>
      <w:pPr>
        <w:spacing w:after="0" w:line="58" w:lineRule="exact"/>
        <w:rPr>
          <w:sz w:val="20"/>
          <w:szCs w:val="20"/>
          <w:color w:val="auto"/>
        </w:rPr>
      </w:pPr>
    </w:p>
    <w:p>
      <w:pPr>
        <w:ind w:right="340"/>
        <w:spacing w:after="0" w:line="255" w:lineRule="auto"/>
        <w:rPr>
          <w:sz w:val="20"/>
          <w:szCs w:val="20"/>
          <w:color w:val="auto"/>
        </w:rPr>
      </w:pPr>
      <w:r>
        <w:rPr>
          <w:rFonts w:ascii="Arial" w:cs="Arial" w:eastAsia="Arial" w:hAnsi="Arial"/>
          <w:sz w:val="14"/>
          <w:szCs w:val="14"/>
          <w:color w:val="FFFFFF"/>
        </w:rPr>
        <w:t>In support of these objectives, our Information Security Group (“ISG”), a function that spans our organization, has designed a strategy using the National Institute of Standards &amp; Technology (“NIST”) Cybersecurity Framework version 2.0 to mitigate cybersecurity risks that could result in the unauthorized access to and disruption of systems, as well as unauthorized access to and acquisition and manipulation of data. In addition, ISG regularly meets with its business partners on cyber risk education and mitigation through communication of our projects and standards. Our CISO, who reports to our Chief Technology and Information Officer, is responsible for implementing the cybersecurity strategy.</w:t>
      </w:r>
    </w:p>
    <w:p>
      <w:pPr>
        <w:spacing w:after="0" w:line="63" w:lineRule="exact"/>
        <w:rPr>
          <w:sz w:val="20"/>
          <w:szCs w:val="20"/>
          <w:color w:val="auto"/>
        </w:rPr>
      </w:pPr>
    </w:p>
    <w:p>
      <w:pPr>
        <w:ind w:right="320"/>
        <w:spacing w:after="0" w:line="264" w:lineRule="auto"/>
        <w:rPr>
          <w:sz w:val="20"/>
          <w:szCs w:val="20"/>
          <w:color w:val="auto"/>
        </w:rPr>
      </w:pPr>
      <w:r>
        <w:rPr>
          <w:rFonts w:ascii="Arial" w:cs="Arial" w:eastAsia="Arial" w:hAnsi="Arial"/>
          <w:sz w:val="14"/>
          <w:szCs w:val="14"/>
          <w:color w:val="FFFFFF"/>
        </w:rPr>
        <w:t>We have a cybersecurity incident response plan and dedicated teams to respond to incidents. Cross-functional teams assess priority and severity, and external experts, including legal counsel, may be consulted. Our cybersecurity teams respond to incidents based on severity levels and improve our plans through regular table top exercises, penetration tests and simulations.</w:t>
      </w:r>
    </w:p>
    <w:p>
      <w:pPr>
        <w:spacing w:after="0" w:line="58" w:lineRule="exact"/>
        <w:rPr>
          <w:sz w:val="20"/>
          <w:szCs w:val="20"/>
          <w:color w:val="auto"/>
        </w:rPr>
      </w:pPr>
    </w:p>
    <w:p>
      <w:pPr>
        <w:ind w:right="220"/>
        <w:spacing w:after="0" w:line="255" w:lineRule="auto"/>
        <w:rPr>
          <w:sz w:val="20"/>
          <w:szCs w:val="20"/>
          <w:color w:val="auto"/>
        </w:rPr>
      </w:pPr>
      <w:r>
        <w:rPr>
          <w:rFonts w:ascii="Arial" w:cs="Arial" w:eastAsia="Arial" w:hAnsi="Arial"/>
          <w:sz w:val="14"/>
          <w:szCs w:val="14"/>
          <w:color w:val="FFFFFF"/>
        </w:rPr>
        <w:t>ISG has implemented and continues to improve comprehensive cybersecurity standards, security tools, associate training programs, and security breach procedures to build a best-in-class program. An annual training program for all associates includes an online cybersecurity training course designed to educate associates on how to protect sensitive information and on best practices. To measure the effectiveness of this program, we deliver monthly phishing exercises and provide additional training to any associate who has demonstrated low levels of phishing awareness by failing testing. We also offer role-based training for regulatory compliance, and work with external partners to develop and deliver training to identify and mitigate cybersecurity risks.</w:t>
      </w:r>
    </w:p>
    <w:p>
      <w:pPr>
        <w:spacing w:after="0" w:line="63" w:lineRule="exact"/>
        <w:rPr>
          <w:sz w:val="20"/>
          <w:szCs w:val="20"/>
          <w:color w:val="auto"/>
        </w:rPr>
      </w:pPr>
    </w:p>
    <w:p>
      <w:pPr>
        <w:ind w:right="200"/>
        <w:spacing w:after="0" w:line="282" w:lineRule="auto"/>
        <w:rPr>
          <w:sz w:val="20"/>
          <w:szCs w:val="20"/>
          <w:color w:val="auto"/>
        </w:rPr>
      </w:pPr>
      <w:r>
        <w:rPr>
          <w:rFonts w:ascii="Arial" w:cs="Arial" w:eastAsia="Arial" w:hAnsi="Arial"/>
          <w:sz w:val="14"/>
          <w:szCs w:val="14"/>
          <w:color w:val="FFFFFF"/>
        </w:rPr>
        <w:t>In addition, we conduct cybersecurity assessments with independent firms and annual evaluations for compliance with PCI-DSS (Payment Card Industry — Data Security Standards), and benchmark maturity assessments aligned with the NIST Cybersecurity Framework.</w:t>
      </w:r>
    </w:p>
    <w:p>
      <w:pPr>
        <w:spacing w:after="0" w:line="46" w:lineRule="exact"/>
        <w:rPr>
          <w:sz w:val="20"/>
          <w:szCs w:val="20"/>
          <w:color w:val="auto"/>
        </w:rPr>
      </w:pPr>
    </w:p>
    <w:p>
      <w:pPr>
        <w:ind w:right="320"/>
        <w:spacing w:after="0" w:line="282" w:lineRule="auto"/>
        <w:rPr>
          <w:sz w:val="20"/>
          <w:szCs w:val="20"/>
          <w:color w:val="auto"/>
        </w:rPr>
      </w:pPr>
      <w:r>
        <w:rPr>
          <w:rFonts w:ascii="Arial" w:cs="Arial" w:eastAsia="Arial" w:hAnsi="Arial"/>
          <w:sz w:val="14"/>
          <w:szCs w:val="14"/>
          <w:color w:val="FFFFFF"/>
        </w:rPr>
        <w:t>Our Internal Audit Department evaluates our information security program and various information security and cybersecurity audits that are performed annually, as well as through internal controls testing under Section 404 of the Sarbanes-Oxley Act.</w:t>
      </w:r>
    </w:p>
    <w:p>
      <w:pPr>
        <w:spacing w:after="0" w:line="46" w:lineRule="exact"/>
        <w:rPr>
          <w:sz w:val="20"/>
          <w:szCs w:val="20"/>
          <w:color w:val="auto"/>
        </w:rPr>
      </w:pPr>
    </w:p>
    <w:p>
      <w:pPr>
        <w:ind w:right="240"/>
        <w:spacing w:after="0" w:line="264" w:lineRule="auto"/>
        <w:rPr>
          <w:sz w:val="20"/>
          <w:szCs w:val="20"/>
          <w:color w:val="auto"/>
        </w:rPr>
      </w:pPr>
      <w:r>
        <w:rPr>
          <w:rFonts w:ascii="Arial" w:cs="Arial" w:eastAsia="Arial" w:hAnsi="Arial"/>
          <w:sz w:val="14"/>
          <w:szCs w:val="14"/>
          <w:color w:val="FFFFFF"/>
        </w:rPr>
        <w:t>The Audit &amp; Risk Management Committee, with the support of management, engages an independent cybersecurity firm to provide advisory services and annual training and awareness to the Board. This provides the Board with an independent outside perspective on our cybersecurity program and keeps them abreast of cybersecurity trends affecting the industry.</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CORPORATE GOVERNANCE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220980</wp:posOffset>
            </wp:positionV>
            <wp:extent cx="695515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800"/>
          </w:cols>
          <w:pgMar w:left="620" w:top="406" w:right="479" w:bottom="1440" w:gutter="0" w:footer="0" w:header="0"/>
        </w:sectPr>
      </w:pPr>
    </w:p>
    <w:bookmarkStart w:id="24" w:name="page25"/>
    <w:bookmarkEnd w:id="24"/>
    <w:p>
      <w:pPr>
        <w:spacing w:after="0"/>
        <w:rPr>
          <w:sz w:val="20"/>
          <w:szCs w:val="20"/>
          <w:color w:val="auto"/>
        </w:rPr>
      </w:pPr>
      <w:r>
        <w:rPr>
          <w:rFonts w:ascii="Arial" w:cs="Arial" w:eastAsia="Arial" w:hAnsi="Arial"/>
          <w:sz w:val="28"/>
          <w:szCs w:val="28"/>
          <w:b w:val="1"/>
          <w:bCs w:val="1"/>
          <w:color w:val="6D98AD"/>
        </w:rPr>
        <w:t>Board, Committee and Director Evaluations</w:t>
      </w:r>
    </w:p>
    <w:p>
      <w:pPr>
        <w:spacing w:after="0" w:line="103" w:lineRule="exact"/>
        <w:rPr>
          <w:sz w:val="20"/>
          <w:szCs w:val="20"/>
          <w:color w:val="auto"/>
        </w:rPr>
      </w:pPr>
    </w:p>
    <w:p>
      <w:pPr>
        <w:ind w:right="240"/>
        <w:spacing w:after="0" w:line="264" w:lineRule="auto"/>
        <w:rPr>
          <w:sz w:val="20"/>
          <w:szCs w:val="20"/>
          <w:color w:val="auto"/>
        </w:rPr>
      </w:pPr>
      <w:r>
        <w:rPr>
          <w:rFonts w:ascii="Arial" w:cs="Arial" w:eastAsia="Arial" w:hAnsi="Arial"/>
          <w:sz w:val="14"/>
          <w:szCs w:val="14"/>
          <w:color w:val="auto"/>
        </w:rPr>
        <w:t>The Board believes it is important to address its role, the presentation topics at its meetings, and its capabilities and effectiveness on a regular basis. Board, director and committee evaluations — and discussions about the results of those evaluations — are integral to this process. The Nominating, Governance &amp; Management Development Committee oversees the annual Board evaluation process.</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1. Questionnaires designed and distributed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-93980</wp:posOffset>
            </wp:positionV>
            <wp:extent cx="67310" cy="8674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10" cy="867410"/>
                    </a:xfrm>
                    <a:prstGeom prst="rect">
                      <a:avLst/>
                    </a:prstGeom>
                    <a:noFill/>
                  </pic:spPr>
                </pic:pic>
              </a:graphicData>
            </a:graphic>
          </wp:anchor>
        </w:drawing>
      </w:r>
    </w:p>
    <w:p>
      <w:pPr>
        <w:spacing w:after="0" w:line="31" w:lineRule="exact"/>
        <w:rPr>
          <w:sz w:val="20"/>
          <w:szCs w:val="20"/>
          <w:color w:val="auto"/>
        </w:rPr>
      </w:pPr>
    </w:p>
    <w:p>
      <w:pPr>
        <w:ind w:left="400" w:right="420"/>
        <w:spacing w:after="0" w:line="251" w:lineRule="auto"/>
        <w:rPr>
          <w:sz w:val="20"/>
          <w:szCs w:val="20"/>
          <w:color w:val="auto"/>
        </w:rPr>
      </w:pPr>
      <w:r>
        <w:rPr>
          <w:rFonts w:ascii="Arial" w:cs="Arial" w:eastAsia="Arial" w:hAnsi="Arial"/>
          <w:sz w:val="14"/>
          <w:szCs w:val="14"/>
          <w:color w:val="auto"/>
        </w:rPr>
        <w:t>The Nominating, Governance &amp; Management Development Committee uses comprehensive questionnaires covering the Board and each committee. The Board questionnaire includes rated and open-ended questions about the individual performance of each director (in regard to commitment, participation, preparedness and contributions) and the willingness of directors to act independently and to constructively challenge management on strategy, decisions and performance. The Board and committee questionnaires also contain questions relevant to management on topics such as support of and responsiveness to the Board, availability of management outside of meetings, the content of presentations, the appropriateness of agenda items, and the sufficiency and timeliness of information provided to the Board in advance of or between meetings. Directors also complete individual self-assessments. The form and content of all our questionnaires are reviewed annually and revised as necessary.</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2. Responses collected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-86360</wp:posOffset>
            </wp:positionV>
            <wp:extent cx="67310" cy="3816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10" cy="381635"/>
                    </a:xfrm>
                    <a:prstGeom prst="rect">
                      <a:avLst/>
                    </a:prstGeom>
                    <a:noFill/>
                  </pic:spPr>
                </pic:pic>
              </a:graphicData>
            </a:graphic>
          </wp:anchor>
        </w:drawing>
      </w:r>
    </w:p>
    <w:p>
      <w:pPr>
        <w:spacing w:after="0" w:line="31" w:lineRule="exact"/>
        <w:rPr>
          <w:sz w:val="20"/>
          <w:szCs w:val="20"/>
          <w:color w:val="auto"/>
        </w:rPr>
      </w:pPr>
    </w:p>
    <w:p>
      <w:pPr>
        <w:jc w:val="both"/>
        <w:ind w:left="400" w:right="380"/>
        <w:spacing w:after="0" w:line="264" w:lineRule="auto"/>
        <w:rPr>
          <w:sz w:val="20"/>
          <w:szCs w:val="20"/>
          <w:color w:val="auto"/>
        </w:rPr>
      </w:pPr>
      <w:r>
        <w:rPr>
          <w:rFonts w:ascii="Arial" w:cs="Arial" w:eastAsia="Arial" w:hAnsi="Arial"/>
          <w:sz w:val="14"/>
          <w:szCs w:val="14"/>
          <w:color w:val="auto"/>
        </w:rPr>
        <w:t>All directors are required to complete these questionnaires and the self-assessment. The questionnaires for each committee are also completed by executives and outside advisors who regularly attend the relevant committee’s meetings. In addition, members of management provide feedback on the performance of the Board and individual directors.</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3. Results reviewed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-86360</wp:posOffset>
            </wp:positionV>
            <wp:extent cx="67310" cy="8451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10" cy="845185"/>
                    </a:xfrm>
                    <a:prstGeom prst="rect">
                      <a:avLst/>
                    </a:prstGeom>
                    <a:noFill/>
                  </pic:spPr>
                </pic:pic>
              </a:graphicData>
            </a:graphic>
          </wp:anchor>
        </w:drawing>
      </w:r>
    </w:p>
    <w:p>
      <w:pPr>
        <w:spacing w:after="0" w:line="3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results of the Board questionnaires and individual self-assessments, along with management’s feedback, are initially reviewed by the Nominating, Governance</w:t>
      </w:r>
    </w:p>
    <w:p>
      <w:pPr>
        <w:spacing w:after="0" w:line="18" w:lineRule="exact"/>
        <w:rPr>
          <w:sz w:val="20"/>
          <w:szCs w:val="20"/>
          <w:color w:val="auto"/>
        </w:rPr>
      </w:pPr>
    </w:p>
    <w:p>
      <w:pPr>
        <w:ind w:left="400" w:right="320" w:hanging="8"/>
        <w:spacing w:after="0" w:line="249" w:lineRule="auto"/>
        <w:tabs>
          <w:tab w:leader="none" w:pos="534" w:val="left"/>
        </w:tabs>
        <w:numPr>
          <w:ilvl w:val="0"/>
          <w:numId w:val="48"/>
        </w:numPr>
        <w:rPr>
          <w:rFonts w:ascii="Arial" w:cs="Arial" w:eastAsia="Arial" w:hAnsi="Arial"/>
          <w:sz w:val="14"/>
          <w:szCs w:val="14"/>
          <w:color w:val="auto"/>
        </w:rPr>
      </w:pPr>
      <w:r>
        <w:rPr>
          <w:rFonts w:ascii="Arial" w:cs="Arial" w:eastAsia="Arial" w:hAnsi="Arial"/>
          <w:sz w:val="14"/>
          <w:szCs w:val="14"/>
          <w:color w:val="auto"/>
        </w:rPr>
        <w:t>Management Development Committee to determine the key issues to be presented to the full Board, the manner of that presentation, and any issues to be addressed with individual directors. The aggregated results for the Board, along with comments (without attribution), are provided to every director, and the input regarding individual committees is provided to the committee members. The independent directors hold a meeting annually to discuss the results of and comments received on the Board questionnaires and to develop and implement plans for improvement. Similarly, the members of each committee consider their survey results and comments at a regular meeting.</w:t>
      </w:r>
    </w:p>
    <w:p>
      <w:pPr>
        <w:spacing w:after="0" w:line="27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4. Feedback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-78740</wp:posOffset>
            </wp:positionV>
            <wp:extent cx="67310" cy="9874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10" cy="987425"/>
                    </a:xfrm>
                    <a:prstGeom prst="rect">
                      <a:avLst/>
                    </a:prstGeom>
                    <a:noFill/>
                  </pic:spPr>
                </pic:pic>
              </a:graphicData>
            </a:graphic>
          </wp:anchor>
        </w:drawing>
      </w:r>
    </w:p>
    <w:p>
      <w:pPr>
        <w:spacing w:after="0" w:line="31" w:lineRule="exact"/>
        <w:rPr>
          <w:sz w:val="20"/>
          <w:szCs w:val="20"/>
          <w:color w:val="auto"/>
        </w:rPr>
      </w:pPr>
    </w:p>
    <w:p>
      <w:pPr>
        <w:ind w:left="400" w:right="360"/>
        <w:spacing w:after="0" w:line="251" w:lineRule="auto"/>
        <w:rPr>
          <w:sz w:val="20"/>
          <w:szCs w:val="20"/>
          <w:color w:val="auto"/>
        </w:rPr>
      </w:pPr>
      <w:r>
        <w:rPr>
          <w:rFonts w:ascii="Arial" w:cs="Arial" w:eastAsia="Arial" w:hAnsi="Arial"/>
          <w:sz w:val="14"/>
          <w:szCs w:val="14"/>
          <w:color w:val="auto"/>
        </w:rPr>
        <w:t>The Chair (or if the Chair is not an independent director, the presiding director) or the Chair of the Nominating, Governance &amp; Management Development Committee speaks to individual directors about personal performance issues raised and provides suggestions for improving performance or addressing particular needs. The Chair (or presiding director) also meets individually with each of the other independent directors on an annual basis to discuss their performance based on the Chair’s (or presiding director’s) own observations, management feedback, and discussion at meetings of the Nominating, Governance &amp; Management Development Committee. In addition, relevant findings are communicated to management if there is a need for solutions to improve the effectiveness of the Board and Board meetings. Finally, based on the results of this evaluation process, the Nominating, Governance &amp; Management Development Committee may request that directors seek out particular education programs or that the Board receive presentations on particular topics.</w:t>
      </w:r>
    </w:p>
    <w:p>
      <w:pPr>
        <w:spacing w:after="0" w:line="200" w:lineRule="exact"/>
        <w:rPr>
          <w:sz w:val="20"/>
          <w:szCs w:val="20"/>
          <w:color w:val="auto"/>
        </w:rPr>
      </w:pPr>
    </w:p>
    <w:p>
      <w:pPr>
        <w:spacing w:after="0" w:line="247"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The Nominating, Governance &amp; Management Development Committee intends to retain an outside consultant to assist with an assessment of the Board and the directors after it completes the current phase of the refreshment process.</w:t>
      </w:r>
    </w:p>
    <w:p>
      <w:pPr>
        <w:spacing w:after="0" w:line="13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22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695515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20"/>
          </w:cols>
          <w:pgMar w:left="480" w:top="221" w:right="499" w:bottom="1440" w:gutter="0" w:footer="0" w:header="0"/>
        </w:sectPr>
      </w:pPr>
    </w:p>
    <w:bookmarkStart w:id="25" w:name="page26"/>
    <w:bookmarkEnd w:id="25"/>
    <w:p>
      <w:pPr>
        <w:ind w:left="9"/>
        <w:spacing w:after="0"/>
        <w:rPr>
          <w:sz w:val="20"/>
          <w:szCs w:val="20"/>
          <w:color w:val="auto"/>
        </w:rPr>
      </w:pPr>
      <w:r>
        <w:rPr>
          <w:rFonts w:ascii="Arial" w:cs="Arial" w:eastAsia="Arial" w:hAnsi="Arial"/>
          <w:sz w:val="28"/>
          <w:szCs w:val="28"/>
          <w:b w:val="1"/>
          <w:bCs w:val="1"/>
          <w:color w:val="6D98AD"/>
        </w:rPr>
        <w:t>Board Refreshment</w:t>
      </w:r>
    </w:p>
    <w:p>
      <w:pPr>
        <w:spacing w:after="0" w:line="153" w:lineRule="exact"/>
        <w:rPr>
          <w:sz w:val="20"/>
          <w:szCs w:val="20"/>
          <w:color w:val="auto"/>
        </w:rPr>
      </w:pPr>
    </w:p>
    <w:p>
      <w:pPr>
        <w:ind w:left="9"/>
        <w:spacing w:after="0"/>
        <w:rPr>
          <w:sz w:val="20"/>
          <w:szCs w:val="20"/>
          <w:color w:val="auto"/>
        </w:rPr>
      </w:pPr>
      <w:r>
        <w:rPr>
          <w:rFonts w:ascii="Arial" w:cs="Arial" w:eastAsia="Arial" w:hAnsi="Arial"/>
          <w:sz w:val="22"/>
          <w:szCs w:val="22"/>
          <w:b w:val="1"/>
          <w:bCs w:val="1"/>
          <w:color w:val="auto"/>
        </w:rPr>
        <w:t>Evaluating current Board composition</w:t>
      </w:r>
    </w:p>
    <w:p>
      <w:pPr>
        <w:spacing w:after="0" w:line="62" w:lineRule="exact"/>
        <w:rPr>
          <w:sz w:val="20"/>
          <w:szCs w:val="20"/>
          <w:color w:val="auto"/>
        </w:rPr>
      </w:pPr>
    </w:p>
    <w:p>
      <w:pPr>
        <w:ind w:left="9" w:right="340"/>
        <w:spacing w:after="0" w:line="264" w:lineRule="auto"/>
        <w:rPr>
          <w:sz w:val="20"/>
          <w:szCs w:val="20"/>
          <w:color w:val="auto"/>
        </w:rPr>
      </w:pPr>
      <w:r>
        <w:rPr>
          <w:rFonts w:ascii="Arial" w:cs="Arial" w:eastAsia="Arial" w:hAnsi="Arial"/>
          <w:sz w:val="14"/>
          <w:szCs w:val="14"/>
          <w:color w:val="auto"/>
        </w:rPr>
        <w:t>The Nominating, Governance &amp; Management Development Committee follows a formal, ongoing process for director succession and is actively engaged in a refreshment process to ensure we have the appropriate breadth and depth of experience on the Board to effectively perform the Board’s responsibilities. The addition of four new independent directors in the last four years, and the fact that only four nominees have a tenure of nine to 12 years, demonstrates the success of this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4733925" cy="13538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33925" cy="1353820"/>
                    </a:xfrm>
                    <a:prstGeom prst="rect">
                      <a:avLst/>
                    </a:prstGeom>
                    <a:noFill/>
                  </pic:spPr>
                </pic:pic>
              </a:graphicData>
            </a:graphic>
          </wp:anchor>
        </w:drawing>
      </w:r>
    </w:p>
    <w:p>
      <w:pPr>
        <w:sectPr>
          <w:pgSz w:w="11900" w:h="16838" w:orient="portrait"/>
          <w:cols w:equalWidth="0" w:num="1">
            <w:col w:w="10949"/>
          </w:cols>
          <w:pgMar w:left="471" w:top="25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
        <w:spacing w:after="0"/>
        <w:rPr>
          <w:sz w:val="20"/>
          <w:szCs w:val="20"/>
          <w:color w:val="auto"/>
        </w:rPr>
      </w:pPr>
      <w:r>
        <w:rPr>
          <w:rFonts w:ascii="Arial" w:cs="Arial" w:eastAsia="Arial" w:hAnsi="Arial"/>
          <w:sz w:val="14"/>
          <w:szCs w:val="14"/>
          <w:color w:val="auto"/>
        </w:rPr>
        <w:t>The refreshment process has several goals:</w:t>
      </w:r>
    </w:p>
    <w:p>
      <w:pPr>
        <w:spacing w:after="0" w:line="157" w:lineRule="exact"/>
        <w:rPr>
          <w:sz w:val="20"/>
          <w:szCs w:val="20"/>
          <w:color w:val="auto"/>
        </w:rPr>
      </w:pPr>
    </w:p>
    <w:p>
      <w:pPr>
        <w:ind w:left="149" w:hanging="149"/>
        <w:spacing w:after="0"/>
        <w:tabs>
          <w:tab w:leader="none" w:pos="149" w:val="left"/>
        </w:tabs>
        <w:numPr>
          <w:ilvl w:val="0"/>
          <w:numId w:val="49"/>
        </w:numPr>
        <w:rPr>
          <w:rFonts w:ascii="Arial" w:cs="Arial" w:eastAsia="Arial" w:hAnsi="Arial"/>
          <w:sz w:val="14"/>
          <w:szCs w:val="14"/>
          <w:color w:val="auto"/>
        </w:rPr>
      </w:pPr>
      <w:r>
        <w:rPr>
          <w:rFonts w:ascii="Arial" w:cs="Arial" w:eastAsia="Arial" w:hAnsi="Arial"/>
          <w:sz w:val="14"/>
          <w:szCs w:val="14"/>
          <w:color w:val="auto"/>
        </w:rPr>
        <w:t>identify qualities and skills needed for service on our Board;</w:t>
      </w:r>
    </w:p>
    <w:p>
      <w:pPr>
        <w:spacing w:after="0" w:line="51" w:lineRule="exact"/>
        <w:rPr>
          <w:rFonts w:ascii="Arial" w:cs="Arial" w:eastAsia="Arial" w:hAnsi="Arial"/>
          <w:sz w:val="14"/>
          <w:szCs w:val="14"/>
          <w:color w:val="auto"/>
        </w:rPr>
      </w:pPr>
    </w:p>
    <w:p>
      <w:pPr>
        <w:ind w:left="149" w:hanging="149"/>
        <w:spacing w:after="0"/>
        <w:tabs>
          <w:tab w:leader="none" w:pos="149" w:val="left"/>
        </w:tabs>
        <w:numPr>
          <w:ilvl w:val="0"/>
          <w:numId w:val="49"/>
        </w:numPr>
        <w:rPr>
          <w:rFonts w:ascii="Arial" w:cs="Arial" w:eastAsia="Arial" w:hAnsi="Arial"/>
          <w:sz w:val="14"/>
          <w:szCs w:val="14"/>
          <w:color w:val="auto"/>
        </w:rPr>
      </w:pPr>
      <w:r>
        <w:rPr>
          <w:rFonts w:ascii="Arial" w:cs="Arial" w:eastAsia="Arial" w:hAnsi="Arial"/>
          <w:sz w:val="14"/>
          <w:szCs w:val="14"/>
          <w:color w:val="auto"/>
        </w:rPr>
        <w:t>identify the qualities and skills each current director possesses;</w:t>
      </w:r>
    </w:p>
    <w:p>
      <w:pPr>
        <w:spacing w:after="0" w:line="51" w:lineRule="exact"/>
        <w:rPr>
          <w:rFonts w:ascii="Arial" w:cs="Arial" w:eastAsia="Arial" w:hAnsi="Arial"/>
          <w:sz w:val="14"/>
          <w:szCs w:val="14"/>
          <w:color w:val="auto"/>
        </w:rPr>
      </w:pPr>
    </w:p>
    <w:p>
      <w:pPr>
        <w:ind w:left="149" w:right="20" w:hanging="149"/>
        <w:spacing w:after="0" w:line="280" w:lineRule="auto"/>
        <w:tabs>
          <w:tab w:leader="none" w:pos="151" w:val="left"/>
        </w:tabs>
        <w:numPr>
          <w:ilvl w:val="0"/>
          <w:numId w:val="49"/>
        </w:numPr>
        <w:rPr>
          <w:rFonts w:ascii="Arial" w:cs="Arial" w:eastAsia="Arial" w:hAnsi="Arial"/>
          <w:sz w:val="14"/>
          <w:szCs w:val="14"/>
          <w:color w:val="auto"/>
        </w:rPr>
      </w:pPr>
      <w:r>
        <w:rPr>
          <w:rFonts w:ascii="Arial" w:cs="Arial" w:eastAsia="Arial" w:hAnsi="Arial"/>
          <w:sz w:val="14"/>
          <w:szCs w:val="14"/>
          <w:color w:val="auto"/>
        </w:rPr>
        <w:t>assess how the current directors deploy their qualities and skills for the benefit of PVH;</w:t>
      </w:r>
    </w:p>
    <w:p>
      <w:pPr>
        <w:spacing w:after="0" w:line="1" w:lineRule="exact"/>
        <w:rPr>
          <w:rFonts w:ascii="Arial" w:cs="Arial" w:eastAsia="Arial" w:hAnsi="Arial"/>
          <w:sz w:val="14"/>
          <w:szCs w:val="14"/>
          <w:color w:val="auto"/>
        </w:rPr>
      </w:pPr>
    </w:p>
    <w:p>
      <w:pPr>
        <w:ind w:left="149" w:hanging="149"/>
        <w:spacing w:after="0" w:line="282" w:lineRule="auto"/>
        <w:tabs>
          <w:tab w:leader="none" w:pos="151" w:val="left"/>
        </w:tabs>
        <w:numPr>
          <w:ilvl w:val="0"/>
          <w:numId w:val="49"/>
        </w:numPr>
        <w:rPr>
          <w:rFonts w:ascii="Arial" w:cs="Arial" w:eastAsia="Arial" w:hAnsi="Arial"/>
          <w:sz w:val="14"/>
          <w:szCs w:val="14"/>
          <w:color w:val="auto"/>
        </w:rPr>
      </w:pPr>
      <w:r>
        <w:rPr>
          <w:rFonts w:ascii="Arial" w:cs="Arial" w:eastAsia="Arial" w:hAnsi="Arial"/>
          <w:sz w:val="14"/>
          <w:szCs w:val="14"/>
          <w:color w:val="auto"/>
        </w:rPr>
        <w:t>determine whether any additional skill sets or other attributes are necessary to fill gaps in the current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43" w:right="500" w:hanging="143"/>
        <w:spacing w:after="0" w:line="280" w:lineRule="auto"/>
        <w:tabs>
          <w:tab w:leader="none" w:pos="145" w:val="left"/>
        </w:tabs>
        <w:numPr>
          <w:ilvl w:val="0"/>
          <w:numId w:val="50"/>
        </w:numPr>
        <w:rPr>
          <w:rFonts w:ascii="Arial" w:cs="Arial" w:eastAsia="Arial" w:hAnsi="Arial"/>
          <w:sz w:val="14"/>
          <w:szCs w:val="14"/>
          <w:color w:val="auto"/>
        </w:rPr>
      </w:pPr>
      <w:r>
        <w:rPr>
          <w:rFonts w:ascii="Arial" w:cs="Arial" w:eastAsia="Arial" w:hAnsi="Arial"/>
          <w:sz w:val="14"/>
          <w:szCs w:val="14"/>
          <w:color w:val="auto"/>
        </w:rPr>
        <w:t>establish a succession strategy and execute against that strategy, including planning well in advance of mandatory retirements; and</w:t>
      </w:r>
    </w:p>
    <w:p>
      <w:pPr>
        <w:spacing w:after="0" w:line="1" w:lineRule="exact"/>
        <w:rPr>
          <w:rFonts w:ascii="Arial" w:cs="Arial" w:eastAsia="Arial" w:hAnsi="Arial"/>
          <w:sz w:val="14"/>
          <w:szCs w:val="14"/>
          <w:color w:val="auto"/>
        </w:rPr>
      </w:pPr>
    </w:p>
    <w:p>
      <w:pPr>
        <w:ind w:left="143" w:hanging="143"/>
        <w:spacing w:after="0"/>
        <w:tabs>
          <w:tab w:leader="none" w:pos="143" w:val="left"/>
        </w:tabs>
        <w:numPr>
          <w:ilvl w:val="0"/>
          <w:numId w:val="50"/>
        </w:numPr>
        <w:rPr>
          <w:rFonts w:ascii="Arial" w:cs="Arial" w:eastAsia="Arial" w:hAnsi="Arial"/>
          <w:sz w:val="14"/>
          <w:szCs w:val="14"/>
          <w:color w:val="auto"/>
        </w:rPr>
      </w:pPr>
      <w:r>
        <w:rPr>
          <w:rFonts w:ascii="Arial" w:cs="Arial" w:eastAsia="Arial" w:hAnsi="Arial"/>
          <w:sz w:val="14"/>
          <w:szCs w:val="14"/>
          <w:color w:val="auto"/>
        </w:rPr>
        <w:t>perform on-boarding and transitioning for new directors.</w:t>
      </w:r>
    </w:p>
    <w:p>
      <w:pPr>
        <w:spacing w:after="0" w:line="793" w:lineRule="exact"/>
        <w:rPr>
          <w:sz w:val="20"/>
          <w:szCs w:val="20"/>
          <w:color w:val="auto"/>
        </w:rPr>
      </w:pPr>
    </w:p>
    <w:p>
      <w:pPr>
        <w:sectPr>
          <w:pgSz w:w="11900" w:h="16838" w:orient="portrait"/>
          <w:cols w:equalWidth="0" w:num="2">
            <w:col w:w="5209" w:space="397"/>
            <w:col w:w="5343"/>
          </w:cols>
          <w:pgMar w:left="471" w:top="256" w:right="479" w:bottom="1440" w:gutter="0" w:footer="0" w:header="0"/>
          <w:type w:val="continuous"/>
        </w:sectPr>
      </w:pPr>
    </w:p>
    <w:p>
      <w:pPr>
        <w:ind w:left="9" w:right="20"/>
        <w:spacing w:after="0" w:line="255" w:lineRule="auto"/>
        <w:rPr>
          <w:sz w:val="20"/>
          <w:szCs w:val="20"/>
          <w:color w:val="auto"/>
        </w:rPr>
      </w:pPr>
      <w:r>
        <w:rPr>
          <w:rFonts w:ascii="Arial" w:cs="Arial" w:eastAsia="Arial" w:hAnsi="Arial"/>
          <w:sz w:val="14"/>
          <w:szCs w:val="14"/>
          <w:color w:val="auto"/>
        </w:rPr>
        <w:t>The Nominating, Governance &amp; Management Development Committee uses a skills matrix to assess the strengths and needs of the Board in relation to our current business strategy, expected future strategic needs, and the current state of our industry. The matrix incorporates areas of operating and industry experience that Committee members have determined should be represented on our Board, as well as skills that governance and self-regulatory organizations and our investors consider when evaluating boards of directors. Using directors’ self-assessments and assessments from the other directors and management, the Committee populates the matrix, showing the extent to which each current director has the desired qualities and skills.</w:t>
      </w:r>
    </w:p>
    <w:p>
      <w:pPr>
        <w:spacing w:after="0" w:line="63" w:lineRule="exact"/>
        <w:rPr>
          <w:sz w:val="20"/>
          <w:szCs w:val="20"/>
          <w:color w:val="auto"/>
        </w:rPr>
      </w:pPr>
    </w:p>
    <w:p>
      <w:pPr>
        <w:ind w:left="9" w:right="100"/>
        <w:spacing w:after="0" w:line="258" w:lineRule="auto"/>
        <w:rPr>
          <w:sz w:val="20"/>
          <w:szCs w:val="20"/>
          <w:color w:val="auto"/>
        </w:rPr>
      </w:pPr>
      <w:r>
        <w:rPr>
          <w:rFonts w:ascii="Arial" w:cs="Arial" w:eastAsia="Arial" w:hAnsi="Arial"/>
          <w:sz w:val="14"/>
          <w:szCs w:val="14"/>
          <w:color w:val="auto"/>
        </w:rPr>
        <w:t>The Nominating, Governance &amp; Management Development Committee regularly reviews the skills matrix, along with individual director demographics, tenure and committee memberships, and considers our total Board composition and demographics compared to our peers and evolving governance practices, to determine whether we need to add directors with specific qualities or skills. As part of the Board’s refreshment process, the Committee reviewed the skills matrix and decided to expand the desired skills and experience in 2024 to ensure the composition of the Board remains appropriate, including taking into account the company’s PVH+ Plan strategy announced in 2022.</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CORPORATE GOVERNANCE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256" w:right="479" w:bottom="1440" w:gutter="0" w:footer="0" w:header="0"/>
          <w:type w:val="continuous"/>
        </w:sectPr>
      </w:pPr>
    </w:p>
    <w:bookmarkStart w:id="26" w:name="page27"/>
    <w:bookmarkEnd w:id="26"/>
    <w:p>
      <w:pPr>
        <w:ind w:left="20"/>
        <w:spacing w:after="0"/>
        <w:rPr>
          <w:sz w:val="20"/>
          <w:szCs w:val="20"/>
          <w:color w:val="auto"/>
        </w:rPr>
      </w:pPr>
      <w:r>
        <w:rPr>
          <w:rFonts w:ascii="Arial" w:cs="Arial" w:eastAsia="Arial" w:hAnsi="Arial"/>
          <w:sz w:val="17"/>
          <w:szCs w:val="17"/>
          <w:b w:val="1"/>
          <w:bCs w:val="1"/>
          <w:color w:val="6D98AD"/>
        </w:rPr>
        <w:t>Director Nominee Skills</w:t>
      </w:r>
    </w:p>
    <w:p>
      <w:pPr>
        <w:spacing w:after="0" w:line="49" w:lineRule="exact"/>
        <w:rPr>
          <w:sz w:val="20"/>
          <w:szCs w:val="20"/>
          <w:color w:val="auto"/>
        </w:rPr>
      </w:pPr>
    </w:p>
    <w:p>
      <w:pPr>
        <w:ind w:left="20" w:right="20"/>
        <w:spacing w:after="0" w:line="264" w:lineRule="auto"/>
        <w:rPr>
          <w:sz w:val="20"/>
          <w:szCs w:val="20"/>
          <w:color w:val="auto"/>
        </w:rPr>
      </w:pPr>
      <w:r>
        <w:rPr>
          <w:rFonts w:ascii="Arial" w:cs="Arial" w:eastAsia="Arial" w:hAnsi="Arial"/>
          <w:sz w:val="14"/>
          <w:szCs w:val="14"/>
          <w:color w:val="auto"/>
        </w:rPr>
        <w:t>We believe our directors should possess high personal and professional ethics and integrity and be committed to representing the long-term interests of our stockholders. We endeavor to have a Board representing a range of experience in areas that are relevant to the global nature of our operations and the PVH+ Plan. We believe that the following are key areas of experience, qualifications and skills that should be represented on the Board.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C-Suite Experience</w:t>
            </w:r>
          </w:p>
        </w:tc>
        <w:tc>
          <w:tcPr>
            <w:tcW w:w="7140" w:type="dxa"/>
            <w:vAlign w:val="bottom"/>
            <w:shd w:val="clear" w:color="auto" w:fill="E9F0F3"/>
          </w:tcPr>
          <w:p>
            <w:pPr>
              <w:spacing w:after="0"/>
              <w:rPr>
                <w:sz w:val="20"/>
                <w:szCs w:val="20"/>
                <w:color w:val="auto"/>
              </w:rPr>
            </w:pPr>
            <w:r>
              <w:rPr>
                <w:rFonts w:ascii="Arial" w:cs="Arial" w:eastAsia="Arial" w:hAnsi="Arial"/>
                <w:sz w:val="14"/>
                <w:szCs w:val="14"/>
                <w:color w:val="auto"/>
              </w:rPr>
              <w:t>Experience in a C-suite position enables a director to provide us with valuable insight into organizational</w:t>
            </w:r>
          </w:p>
        </w:tc>
        <w:tc>
          <w:tcPr>
            <w:tcW w:w="20" w:type="dxa"/>
            <w:vAlign w:val="bottom"/>
          </w:tcPr>
          <w:p>
            <w:pPr>
              <w:spacing w:after="0"/>
              <w:rPr>
                <w:sz w:val="18"/>
                <w:szCs w:val="18"/>
                <w:color w:val="auto"/>
              </w:rPr>
            </w:pPr>
          </w:p>
        </w:tc>
      </w:tr>
      <w:tr>
        <w:trPr>
          <w:trHeight w:val="165"/>
        </w:trPr>
        <w:tc>
          <w:tcPr>
            <w:tcW w:w="3800" w:type="dxa"/>
            <w:vAlign w:val="bottom"/>
            <w:shd w:val="clear" w:color="auto" w:fill="E9F0F3"/>
          </w:tcPr>
          <w:p>
            <w:pPr>
              <w:spacing w:after="0"/>
              <w:rPr>
                <w:sz w:val="14"/>
                <w:szCs w:val="14"/>
                <w:color w:val="auto"/>
              </w:rPr>
            </w:pPr>
          </w:p>
        </w:tc>
        <w:tc>
          <w:tcPr>
            <w:tcW w:w="7140" w:type="dxa"/>
            <w:vAlign w:val="bottom"/>
            <w:shd w:val="clear" w:color="auto" w:fill="E9F0F3"/>
          </w:tcPr>
          <w:p>
            <w:pPr>
              <w:spacing w:after="0"/>
              <w:rPr>
                <w:sz w:val="20"/>
                <w:szCs w:val="20"/>
                <w:color w:val="auto"/>
              </w:rPr>
            </w:pPr>
            <w:r>
              <w:rPr>
                <w:rFonts w:ascii="Arial" w:cs="Arial" w:eastAsia="Arial" w:hAnsi="Arial"/>
                <w:sz w:val="14"/>
                <w:szCs w:val="14"/>
                <w:color w:val="auto"/>
              </w:rPr>
              <w:t>behavior and processes, an understanding of strategy development and execution, important knowledge about</w:t>
            </w:r>
          </w:p>
        </w:tc>
        <w:tc>
          <w:tcPr>
            <w:tcW w:w="20" w:type="dxa"/>
            <w:vAlign w:val="bottom"/>
          </w:tcPr>
          <w:p>
            <w:pPr>
              <w:spacing w:after="0"/>
              <w:rPr>
                <w:sz w:val="14"/>
                <w:szCs w:val="14"/>
                <w:color w:val="auto"/>
              </w:rPr>
            </w:pPr>
          </w:p>
        </w:tc>
      </w:tr>
      <w:tr>
        <w:trPr>
          <w:trHeight w:val="186"/>
        </w:trPr>
        <w:tc>
          <w:tcPr>
            <w:tcW w:w="3800" w:type="dxa"/>
            <w:vAlign w:val="bottom"/>
            <w:shd w:val="clear" w:color="auto" w:fill="E9F0F3"/>
          </w:tcPr>
          <w:p>
            <w:pPr>
              <w:spacing w:after="0"/>
              <w:rPr>
                <w:sz w:val="16"/>
                <w:szCs w:val="16"/>
                <w:color w:val="auto"/>
              </w:rPr>
            </w:pPr>
          </w:p>
        </w:tc>
        <w:tc>
          <w:tcPr>
            <w:tcW w:w="7140" w:type="dxa"/>
            <w:vAlign w:val="bottom"/>
            <w:shd w:val="clear" w:color="auto" w:fill="E9F0F3"/>
          </w:tcPr>
          <w:p>
            <w:pPr>
              <w:spacing w:after="0"/>
              <w:rPr>
                <w:sz w:val="20"/>
                <w:szCs w:val="20"/>
                <w:color w:val="auto"/>
              </w:rPr>
            </w:pPr>
            <w:r>
              <w:rPr>
                <w:rFonts w:ascii="Arial" w:cs="Arial" w:eastAsia="Arial" w:hAnsi="Arial"/>
                <w:sz w:val="14"/>
                <w:szCs w:val="14"/>
                <w:color w:val="auto"/>
              </w:rPr>
              <w:t>a range of challenges and issues facing large companies, and deep functional expertise.</w:t>
            </w:r>
          </w:p>
        </w:tc>
        <w:tc>
          <w:tcPr>
            <w:tcW w:w="20" w:type="dxa"/>
            <w:vAlign w:val="bottom"/>
          </w:tcPr>
          <w:p>
            <w:pPr>
              <w:spacing w:after="0"/>
              <w:rPr>
                <w:sz w:val="16"/>
                <w:szCs w:val="16"/>
                <w:color w:val="auto"/>
              </w:rPr>
            </w:pPr>
          </w:p>
        </w:tc>
      </w:tr>
      <w:tr>
        <w:trPr>
          <w:trHeight w:val="74"/>
        </w:trPr>
        <w:tc>
          <w:tcPr>
            <w:tcW w:w="3800" w:type="dxa"/>
            <w:vAlign w:val="bottom"/>
            <w:shd w:val="clear" w:color="auto" w:fill="E9F0F3"/>
          </w:tcPr>
          <w:p>
            <w:pPr>
              <w:spacing w:after="0"/>
              <w:rPr>
                <w:sz w:val="6"/>
                <w:szCs w:val="6"/>
                <w:color w:val="auto"/>
              </w:rPr>
            </w:pPr>
          </w:p>
        </w:tc>
        <w:tc>
          <w:tcPr>
            <w:tcW w:w="7140" w:type="dxa"/>
            <w:vAlign w:val="bottom"/>
            <w:shd w:val="clear" w:color="auto" w:fill="E9F0F3"/>
          </w:tcPr>
          <w:p>
            <w:pPr>
              <w:spacing w:after="0"/>
              <w:rPr>
                <w:sz w:val="6"/>
                <w:szCs w:val="6"/>
                <w:color w:val="auto"/>
              </w:rPr>
            </w:pPr>
          </w:p>
        </w:tc>
        <w:tc>
          <w:tcPr>
            <w:tcW w:w="20" w:type="dxa"/>
            <w:vAlign w:val="bottom"/>
          </w:tcPr>
          <w:p>
            <w:pPr>
              <w:spacing w:after="0"/>
              <w:rPr>
                <w:sz w:val="6"/>
                <w:szCs w:val="6"/>
                <w:color w:val="auto"/>
              </w:rPr>
            </w:pPr>
          </w:p>
        </w:tc>
      </w:tr>
      <w:tr>
        <w:trPr>
          <w:trHeight w:val="211"/>
        </w:trPr>
        <w:tc>
          <w:tcPr>
            <w:tcW w:w="3800" w:type="dxa"/>
            <w:vAlign w:val="bottom"/>
          </w:tcPr>
          <w:p>
            <w:pPr>
              <w:ind w:left="60"/>
              <w:spacing w:after="0"/>
              <w:rPr>
                <w:sz w:val="20"/>
                <w:szCs w:val="20"/>
                <w:color w:val="auto"/>
              </w:rPr>
            </w:pPr>
            <w:r>
              <w:rPr>
                <w:rFonts w:ascii="Arial" w:cs="Arial" w:eastAsia="Arial" w:hAnsi="Arial"/>
                <w:sz w:val="14"/>
                <w:szCs w:val="14"/>
                <w:b w:val="1"/>
                <w:bCs w:val="1"/>
                <w:color w:val="auto"/>
              </w:rPr>
              <w:t>Business Unit Leadership Experience</w:t>
            </w:r>
          </w:p>
        </w:tc>
        <w:tc>
          <w:tcPr>
            <w:tcW w:w="7140" w:type="dxa"/>
            <w:vAlign w:val="bottom"/>
          </w:tcPr>
          <w:p>
            <w:pPr>
              <w:spacing w:after="0"/>
              <w:rPr>
                <w:sz w:val="20"/>
                <w:szCs w:val="20"/>
                <w:color w:val="auto"/>
              </w:rPr>
            </w:pPr>
            <w:r>
              <w:rPr>
                <w:rFonts w:ascii="Arial" w:cs="Arial" w:eastAsia="Arial" w:hAnsi="Arial"/>
                <w:sz w:val="14"/>
                <w:szCs w:val="14"/>
                <w:color w:val="auto"/>
              </w:rPr>
              <w:t>Directors with business leadership experience within a large enterprise offer us practical and tested</w:t>
            </w:r>
          </w:p>
        </w:tc>
        <w:tc>
          <w:tcPr>
            <w:tcW w:w="20" w:type="dxa"/>
            <w:vAlign w:val="bottom"/>
          </w:tcPr>
          <w:p>
            <w:pPr>
              <w:spacing w:after="0"/>
              <w:rPr>
                <w:sz w:val="18"/>
                <w:szCs w:val="18"/>
                <w:color w:val="auto"/>
              </w:rPr>
            </w:pPr>
          </w:p>
        </w:tc>
      </w:tr>
      <w:tr>
        <w:trPr>
          <w:trHeight w:val="165"/>
        </w:trPr>
        <w:tc>
          <w:tcPr>
            <w:tcW w:w="3800" w:type="dxa"/>
            <w:vAlign w:val="bottom"/>
          </w:tcPr>
          <w:p>
            <w:pPr>
              <w:spacing w:after="0"/>
              <w:rPr>
                <w:sz w:val="14"/>
                <w:szCs w:val="14"/>
                <w:color w:val="auto"/>
              </w:rPr>
            </w:pPr>
          </w:p>
        </w:tc>
        <w:tc>
          <w:tcPr>
            <w:tcW w:w="7140" w:type="dxa"/>
            <w:vAlign w:val="bottom"/>
          </w:tcPr>
          <w:p>
            <w:pPr>
              <w:spacing w:after="0"/>
              <w:rPr>
                <w:sz w:val="20"/>
                <w:szCs w:val="20"/>
                <w:color w:val="auto"/>
              </w:rPr>
            </w:pPr>
            <w:r>
              <w:rPr>
                <w:rFonts w:ascii="Arial" w:cs="Arial" w:eastAsia="Arial" w:hAnsi="Arial"/>
                <w:sz w:val="14"/>
                <w:szCs w:val="14"/>
                <w:color w:val="auto"/>
              </w:rPr>
              <w:t>perspectives on oversight of organization and strategic planning, including in the areas of talent development,</w:t>
            </w:r>
          </w:p>
        </w:tc>
        <w:tc>
          <w:tcPr>
            <w:tcW w:w="20" w:type="dxa"/>
            <w:vAlign w:val="bottom"/>
          </w:tcPr>
          <w:p>
            <w:pPr>
              <w:spacing w:after="0"/>
              <w:rPr>
                <w:sz w:val="14"/>
                <w:szCs w:val="14"/>
                <w:color w:val="auto"/>
              </w:rPr>
            </w:pPr>
          </w:p>
        </w:tc>
      </w:tr>
      <w:tr>
        <w:trPr>
          <w:trHeight w:val="186"/>
        </w:trPr>
        <w:tc>
          <w:tcPr>
            <w:tcW w:w="3800" w:type="dxa"/>
            <w:vAlign w:val="bottom"/>
          </w:tcPr>
          <w:p>
            <w:pPr>
              <w:spacing w:after="0"/>
              <w:rPr>
                <w:sz w:val="16"/>
                <w:szCs w:val="16"/>
                <w:color w:val="auto"/>
              </w:rPr>
            </w:pPr>
          </w:p>
        </w:tc>
        <w:tc>
          <w:tcPr>
            <w:tcW w:w="7140" w:type="dxa"/>
            <w:vAlign w:val="bottom"/>
          </w:tcPr>
          <w:p>
            <w:pPr>
              <w:spacing w:after="0"/>
              <w:rPr>
                <w:sz w:val="20"/>
                <w:szCs w:val="20"/>
                <w:color w:val="auto"/>
              </w:rPr>
            </w:pPr>
            <w:r>
              <w:rPr>
                <w:rFonts w:ascii="Arial" w:cs="Arial" w:eastAsia="Arial" w:hAnsi="Arial"/>
                <w:sz w:val="14"/>
                <w:szCs w:val="14"/>
                <w:color w:val="auto"/>
              </w:rPr>
              <w:t>driving change and long-term growth.</w:t>
            </w:r>
          </w:p>
        </w:tc>
        <w:tc>
          <w:tcPr>
            <w:tcW w:w="20" w:type="dxa"/>
            <w:vAlign w:val="bottom"/>
          </w:tcPr>
          <w:p>
            <w:pPr>
              <w:spacing w:after="0"/>
              <w:rPr>
                <w:sz w:val="16"/>
                <w:szCs w:val="16"/>
                <w:color w:val="auto"/>
              </w:rPr>
            </w:pPr>
          </w:p>
        </w:tc>
      </w:tr>
      <w:tr>
        <w:trPr>
          <w:trHeight w:val="74"/>
        </w:trPr>
        <w:tc>
          <w:tcPr>
            <w:tcW w:w="3800" w:type="dxa"/>
            <w:vAlign w:val="bottom"/>
          </w:tcPr>
          <w:p>
            <w:pPr>
              <w:spacing w:after="0"/>
              <w:rPr>
                <w:sz w:val="6"/>
                <w:szCs w:val="6"/>
                <w:color w:val="auto"/>
              </w:rPr>
            </w:pPr>
          </w:p>
        </w:tc>
        <w:tc>
          <w:tcPr>
            <w:tcW w:w="71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11"/>
        </w:trPr>
        <w:tc>
          <w:tcPr>
            <w:tcW w:w="38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Financial Expertise</w:t>
            </w:r>
          </w:p>
        </w:tc>
        <w:tc>
          <w:tcPr>
            <w:tcW w:w="7140" w:type="dxa"/>
            <w:vAlign w:val="bottom"/>
            <w:shd w:val="clear" w:color="auto" w:fill="E9F0F3"/>
          </w:tcPr>
          <w:p>
            <w:pPr>
              <w:spacing w:after="0"/>
              <w:rPr>
                <w:sz w:val="20"/>
                <w:szCs w:val="20"/>
                <w:color w:val="auto"/>
              </w:rPr>
            </w:pPr>
            <w:r>
              <w:rPr>
                <w:rFonts w:ascii="Arial" w:cs="Arial" w:eastAsia="Arial" w:hAnsi="Arial"/>
                <w:sz w:val="14"/>
                <w:szCs w:val="14"/>
                <w:color w:val="auto"/>
              </w:rPr>
              <w:t>Knowledge of financial markets, financing and financial reporting processes enables a director to provide us</w:t>
            </w:r>
          </w:p>
        </w:tc>
        <w:tc>
          <w:tcPr>
            <w:tcW w:w="20" w:type="dxa"/>
            <w:vAlign w:val="bottom"/>
          </w:tcPr>
          <w:p>
            <w:pPr>
              <w:spacing w:after="0"/>
              <w:rPr>
                <w:sz w:val="18"/>
                <w:szCs w:val="18"/>
                <w:color w:val="auto"/>
              </w:rPr>
            </w:pPr>
          </w:p>
        </w:tc>
      </w:tr>
      <w:tr>
        <w:trPr>
          <w:trHeight w:val="165"/>
        </w:trPr>
        <w:tc>
          <w:tcPr>
            <w:tcW w:w="3800" w:type="dxa"/>
            <w:vAlign w:val="bottom"/>
            <w:shd w:val="clear" w:color="auto" w:fill="E9F0F3"/>
          </w:tcPr>
          <w:p>
            <w:pPr>
              <w:spacing w:after="0"/>
              <w:rPr>
                <w:sz w:val="14"/>
                <w:szCs w:val="14"/>
                <w:color w:val="auto"/>
              </w:rPr>
            </w:pPr>
          </w:p>
        </w:tc>
        <w:tc>
          <w:tcPr>
            <w:tcW w:w="7140" w:type="dxa"/>
            <w:vAlign w:val="bottom"/>
            <w:shd w:val="clear" w:color="auto" w:fill="E9F0F3"/>
          </w:tcPr>
          <w:p>
            <w:pPr>
              <w:spacing w:after="0"/>
              <w:rPr>
                <w:sz w:val="20"/>
                <w:szCs w:val="20"/>
                <w:color w:val="auto"/>
              </w:rPr>
            </w:pPr>
            <w:r>
              <w:rPr>
                <w:rFonts w:ascii="Arial" w:cs="Arial" w:eastAsia="Arial" w:hAnsi="Arial"/>
                <w:sz w:val="14"/>
                <w:szCs w:val="14"/>
                <w:color w:val="auto"/>
              </w:rPr>
              <w:t>with effective oversight and advice in respect of our financial position, financing activities and capital structure</w:t>
            </w:r>
          </w:p>
        </w:tc>
        <w:tc>
          <w:tcPr>
            <w:tcW w:w="20" w:type="dxa"/>
            <w:vAlign w:val="bottom"/>
          </w:tcPr>
          <w:p>
            <w:pPr>
              <w:spacing w:after="0"/>
              <w:rPr>
                <w:sz w:val="14"/>
                <w:szCs w:val="14"/>
                <w:color w:val="auto"/>
              </w:rPr>
            </w:pPr>
          </w:p>
        </w:tc>
      </w:tr>
      <w:tr>
        <w:trPr>
          <w:trHeight w:val="186"/>
        </w:trPr>
        <w:tc>
          <w:tcPr>
            <w:tcW w:w="3800" w:type="dxa"/>
            <w:vAlign w:val="bottom"/>
            <w:shd w:val="clear" w:color="auto" w:fill="E9F0F3"/>
          </w:tcPr>
          <w:p>
            <w:pPr>
              <w:spacing w:after="0"/>
              <w:rPr>
                <w:sz w:val="16"/>
                <w:szCs w:val="16"/>
                <w:color w:val="auto"/>
              </w:rPr>
            </w:pPr>
          </w:p>
        </w:tc>
        <w:tc>
          <w:tcPr>
            <w:tcW w:w="7140" w:type="dxa"/>
            <w:vAlign w:val="bottom"/>
            <w:shd w:val="clear" w:color="auto" w:fill="E9F0F3"/>
          </w:tcPr>
          <w:p>
            <w:pPr>
              <w:spacing w:after="0"/>
              <w:rPr>
                <w:sz w:val="20"/>
                <w:szCs w:val="20"/>
                <w:color w:val="auto"/>
              </w:rPr>
            </w:pPr>
            <w:r>
              <w:rPr>
                <w:rFonts w:ascii="Arial" w:cs="Arial" w:eastAsia="Arial" w:hAnsi="Arial"/>
                <w:sz w:val="14"/>
                <w:szCs w:val="14"/>
                <w:color w:val="auto"/>
              </w:rPr>
              <w:t>and financial reporting.</w:t>
            </w:r>
          </w:p>
        </w:tc>
        <w:tc>
          <w:tcPr>
            <w:tcW w:w="20" w:type="dxa"/>
            <w:vAlign w:val="bottom"/>
          </w:tcPr>
          <w:p>
            <w:pPr>
              <w:spacing w:after="0"/>
              <w:rPr>
                <w:sz w:val="16"/>
                <w:szCs w:val="16"/>
                <w:color w:val="auto"/>
              </w:rPr>
            </w:pPr>
          </w:p>
        </w:tc>
      </w:tr>
      <w:tr>
        <w:trPr>
          <w:trHeight w:val="74"/>
        </w:trPr>
        <w:tc>
          <w:tcPr>
            <w:tcW w:w="3800" w:type="dxa"/>
            <w:vAlign w:val="bottom"/>
            <w:shd w:val="clear" w:color="auto" w:fill="E9F0F3"/>
          </w:tcPr>
          <w:p>
            <w:pPr>
              <w:spacing w:after="0"/>
              <w:rPr>
                <w:sz w:val="6"/>
                <w:szCs w:val="6"/>
                <w:color w:val="auto"/>
              </w:rPr>
            </w:pPr>
          </w:p>
        </w:tc>
        <w:tc>
          <w:tcPr>
            <w:tcW w:w="7140" w:type="dxa"/>
            <w:vAlign w:val="bottom"/>
            <w:shd w:val="clear" w:color="auto" w:fill="E9F0F3"/>
          </w:tcPr>
          <w:p>
            <w:pPr>
              <w:spacing w:after="0"/>
              <w:rPr>
                <w:sz w:val="6"/>
                <w:szCs w:val="6"/>
                <w:color w:val="auto"/>
              </w:rPr>
            </w:pPr>
          </w:p>
        </w:tc>
        <w:tc>
          <w:tcPr>
            <w:tcW w:w="20" w:type="dxa"/>
            <w:vAlign w:val="bottom"/>
          </w:tcPr>
          <w:p>
            <w:pPr>
              <w:spacing w:after="0"/>
              <w:rPr>
                <w:sz w:val="6"/>
                <w:szCs w:val="6"/>
                <w:color w:val="auto"/>
              </w:rPr>
            </w:pPr>
          </w:p>
        </w:tc>
      </w:tr>
      <w:tr>
        <w:trPr>
          <w:trHeight w:val="211"/>
        </w:trPr>
        <w:tc>
          <w:tcPr>
            <w:tcW w:w="3800" w:type="dxa"/>
            <w:vAlign w:val="bottom"/>
          </w:tcPr>
          <w:p>
            <w:pPr>
              <w:ind w:left="60"/>
              <w:spacing w:after="0"/>
              <w:rPr>
                <w:sz w:val="20"/>
                <w:szCs w:val="20"/>
                <w:color w:val="auto"/>
              </w:rPr>
            </w:pPr>
            <w:r>
              <w:rPr>
                <w:rFonts w:ascii="Arial" w:cs="Arial" w:eastAsia="Arial" w:hAnsi="Arial"/>
                <w:sz w:val="14"/>
                <w:szCs w:val="14"/>
                <w:b w:val="1"/>
                <w:bCs w:val="1"/>
                <w:color w:val="auto"/>
              </w:rPr>
              <w:t>Consumer Products or Services</w:t>
            </w:r>
          </w:p>
        </w:tc>
        <w:tc>
          <w:tcPr>
            <w:tcW w:w="7140" w:type="dxa"/>
            <w:vAlign w:val="bottom"/>
          </w:tcPr>
          <w:p>
            <w:pPr>
              <w:spacing w:after="0"/>
              <w:rPr>
                <w:sz w:val="20"/>
                <w:szCs w:val="20"/>
                <w:color w:val="auto"/>
              </w:rPr>
            </w:pPr>
            <w:r>
              <w:rPr>
                <w:rFonts w:ascii="Arial" w:cs="Arial" w:eastAsia="Arial" w:hAnsi="Arial"/>
                <w:sz w:val="14"/>
                <w:szCs w:val="14"/>
                <w:color w:val="auto"/>
              </w:rPr>
              <w:t>Directors with expertise in consumer products and services have experience and perspectives that are</w:t>
            </w:r>
          </w:p>
        </w:tc>
        <w:tc>
          <w:tcPr>
            <w:tcW w:w="20" w:type="dxa"/>
            <w:vAlign w:val="bottom"/>
          </w:tcPr>
          <w:p>
            <w:pPr>
              <w:spacing w:after="0"/>
              <w:rPr>
                <w:sz w:val="18"/>
                <w:szCs w:val="18"/>
                <w:color w:val="auto"/>
              </w:rPr>
            </w:pPr>
          </w:p>
        </w:tc>
      </w:tr>
      <w:tr>
        <w:trPr>
          <w:trHeight w:val="186"/>
        </w:trPr>
        <w:tc>
          <w:tcPr>
            <w:tcW w:w="3800" w:type="dxa"/>
            <w:vAlign w:val="bottom"/>
          </w:tcPr>
          <w:p>
            <w:pPr>
              <w:spacing w:after="0"/>
              <w:rPr>
                <w:sz w:val="16"/>
                <w:szCs w:val="16"/>
                <w:color w:val="auto"/>
              </w:rPr>
            </w:pPr>
          </w:p>
        </w:tc>
        <w:tc>
          <w:tcPr>
            <w:tcW w:w="7140" w:type="dxa"/>
            <w:vAlign w:val="bottom"/>
          </w:tcPr>
          <w:p>
            <w:pPr>
              <w:spacing w:after="0"/>
              <w:rPr>
                <w:sz w:val="20"/>
                <w:szCs w:val="20"/>
                <w:color w:val="auto"/>
              </w:rPr>
            </w:pPr>
            <w:r>
              <w:rPr>
                <w:rFonts w:ascii="Arial" w:cs="Arial" w:eastAsia="Arial" w:hAnsi="Arial"/>
                <w:sz w:val="14"/>
                <w:szCs w:val="14"/>
                <w:color w:val="auto"/>
              </w:rPr>
              <w:t>essential to the execution of our growth strategy and efforts to increase market share in a competitive industry.</w:t>
            </w:r>
          </w:p>
        </w:tc>
        <w:tc>
          <w:tcPr>
            <w:tcW w:w="20" w:type="dxa"/>
            <w:vAlign w:val="bottom"/>
          </w:tcPr>
          <w:p>
            <w:pPr>
              <w:spacing w:after="0"/>
              <w:rPr>
                <w:sz w:val="16"/>
                <w:szCs w:val="16"/>
                <w:color w:val="auto"/>
              </w:rPr>
            </w:pPr>
          </w:p>
        </w:tc>
      </w:tr>
      <w:tr>
        <w:trPr>
          <w:trHeight w:val="74"/>
        </w:trPr>
        <w:tc>
          <w:tcPr>
            <w:tcW w:w="3800" w:type="dxa"/>
            <w:vAlign w:val="bottom"/>
          </w:tcPr>
          <w:p>
            <w:pPr>
              <w:spacing w:after="0"/>
              <w:rPr>
                <w:sz w:val="6"/>
                <w:szCs w:val="6"/>
                <w:color w:val="auto"/>
              </w:rPr>
            </w:pPr>
          </w:p>
        </w:tc>
        <w:tc>
          <w:tcPr>
            <w:tcW w:w="71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11"/>
        </w:trPr>
        <w:tc>
          <w:tcPr>
            <w:tcW w:w="38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Digital/E-commerce</w:t>
            </w:r>
          </w:p>
        </w:tc>
        <w:tc>
          <w:tcPr>
            <w:tcW w:w="7140" w:type="dxa"/>
            <w:vAlign w:val="bottom"/>
            <w:shd w:val="clear" w:color="auto" w:fill="E9F0F3"/>
          </w:tcPr>
          <w:p>
            <w:pPr>
              <w:spacing w:after="0"/>
              <w:rPr>
                <w:sz w:val="20"/>
                <w:szCs w:val="20"/>
                <w:color w:val="auto"/>
              </w:rPr>
            </w:pPr>
            <w:r>
              <w:rPr>
                <w:rFonts w:ascii="Arial" w:cs="Arial" w:eastAsia="Arial" w:hAnsi="Arial"/>
                <w:sz w:val="14"/>
                <w:szCs w:val="14"/>
                <w:color w:val="auto"/>
              </w:rPr>
              <w:t>In-depth knowledge of or experience with digital transformations and digital workflows enables a director to</w:t>
            </w:r>
          </w:p>
        </w:tc>
        <w:tc>
          <w:tcPr>
            <w:tcW w:w="20" w:type="dxa"/>
            <w:vAlign w:val="bottom"/>
          </w:tcPr>
          <w:p>
            <w:pPr>
              <w:spacing w:after="0"/>
              <w:rPr>
                <w:sz w:val="18"/>
                <w:szCs w:val="18"/>
                <w:color w:val="auto"/>
              </w:rPr>
            </w:pPr>
          </w:p>
        </w:tc>
      </w:tr>
      <w:tr>
        <w:trPr>
          <w:trHeight w:val="165"/>
        </w:trPr>
        <w:tc>
          <w:tcPr>
            <w:tcW w:w="3800" w:type="dxa"/>
            <w:vAlign w:val="bottom"/>
            <w:shd w:val="clear" w:color="auto" w:fill="E9F0F3"/>
          </w:tcPr>
          <w:p>
            <w:pPr>
              <w:spacing w:after="0"/>
              <w:rPr>
                <w:sz w:val="14"/>
                <w:szCs w:val="14"/>
                <w:color w:val="auto"/>
              </w:rPr>
            </w:pPr>
          </w:p>
        </w:tc>
        <w:tc>
          <w:tcPr>
            <w:tcW w:w="7140" w:type="dxa"/>
            <w:vAlign w:val="bottom"/>
            <w:shd w:val="clear" w:color="auto" w:fill="E9F0F3"/>
          </w:tcPr>
          <w:p>
            <w:pPr>
              <w:spacing w:after="0"/>
              <w:rPr>
                <w:sz w:val="20"/>
                <w:szCs w:val="20"/>
                <w:color w:val="auto"/>
              </w:rPr>
            </w:pPr>
            <w:r>
              <w:rPr>
                <w:rFonts w:ascii="Arial" w:cs="Arial" w:eastAsia="Arial" w:hAnsi="Arial"/>
                <w:sz w:val="14"/>
                <w:szCs w:val="14"/>
                <w:color w:val="auto"/>
              </w:rPr>
              <w:t>provide us with insight and advice in support of our digital-first, 360-degree consumer engagement to win with</w:t>
            </w:r>
          </w:p>
        </w:tc>
        <w:tc>
          <w:tcPr>
            <w:tcW w:w="20" w:type="dxa"/>
            <w:vAlign w:val="bottom"/>
          </w:tcPr>
          <w:p>
            <w:pPr>
              <w:spacing w:after="0"/>
              <w:rPr>
                <w:sz w:val="14"/>
                <w:szCs w:val="14"/>
                <w:color w:val="auto"/>
              </w:rPr>
            </w:pPr>
          </w:p>
        </w:tc>
      </w:tr>
      <w:tr>
        <w:trPr>
          <w:trHeight w:val="186"/>
        </w:trPr>
        <w:tc>
          <w:tcPr>
            <w:tcW w:w="3800" w:type="dxa"/>
            <w:vAlign w:val="bottom"/>
            <w:shd w:val="clear" w:color="auto" w:fill="E9F0F3"/>
          </w:tcPr>
          <w:p>
            <w:pPr>
              <w:spacing w:after="0"/>
              <w:rPr>
                <w:sz w:val="16"/>
                <w:szCs w:val="16"/>
                <w:color w:val="auto"/>
              </w:rPr>
            </w:pPr>
          </w:p>
        </w:tc>
        <w:tc>
          <w:tcPr>
            <w:tcW w:w="7140" w:type="dxa"/>
            <w:vAlign w:val="bottom"/>
            <w:shd w:val="clear" w:color="auto" w:fill="E9F0F3"/>
          </w:tcPr>
          <w:p>
            <w:pPr>
              <w:spacing w:after="0"/>
              <w:rPr>
                <w:sz w:val="20"/>
                <w:szCs w:val="20"/>
                <w:color w:val="auto"/>
              </w:rPr>
            </w:pPr>
            <w:r>
              <w:rPr>
                <w:rFonts w:ascii="Arial" w:cs="Arial" w:eastAsia="Arial" w:hAnsi="Arial"/>
                <w:sz w:val="14"/>
                <w:szCs w:val="14"/>
                <w:color w:val="auto"/>
              </w:rPr>
              <w:t>and meet consumers on their terms in new and engaging ways.</w:t>
            </w:r>
          </w:p>
        </w:tc>
        <w:tc>
          <w:tcPr>
            <w:tcW w:w="20" w:type="dxa"/>
            <w:vAlign w:val="bottom"/>
          </w:tcPr>
          <w:p>
            <w:pPr>
              <w:spacing w:after="0"/>
              <w:rPr>
                <w:sz w:val="16"/>
                <w:szCs w:val="16"/>
                <w:color w:val="auto"/>
              </w:rPr>
            </w:pPr>
          </w:p>
        </w:tc>
      </w:tr>
      <w:tr>
        <w:trPr>
          <w:trHeight w:val="74"/>
        </w:trPr>
        <w:tc>
          <w:tcPr>
            <w:tcW w:w="3800" w:type="dxa"/>
            <w:vAlign w:val="bottom"/>
            <w:shd w:val="clear" w:color="auto" w:fill="E9F0F3"/>
          </w:tcPr>
          <w:p>
            <w:pPr>
              <w:spacing w:after="0"/>
              <w:rPr>
                <w:sz w:val="6"/>
                <w:szCs w:val="6"/>
                <w:color w:val="auto"/>
              </w:rPr>
            </w:pPr>
          </w:p>
        </w:tc>
        <w:tc>
          <w:tcPr>
            <w:tcW w:w="7140" w:type="dxa"/>
            <w:vAlign w:val="bottom"/>
            <w:shd w:val="clear" w:color="auto" w:fill="E9F0F3"/>
          </w:tcPr>
          <w:p>
            <w:pPr>
              <w:spacing w:after="0"/>
              <w:rPr>
                <w:sz w:val="6"/>
                <w:szCs w:val="6"/>
                <w:color w:val="auto"/>
              </w:rPr>
            </w:pPr>
          </w:p>
        </w:tc>
        <w:tc>
          <w:tcPr>
            <w:tcW w:w="20" w:type="dxa"/>
            <w:vAlign w:val="bottom"/>
          </w:tcPr>
          <w:p>
            <w:pPr>
              <w:spacing w:after="0"/>
              <w:rPr>
                <w:sz w:val="6"/>
                <w:szCs w:val="6"/>
                <w:color w:val="auto"/>
              </w:rPr>
            </w:pPr>
          </w:p>
        </w:tc>
      </w:tr>
      <w:tr>
        <w:trPr>
          <w:trHeight w:val="211"/>
        </w:trPr>
        <w:tc>
          <w:tcPr>
            <w:tcW w:w="3800" w:type="dxa"/>
            <w:vAlign w:val="bottom"/>
          </w:tcPr>
          <w:p>
            <w:pPr>
              <w:ind w:left="60"/>
              <w:spacing w:after="0"/>
              <w:rPr>
                <w:sz w:val="20"/>
                <w:szCs w:val="20"/>
                <w:color w:val="auto"/>
              </w:rPr>
            </w:pPr>
            <w:r>
              <w:rPr>
                <w:rFonts w:ascii="Arial" w:cs="Arial" w:eastAsia="Arial" w:hAnsi="Arial"/>
                <w:sz w:val="14"/>
                <w:szCs w:val="14"/>
                <w:b w:val="1"/>
                <w:bCs w:val="1"/>
                <w:color w:val="auto"/>
              </w:rPr>
              <w:t>Technology/Cyber Risk/Information Security</w:t>
            </w:r>
          </w:p>
        </w:tc>
        <w:tc>
          <w:tcPr>
            <w:tcW w:w="7140" w:type="dxa"/>
            <w:vAlign w:val="bottom"/>
          </w:tcPr>
          <w:p>
            <w:pPr>
              <w:spacing w:after="0"/>
              <w:rPr>
                <w:sz w:val="20"/>
                <w:szCs w:val="20"/>
                <w:color w:val="auto"/>
              </w:rPr>
            </w:pPr>
            <w:r>
              <w:rPr>
                <w:rFonts w:ascii="Arial" w:cs="Arial" w:eastAsia="Arial" w:hAnsi="Arial"/>
                <w:sz w:val="14"/>
                <w:szCs w:val="14"/>
                <w:color w:val="auto"/>
              </w:rPr>
              <w:t>Directors with a background or experience in information technology/software, cybersecurity or technology can</w:t>
            </w:r>
          </w:p>
        </w:tc>
        <w:tc>
          <w:tcPr>
            <w:tcW w:w="20" w:type="dxa"/>
            <w:vAlign w:val="bottom"/>
          </w:tcPr>
          <w:p>
            <w:pPr>
              <w:spacing w:after="0"/>
              <w:rPr>
                <w:sz w:val="18"/>
                <w:szCs w:val="18"/>
                <w:color w:val="auto"/>
              </w:rPr>
            </w:pPr>
          </w:p>
        </w:tc>
      </w:tr>
      <w:tr>
        <w:trPr>
          <w:trHeight w:val="165"/>
        </w:trPr>
        <w:tc>
          <w:tcPr>
            <w:tcW w:w="3800" w:type="dxa"/>
            <w:vAlign w:val="bottom"/>
          </w:tcPr>
          <w:p>
            <w:pPr>
              <w:spacing w:after="0"/>
              <w:rPr>
                <w:sz w:val="14"/>
                <w:szCs w:val="14"/>
                <w:color w:val="auto"/>
              </w:rPr>
            </w:pPr>
          </w:p>
        </w:tc>
        <w:tc>
          <w:tcPr>
            <w:tcW w:w="7140" w:type="dxa"/>
            <w:vAlign w:val="bottom"/>
          </w:tcPr>
          <w:p>
            <w:pPr>
              <w:spacing w:after="0"/>
              <w:rPr>
                <w:sz w:val="20"/>
                <w:szCs w:val="20"/>
                <w:color w:val="auto"/>
              </w:rPr>
            </w:pPr>
            <w:r>
              <w:rPr>
                <w:rFonts w:ascii="Arial" w:cs="Arial" w:eastAsia="Arial" w:hAnsi="Arial"/>
                <w:sz w:val="14"/>
                <w:szCs w:val="14"/>
                <w:color w:val="auto"/>
              </w:rPr>
              <w:t>offer valuable perspectives on the development of advanced technologies and innovative solutions, and also</w:t>
            </w:r>
          </w:p>
        </w:tc>
        <w:tc>
          <w:tcPr>
            <w:tcW w:w="20" w:type="dxa"/>
            <w:vAlign w:val="bottom"/>
          </w:tcPr>
          <w:p>
            <w:pPr>
              <w:spacing w:after="0"/>
              <w:rPr>
                <w:sz w:val="14"/>
                <w:szCs w:val="14"/>
                <w:color w:val="auto"/>
              </w:rPr>
            </w:pPr>
          </w:p>
        </w:tc>
      </w:tr>
      <w:tr>
        <w:trPr>
          <w:trHeight w:val="186"/>
        </w:trPr>
        <w:tc>
          <w:tcPr>
            <w:tcW w:w="3800" w:type="dxa"/>
            <w:vAlign w:val="bottom"/>
          </w:tcPr>
          <w:p>
            <w:pPr>
              <w:spacing w:after="0"/>
              <w:rPr>
                <w:sz w:val="16"/>
                <w:szCs w:val="16"/>
                <w:color w:val="auto"/>
              </w:rPr>
            </w:pPr>
          </w:p>
        </w:tc>
        <w:tc>
          <w:tcPr>
            <w:tcW w:w="7140" w:type="dxa"/>
            <w:vAlign w:val="bottom"/>
          </w:tcPr>
          <w:p>
            <w:pPr>
              <w:spacing w:after="0"/>
              <w:rPr>
                <w:sz w:val="20"/>
                <w:szCs w:val="20"/>
                <w:color w:val="auto"/>
              </w:rPr>
            </w:pPr>
            <w:r>
              <w:rPr>
                <w:rFonts w:ascii="Arial" w:cs="Arial" w:eastAsia="Arial" w:hAnsi="Arial"/>
                <w:sz w:val="14"/>
                <w:szCs w:val="14"/>
                <w:color w:val="auto"/>
              </w:rPr>
              <w:t>serve a critical role in the Board’s oversight of cybersecurity risks.</w:t>
            </w:r>
          </w:p>
        </w:tc>
        <w:tc>
          <w:tcPr>
            <w:tcW w:w="20" w:type="dxa"/>
            <w:vAlign w:val="bottom"/>
          </w:tcPr>
          <w:p>
            <w:pPr>
              <w:spacing w:after="0"/>
              <w:rPr>
                <w:sz w:val="16"/>
                <w:szCs w:val="16"/>
                <w:color w:val="auto"/>
              </w:rPr>
            </w:pPr>
          </w:p>
        </w:tc>
      </w:tr>
      <w:tr>
        <w:trPr>
          <w:trHeight w:val="74"/>
        </w:trPr>
        <w:tc>
          <w:tcPr>
            <w:tcW w:w="3800" w:type="dxa"/>
            <w:vAlign w:val="bottom"/>
          </w:tcPr>
          <w:p>
            <w:pPr>
              <w:spacing w:after="0"/>
              <w:rPr>
                <w:sz w:val="6"/>
                <w:szCs w:val="6"/>
                <w:color w:val="auto"/>
              </w:rPr>
            </w:pPr>
          </w:p>
        </w:tc>
        <w:tc>
          <w:tcPr>
            <w:tcW w:w="71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11"/>
        </w:trPr>
        <w:tc>
          <w:tcPr>
            <w:tcW w:w="38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Regulatory/Corporate Governance</w:t>
            </w:r>
          </w:p>
        </w:tc>
        <w:tc>
          <w:tcPr>
            <w:tcW w:w="7140" w:type="dxa"/>
            <w:vAlign w:val="bottom"/>
            <w:shd w:val="clear" w:color="auto" w:fill="E9F0F3"/>
          </w:tcPr>
          <w:p>
            <w:pPr>
              <w:spacing w:after="0"/>
              <w:rPr>
                <w:sz w:val="20"/>
                <w:szCs w:val="20"/>
                <w:color w:val="auto"/>
              </w:rPr>
            </w:pPr>
            <w:r>
              <w:rPr>
                <w:rFonts w:ascii="Arial" w:cs="Arial" w:eastAsia="Arial" w:hAnsi="Arial"/>
                <w:sz w:val="14"/>
                <w:szCs w:val="14"/>
                <w:color w:val="auto"/>
              </w:rPr>
              <w:t>Directors with knowledge of the legal and regulatory framework in which we operate help evaluate risks and</w:t>
            </w:r>
          </w:p>
        </w:tc>
        <w:tc>
          <w:tcPr>
            <w:tcW w:w="20" w:type="dxa"/>
            <w:vAlign w:val="bottom"/>
          </w:tcPr>
          <w:p>
            <w:pPr>
              <w:spacing w:after="0"/>
              <w:rPr>
                <w:sz w:val="18"/>
                <w:szCs w:val="18"/>
                <w:color w:val="auto"/>
              </w:rPr>
            </w:pPr>
          </w:p>
        </w:tc>
      </w:tr>
      <w:tr>
        <w:trPr>
          <w:trHeight w:val="165"/>
        </w:trPr>
        <w:tc>
          <w:tcPr>
            <w:tcW w:w="3800" w:type="dxa"/>
            <w:vAlign w:val="bottom"/>
            <w:shd w:val="clear" w:color="auto" w:fill="E9F0F3"/>
          </w:tcPr>
          <w:p>
            <w:pPr>
              <w:spacing w:after="0"/>
              <w:rPr>
                <w:sz w:val="14"/>
                <w:szCs w:val="14"/>
                <w:color w:val="auto"/>
              </w:rPr>
            </w:pPr>
          </w:p>
        </w:tc>
        <w:tc>
          <w:tcPr>
            <w:tcW w:w="7140" w:type="dxa"/>
            <w:vAlign w:val="bottom"/>
            <w:shd w:val="clear" w:color="auto" w:fill="E9F0F3"/>
          </w:tcPr>
          <w:p>
            <w:pPr>
              <w:spacing w:after="0"/>
              <w:rPr>
                <w:sz w:val="20"/>
                <w:szCs w:val="20"/>
                <w:color w:val="auto"/>
              </w:rPr>
            </w:pPr>
            <w:r>
              <w:rPr>
                <w:rFonts w:ascii="Arial" w:cs="Arial" w:eastAsia="Arial" w:hAnsi="Arial"/>
                <w:sz w:val="14"/>
                <w:szCs w:val="14"/>
                <w:color w:val="auto"/>
              </w:rPr>
              <w:t>how our business may be impacted by governmental actions, public policy, and regulatory changes and</w:t>
            </w:r>
          </w:p>
        </w:tc>
        <w:tc>
          <w:tcPr>
            <w:tcW w:w="20" w:type="dxa"/>
            <w:vAlign w:val="bottom"/>
          </w:tcPr>
          <w:p>
            <w:pPr>
              <w:spacing w:after="0"/>
              <w:rPr>
                <w:sz w:val="14"/>
                <w:szCs w:val="14"/>
                <w:color w:val="auto"/>
              </w:rPr>
            </w:pPr>
          </w:p>
        </w:tc>
      </w:tr>
      <w:tr>
        <w:trPr>
          <w:trHeight w:val="165"/>
        </w:trPr>
        <w:tc>
          <w:tcPr>
            <w:tcW w:w="3800" w:type="dxa"/>
            <w:vAlign w:val="bottom"/>
            <w:shd w:val="clear" w:color="auto" w:fill="E9F0F3"/>
          </w:tcPr>
          <w:p>
            <w:pPr>
              <w:spacing w:after="0"/>
              <w:rPr>
                <w:sz w:val="14"/>
                <w:szCs w:val="14"/>
                <w:color w:val="auto"/>
              </w:rPr>
            </w:pPr>
          </w:p>
        </w:tc>
        <w:tc>
          <w:tcPr>
            <w:tcW w:w="7140" w:type="dxa"/>
            <w:vAlign w:val="bottom"/>
            <w:shd w:val="clear" w:color="auto" w:fill="E9F0F3"/>
          </w:tcPr>
          <w:p>
            <w:pPr>
              <w:spacing w:after="0"/>
              <w:rPr>
                <w:sz w:val="20"/>
                <w:szCs w:val="20"/>
                <w:color w:val="auto"/>
              </w:rPr>
            </w:pPr>
            <w:r>
              <w:rPr>
                <w:rFonts w:ascii="Arial" w:cs="Arial" w:eastAsia="Arial" w:hAnsi="Arial"/>
                <w:sz w:val="14"/>
                <w:szCs w:val="14"/>
                <w:color w:val="auto"/>
              </w:rPr>
              <w:t>enforcement, and also ensure that the Board performs its obligations and operates with stockholders in mind in</w:t>
            </w:r>
          </w:p>
        </w:tc>
        <w:tc>
          <w:tcPr>
            <w:tcW w:w="20" w:type="dxa"/>
            <w:vAlign w:val="bottom"/>
          </w:tcPr>
          <w:p>
            <w:pPr>
              <w:spacing w:after="0"/>
              <w:rPr>
                <w:sz w:val="14"/>
                <w:szCs w:val="14"/>
                <w:color w:val="auto"/>
              </w:rPr>
            </w:pPr>
          </w:p>
        </w:tc>
      </w:tr>
      <w:tr>
        <w:trPr>
          <w:trHeight w:val="186"/>
        </w:trPr>
        <w:tc>
          <w:tcPr>
            <w:tcW w:w="3800" w:type="dxa"/>
            <w:vAlign w:val="bottom"/>
            <w:shd w:val="clear" w:color="auto" w:fill="E9F0F3"/>
          </w:tcPr>
          <w:p>
            <w:pPr>
              <w:spacing w:after="0"/>
              <w:rPr>
                <w:sz w:val="16"/>
                <w:szCs w:val="16"/>
                <w:color w:val="auto"/>
              </w:rPr>
            </w:pPr>
          </w:p>
        </w:tc>
        <w:tc>
          <w:tcPr>
            <w:tcW w:w="7140" w:type="dxa"/>
            <w:vAlign w:val="bottom"/>
            <w:shd w:val="clear" w:color="auto" w:fill="E9F0F3"/>
          </w:tcPr>
          <w:p>
            <w:pPr>
              <w:spacing w:after="0"/>
              <w:rPr>
                <w:sz w:val="20"/>
                <w:szCs w:val="20"/>
                <w:color w:val="auto"/>
              </w:rPr>
            </w:pPr>
            <w:r>
              <w:rPr>
                <w:rFonts w:ascii="Arial" w:cs="Arial" w:eastAsia="Arial" w:hAnsi="Arial"/>
                <w:sz w:val="14"/>
                <w:szCs w:val="14"/>
                <w:color w:val="auto"/>
              </w:rPr>
              <w:t>all regards.</w:t>
            </w:r>
          </w:p>
        </w:tc>
        <w:tc>
          <w:tcPr>
            <w:tcW w:w="20" w:type="dxa"/>
            <w:vAlign w:val="bottom"/>
          </w:tcPr>
          <w:p>
            <w:pPr>
              <w:spacing w:after="0"/>
              <w:rPr>
                <w:sz w:val="16"/>
                <w:szCs w:val="16"/>
                <w:color w:val="auto"/>
              </w:rPr>
            </w:pPr>
          </w:p>
        </w:tc>
      </w:tr>
      <w:tr>
        <w:trPr>
          <w:trHeight w:val="74"/>
        </w:trPr>
        <w:tc>
          <w:tcPr>
            <w:tcW w:w="3800" w:type="dxa"/>
            <w:vAlign w:val="bottom"/>
            <w:shd w:val="clear" w:color="auto" w:fill="E9F0F3"/>
          </w:tcPr>
          <w:p>
            <w:pPr>
              <w:spacing w:after="0"/>
              <w:rPr>
                <w:sz w:val="6"/>
                <w:szCs w:val="6"/>
                <w:color w:val="auto"/>
              </w:rPr>
            </w:pPr>
          </w:p>
        </w:tc>
        <w:tc>
          <w:tcPr>
            <w:tcW w:w="7140" w:type="dxa"/>
            <w:vAlign w:val="bottom"/>
            <w:shd w:val="clear" w:color="auto" w:fill="E9F0F3"/>
          </w:tcPr>
          <w:p>
            <w:pPr>
              <w:spacing w:after="0"/>
              <w:rPr>
                <w:sz w:val="6"/>
                <w:szCs w:val="6"/>
                <w:color w:val="auto"/>
              </w:rPr>
            </w:pPr>
          </w:p>
        </w:tc>
        <w:tc>
          <w:tcPr>
            <w:tcW w:w="20" w:type="dxa"/>
            <w:vAlign w:val="bottom"/>
          </w:tcPr>
          <w:p>
            <w:pPr>
              <w:spacing w:after="0"/>
              <w:rPr>
                <w:sz w:val="6"/>
                <w:szCs w:val="6"/>
                <w:color w:val="auto"/>
              </w:rPr>
            </w:pPr>
          </w:p>
        </w:tc>
      </w:tr>
      <w:tr>
        <w:trPr>
          <w:trHeight w:val="211"/>
        </w:trPr>
        <w:tc>
          <w:tcPr>
            <w:tcW w:w="3800" w:type="dxa"/>
            <w:vAlign w:val="bottom"/>
          </w:tcPr>
          <w:p>
            <w:pPr>
              <w:ind w:left="60"/>
              <w:spacing w:after="0"/>
              <w:rPr>
                <w:sz w:val="20"/>
                <w:szCs w:val="20"/>
                <w:color w:val="auto"/>
              </w:rPr>
            </w:pPr>
            <w:r>
              <w:rPr>
                <w:rFonts w:ascii="Arial" w:cs="Arial" w:eastAsia="Arial" w:hAnsi="Arial"/>
                <w:sz w:val="14"/>
                <w:szCs w:val="14"/>
                <w:b w:val="1"/>
                <w:bCs w:val="1"/>
                <w:color w:val="auto"/>
              </w:rPr>
              <w:t>International Experience</w:t>
            </w:r>
          </w:p>
        </w:tc>
        <w:tc>
          <w:tcPr>
            <w:tcW w:w="7140" w:type="dxa"/>
            <w:vAlign w:val="bottom"/>
          </w:tcPr>
          <w:p>
            <w:pPr>
              <w:spacing w:after="0"/>
              <w:rPr>
                <w:sz w:val="20"/>
                <w:szCs w:val="20"/>
                <w:color w:val="auto"/>
              </w:rPr>
            </w:pPr>
            <w:r>
              <w:rPr>
                <w:rFonts w:ascii="Arial" w:cs="Arial" w:eastAsia="Arial" w:hAnsi="Arial"/>
                <w:sz w:val="14"/>
                <w:szCs w:val="14"/>
                <w:color w:val="auto"/>
              </w:rPr>
              <w:t>Directors who have conducted business or operations outside of the United States provide perspectives and</w:t>
            </w:r>
          </w:p>
        </w:tc>
        <w:tc>
          <w:tcPr>
            <w:tcW w:w="20" w:type="dxa"/>
            <w:vAlign w:val="bottom"/>
          </w:tcPr>
          <w:p>
            <w:pPr>
              <w:spacing w:after="0"/>
              <w:rPr>
                <w:sz w:val="18"/>
                <w:szCs w:val="18"/>
                <w:color w:val="auto"/>
              </w:rPr>
            </w:pPr>
          </w:p>
        </w:tc>
      </w:tr>
      <w:tr>
        <w:trPr>
          <w:trHeight w:val="165"/>
        </w:trPr>
        <w:tc>
          <w:tcPr>
            <w:tcW w:w="3800" w:type="dxa"/>
            <w:vAlign w:val="bottom"/>
          </w:tcPr>
          <w:p>
            <w:pPr>
              <w:spacing w:after="0"/>
              <w:rPr>
                <w:sz w:val="14"/>
                <w:szCs w:val="14"/>
                <w:color w:val="auto"/>
              </w:rPr>
            </w:pPr>
          </w:p>
        </w:tc>
        <w:tc>
          <w:tcPr>
            <w:tcW w:w="7140" w:type="dxa"/>
            <w:vAlign w:val="bottom"/>
          </w:tcPr>
          <w:p>
            <w:pPr>
              <w:spacing w:after="0"/>
              <w:rPr>
                <w:sz w:val="20"/>
                <w:szCs w:val="20"/>
                <w:color w:val="auto"/>
              </w:rPr>
            </w:pPr>
            <w:r>
              <w:rPr>
                <w:rFonts w:ascii="Arial" w:cs="Arial" w:eastAsia="Arial" w:hAnsi="Arial"/>
                <w:sz w:val="14"/>
                <w:szCs w:val="14"/>
                <w:color w:val="auto"/>
              </w:rPr>
              <w:t>insights on international business, politics and culture that are invaluable to a global company with operations</w:t>
            </w:r>
          </w:p>
        </w:tc>
        <w:tc>
          <w:tcPr>
            <w:tcW w:w="20" w:type="dxa"/>
            <w:vAlign w:val="bottom"/>
          </w:tcPr>
          <w:p>
            <w:pPr>
              <w:spacing w:after="0"/>
              <w:rPr>
                <w:sz w:val="14"/>
                <w:szCs w:val="14"/>
                <w:color w:val="auto"/>
              </w:rPr>
            </w:pPr>
          </w:p>
        </w:tc>
      </w:tr>
      <w:tr>
        <w:trPr>
          <w:trHeight w:val="186"/>
        </w:trPr>
        <w:tc>
          <w:tcPr>
            <w:tcW w:w="3800" w:type="dxa"/>
            <w:vAlign w:val="bottom"/>
          </w:tcPr>
          <w:p>
            <w:pPr>
              <w:spacing w:after="0"/>
              <w:rPr>
                <w:sz w:val="16"/>
                <w:szCs w:val="16"/>
                <w:color w:val="auto"/>
              </w:rPr>
            </w:pPr>
          </w:p>
        </w:tc>
        <w:tc>
          <w:tcPr>
            <w:tcW w:w="7140" w:type="dxa"/>
            <w:vAlign w:val="bottom"/>
          </w:tcPr>
          <w:p>
            <w:pPr>
              <w:spacing w:after="0"/>
              <w:rPr>
                <w:sz w:val="20"/>
                <w:szCs w:val="20"/>
                <w:color w:val="auto"/>
              </w:rPr>
            </w:pPr>
            <w:r>
              <w:rPr>
                <w:rFonts w:ascii="Arial" w:cs="Arial" w:eastAsia="Arial" w:hAnsi="Arial"/>
                <w:sz w:val="14"/>
                <w:szCs w:val="14"/>
                <w:color w:val="auto"/>
              </w:rPr>
              <w:t>and sales around the world.</w:t>
            </w:r>
          </w:p>
        </w:tc>
        <w:tc>
          <w:tcPr>
            <w:tcW w:w="20" w:type="dxa"/>
            <w:vAlign w:val="bottom"/>
          </w:tcPr>
          <w:p>
            <w:pPr>
              <w:spacing w:after="0"/>
              <w:rPr>
                <w:sz w:val="16"/>
                <w:szCs w:val="16"/>
                <w:color w:val="auto"/>
              </w:rPr>
            </w:pPr>
          </w:p>
        </w:tc>
      </w:tr>
      <w:tr>
        <w:trPr>
          <w:trHeight w:val="74"/>
        </w:trPr>
        <w:tc>
          <w:tcPr>
            <w:tcW w:w="3800" w:type="dxa"/>
            <w:vAlign w:val="bottom"/>
          </w:tcPr>
          <w:p>
            <w:pPr>
              <w:spacing w:after="0"/>
              <w:rPr>
                <w:sz w:val="6"/>
                <w:szCs w:val="6"/>
                <w:color w:val="auto"/>
              </w:rPr>
            </w:pPr>
          </w:p>
        </w:tc>
        <w:tc>
          <w:tcPr>
            <w:tcW w:w="71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11"/>
        </w:trPr>
        <w:tc>
          <w:tcPr>
            <w:tcW w:w="38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Risk Management</w:t>
            </w:r>
          </w:p>
        </w:tc>
        <w:tc>
          <w:tcPr>
            <w:tcW w:w="7140" w:type="dxa"/>
            <w:vAlign w:val="bottom"/>
            <w:shd w:val="clear" w:color="auto" w:fill="E9F0F3"/>
          </w:tcPr>
          <w:p>
            <w:pPr>
              <w:spacing w:after="0"/>
              <w:rPr>
                <w:sz w:val="20"/>
                <w:szCs w:val="20"/>
                <w:color w:val="auto"/>
              </w:rPr>
            </w:pPr>
            <w:r>
              <w:rPr>
                <w:rFonts w:ascii="Arial" w:cs="Arial" w:eastAsia="Arial" w:hAnsi="Arial"/>
                <w:sz w:val="14"/>
                <w:szCs w:val="14"/>
                <w:color w:val="auto"/>
              </w:rPr>
              <w:t>Knowledge and experience in managing major risk exposures for complex, large organizations, including</w:t>
            </w:r>
          </w:p>
        </w:tc>
        <w:tc>
          <w:tcPr>
            <w:tcW w:w="20" w:type="dxa"/>
            <w:vAlign w:val="bottom"/>
          </w:tcPr>
          <w:p>
            <w:pPr>
              <w:spacing w:after="0"/>
              <w:rPr>
                <w:sz w:val="18"/>
                <w:szCs w:val="18"/>
                <w:color w:val="auto"/>
              </w:rPr>
            </w:pPr>
          </w:p>
        </w:tc>
      </w:tr>
      <w:tr>
        <w:trPr>
          <w:trHeight w:val="165"/>
        </w:trPr>
        <w:tc>
          <w:tcPr>
            <w:tcW w:w="3800" w:type="dxa"/>
            <w:vAlign w:val="bottom"/>
            <w:shd w:val="clear" w:color="auto" w:fill="E9F0F3"/>
          </w:tcPr>
          <w:p>
            <w:pPr>
              <w:spacing w:after="0"/>
              <w:rPr>
                <w:sz w:val="14"/>
                <w:szCs w:val="14"/>
                <w:color w:val="auto"/>
              </w:rPr>
            </w:pPr>
          </w:p>
        </w:tc>
        <w:tc>
          <w:tcPr>
            <w:tcW w:w="7140" w:type="dxa"/>
            <w:vAlign w:val="bottom"/>
            <w:shd w:val="clear" w:color="auto" w:fill="E9F0F3"/>
          </w:tcPr>
          <w:p>
            <w:pPr>
              <w:spacing w:after="0"/>
              <w:rPr>
                <w:sz w:val="20"/>
                <w:szCs w:val="20"/>
                <w:color w:val="auto"/>
              </w:rPr>
            </w:pPr>
            <w:r>
              <w:rPr>
                <w:rFonts w:ascii="Arial" w:cs="Arial" w:eastAsia="Arial" w:hAnsi="Arial"/>
                <w:sz w:val="14"/>
                <w:szCs w:val="14"/>
                <w:color w:val="auto"/>
              </w:rPr>
              <w:t>significant financial, operational, compliance, reputational, strategic, international and cybersecurity risks,</w:t>
            </w:r>
          </w:p>
        </w:tc>
        <w:tc>
          <w:tcPr>
            <w:tcW w:w="20" w:type="dxa"/>
            <w:vAlign w:val="bottom"/>
          </w:tcPr>
          <w:p>
            <w:pPr>
              <w:spacing w:after="0"/>
              <w:rPr>
                <w:sz w:val="14"/>
                <w:szCs w:val="14"/>
                <w:color w:val="auto"/>
              </w:rPr>
            </w:pPr>
          </w:p>
        </w:tc>
      </w:tr>
      <w:tr>
        <w:trPr>
          <w:trHeight w:val="186"/>
        </w:trPr>
        <w:tc>
          <w:tcPr>
            <w:tcW w:w="3800" w:type="dxa"/>
            <w:vAlign w:val="bottom"/>
            <w:shd w:val="clear" w:color="auto" w:fill="E9F0F3"/>
          </w:tcPr>
          <w:p>
            <w:pPr>
              <w:spacing w:after="0"/>
              <w:rPr>
                <w:sz w:val="16"/>
                <w:szCs w:val="16"/>
                <w:color w:val="auto"/>
              </w:rPr>
            </w:pPr>
          </w:p>
        </w:tc>
        <w:tc>
          <w:tcPr>
            <w:tcW w:w="7140" w:type="dxa"/>
            <w:vAlign w:val="bottom"/>
            <w:shd w:val="clear" w:color="auto" w:fill="E9F0F3"/>
          </w:tcPr>
          <w:p>
            <w:pPr>
              <w:spacing w:after="0"/>
              <w:rPr>
                <w:sz w:val="20"/>
                <w:szCs w:val="20"/>
                <w:color w:val="auto"/>
              </w:rPr>
            </w:pPr>
            <w:r>
              <w:rPr>
                <w:rFonts w:ascii="Arial" w:cs="Arial" w:eastAsia="Arial" w:hAnsi="Arial"/>
                <w:sz w:val="14"/>
                <w:szCs w:val="14"/>
                <w:color w:val="auto"/>
              </w:rPr>
              <w:t>enable a director to provide input critical to the Board’s risk oversight role.</w:t>
            </w:r>
          </w:p>
        </w:tc>
        <w:tc>
          <w:tcPr>
            <w:tcW w:w="20" w:type="dxa"/>
            <w:vAlign w:val="bottom"/>
          </w:tcPr>
          <w:p>
            <w:pPr>
              <w:spacing w:after="0"/>
              <w:rPr>
                <w:sz w:val="16"/>
                <w:szCs w:val="16"/>
                <w:color w:val="auto"/>
              </w:rPr>
            </w:pPr>
          </w:p>
        </w:tc>
      </w:tr>
      <w:tr>
        <w:trPr>
          <w:trHeight w:val="74"/>
        </w:trPr>
        <w:tc>
          <w:tcPr>
            <w:tcW w:w="3800" w:type="dxa"/>
            <w:vAlign w:val="bottom"/>
            <w:shd w:val="clear" w:color="auto" w:fill="E9F0F3"/>
          </w:tcPr>
          <w:p>
            <w:pPr>
              <w:spacing w:after="0"/>
              <w:rPr>
                <w:sz w:val="6"/>
                <w:szCs w:val="6"/>
                <w:color w:val="auto"/>
              </w:rPr>
            </w:pPr>
          </w:p>
        </w:tc>
        <w:tc>
          <w:tcPr>
            <w:tcW w:w="7140" w:type="dxa"/>
            <w:vAlign w:val="bottom"/>
            <w:shd w:val="clear" w:color="auto" w:fill="E9F0F3"/>
          </w:tcPr>
          <w:p>
            <w:pPr>
              <w:spacing w:after="0"/>
              <w:rPr>
                <w:sz w:val="6"/>
                <w:szCs w:val="6"/>
                <w:color w:val="auto"/>
              </w:rPr>
            </w:pPr>
          </w:p>
        </w:tc>
        <w:tc>
          <w:tcPr>
            <w:tcW w:w="20" w:type="dxa"/>
            <w:vAlign w:val="bottom"/>
          </w:tcPr>
          <w:p>
            <w:pPr>
              <w:spacing w:after="0"/>
              <w:rPr>
                <w:sz w:val="6"/>
                <w:szCs w:val="6"/>
                <w:color w:val="auto"/>
              </w:rPr>
            </w:pPr>
          </w:p>
        </w:tc>
      </w:tr>
      <w:tr>
        <w:trPr>
          <w:trHeight w:val="211"/>
        </w:trPr>
        <w:tc>
          <w:tcPr>
            <w:tcW w:w="3800" w:type="dxa"/>
            <w:vAlign w:val="bottom"/>
          </w:tcPr>
          <w:p>
            <w:pPr>
              <w:ind w:left="60"/>
              <w:spacing w:after="0"/>
              <w:rPr>
                <w:sz w:val="20"/>
                <w:szCs w:val="20"/>
                <w:color w:val="auto"/>
              </w:rPr>
            </w:pPr>
            <w:r>
              <w:rPr>
                <w:rFonts w:ascii="Arial" w:cs="Arial" w:eastAsia="Arial" w:hAnsi="Arial"/>
                <w:sz w:val="14"/>
                <w:szCs w:val="14"/>
                <w:b w:val="1"/>
                <w:bCs w:val="1"/>
                <w:color w:val="auto"/>
              </w:rPr>
              <w:t>Sales/Marketing/Public Relations</w:t>
            </w:r>
          </w:p>
        </w:tc>
        <w:tc>
          <w:tcPr>
            <w:tcW w:w="7140" w:type="dxa"/>
            <w:vAlign w:val="bottom"/>
          </w:tcPr>
          <w:p>
            <w:pPr>
              <w:spacing w:after="0"/>
              <w:rPr>
                <w:sz w:val="20"/>
                <w:szCs w:val="20"/>
                <w:color w:val="auto"/>
              </w:rPr>
            </w:pPr>
            <w:r>
              <w:rPr>
                <w:rFonts w:ascii="Arial" w:cs="Arial" w:eastAsia="Arial" w:hAnsi="Arial"/>
                <w:sz w:val="14"/>
                <w:szCs w:val="14"/>
                <w:color w:val="auto"/>
              </w:rPr>
              <w:t>Directors with expertise in brand development, marketing and sales at a global scale and in local markets can</w:t>
            </w:r>
          </w:p>
        </w:tc>
        <w:tc>
          <w:tcPr>
            <w:tcW w:w="20" w:type="dxa"/>
            <w:vAlign w:val="bottom"/>
          </w:tcPr>
          <w:p>
            <w:pPr>
              <w:spacing w:after="0"/>
              <w:rPr>
                <w:sz w:val="18"/>
                <w:szCs w:val="18"/>
                <w:color w:val="auto"/>
              </w:rPr>
            </w:pPr>
          </w:p>
        </w:tc>
      </w:tr>
      <w:tr>
        <w:trPr>
          <w:trHeight w:val="186"/>
        </w:trPr>
        <w:tc>
          <w:tcPr>
            <w:tcW w:w="3800" w:type="dxa"/>
            <w:vAlign w:val="bottom"/>
          </w:tcPr>
          <w:p>
            <w:pPr>
              <w:spacing w:after="0"/>
              <w:rPr>
                <w:sz w:val="16"/>
                <w:szCs w:val="16"/>
                <w:color w:val="auto"/>
              </w:rPr>
            </w:pPr>
          </w:p>
        </w:tc>
        <w:tc>
          <w:tcPr>
            <w:tcW w:w="7140" w:type="dxa"/>
            <w:vAlign w:val="bottom"/>
          </w:tcPr>
          <w:p>
            <w:pPr>
              <w:spacing w:after="0"/>
              <w:rPr>
                <w:sz w:val="20"/>
                <w:szCs w:val="20"/>
                <w:color w:val="auto"/>
              </w:rPr>
            </w:pPr>
            <w:r>
              <w:rPr>
                <w:rFonts w:ascii="Arial" w:cs="Arial" w:eastAsia="Arial" w:hAnsi="Arial"/>
                <w:sz w:val="14"/>
                <w:szCs w:val="14"/>
                <w:color w:val="auto"/>
              </w:rPr>
              <w:t>provide important support to our PVH+ Plan strategy.</w:t>
            </w:r>
          </w:p>
        </w:tc>
        <w:tc>
          <w:tcPr>
            <w:tcW w:w="20" w:type="dxa"/>
            <w:vAlign w:val="bottom"/>
          </w:tcPr>
          <w:p>
            <w:pPr>
              <w:spacing w:after="0"/>
              <w:rPr>
                <w:sz w:val="16"/>
                <w:szCs w:val="16"/>
                <w:color w:val="auto"/>
              </w:rPr>
            </w:pPr>
          </w:p>
        </w:tc>
      </w:tr>
      <w:tr>
        <w:trPr>
          <w:trHeight w:val="74"/>
        </w:trPr>
        <w:tc>
          <w:tcPr>
            <w:tcW w:w="3800" w:type="dxa"/>
            <w:vAlign w:val="bottom"/>
          </w:tcPr>
          <w:p>
            <w:pPr>
              <w:spacing w:after="0"/>
              <w:rPr>
                <w:sz w:val="6"/>
                <w:szCs w:val="6"/>
                <w:color w:val="auto"/>
              </w:rPr>
            </w:pPr>
          </w:p>
        </w:tc>
        <w:tc>
          <w:tcPr>
            <w:tcW w:w="71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11"/>
        </w:trPr>
        <w:tc>
          <w:tcPr>
            <w:tcW w:w="38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Strategic Planning/Development</w:t>
            </w:r>
          </w:p>
        </w:tc>
        <w:tc>
          <w:tcPr>
            <w:tcW w:w="7140" w:type="dxa"/>
            <w:vAlign w:val="bottom"/>
            <w:shd w:val="clear" w:color="auto" w:fill="E9F0F3"/>
          </w:tcPr>
          <w:p>
            <w:pPr>
              <w:spacing w:after="0"/>
              <w:rPr>
                <w:sz w:val="20"/>
                <w:szCs w:val="20"/>
                <w:color w:val="auto"/>
              </w:rPr>
            </w:pPr>
            <w:r>
              <w:rPr>
                <w:rFonts w:ascii="Arial" w:cs="Arial" w:eastAsia="Arial" w:hAnsi="Arial"/>
                <w:sz w:val="14"/>
                <w:szCs w:val="14"/>
                <w:color w:val="auto"/>
              </w:rPr>
              <w:t>Directors with proficiency in overseeing long-term business transformations and mergers and acquisitions have</w:t>
            </w:r>
          </w:p>
        </w:tc>
        <w:tc>
          <w:tcPr>
            <w:tcW w:w="20" w:type="dxa"/>
            <w:vAlign w:val="bottom"/>
          </w:tcPr>
          <w:p>
            <w:pPr>
              <w:spacing w:after="0"/>
              <w:rPr>
                <w:sz w:val="18"/>
                <w:szCs w:val="18"/>
                <w:color w:val="auto"/>
              </w:rPr>
            </w:pPr>
          </w:p>
        </w:tc>
      </w:tr>
      <w:tr>
        <w:trPr>
          <w:trHeight w:val="165"/>
        </w:trPr>
        <w:tc>
          <w:tcPr>
            <w:tcW w:w="3800" w:type="dxa"/>
            <w:vAlign w:val="bottom"/>
            <w:shd w:val="clear" w:color="auto" w:fill="E9F0F3"/>
          </w:tcPr>
          <w:p>
            <w:pPr>
              <w:spacing w:after="0"/>
              <w:rPr>
                <w:sz w:val="14"/>
                <w:szCs w:val="14"/>
                <w:color w:val="auto"/>
              </w:rPr>
            </w:pPr>
          </w:p>
        </w:tc>
        <w:tc>
          <w:tcPr>
            <w:tcW w:w="7140" w:type="dxa"/>
            <w:vAlign w:val="bottom"/>
            <w:shd w:val="clear" w:color="auto" w:fill="E9F0F3"/>
          </w:tcPr>
          <w:p>
            <w:pPr>
              <w:spacing w:after="0"/>
              <w:rPr>
                <w:sz w:val="20"/>
                <w:szCs w:val="20"/>
                <w:color w:val="auto"/>
              </w:rPr>
            </w:pPr>
            <w:r>
              <w:rPr>
                <w:rFonts w:ascii="Arial" w:cs="Arial" w:eastAsia="Arial" w:hAnsi="Arial"/>
                <w:sz w:val="14"/>
                <w:szCs w:val="14"/>
                <w:color w:val="auto"/>
              </w:rPr>
              <w:t>the knowledge to provide advice and insight into matters such as our M&amp;A activities, licensing opportunities,</w:t>
            </w:r>
          </w:p>
        </w:tc>
        <w:tc>
          <w:tcPr>
            <w:tcW w:w="20" w:type="dxa"/>
            <w:vAlign w:val="bottom"/>
          </w:tcPr>
          <w:p>
            <w:pPr>
              <w:spacing w:after="0"/>
              <w:rPr>
                <w:sz w:val="14"/>
                <w:szCs w:val="14"/>
                <w:color w:val="auto"/>
              </w:rPr>
            </w:pPr>
          </w:p>
        </w:tc>
      </w:tr>
      <w:tr>
        <w:trPr>
          <w:trHeight w:val="186"/>
        </w:trPr>
        <w:tc>
          <w:tcPr>
            <w:tcW w:w="3800" w:type="dxa"/>
            <w:vAlign w:val="bottom"/>
            <w:shd w:val="clear" w:color="auto" w:fill="E9F0F3"/>
          </w:tcPr>
          <w:p>
            <w:pPr>
              <w:spacing w:after="0"/>
              <w:rPr>
                <w:sz w:val="16"/>
                <w:szCs w:val="16"/>
                <w:color w:val="auto"/>
              </w:rPr>
            </w:pPr>
          </w:p>
        </w:tc>
        <w:tc>
          <w:tcPr>
            <w:tcW w:w="7140" w:type="dxa"/>
            <w:vAlign w:val="bottom"/>
            <w:shd w:val="clear" w:color="auto" w:fill="E9F0F3"/>
          </w:tcPr>
          <w:p>
            <w:pPr>
              <w:spacing w:after="0"/>
              <w:rPr>
                <w:sz w:val="20"/>
                <w:szCs w:val="20"/>
                <w:color w:val="auto"/>
              </w:rPr>
            </w:pPr>
            <w:r>
              <w:rPr>
                <w:rFonts w:ascii="Arial" w:cs="Arial" w:eastAsia="Arial" w:hAnsi="Arial"/>
                <w:sz w:val="14"/>
                <w:szCs w:val="14"/>
                <w:color w:val="auto"/>
              </w:rPr>
              <w:t>and decisions to form joint ventures or make strategic investments.</w:t>
            </w:r>
          </w:p>
        </w:tc>
        <w:tc>
          <w:tcPr>
            <w:tcW w:w="20" w:type="dxa"/>
            <w:vAlign w:val="bottom"/>
          </w:tcPr>
          <w:p>
            <w:pPr>
              <w:spacing w:after="0"/>
              <w:rPr>
                <w:sz w:val="16"/>
                <w:szCs w:val="16"/>
                <w:color w:val="auto"/>
              </w:rPr>
            </w:pPr>
          </w:p>
        </w:tc>
      </w:tr>
      <w:tr>
        <w:trPr>
          <w:trHeight w:val="74"/>
        </w:trPr>
        <w:tc>
          <w:tcPr>
            <w:tcW w:w="3800" w:type="dxa"/>
            <w:vAlign w:val="bottom"/>
            <w:shd w:val="clear" w:color="auto" w:fill="E9F0F3"/>
          </w:tcPr>
          <w:p>
            <w:pPr>
              <w:spacing w:after="0"/>
              <w:rPr>
                <w:sz w:val="6"/>
                <w:szCs w:val="6"/>
                <w:color w:val="auto"/>
              </w:rPr>
            </w:pPr>
          </w:p>
        </w:tc>
        <w:tc>
          <w:tcPr>
            <w:tcW w:w="7140" w:type="dxa"/>
            <w:vAlign w:val="bottom"/>
            <w:shd w:val="clear" w:color="auto" w:fill="E9F0F3"/>
          </w:tcPr>
          <w:p>
            <w:pPr>
              <w:spacing w:after="0"/>
              <w:rPr>
                <w:sz w:val="6"/>
                <w:szCs w:val="6"/>
                <w:color w:val="auto"/>
              </w:rPr>
            </w:pPr>
          </w:p>
        </w:tc>
        <w:tc>
          <w:tcPr>
            <w:tcW w:w="20" w:type="dxa"/>
            <w:vAlign w:val="bottom"/>
          </w:tcPr>
          <w:p>
            <w:pPr>
              <w:spacing w:after="0"/>
              <w:rPr>
                <w:sz w:val="6"/>
                <w:szCs w:val="6"/>
                <w:color w:val="auto"/>
              </w:rPr>
            </w:pPr>
          </w:p>
        </w:tc>
      </w:tr>
      <w:tr>
        <w:trPr>
          <w:trHeight w:val="211"/>
        </w:trPr>
        <w:tc>
          <w:tcPr>
            <w:tcW w:w="3800" w:type="dxa"/>
            <w:vAlign w:val="bottom"/>
          </w:tcPr>
          <w:p>
            <w:pPr>
              <w:ind w:left="60"/>
              <w:spacing w:after="0"/>
              <w:rPr>
                <w:sz w:val="20"/>
                <w:szCs w:val="20"/>
                <w:color w:val="auto"/>
              </w:rPr>
            </w:pPr>
            <w:r>
              <w:rPr>
                <w:rFonts w:ascii="Arial" w:cs="Arial" w:eastAsia="Arial" w:hAnsi="Arial"/>
                <w:sz w:val="14"/>
                <w:szCs w:val="14"/>
                <w:b w:val="1"/>
                <w:bCs w:val="1"/>
                <w:color w:val="auto"/>
              </w:rPr>
              <w:t>Human Capital Management</w:t>
            </w:r>
          </w:p>
        </w:tc>
        <w:tc>
          <w:tcPr>
            <w:tcW w:w="7140" w:type="dxa"/>
            <w:vAlign w:val="bottom"/>
          </w:tcPr>
          <w:p>
            <w:pPr>
              <w:spacing w:after="0"/>
              <w:rPr>
                <w:sz w:val="20"/>
                <w:szCs w:val="20"/>
                <w:color w:val="auto"/>
              </w:rPr>
            </w:pPr>
            <w:r>
              <w:rPr>
                <w:rFonts w:ascii="Arial" w:cs="Arial" w:eastAsia="Arial" w:hAnsi="Arial"/>
                <w:sz w:val="14"/>
                <w:szCs w:val="14"/>
                <w:color w:val="auto"/>
              </w:rPr>
              <w:t>Human resources (including people and culture) experience is increasingly important to our success, and</w:t>
            </w:r>
          </w:p>
        </w:tc>
        <w:tc>
          <w:tcPr>
            <w:tcW w:w="20" w:type="dxa"/>
            <w:vAlign w:val="bottom"/>
          </w:tcPr>
          <w:p>
            <w:pPr>
              <w:spacing w:after="0"/>
              <w:rPr>
                <w:sz w:val="18"/>
                <w:szCs w:val="18"/>
                <w:color w:val="auto"/>
              </w:rPr>
            </w:pPr>
          </w:p>
        </w:tc>
      </w:tr>
      <w:tr>
        <w:trPr>
          <w:trHeight w:val="165"/>
        </w:trPr>
        <w:tc>
          <w:tcPr>
            <w:tcW w:w="3800" w:type="dxa"/>
            <w:vAlign w:val="bottom"/>
          </w:tcPr>
          <w:p>
            <w:pPr>
              <w:spacing w:after="0"/>
              <w:rPr>
                <w:sz w:val="14"/>
                <w:szCs w:val="14"/>
                <w:color w:val="auto"/>
              </w:rPr>
            </w:pPr>
          </w:p>
        </w:tc>
        <w:tc>
          <w:tcPr>
            <w:tcW w:w="7140" w:type="dxa"/>
            <w:vAlign w:val="bottom"/>
          </w:tcPr>
          <w:p>
            <w:pPr>
              <w:spacing w:after="0"/>
              <w:rPr>
                <w:sz w:val="20"/>
                <w:szCs w:val="20"/>
                <w:color w:val="auto"/>
              </w:rPr>
            </w:pPr>
            <w:r>
              <w:rPr>
                <w:rFonts w:ascii="Arial" w:cs="Arial" w:eastAsia="Arial" w:hAnsi="Arial"/>
                <w:sz w:val="14"/>
                <w:szCs w:val="14"/>
                <w:color w:val="auto"/>
              </w:rPr>
              <w:t>directors having this expertise can be key to executing our strategies for hiring talent, rightsizing our</w:t>
            </w:r>
          </w:p>
        </w:tc>
        <w:tc>
          <w:tcPr>
            <w:tcW w:w="20" w:type="dxa"/>
            <w:vAlign w:val="bottom"/>
          </w:tcPr>
          <w:p>
            <w:pPr>
              <w:spacing w:after="0"/>
              <w:rPr>
                <w:sz w:val="14"/>
                <w:szCs w:val="14"/>
                <w:color w:val="auto"/>
              </w:rPr>
            </w:pPr>
          </w:p>
        </w:tc>
      </w:tr>
      <w:tr>
        <w:trPr>
          <w:trHeight w:val="165"/>
        </w:trPr>
        <w:tc>
          <w:tcPr>
            <w:tcW w:w="3800" w:type="dxa"/>
            <w:vAlign w:val="bottom"/>
          </w:tcPr>
          <w:p>
            <w:pPr>
              <w:spacing w:after="0"/>
              <w:rPr>
                <w:sz w:val="14"/>
                <w:szCs w:val="14"/>
                <w:color w:val="auto"/>
              </w:rPr>
            </w:pPr>
          </w:p>
        </w:tc>
        <w:tc>
          <w:tcPr>
            <w:tcW w:w="7140" w:type="dxa"/>
            <w:vAlign w:val="bottom"/>
          </w:tcPr>
          <w:p>
            <w:pPr>
              <w:spacing w:after="0"/>
              <w:rPr>
                <w:sz w:val="20"/>
                <w:szCs w:val="20"/>
                <w:color w:val="auto"/>
              </w:rPr>
            </w:pPr>
            <w:r>
              <w:rPr>
                <w:rFonts w:ascii="Arial" w:cs="Arial" w:eastAsia="Arial" w:hAnsi="Arial"/>
                <w:sz w:val="14"/>
                <w:szCs w:val="14"/>
                <w:color w:val="auto"/>
              </w:rPr>
              <w:t>organization, developing high potential and high performing talent, and creating the culture we seek to help our</w:t>
            </w:r>
          </w:p>
        </w:tc>
        <w:tc>
          <w:tcPr>
            <w:tcW w:w="20" w:type="dxa"/>
            <w:vAlign w:val="bottom"/>
          </w:tcPr>
          <w:p>
            <w:pPr>
              <w:spacing w:after="0"/>
              <w:rPr>
                <w:sz w:val="14"/>
                <w:szCs w:val="14"/>
                <w:color w:val="auto"/>
              </w:rPr>
            </w:pPr>
          </w:p>
        </w:tc>
      </w:tr>
      <w:tr>
        <w:trPr>
          <w:trHeight w:val="186"/>
        </w:trPr>
        <w:tc>
          <w:tcPr>
            <w:tcW w:w="3800" w:type="dxa"/>
            <w:vAlign w:val="bottom"/>
          </w:tcPr>
          <w:p>
            <w:pPr>
              <w:spacing w:after="0"/>
              <w:rPr>
                <w:sz w:val="16"/>
                <w:szCs w:val="16"/>
                <w:color w:val="auto"/>
              </w:rPr>
            </w:pPr>
          </w:p>
        </w:tc>
        <w:tc>
          <w:tcPr>
            <w:tcW w:w="7140" w:type="dxa"/>
            <w:vAlign w:val="bottom"/>
          </w:tcPr>
          <w:p>
            <w:pPr>
              <w:spacing w:after="0"/>
              <w:rPr>
                <w:sz w:val="20"/>
                <w:szCs w:val="20"/>
                <w:color w:val="auto"/>
              </w:rPr>
            </w:pPr>
            <w:r>
              <w:rPr>
                <w:rFonts w:ascii="Arial" w:cs="Arial" w:eastAsia="Arial" w:hAnsi="Arial"/>
                <w:sz w:val="14"/>
                <w:szCs w:val="14"/>
                <w:color w:val="auto"/>
              </w:rPr>
              <w:t>businesses grow and thrive.</w:t>
            </w:r>
          </w:p>
        </w:tc>
        <w:tc>
          <w:tcPr>
            <w:tcW w:w="20" w:type="dxa"/>
            <w:vAlign w:val="bottom"/>
          </w:tcPr>
          <w:p>
            <w:pPr>
              <w:spacing w:after="0"/>
              <w:rPr>
                <w:sz w:val="16"/>
                <w:szCs w:val="16"/>
                <w:color w:val="auto"/>
              </w:rPr>
            </w:pPr>
          </w:p>
        </w:tc>
      </w:tr>
      <w:tr>
        <w:trPr>
          <w:trHeight w:val="396"/>
        </w:trPr>
        <w:tc>
          <w:tcPr>
            <w:tcW w:w="3800" w:type="dxa"/>
            <w:vAlign w:val="bottom"/>
          </w:tcPr>
          <w:p>
            <w:pPr>
              <w:ind w:left="20"/>
              <w:spacing w:after="0"/>
              <w:rPr>
                <w:sz w:val="20"/>
                <w:szCs w:val="20"/>
                <w:color w:val="auto"/>
              </w:rPr>
            </w:pPr>
            <w:r>
              <w:rPr>
                <w:rFonts w:ascii="Arial" w:cs="Arial" w:eastAsia="Arial" w:hAnsi="Arial"/>
                <w:sz w:val="11"/>
                <w:szCs w:val="11"/>
                <w:b w:val="1"/>
                <w:bCs w:val="1"/>
                <w:color w:val="auto"/>
                <w:w w:val="98"/>
              </w:rPr>
              <w:t xml:space="preserve">24 </w:t>
            </w:r>
            <w:r>
              <w:rPr>
                <w:rFonts w:ascii="Arial" w:cs="Arial" w:eastAsia="Arial" w:hAnsi="Arial"/>
                <w:sz w:val="11"/>
                <w:szCs w:val="11"/>
                <w:color w:val="auto"/>
                <w:w w:val="98"/>
              </w:rPr>
              <w:t>/ PVH CORP. 2026 PROXY STATEMENT /</w:t>
            </w:r>
            <w:r>
              <w:rPr>
                <w:rFonts w:ascii="Arial" w:cs="Arial" w:eastAsia="Arial" w:hAnsi="Arial"/>
                <w:sz w:val="11"/>
                <w:szCs w:val="11"/>
                <w:b w:val="1"/>
                <w:bCs w:val="1"/>
                <w:color w:val="auto"/>
                <w:w w:val="98"/>
              </w:rPr>
              <w:t xml:space="preserve"> </w:t>
            </w:r>
            <w:r>
              <w:rPr>
                <w:rFonts w:ascii="Arial" w:cs="Arial" w:eastAsia="Arial" w:hAnsi="Arial"/>
                <w:sz w:val="11"/>
                <w:szCs w:val="11"/>
                <w:b w:val="1"/>
                <w:bCs w:val="1"/>
                <w:color w:val="6D98AD"/>
                <w:w w:val="98"/>
              </w:rPr>
              <w:t>CORPORATE GOVERNANCE</w:t>
            </w: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3"/>
        </w:trPr>
        <w:tc>
          <w:tcPr>
            <w:tcW w:w="380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960"/>
          </w:cols>
          <w:pgMar w:left="460" w:top="177" w:right="479" w:bottom="1440" w:gutter="0" w:footer="0" w:header="0"/>
        </w:sectPr>
      </w:pPr>
    </w:p>
    <w:bookmarkStart w:id="27" w:name="page28"/>
    <w:bookmarkEnd w:id="27"/>
    <w:p>
      <w:pPr>
        <w:ind w:left="20" w:right="260"/>
        <w:spacing w:after="0" w:line="282" w:lineRule="auto"/>
        <w:rPr>
          <w:sz w:val="20"/>
          <w:szCs w:val="20"/>
          <w:color w:val="auto"/>
        </w:rPr>
      </w:pPr>
      <w:r>
        <w:rPr>
          <w:rFonts w:ascii="Arial" w:cs="Arial" w:eastAsia="Arial" w:hAnsi="Arial"/>
          <w:sz w:val="14"/>
          <w:szCs w:val="14"/>
          <w:color w:val="auto"/>
        </w:rPr>
        <w:t>The Nominating, Governance &amp; Management Development Committee believes our Board of Directors is most effective when its members represent a mix of perspectives and backgrounds and the attributes, skills and experience shown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084"/>
        </w:trPr>
        <w:tc>
          <w:tcPr>
            <w:tcW w:w="2660" w:type="dxa"/>
            <w:vAlign w:val="bottom"/>
            <w:shd w:val="clear" w:color="auto" w:fill="99B7C6"/>
          </w:tcPr>
          <w:p>
            <w:pPr>
              <w:spacing w:after="0"/>
              <w:rPr>
                <w:sz w:val="24"/>
                <w:szCs w:val="24"/>
                <w:color w:val="auto"/>
              </w:rPr>
            </w:pPr>
          </w:p>
        </w:tc>
        <w:tc>
          <w:tcPr>
            <w:tcW w:w="680" w:type="dxa"/>
            <w:vAlign w:val="bottom"/>
            <w:textDirection w:val="btLr"/>
            <w:shd w:val="clear" w:color="auto" w:fill="99B7C6"/>
          </w:tcPr>
          <w:p>
            <w:pPr>
              <w:ind w:left="252"/>
              <w:spacing w:after="0"/>
              <w:rPr>
                <w:sz w:val="20"/>
                <w:szCs w:val="20"/>
                <w:color w:val="auto"/>
              </w:rPr>
            </w:pPr>
            <w:r>
              <w:rPr>
                <w:rFonts w:ascii="Arial" w:cs="Arial" w:eastAsia="Arial" w:hAnsi="Arial"/>
                <w:sz w:val="11"/>
                <w:szCs w:val="11"/>
                <w:b w:val="1"/>
                <w:bCs w:val="1"/>
                <w:color w:val="FFFFFF"/>
                <w:w w:val="98"/>
              </w:rPr>
              <w:t>Jesper Andersen</w:t>
            </w:r>
          </w:p>
        </w:tc>
        <w:tc>
          <w:tcPr>
            <w:tcW w:w="800" w:type="dxa"/>
            <w:vAlign w:val="bottom"/>
            <w:textDirection w:val="btLr"/>
            <w:shd w:val="clear" w:color="auto" w:fill="99B7C6"/>
          </w:tcPr>
          <w:p>
            <w:pPr>
              <w:ind w:left="367"/>
              <w:spacing w:after="0"/>
              <w:rPr>
                <w:sz w:val="20"/>
                <w:szCs w:val="20"/>
                <w:color w:val="auto"/>
              </w:rPr>
            </w:pPr>
            <w:r>
              <w:rPr>
                <w:rFonts w:ascii="Arial" w:cs="Arial" w:eastAsia="Arial" w:hAnsi="Arial"/>
                <w:sz w:val="11"/>
                <w:szCs w:val="11"/>
                <w:b w:val="1"/>
                <w:bCs w:val="1"/>
                <w:color w:val="FFFFFF"/>
              </w:rPr>
              <w:t>Ajay Bhalla</w:t>
            </w:r>
          </w:p>
        </w:tc>
        <w:tc>
          <w:tcPr>
            <w:tcW w:w="900" w:type="dxa"/>
            <w:vAlign w:val="bottom"/>
            <w:textDirection w:val="btLr"/>
            <w:shd w:val="clear" w:color="auto" w:fill="99B7C6"/>
          </w:tcPr>
          <w:p>
            <w:pPr>
              <w:ind w:left="398"/>
              <w:spacing w:after="0"/>
              <w:rPr>
                <w:sz w:val="20"/>
                <w:szCs w:val="20"/>
                <w:color w:val="auto"/>
              </w:rPr>
            </w:pPr>
            <w:r>
              <w:rPr>
                <w:rFonts w:ascii="Arial" w:cs="Arial" w:eastAsia="Arial" w:hAnsi="Arial"/>
                <w:sz w:val="11"/>
                <w:szCs w:val="11"/>
                <w:b w:val="1"/>
                <w:bCs w:val="1"/>
                <w:color w:val="FFFFFF"/>
                <w:w w:val="99"/>
              </w:rPr>
              <w:t>Michael M. Calbert</w:t>
            </w:r>
          </w:p>
        </w:tc>
        <w:tc>
          <w:tcPr>
            <w:tcW w:w="920" w:type="dxa"/>
            <w:vAlign w:val="bottom"/>
            <w:textDirection w:val="btLr"/>
            <w:shd w:val="clear" w:color="auto" w:fill="99B7C6"/>
          </w:tcPr>
          <w:p>
            <w:pPr>
              <w:ind w:left="452"/>
              <w:spacing w:after="0"/>
              <w:rPr>
                <w:sz w:val="20"/>
                <w:szCs w:val="20"/>
                <w:color w:val="auto"/>
              </w:rPr>
            </w:pPr>
            <w:r>
              <w:rPr>
                <w:rFonts w:ascii="Arial" w:cs="Arial" w:eastAsia="Arial" w:hAnsi="Arial"/>
                <w:sz w:val="11"/>
                <w:szCs w:val="11"/>
                <w:b w:val="1"/>
                <w:bCs w:val="1"/>
                <w:color w:val="FFFFFF"/>
              </w:rPr>
              <w:t>Brent Callinicos</w:t>
            </w:r>
          </w:p>
        </w:tc>
        <w:tc>
          <w:tcPr>
            <w:tcW w:w="840" w:type="dxa"/>
            <w:vAlign w:val="bottom"/>
            <w:textDirection w:val="btLr"/>
            <w:shd w:val="clear" w:color="auto" w:fill="99B7C6"/>
          </w:tcPr>
          <w:p>
            <w:pPr>
              <w:ind w:left="409"/>
              <w:spacing w:after="0"/>
              <w:rPr>
                <w:sz w:val="20"/>
                <w:szCs w:val="20"/>
                <w:color w:val="auto"/>
              </w:rPr>
            </w:pPr>
            <w:r>
              <w:rPr>
                <w:rFonts w:ascii="Arial" w:cs="Arial" w:eastAsia="Arial" w:hAnsi="Arial"/>
                <w:sz w:val="11"/>
                <w:szCs w:val="11"/>
                <w:b w:val="1"/>
                <w:bCs w:val="1"/>
                <w:color w:val="FFFFFF"/>
                <w:w w:val="99"/>
              </w:rPr>
              <w:t>George Cheeks</w:t>
            </w:r>
          </w:p>
        </w:tc>
        <w:tc>
          <w:tcPr>
            <w:tcW w:w="780" w:type="dxa"/>
            <w:vAlign w:val="bottom"/>
            <w:textDirection w:val="btLr"/>
            <w:shd w:val="clear" w:color="auto" w:fill="99B7C6"/>
          </w:tcPr>
          <w:p>
            <w:pPr>
              <w:ind w:left="364"/>
              <w:spacing w:after="0"/>
              <w:rPr>
                <w:sz w:val="20"/>
                <w:szCs w:val="20"/>
                <w:color w:val="auto"/>
              </w:rPr>
            </w:pPr>
            <w:r>
              <w:rPr>
                <w:rFonts w:ascii="Arial" w:cs="Arial" w:eastAsia="Arial" w:hAnsi="Arial"/>
                <w:sz w:val="11"/>
                <w:szCs w:val="11"/>
                <w:b w:val="1"/>
                <w:bCs w:val="1"/>
                <w:color w:val="FFFFFF"/>
              </w:rPr>
              <w:t>Kate Gulliver</w:t>
            </w:r>
          </w:p>
        </w:tc>
        <w:tc>
          <w:tcPr>
            <w:tcW w:w="860" w:type="dxa"/>
            <w:vAlign w:val="bottom"/>
            <w:textDirection w:val="btLr"/>
            <w:shd w:val="clear" w:color="auto" w:fill="99B7C6"/>
          </w:tcPr>
          <w:p>
            <w:pPr>
              <w:ind w:left="373"/>
              <w:spacing w:after="0"/>
              <w:rPr>
                <w:sz w:val="20"/>
                <w:szCs w:val="20"/>
                <w:color w:val="auto"/>
              </w:rPr>
            </w:pPr>
            <w:r>
              <w:rPr>
                <w:rFonts w:ascii="Arial" w:cs="Arial" w:eastAsia="Arial" w:hAnsi="Arial"/>
                <w:sz w:val="11"/>
                <w:szCs w:val="11"/>
                <w:b w:val="1"/>
                <w:bCs w:val="1"/>
                <w:color w:val="FFFFFF"/>
              </w:rPr>
              <w:t>Stefan Larsson</w:t>
            </w:r>
          </w:p>
        </w:tc>
        <w:tc>
          <w:tcPr>
            <w:tcW w:w="960" w:type="dxa"/>
            <w:vAlign w:val="bottom"/>
            <w:textDirection w:val="btLr"/>
            <w:shd w:val="clear" w:color="auto" w:fill="99B7C6"/>
          </w:tcPr>
          <w:p>
            <w:pPr>
              <w:ind w:left="444"/>
              <w:spacing w:after="0"/>
              <w:rPr>
                <w:sz w:val="20"/>
                <w:szCs w:val="20"/>
                <w:color w:val="auto"/>
              </w:rPr>
            </w:pPr>
            <w:r>
              <w:rPr>
                <w:rFonts w:ascii="Arial" w:cs="Arial" w:eastAsia="Arial" w:hAnsi="Arial"/>
                <w:sz w:val="11"/>
                <w:szCs w:val="11"/>
                <w:b w:val="1"/>
                <w:bCs w:val="1"/>
                <w:color w:val="FFFFFF"/>
                <w:w w:val="99"/>
              </w:rPr>
              <w:t>G. Penny McIntyre</w:t>
            </w:r>
          </w:p>
        </w:tc>
        <w:tc>
          <w:tcPr>
            <w:tcW w:w="920" w:type="dxa"/>
            <w:vAlign w:val="bottom"/>
            <w:textDirection w:val="btLr"/>
            <w:shd w:val="clear" w:color="auto" w:fill="99B7C6"/>
          </w:tcPr>
          <w:p>
            <w:pPr>
              <w:ind w:left="450"/>
              <w:spacing w:after="0"/>
              <w:rPr>
                <w:sz w:val="20"/>
                <w:szCs w:val="20"/>
                <w:color w:val="auto"/>
              </w:rPr>
            </w:pPr>
            <w:r>
              <w:rPr>
                <w:rFonts w:ascii="Arial" w:cs="Arial" w:eastAsia="Arial" w:hAnsi="Arial"/>
                <w:sz w:val="11"/>
                <w:szCs w:val="11"/>
                <w:b w:val="1"/>
                <w:bCs w:val="1"/>
                <w:color w:val="FFFFFF"/>
              </w:rPr>
              <w:t>Amy McPherson</w:t>
            </w:r>
          </w:p>
        </w:tc>
        <w:tc>
          <w:tcPr>
            <w:tcW w:w="880" w:type="dxa"/>
            <w:vAlign w:val="bottom"/>
            <w:textDirection w:val="btLr"/>
            <w:shd w:val="clear" w:color="auto" w:fill="99B7C6"/>
          </w:tcPr>
          <w:p>
            <w:pPr>
              <w:ind w:left="425"/>
              <w:spacing w:after="0"/>
              <w:rPr>
                <w:sz w:val="20"/>
                <w:szCs w:val="20"/>
                <w:color w:val="auto"/>
              </w:rPr>
            </w:pPr>
            <w:r>
              <w:rPr>
                <w:rFonts w:ascii="Arial" w:cs="Arial" w:eastAsia="Arial" w:hAnsi="Arial"/>
                <w:sz w:val="11"/>
                <w:szCs w:val="11"/>
                <w:b w:val="1"/>
                <w:bCs w:val="1"/>
                <w:color w:val="FFFFFF"/>
              </w:rPr>
              <w:t>Amanda Sourry</w:t>
            </w:r>
          </w:p>
        </w:tc>
        <w:tc>
          <w:tcPr>
            <w:tcW w:w="0" w:type="dxa"/>
            <w:vAlign w:val="bottom"/>
          </w:tcPr>
          <w:p>
            <w:pPr>
              <w:spacing w:after="0"/>
              <w:rPr>
                <w:sz w:val="1"/>
                <w:szCs w:val="1"/>
                <w:color w:val="auto"/>
              </w:rPr>
            </w:pPr>
          </w:p>
        </w:tc>
      </w:tr>
      <w:tr>
        <w:trPr>
          <w:trHeight w:val="165"/>
        </w:trPr>
        <w:tc>
          <w:tcPr>
            <w:tcW w:w="2660" w:type="dxa"/>
            <w:vAlign w:val="bottom"/>
            <w:shd w:val="clear" w:color="auto" w:fill="99B7C6"/>
          </w:tcPr>
          <w:p>
            <w:pPr>
              <w:spacing w:after="0"/>
              <w:rPr>
                <w:sz w:val="14"/>
                <w:szCs w:val="14"/>
                <w:color w:val="auto"/>
              </w:rPr>
            </w:pPr>
          </w:p>
        </w:tc>
        <w:tc>
          <w:tcPr>
            <w:tcW w:w="680" w:type="dxa"/>
            <w:vAlign w:val="bottom"/>
            <w:shd w:val="clear" w:color="auto" w:fill="99B7C6"/>
          </w:tcPr>
          <w:p>
            <w:pPr>
              <w:spacing w:after="0"/>
              <w:rPr>
                <w:sz w:val="14"/>
                <w:szCs w:val="14"/>
                <w:color w:val="auto"/>
              </w:rPr>
            </w:pPr>
          </w:p>
        </w:tc>
        <w:tc>
          <w:tcPr>
            <w:tcW w:w="800" w:type="dxa"/>
            <w:vAlign w:val="bottom"/>
            <w:shd w:val="clear" w:color="auto" w:fill="99B7C6"/>
          </w:tcPr>
          <w:p>
            <w:pPr>
              <w:spacing w:after="0"/>
              <w:rPr>
                <w:sz w:val="14"/>
                <w:szCs w:val="14"/>
                <w:color w:val="auto"/>
              </w:rPr>
            </w:pPr>
          </w:p>
        </w:tc>
        <w:tc>
          <w:tcPr>
            <w:tcW w:w="900" w:type="dxa"/>
            <w:vAlign w:val="bottom"/>
            <w:shd w:val="clear" w:color="auto" w:fill="99B7C6"/>
          </w:tcPr>
          <w:p>
            <w:pPr>
              <w:spacing w:after="0"/>
              <w:rPr>
                <w:sz w:val="14"/>
                <w:szCs w:val="14"/>
                <w:color w:val="auto"/>
              </w:rPr>
            </w:pPr>
          </w:p>
        </w:tc>
        <w:tc>
          <w:tcPr>
            <w:tcW w:w="920" w:type="dxa"/>
            <w:vAlign w:val="bottom"/>
            <w:shd w:val="clear" w:color="auto" w:fill="99B7C6"/>
          </w:tcPr>
          <w:p>
            <w:pPr>
              <w:spacing w:after="0"/>
              <w:rPr>
                <w:sz w:val="14"/>
                <w:szCs w:val="14"/>
                <w:color w:val="auto"/>
              </w:rPr>
            </w:pPr>
          </w:p>
        </w:tc>
        <w:tc>
          <w:tcPr>
            <w:tcW w:w="840" w:type="dxa"/>
            <w:vAlign w:val="bottom"/>
            <w:shd w:val="clear" w:color="auto" w:fill="99B7C6"/>
          </w:tcPr>
          <w:p>
            <w:pPr>
              <w:spacing w:after="0"/>
              <w:rPr>
                <w:sz w:val="14"/>
                <w:szCs w:val="14"/>
                <w:color w:val="auto"/>
              </w:rPr>
            </w:pPr>
          </w:p>
        </w:tc>
        <w:tc>
          <w:tcPr>
            <w:tcW w:w="780" w:type="dxa"/>
            <w:vAlign w:val="bottom"/>
            <w:shd w:val="clear" w:color="auto" w:fill="99B7C6"/>
          </w:tcPr>
          <w:p>
            <w:pPr>
              <w:spacing w:after="0"/>
              <w:rPr>
                <w:sz w:val="14"/>
                <w:szCs w:val="14"/>
                <w:color w:val="auto"/>
              </w:rPr>
            </w:pPr>
          </w:p>
        </w:tc>
        <w:tc>
          <w:tcPr>
            <w:tcW w:w="860" w:type="dxa"/>
            <w:vAlign w:val="bottom"/>
            <w:shd w:val="clear" w:color="auto" w:fill="99B7C6"/>
          </w:tcPr>
          <w:p>
            <w:pPr>
              <w:spacing w:after="0"/>
              <w:rPr>
                <w:sz w:val="14"/>
                <w:szCs w:val="14"/>
                <w:color w:val="auto"/>
              </w:rPr>
            </w:pPr>
          </w:p>
        </w:tc>
        <w:tc>
          <w:tcPr>
            <w:tcW w:w="960" w:type="dxa"/>
            <w:vAlign w:val="bottom"/>
            <w:shd w:val="clear" w:color="auto" w:fill="99B7C6"/>
          </w:tcPr>
          <w:p>
            <w:pPr>
              <w:spacing w:after="0"/>
              <w:rPr>
                <w:sz w:val="14"/>
                <w:szCs w:val="14"/>
                <w:color w:val="auto"/>
              </w:rPr>
            </w:pPr>
          </w:p>
        </w:tc>
        <w:tc>
          <w:tcPr>
            <w:tcW w:w="920" w:type="dxa"/>
            <w:vAlign w:val="bottom"/>
            <w:shd w:val="clear" w:color="auto" w:fill="99B7C6"/>
          </w:tcPr>
          <w:p>
            <w:pPr>
              <w:spacing w:after="0"/>
              <w:rPr>
                <w:sz w:val="14"/>
                <w:szCs w:val="14"/>
                <w:color w:val="auto"/>
              </w:rPr>
            </w:pPr>
          </w:p>
        </w:tc>
        <w:tc>
          <w:tcPr>
            <w:tcW w:w="880" w:type="dxa"/>
            <w:vAlign w:val="bottom"/>
            <w:shd w:val="clear" w:color="auto" w:fill="99B7C6"/>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660" w:type="dxa"/>
            <w:vAlign w:val="bottom"/>
            <w:shd w:val="clear" w:color="auto" w:fill="6D98AD"/>
          </w:tcPr>
          <w:p>
            <w:pPr>
              <w:ind w:left="60"/>
              <w:spacing w:after="0"/>
              <w:rPr>
                <w:sz w:val="20"/>
                <w:szCs w:val="20"/>
                <w:color w:val="auto"/>
              </w:rPr>
            </w:pPr>
            <w:r>
              <w:rPr>
                <w:rFonts w:ascii="Arial" w:cs="Arial" w:eastAsia="Arial" w:hAnsi="Arial"/>
                <w:sz w:val="14"/>
                <w:szCs w:val="14"/>
                <w:b w:val="1"/>
                <w:bCs w:val="1"/>
                <w:color w:val="FFFFFF"/>
              </w:rPr>
              <w:t>Operating Experience</w:t>
            </w:r>
          </w:p>
        </w:tc>
        <w:tc>
          <w:tcPr>
            <w:tcW w:w="680" w:type="dxa"/>
            <w:vAlign w:val="bottom"/>
            <w:shd w:val="clear" w:color="auto" w:fill="6D98AD"/>
          </w:tcPr>
          <w:p>
            <w:pPr>
              <w:spacing w:after="0"/>
              <w:rPr>
                <w:sz w:val="21"/>
                <w:szCs w:val="21"/>
                <w:color w:val="auto"/>
              </w:rPr>
            </w:pPr>
          </w:p>
        </w:tc>
        <w:tc>
          <w:tcPr>
            <w:tcW w:w="800" w:type="dxa"/>
            <w:vAlign w:val="bottom"/>
            <w:shd w:val="clear" w:color="auto" w:fill="6D98AD"/>
          </w:tcPr>
          <w:p>
            <w:pPr>
              <w:spacing w:after="0"/>
              <w:rPr>
                <w:sz w:val="21"/>
                <w:szCs w:val="21"/>
                <w:color w:val="auto"/>
              </w:rPr>
            </w:pPr>
          </w:p>
        </w:tc>
        <w:tc>
          <w:tcPr>
            <w:tcW w:w="900" w:type="dxa"/>
            <w:vAlign w:val="bottom"/>
            <w:shd w:val="clear" w:color="auto" w:fill="6D98AD"/>
          </w:tcPr>
          <w:p>
            <w:pPr>
              <w:spacing w:after="0"/>
              <w:rPr>
                <w:sz w:val="21"/>
                <w:szCs w:val="21"/>
                <w:color w:val="auto"/>
              </w:rPr>
            </w:pPr>
          </w:p>
        </w:tc>
        <w:tc>
          <w:tcPr>
            <w:tcW w:w="920" w:type="dxa"/>
            <w:vAlign w:val="bottom"/>
            <w:shd w:val="clear" w:color="auto" w:fill="6D98AD"/>
          </w:tcPr>
          <w:p>
            <w:pPr>
              <w:spacing w:after="0"/>
              <w:rPr>
                <w:sz w:val="21"/>
                <w:szCs w:val="21"/>
                <w:color w:val="auto"/>
              </w:rPr>
            </w:pPr>
          </w:p>
        </w:tc>
        <w:tc>
          <w:tcPr>
            <w:tcW w:w="840" w:type="dxa"/>
            <w:vAlign w:val="bottom"/>
            <w:shd w:val="clear" w:color="auto" w:fill="6D98AD"/>
          </w:tcPr>
          <w:p>
            <w:pPr>
              <w:spacing w:after="0"/>
              <w:rPr>
                <w:sz w:val="21"/>
                <w:szCs w:val="21"/>
                <w:color w:val="auto"/>
              </w:rPr>
            </w:pPr>
          </w:p>
        </w:tc>
        <w:tc>
          <w:tcPr>
            <w:tcW w:w="780" w:type="dxa"/>
            <w:vAlign w:val="bottom"/>
            <w:shd w:val="clear" w:color="auto" w:fill="6D98AD"/>
          </w:tcPr>
          <w:p>
            <w:pPr>
              <w:spacing w:after="0"/>
              <w:rPr>
                <w:sz w:val="21"/>
                <w:szCs w:val="21"/>
                <w:color w:val="auto"/>
              </w:rPr>
            </w:pPr>
          </w:p>
        </w:tc>
        <w:tc>
          <w:tcPr>
            <w:tcW w:w="860" w:type="dxa"/>
            <w:vAlign w:val="bottom"/>
            <w:shd w:val="clear" w:color="auto" w:fill="6D98AD"/>
          </w:tcPr>
          <w:p>
            <w:pPr>
              <w:spacing w:after="0"/>
              <w:rPr>
                <w:sz w:val="21"/>
                <w:szCs w:val="21"/>
                <w:color w:val="auto"/>
              </w:rPr>
            </w:pPr>
          </w:p>
        </w:tc>
        <w:tc>
          <w:tcPr>
            <w:tcW w:w="960" w:type="dxa"/>
            <w:vAlign w:val="bottom"/>
            <w:shd w:val="clear" w:color="auto" w:fill="6D98AD"/>
          </w:tcPr>
          <w:p>
            <w:pPr>
              <w:spacing w:after="0"/>
              <w:rPr>
                <w:sz w:val="21"/>
                <w:szCs w:val="21"/>
                <w:color w:val="auto"/>
              </w:rPr>
            </w:pPr>
          </w:p>
        </w:tc>
        <w:tc>
          <w:tcPr>
            <w:tcW w:w="920" w:type="dxa"/>
            <w:vAlign w:val="bottom"/>
            <w:shd w:val="clear" w:color="auto" w:fill="6D98AD"/>
          </w:tcPr>
          <w:p>
            <w:pPr>
              <w:spacing w:after="0"/>
              <w:rPr>
                <w:sz w:val="21"/>
                <w:szCs w:val="21"/>
                <w:color w:val="auto"/>
              </w:rPr>
            </w:pPr>
          </w:p>
        </w:tc>
        <w:tc>
          <w:tcPr>
            <w:tcW w:w="880" w:type="dxa"/>
            <w:vAlign w:val="bottom"/>
            <w:shd w:val="clear" w:color="auto" w:fill="6D98AD"/>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E9F0F3"/>
          </w:tcPr>
          <w:p>
            <w:pPr>
              <w:ind w:left="60"/>
              <w:spacing w:after="0" w:line="153" w:lineRule="exact"/>
              <w:rPr>
                <w:sz w:val="20"/>
                <w:szCs w:val="20"/>
                <w:color w:val="auto"/>
              </w:rPr>
            </w:pPr>
            <w:r>
              <w:rPr>
                <w:rFonts w:ascii="Arial" w:cs="Arial" w:eastAsia="Arial" w:hAnsi="Arial"/>
                <w:sz w:val="14"/>
                <w:szCs w:val="14"/>
                <w:color w:val="auto"/>
              </w:rPr>
              <w:t>Chief Executive Officer, President,</w:t>
            </w:r>
          </w:p>
        </w:tc>
        <w:tc>
          <w:tcPr>
            <w:tcW w:w="680" w:type="dxa"/>
            <w:vAlign w:val="bottom"/>
            <w:shd w:val="clear" w:color="auto" w:fill="E9F0F3"/>
          </w:tcPr>
          <w:p>
            <w:pPr>
              <w:spacing w:after="0"/>
              <w:rPr>
                <w:sz w:val="13"/>
                <w:szCs w:val="13"/>
                <w:color w:val="auto"/>
              </w:rPr>
            </w:pPr>
          </w:p>
        </w:tc>
        <w:tc>
          <w:tcPr>
            <w:tcW w:w="800" w:type="dxa"/>
            <w:vAlign w:val="bottom"/>
            <w:shd w:val="clear" w:color="auto" w:fill="E9F0F3"/>
          </w:tcPr>
          <w:p>
            <w:pPr>
              <w:spacing w:after="0"/>
              <w:rPr>
                <w:sz w:val="13"/>
                <w:szCs w:val="13"/>
                <w:color w:val="auto"/>
              </w:rPr>
            </w:pPr>
          </w:p>
        </w:tc>
        <w:tc>
          <w:tcPr>
            <w:tcW w:w="900" w:type="dxa"/>
            <w:vAlign w:val="bottom"/>
            <w:shd w:val="clear" w:color="auto" w:fill="E9F0F3"/>
          </w:tcPr>
          <w:p>
            <w:pPr>
              <w:spacing w:after="0"/>
              <w:rPr>
                <w:sz w:val="13"/>
                <w:szCs w:val="13"/>
                <w:color w:val="auto"/>
              </w:rPr>
            </w:pPr>
          </w:p>
        </w:tc>
        <w:tc>
          <w:tcPr>
            <w:tcW w:w="920" w:type="dxa"/>
            <w:vAlign w:val="bottom"/>
            <w:shd w:val="clear" w:color="auto" w:fill="E9F0F3"/>
          </w:tcPr>
          <w:p>
            <w:pPr>
              <w:spacing w:after="0"/>
              <w:rPr>
                <w:sz w:val="13"/>
                <w:szCs w:val="13"/>
                <w:color w:val="auto"/>
              </w:rPr>
            </w:pPr>
          </w:p>
        </w:tc>
        <w:tc>
          <w:tcPr>
            <w:tcW w:w="840" w:type="dxa"/>
            <w:vAlign w:val="bottom"/>
            <w:shd w:val="clear" w:color="auto" w:fill="E9F0F3"/>
          </w:tcPr>
          <w:p>
            <w:pPr>
              <w:spacing w:after="0"/>
              <w:rPr>
                <w:sz w:val="13"/>
                <w:szCs w:val="13"/>
                <w:color w:val="auto"/>
              </w:rPr>
            </w:pPr>
          </w:p>
        </w:tc>
        <w:tc>
          <w:tcPr>
            <w:tcW w:w="780" w:type="dxa"/>
            <w:vAlign w:val="bottom"/>
            <w:shd w:val="clear" w:color="auto" w:fill="E9F0F3"/>
          </w:tcPr>
          <w:p>
            <w:pPr>
              <w:spacing w:after="0"/>
              <w:rPr>
                <w:sz w:val="13"/>
                <w:szCs w:val="13"/>
                <w:color w:val="auto"/>
              </w:rPr>
            </w:pPr>
          </w:p>
        </w:tc>
        <w:tc>
          <w:tcPr>
            <w:tcW w:w="860" w:type="dxa"/>
            <w:vAlign w:val="bottom"/>
            <w:shd w:val="clear" w:color="auto" w:fill="E9F0F3"/>
          </w:tcPr>
          <w:p>
            <w:pPr>
              <w:spacing w:after="0"/>
              <w:rPr>
                <w:sz w:val="13"/>
                <w:szCs w:val="13"/>
                <w:color w:val="auto"/>
              </w:rPr>
            </w:pPr>
          </w:p>
        </w:tc>
        <w:tc>
          <w:tcPr>
            <w:tcW w:w="960" w:type="dxa"/>
            <w:vAlign w:val="bottom"/>
            <w:shd w:val="clear" w:color="auto" w:fill="E9F0F3"/>
          </w:tcPr>
          <w:p>
            <w:pPr>
              <w:spacing w:after="0"/>
              <w:rPr>
                <w:sz w:val="13"/>
                <w:szCs w:val="13"/>
                <w:color w:val="auto"/>
              </w:rPr>
            </w:pPr>
          </w:p>
        </w:tc>
        <w:tc>
          <w:tcPr>
            <w:tcW w:w="920" w:type="dxa"/>
            <w:vAlign w:val="bottom"/>
            <w:shd w:val="clear" w:color="auto" w:fill="E9F0F3"/>
          </w:tcPr>
          <w:p>
            <w:pPr>
              <w:spacing w:after="0"/>
              <w:rPr>
                <w:sz w:val="13"/>
                <w:szCs w:val="13"/>
                <w:color w:val="auto"/>
              </w:rPr>
            </w:pPr>
          </w:p>
        </w:tc>
        <w:tc>
          <w:tcPr>
            <w:tcW w:w="880" w:type="dxa"/>
            <w:vAlign w:val="bottom"/>
            <w:shd w:val="clear" w:color="auto" w:fill="E9F0F3"/>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660" w:type="dxa"/>
            <w:vAlign w:val="bottom"/>
            <w:shd w:val="clear" w:color="auto" w:fill="E9F0F3"/>
          </w:tcPr>
          <w:p>
            <w:pPr>
              <w:ind w:left="60"/>
              <w:spacing w:after="0"/>
              <w:rPr>
                <w:sz w:val="20"/>
                <w:szCs w:val="20"/>
                <w:color w:val="auto"/>
              </w:rPr>
            </w:pPr>
            <w:r>
              <w:rPr>
                <w:rFonts w:ascii="Arial" w:cs="Arial" w:eastAsia="Arial" w:hAnsi="Arial"/>
                <w:sz w:val="14"/>
                <w:szCs w:val="14"/>
                <w:color w:val="auto"/>
              </w:rPr>
              <w:t>Chief Operating Officer,</w:t>
            </w:r>
          </w:p>
        </w:tc>
        <w:tc>
          <w:tcPr>
            <w:tcW w:w="680" w:type="dxa"/>
            <w:vAlign w:val="bottom"/>
            <w:shd w:val="clear" w:color="auto" w:fill="E9F0F3"/>
          </w:tcPr>
          <w:p>
            <w:pPr>
              <w:spacing w:after="0"/>
              <w:rPr>
                <w:sz w:val="14"/>
                <w:szCs w:val="14"/>
                <w:color w:val="auto"/>
              </w:rPr>
            </w:pPr>
          </w:p>
        </w:tc>
        <w:tc>
          <w:tcPr>
            <w:tcW w:w="800" w:type="dxa"/>
            <w:vAlign w:val="bottom"/>
            <w:shd w:val="clear" w:color="auto" w:fill="E9F0F3"/>
          </w:tcPr>
          <w:p>
            <w:pPr>
              <w:spacing w:after="0"/>
              <w:rPr>
                <w:sz w:val="14"/>
                <w:szCs w:val="14"/>
                <w:color w:val="auto"/>
              </w:rPr>
            </w:pPr>
          </w:p>
        </w:tc>
        <w:tc>
          <w:tcPr>
            <w:tcW w:w="900" w:type="dxa"/>
            <w:vAlign w:val="bottom"/>
            <w:shd w:val="clear" w:color="auto" w:fill="E9F0F3"/>
          </w:tcPr>
          <w:p>
            <w:pPr>
              <w:spacing w:after="0"/>
              <w:rPr>
                <w:sz w:val="14"/>
                <w:szCs w:val="14"/>
                <w:color w:val="auto"/>
              </w:rPr>
            </w:pPr>
          </w:p>
        </w:tc>
        <w:tc>
          <w:tcPr>
            <w:tcW w:w="920" w:type="dxa"/>
            <w:vAlign w:val="bottom"/>
            <w:shd w:val="clear" w:color="auto" w:fill="E9F0F3"/>
          </w:tcPr>
          <w:p>
            <w:pPr>
              <w:spacing w:after="0"/>
              <w:rPr>
                <w:sz w:val="14"/>
                <w:szCs w:val="14"/>
                <w:color w:val="auto"/>
              </w:rPr>
            </w:pPr>
          </w:p>
        </w:tc>
        <w:tc>
          <w:tcPr>
            <w:tcW w:w="840" w:type="dxa"/>
            <w:vAlign w:val="bottom"/>
            <w:shd w:val="clear" w:color="auto" w:fill="E9F0F3"/>
          </w:tcPr>
          <w:p>
            <w:pPr>
              <w:spacing w:after="0"/>
              <w:rPr>
                <w:sz w:val="14"/>
                <w:szCs w:val="14"/>
                <w:color w:val="auto"/>
              </w:rPr>
            </w:pPr>
          </w:p>
        </w:tc>
        <w:tc>
          <w:tcPr>
            <w:tcW w:w="780" w:type="dxa"/>
            <w:vAlign w:val="bottom"/>
            <w:shd w:val="clear" w:color="auto" w:fill="E9F0F3"/>
          </w:tcPr>
          <w:p>
            <w:pPr>
              <w:spacing w:after="0"/>
              <w:rPr>
                <w:sz w:val="14"/>
                <w:szCs w:val="14"/>
                <w:color w:val="auto"/>
              </w:rPr>
            </w:pPr>
          </w:p>
        </w:tc>
        <w:tc>
          <w:tcPr>
            <w:tcW w:w="860" w:type="dxa"/>
            <w:vAlign w:val="bottom"/>
            <w:shd w:val="clear" w:color="auto" w:fill="E9F0F3"/>
          </w:tcPr>
          <w:p>
            <w:pPr>
              <w:spacing w:after="0"/>
              <w:rPr>
                <w:sz w:val="14"/>
                <w:szCs w:val="14"/>
                <w:color w:val="auto"/>
              </w:rPr>
            </w:pPr>
          </w:p>
        </w:tc>
        <w:tc>
          <w:tcPr>
            <w:tcW w:w="960" w:type="dxa"/>
            <w:vAlign w:val="bottom"/>
            <w:shd w:val="clear" w:color="auto" w:fill="E9F0F3"/>
          </w:tcPr>
          <w:p>
            <w:pPr>
              <w:spacing w:after="0"/>
              <w:rPr>
                <w:sz w:val="14"/>
                <w:szCs w:val="14"/>
                <w:color w:val="auto"/>
              </w:rPr>
            </w:pPr>
          </w:p>
        </w:tc>
        <w:tc>
          <w:tcPr>
            <w:tcW w:w="920" w:type="dxa"/>
            <w:vAlign w:val="bottom"/>
            <w:shd w:val="clear" w:color="auto" w:fill="E9F0F3"/>
          </w:tcPr>
          <w:p>
            <w:pPr>
              <w:spacing w:after="0"/>
              <w:rPr>
                <w:sz w:val="14"/>
                <w:szCs w:val="14"/>
                <w:color w:val="auto"/>
              </w:rPr>
            </w:pPr>
          </w:p>
        </w:tc>
        <w:tc>
          <w:tcPr>
            <w:tcW w:w="880" w:type="dxa"/>
            <w:vAlign w:val="bottom"/>
            <w:shd w:val="clear" w:color="auto" w:fill="E9F0F3"/>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60" w:type="dxa"/>
            <w:vAlign w:val="bottom"/>
            <w:shd w:val="clear" w:color="auto" w:fill="E9F0F3"/>
          </w:tcPr>
          <w:p>
            <w:pPr>
              <w:ind w:left="60"/>
              <w:spacing w:after="0"/>
              <w:rPr>
                <w:sz w:val="20"/>
                <w:szCs w:val="20"/>
                <w:color w:val="auto"/>
              </w:rPr>
            </w:pPr>
            <w:r>
              <w:rPr>
                <w:rFonts w:ascii="Arial" w:cs="Arial" w:eastAsia="Arial" w:hAnsi="Arial"/>
                <w:sz w:val="14"/>
                <w:szCs w:val="14"/>
                <w:color w:val="auto"/>
              </w:rPr>
              <w:t>Chief Financial Officer or</w:t>
            </w:r>
          </w:p>
        </w:tc>
        <w:tc>
          <w:tcPr>
            <w:tcW w:w="680" w:type="dxa"/>
            <w:vAlign w:val="bottom"/>
            <w:shd w:val="clear" w:color="auto" w:fill="E9F0F3"/>
          </w:tcPr>
          <w:p>
            <w:pPr>
              <w:ind w:lef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9F0F3"/>
          </w:tcPr>
          <w:p>
            <w:pPr>
              <w:spacing w:after="0"/>
              <w:rPr>
                <w:sz w:val="14"/>
                <w:szCs w:val="14"/>
                <w:color w:val="auto"/>
              </w:rPr>
            </w:pPr>
          </w:p>
        </w:tc>
        <w:tc>
          <w:tcPr>
            <w:tcW w:w="900" w:type="dxa"/>
            <w:vAlign w:val="bottom"/>
            <w:shd w:val="clear" w:color="auto" w:fill="E9F0F3"/>
          </w:tcPr>
          <w:p>
            <w:pPr>
              <w:ind w:left="360"/>
              <w:spacing w:after="0"/>
              <w:rPr>
                <w:sz w:val="20"/>
                <w:szCs w:val="20"/>
                <w:color w:val="auto"/>
              </w:rPr>
            </w:pPr>
            <w:r>
              <w:rPr>
                <w:rFonts w:ascii="Arial" w:cs="Arial" w:eastAsia="Arial" w:hAnsi="Arial"/>
                <w:sz w:val="14"/>
                <w:szCs w:val="14"/>
                <w:color w:val="auto"/>
              </w:rPr>
              <w:t>●</w:t>
            </w:r>
          </w:p>
        </w:tc>
        <w:tc>
          <w:tcPr>
            <w:tcW w:w="920" w:type="dxa"/>
            <w:vAlign w:val="bottom"/>
            <w:shd w:val="clear" w:color="auto" w:fill="E9F0F3"/>
          </w:tcPr>
          <w:p>
            <w:pPr>
              <w:ind w:left="420"/>
              <w:spacing w:after="0"/>
              <w:rPr>
                <w:sz w:val="20"/>
                <w:szCs w:val="20"/>
                <w:color w:val="auto"/>
              </w:rPr>
            </w:pPr>
            <w:r>
              <w:rPr>
                <w:rFonts w:ascii="Arial" w:cs="Arial" w:eastAsia="Arial" w:hAnsi="Arial"/>
                <w:sz w:val="14"/>
                <w:szCs w:val="14"/>
                <w:color w:val="auto"/>
              </w:rPr>
              <w:t>●</w:t>
            </w:r>
          </w:p>
        </w:tc>
        <w:tc>
          <w:tcPr>
            <w:tcW w:w="840" w:type="dxa"/>
            <w:vAlign w:val="bottom"/>
            <w:shd w:val="clear" w:color="auto" w:fill="E9F0F3"/>
          </w:tcPr>
          <w:p>
            <w:pPr>
              <w:ind w:left="380"/>
              <w:spacing w:after="0"/>
              <w:rPr>
                <w:sz w:val="20"/>
                <w:szCs w:val="20"/>
                <w:color w:val="auto"/>
              </w:rPr>
            </w:pPr>
            <w:r>
              <w:rPr>
                <w:rFonts w:ascii="Arial" w:cs="Arial" w:eastAsia="Arial" w:hAnsi="Arial"/>
                <w:sz w:val="14"/>
                <w:szCs w:val="14"/>
                <w:color w:val="auto"/>
              </w:rPr>
              <w:t>●</w:t>
            </w:r>
          </w:p>
        </w:tc>
        <w:tc>
          <w:tcPr>
            <w:tcW w:w="780" w:type="dxa"/>
            <w:vAlign w:val="bottom"/>
            <w:shd w:val="clear" w:color="auto" w:fill="E9F0F3"/>
          </w:tcPr>
          <w:p>
            <w:pPr>
              <w:ind w:left="320"/>
              <w:spacing w:after="0"/>
              <w:rPr>
                <w:sz w:val="20"/>
                <w:szCs w:val="20"/>
                <w:color w:val="auto"/>
              </w:rPr>
            </w:pPr>
            <w:r>
              <w:rPr>
                <w:rFonts w:ascii="Arial" w:cs="Arial" w:eastAsia="Arial" w:hAnsi="Arial"/>
                <w:sz w:val="14"/>
                <w:szCs w:val="14"/>
                <w:color w:val="auto"/>
              </w:rPr>
              <w:t>●</w:t>
            </w:r>
          </w:p>
        </w:tc>
        <w:tc>
          <w:tcPr>
            <w:tcW w:w="860" w:type="dxa"/>
            <w:vAlign w:val="bottom"/>
            <w:shd w:val="clear" w:color="auto" w:fill="E9F0F3"/>
          </w:tcPr>
          <w:p>
            <w:pPr>
              <w:ind w:left="340"/>
              <w:spacing w:after="0"/>
              <w:rPr>
                <w:sz w:val="20"/>
                <w:szCs w:val="20"/>
                <w:color w:val="auto"/>
              </w:rPr>
            </w:pPr>
            <w:r>
              <w:rPr>
                <w:rFonts w:ascii="Arial" w:cs="Arial" w:eastAsia="Arial" w:hAnsi="Arial"/>
                <w:sz w:val="14"/>
                <w:szCs w:val="14"/>
                <w:color w:val="auto"/>
              </w:rPr>
              <w:t>●</w:t>
            </w:r>
          </w:p>
        </w:tc>
        <w:tc>
          <w:tcPr>
            <w:tcW w:w="960" w:type="dxa"/>
            <w:vAlign w:val="bottom"/>
            <w:shd w:val="clear" w:color="auto" w:fill="E9F0F3"/>
          </w:tcPr>
          <w:p>
            <w:pPr>
              <w:ind w:left="400"/>
              <w:spacing w:after="0"/>
              <w:rPr>
                <w:sz w:val="20"/>
                <w:szCs w:val="20"/>
                <w:color w:val="auto"/>
              </w:rPr>
            </w:pPr>
            <w:r>
              <w:rPr>
                <w:rFonts w:ascii="Arial" w:cs="Arial" w:eastAsia="Arial" w:hAnsi="Arial"/>
                <w:sz w:val="14"/>
                <w:szCs w:val="14"/>
                <w:color w:val="auto"/>
              </w:rPr>
              <w:t>●</w:t>
            </w:r>
          </w:p>
        </w:tc>
        <w:tc>
          <w:tcPr>
            <w:tcW w:w="920" w:type="dxa"/>
            <w:vAlign w:val="bottom"/>
            <w:shd w:val="clear" w:color="auto" w:fill="E9F0F3"/>
          </w:tcPr>
          <w:p>
            <w:pPr>
              <w:spacing w:after="0"/>
              <w:rPr>
                <w:sz w:val="14"/>
                <w:szCs w:val="14"/>
                <w:color w:val="auto"/>
              </w:rPr>
            </w:pPr>
          </w:p>
        </w:tc>
        <w:tc>
          <w:tcPr>
            <w:tcW w:w="880" w:type="dxa"/>
            <w:vAlign w:val="bottom"/>
            <w:shd w:val="clear" w:color="auto" w:fill="E9F0F3"/>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660" w:type="dxa"/>
            <w:vAlign w:val="bottom"/>
            <w:shd w:val="clear" w:color="auto" w:fill="E9F0F3"/>
          </w:tcPr>
          <w:p>
            <w:pPr>
              <w:ind w:left="60"/>
              <w:spacing w:after="0"/>
              <w:rPr>
                <w:sz w:val="20"/>
                <w:szCs w:val="20"/>
                <w:color w:val="auto"/>
              </w:rPr>
            </w:pPr>
            <w:r>
              <w:rPr>
                <w:rFonts w:ascii="Arial" w:cs="Arial" w:eastAsia="Arial" w:hAnsi="Arial"/>
                <w:sz w:val="14"/>
                <w:szCs w:val="14"/>
                <w:color w:val="auto"/>
              </w:rPr>
              <w:t>Chief Accounting Officer</w:t>
            </w:r>
          </w:p>
        </w:tc>
        <w:tc>
          <w:tcPr>
            <w:tcW w:w="680" w:type="dxa"/>
            <w:vAlign w:val="bottom"/>
            <w:shd w:val="clear" w:color="auto" w:fill="E9F0F3"/>
          </w:tcPr>
          <w:p>
            <w:pPr>
              <w:spacing w:after="0"/>
              <w:rPr>
                <w:sz w:val="14"/>
                <w:szCs w:val="14"/>
                <w:color w:val="auto"/>
              </w:rPr>
            </w:pPr>
          </w:p>
        </w:tc>
        <w:tc>
          <w:tcPr>
            <w:tcW w:w="800" w:type="dxa"/>
            <w:vAlign w:val="bottom"/>
            <w:shd w:val="clear" w:color="auto" w:fill="E9F0F3"/>
          </w:tcPr>
          <w:p>
            <w:pPr>
              <w:spacing w:after="0"/>
              <w:rPr>
                <w:sz w:val="14"/>
                <w:szCs w:val="14"/>
                <w:color w:val="auto"/>
              </w:rPr>
            </w:pPr>
          </w:p>
        </w:tc>
        <w:tc>
          <w:tcPr>
            <w:tcW w:w="900" w:type="dxa"/>
            <w:vAlign w:val="bottom"/>
            <w:shd w:val="clear" w:color="auto" w:fill="E9F0F3"/>
          </w:tcPr>
          <w:p>
            <w:pPr>
              <w:spacing w:after="0"/>
              <w:rPr>
                <w:sz w:val="14"/>
                <w:szCs w:val="14"/>
                <w:color w:val="auto"/>
              </w:rPr>
            </w:pPr>
          </w:p>
        </w:tc>
        <w:tc>
          <w:tcPr>
            <w:tcW w:w="920" w:type="dxa"/>
            <w:vAlign w:val="bottom"/>
            <w:shd w:val="clear" w:color="auto" w:fill="E9F0F3"/>
          </w:tcPr>
          <w:p>
            <w:pPr>
              <w:spacing w:after="0"/>
              <w:rPr>
                <w:sz w:val="14"/>
                <w:szCs w:val="14"/>
                <w:color w:val="auto"/>
              </w:rPr>
            </w:pPr>
          </w:p>
        </w:tc>
        <w:tc>
          <w:tcPr>
            <w:tcW w:w="840" w:type="dxa"/>
            <w:vAlign w:val="bottom"/>
            <w:shd w:val="clear" w:color="auto" w:fill="E9F0F3"/>
          </w:tcPr>
          <w:p>
            <w:pPr>
              <w:spacing w:after="0"/>
              <w:rPr>
                <w:sz w:val="14"/>
                <w:szCs w:val="14"/>
                <w:color w:val="auto"/>
              </w:rPr>
            </w:pPr>
          </w:p>
        </w:tc>
        <w:tc>
          <w:tcPr>
            <w:tcW w:w="780" w:type="dxa"/>
            <w:vAlign w:val="bottom"/>
            <w:shd w:val="clear" w:color="auto" w:fill="E9F0F3"/>
          </w:tcPr>
          <w:p>
            <w:pPr>
              <w:spacing w:after="0"/>
              <w:rPr>
                <w:sz w:val="14"/>
                <w:szCs w:val="14"/>
                <w:color w:val="auto"/>
              </w:rPr>
            </w:pPr>
          </w:p>
        </w:tc>
        <w:tc>
          <w:tcPr>
            <w:tcW w:w="860" w:type="dxa"/>
            <w:vAlign w:val="bottom"/>
            <w:shd w:val="clear" w:color="auto" w:fill="E9F0F3"/>
          </w:tcPr>
          <w:p>
            <w:pPr>
              <w:spacing w:after="0"/>
              <w:rPr>
                <w:sz w:val="14"/>
                <w:szCs w:val="14"/>
                <w:color w:val="auto"/>
              </w:rPr>
            </w:pPr>
          </w:p>
        </w:tc>
        <w:tc>
          <w:tcPr>
            <w:tcW w:w="960" w:type="dxa"/>
            <w:vAlign w:val="bottom"/>
            <w:shd w:val="clear" w:color="auto" w:fill="E9F0F3"/>
          </w:tcPr>
          <w:p>
            <w:pPr>
              <w:spacing w:after="0"/>
              <w:rPr>
                <w:sz w:val="14"/>
                <w:szCs w:val="14"/>
                <w:color w:val="auto"/>
              </w:rPr>
            </w:pPr>
          </w:p>
        </w:tc>
        <w:tc>
          <w:tcPr>
            <w:tcW w:w="920" w:type="dxa"/>
            <w:vAlign w:val="bottom"/>
            <w:shd w:val="clear" w:color="auto" w:fill="E9F0F3"/>
          </w:tcPr>
          <w:p>
            <w:pPr>
              <w:spacing w:after="0"/>
              <w:rPr>
                <w:sz w:val="14"/>
                <w:szCs w:val="14"/>
                <w:color w:val="auto"/>
              </w:rPr>
            </w:pPr>
          </w:p>
        </w:tc>
        <w:tc>
          <w:tcPr>
            <w:tcW w:w="880" w:type="dxa"/>
            <w:vAlign w:val="bottom"/>
            <w:shd w:val="clear" w:color="auto" w:fill="E9F0F3"/>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66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(or performing similar functions)</w:t>
            </w:r>
          </w:p>
        </w:tc>
        <w:tc>
          <w:tcPr>
            <w:tcW w:w="680" w:type="dxa"/>
            <w:vAlign w:val="bottom"/>
            <w:tcBorders>
              <w:bottom w:val="single" w:sz="8" w:color="E9F0F3"/>
            </w:tcBorders>
            <w:shd w:val="clear" w:color="auto" w:fill="E9F0F3"/>
          </w:tcPr>
          <w:p>
            <w:pPr>
              <w:spacing w:after="0"/>
              <w:rPr>
                <w:sz w:val="16"/>
                <w:szCs w:val="16"/>
                <w:color w:val="auto"/>
              </w:rPr>
            </w:pPr>
          </w:p>
        </w:tc>
        <w:tc>
          <w:tcPr>
            <w:tcW w:w="800" w:type="dxa"/>
            <w:vAlign w:val="bottom"/>
            <w:tcBorders>
              <w:bottom w:val="single" w:sz="8" w:color="E9F0F3"/>
            </w:tcBorders>
            <w:shd w:val="clear" w:color="auto" w:fill="E9F0F3"/>
          </w:tcPr>
          <w:p>
            <w:pPr>
              <w:spacing w:after="0"/>
              <w:rPr>
                <w:sz w:val="16"/>
                <w:szCs w:val="16"/>
                <w:color w:val="auto"/>
              </w:rPr>
            </w:pPr>
          </w:p>
        </w:tc>
        <w:tc>
          <w:tcPr>
            <w:tcW w:w="900" w:type="dxa"/>
            <w:vAlign w:val="bottom"/>
            <w:tcBorders>
              <w:bottom w:val="single" w:sz="8" w:color="E9F0F3"/>
            </w:tcBorders>
            <w:shd w:val="clear" w:color="auto" w:fill="E9F0F3"/>
          </w:tcPr>
          <w:p>
            <w:pPr>
              <w:spacing w:after="0"/>
              <w:rPr>
                <w:sz w:val="16"/>
                <w:szCs w:val="16"/>
                <w:color w:val="auto"/>
              </w:rPr>
            </w:pPr>
          </w:p>
        </w:tc>
        <w:tc>
          <w:tcPr>
            <w:tcW w:w="920" w:type="dxa"/>
            <w:vAlign w:val="bottom"/>
            <w:tcBorders>
              <w:bottom w:val="single" w:sz="8" w:color="E9F0F3"/>
            </w:tcBorders>
            <w:shd w:val="clear" w:color="auto" w:fill="E9F0F3"/>
          </w:tcPr>
          <w:p>
            <w:pPr>
              <w:spacing w:after="0"/>
              <w:rPr>
                <w:sz w:val="16"/>
                <w:szCs w:val="16"/>
                <w:color w:val="auto"/>
              </w:rPr>
            </w:pPr>
          </w:p>
        </w:tc>
        <w:tc>
          <w:tcPr>
            <w:tcW w:w="840" w:type="dxa"/>
            <w:vAlign w:val="bottom"/>
            <w:tcBorders>
              <w:bottom w:val="single" w:sz="8" w:color="E9F0F3"/>
            </w:tcBorders>
            <w:shd w:val="clear" w:color="auto" w:fill="E9F0F3"/>
          </w:tcPr>
          <w:p>
            <w:pPr>
              <w:spacing w:after="0"/>
              <w:rPr>
                <w:sz w:val="16"/>
                <w:szCs w:val="16"/>
                <w:color w:val="auto"/>
              </w:rPr>
            </w:pPr>
          </w:p>
        </w:tc>
        <w:tc>
          <w:tcPr>
            <w:tcW w:w="780" w:type="dxa"/>
            <w:vAlign w:val="bottom"/>
            <w:tcBorders>
              <w:bottom w:val="single" w:sz="8" w:color="E9F0F3"/>
            </w:tcBorders>
            <w:shd w:val="clear" w:color="auto" w:fill="E9F0F3"/>
          </w:tcPr>
          <w:p>
            <w:pPr>
              <w:spacing w:after="0"/>
              <w:rPr>
                <w:sz w:val="16"/>
                <w:szCs w:val="16"/>
                <w:color w:val="auto"/>
              </w:rPr>
            </w:pPr>
          </w:p>
        </w:tc>
        <w:tc>
          <w:tcPr>
            <w:tcW w:w="860" w:type="dxa"/>
            <w:vAlign w:val="bottom"/>
            <w:tcBorders>
              <w:bottom w:val="single" w:sz="8" w:color="E9F0F3"/>
            </w:tcBorders>
            <w:shd w:val="clear" w:color="auto" w:fill="E9F0F3"/>
          </w:tcPr>
          <w:p>
            <w:pPr>
              <w:spacing w:after="0"/>
              <w:rPr>
                <w:sz w:val="16"/>
                <w:szCs w:val="16"/>
                <w:color w:val="auto"/>
              </w:rPr>
            </w:pPr>
          </w:p>
        </w:tc>
        <w:tc>
          <w:tcPr>
            <w:tcW w:w="960" w:type="dxa"/>
            <w:vAlign w:val="bottom"/>
            <w:tcBorders>
              <w:bottom w:val="single" w:sz="8" w:color="E9F0F3"/>
            </w:tcBorders>
            <w:shd w:val="clear" w:color="auto" w:fill="E9F0F3"/>
          </w:tcPr>
          <w:p>
            <w:pPr>
              <w:spacing w:after="0"/>
              <w:rPr>
                <w:sz w:val="16"/>
                <w:szCs w:val="16"/>
                <w:color w:val="auto"/>
              </w:rPr>
            </w:pPr>
          </w:p>
        </w:tc>
        <w:tc>
          <w:tcPr>
            <w:tcW w:w="920" w:type="dxa"/>
            <w:vAlign w:val="bottom"/>
            <w:tcBorders>
              <w:bottom w:val="single" w:sz="8" w:color="E9F0F3"/>
            </w:tcBorders>
            <w:shd w:val="clear" w:color="auto" w:fill="E9F0F3"/>
          </w:tcPr>
          <w:p>
            <w:pPr>
              <w:spacing w:after="0"/>
              <w:rPr>
                <w:sz w:val="16"/>
                <w:szCs w:val="16"/>
                <w:color w:val="auto"/>
              </w:rPr>
            </w:pPr>
          </w:p>
        </w:tc>
        <w:tc>
          <w:tcPr>
            <w:tcW w:w="880" w:type="dxa"/>
            <w:vAlign w:val="bottom"/>
            <w:tcBorders>
              <w:bottom w:val="single" w:sz="8" w:color="E9F0F3"/>
            </w:tcBorders>
            <w:shd w:val="clear" w:color="auto" w:fill="E9F0F3"/>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60"/>
              <w:spacing w:after="0" w:line="153" w:lineRule="exact"/>
              <w:rPr>
                <w:sz w:val="20"/>
                <w:szCs w:val="20"/>
                <w:color w:val="auto"/>
              </w:rPr>
            </w:pPr>
            <w:r>
              <w:rPr>
                <w:rFonts w:ascii="Arial" w:cs="Arial" w:eastAsia="Arial" w:hAnsi="Arial"/>
                <w:sz w:val="14"/>
                <w:szCs w:val="14"/>
                <w:color w:val="auto"/>
              </w:rPr>
              <w:t>Business Unit Chief Executive Officer,</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660" w:type="dxa"/>
            <w:vAlign w:val="bottom"/>
          </w:tcPr>
          <w:p>
            <w:pPr>
              <w:ind w:left="60"/>
              <w:spacing w:after="0"/>
              <w:rPr>
                <w:sz w:val="20"/>
                <w:szCs w:val="20"/>
                <w:color w:val="auto"/>
              </w:rPr>
            </w:pPr>
            <w:r>
              <w:rPr>
                <w:rFonts w:ascii="Arial" w:cs="Arial" w:eastAsia="Arial" w:hAnsi="Arial"/>
                <w:sz w:val="14"/>
                <w:szCs w:val="14"/>
                <w:color w:val="auto"/>
              </w:rPr>
              <w:t>President, Chief Operating Officer or</w:t>
            </w:r>
          </w:p>
        </w:tc>
        <w:tc>
          <w:tcPr>
            <w:tcW w:w="680" w:type="dxa"/>
            <w:vAlign w:val="bottom"/>
          </w:tcPr>
          <w:p>
            <w:pPr>
              <w:spacing w:after="0"/>
              <w:rPr>
                <w:sz w:val="14"/>
                <w:szCs w:val="14"/>
                <w:color w:val="auto"/>
              </w:rPr>
            </w:pPr>
          </w:p>
        </w:tc>
        <w:tc>
          <w:tcPr>
            <w:tcW w:w="800" w:type="dxa"/>
            <w:vAlign w:val="bottom"/>
          </w:tcPr>
          <w:p>
            <w:pPr>
              <w:ind w:left="34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4"/>
                <w:szCs w:val="14"/>
                <w:color w:val="auto"/>
              </w:rPr>
            </w:pP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840" w:type="dxa"/>
            <w:vAlign w:val="bottom"/>
          </w:tcPr>
          <w:p>
            <w:pPr>
              <w:ind w:left="38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960" w:type="dxa"/>
            <w:vAlign w:val="bottom"/>
          </w:tcPr>
          <w:p>
            <w:pPr>
              <w:ind w:left="400"/>
              <w:spacing w:after="0"/>
              <w:rPr>
                <w:sz w:val="20"/>
                <w:szCs w:val="20"/>
                <w:color w:val="auto"/>
              </w:rPr>
            </w:pPr>
            <w:r>
              <w:rPr>
                <w:rFonts w:ascii="Arial" w:cs="Arial" w:eastAsia="Arial" w:hAnsi="Arial"/>
                <w:sz w:val="14"/>
                <w:szCs w:val="14"/>
                <w:color w:val="auto"/>
              </w:rPr>
              <w:t>●</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880" w:type="dxa"/>
            <w:vAlign w:val="bottom"/>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660" w:type="dxa"/>
            <w:vAlign w:val="bottom"/>
          </w:tcPr>
          <w:p>
            <w:pPr>
              <w:ind w:left="60"/>
              <w:spacing w:after="0"/>
              <w:rPr>
                <w:sz w:val="20"/>
                <w:szCs w:val="20"/>
                <w:color w:val="auto"/>
              </w:rPr>
            </w:pPr>
            <w:r>
              <w:rPr>
                <w:rFonts w:ascii="Arial" w:cs="Arial" w:eastAsia="Arial" w:hAnsi="Arial"/>
                <w:sz w:val="14"/>
                <w:szCs w:val="14"/>
                <w:color w:val="auto"/>
              </w:rPr>
              <w:t>similar leadership position</w:t>
            </w: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66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Financial Expertise</w:t>
            </w:r>
          </w:p>
        </w:tc>
        <w:tc>
          <w:tcPr>
            <w:tcW w:w="680" w:type="dxa"/>
            <w:vAlign w:val="bottom"/>
            <w:tcBorders>
              <w:bottom w:val="single" w:sz="8" w:color="E9F0F3"/>
            </w:tcBorders>
            <w:shd w:val="clear" w:color="auto" w:fill="E9F0F3"/>
          </w:tcPr>
          <w:p>
            <w:pPr>
              <w:ind w:left="2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E9F0F3"/>
            </w:tcBorders>
            <w:shd w:val="clear" w:color="auto" w:fill="E9F0F3"/>
          </w:tcPr>
          <w:p>
            <w:pPr>
              <w:spacing w:after="0"/>
              <w:rPr>
                <w:sz w:val="19"/>
                <w:szCs w:val="19"/>
                <w:color w:val="auto"/>
              </w:rPr>
            </w:pPr>
          </w:p>
        </w:tc>
        <w:tc>
          <w:tcPr>
            <w:tcW w:w="900" w:type="dxa"/>
            <w:vAlign w:val="bottom"/>
            <w:tcBorders>
              <w:bottom w:val="single" w:sz="8" w:color="E9F0F3"/>
            </w:tcBorders>
            <w:shd w:val="clear" w:color="auto" w:fill="E9F0F3"/>
          </w:tcPr>
          <w:p>
            <w:pPr>
              <w:ind w:left="3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9F0F3"/>
            </w:tcBorders>
            <w:shd w:val="clear" w:color="auto" w:fill="E9F0F3"/>
          </w:tcPr>
          <w:p>
            <w:pPr>
              <w:ind w:left="4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E9F0F3"/>
            </w:tcBorders>
            <w:shd w:val="clear" w:color="auto" w:fill="E9F0F3"/>
          </w:tcPr>
          <w:p>
            <w:pPr>
              <w:spacing w:after="0"/>
              <w:rPr>
                <w:sz w:val="19"/>
                <w:szCs w:val="19"/>
                <w:color w:val="auto"/>
              </w:rPr>
            </w:pPr>
          </w:p>
        </w:tc>
        <w:tc>
          <w:tcPr>
            <w:tcW w:w="780" w:type="dxa"/>
            <w:vAlign w:val="bottom"/>
            <w:tcBorders>
              <w:bottom w:val="single" w:sz="8" w:color="E9F0F3"/>
            </w:tcBorders>
            <w:shd w:val="clear" w:color="auto" w:fill="E9F0F3"/>
          </w:tcPr>
          <w:p>
            <w:pPr>
              <w:ind w:lef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9F0F3"/>
            </w:tcBorders>
            <w:shd w:val="clear" w:color="auto" w:fill="E9F0F3"/>
          </w:tcPr>
          <w:p>
            <w:pPr>
              <w:ind w:left="3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9F0F3"/>
            </w:tcBorders>
            <w:shd w:val="clear" w:color="auto" w:fill="E9F0F3"/>
          </w:tcPr>
          <w:p>
            <w:pPr>
              <w:spacing w:after="0"/>
              <w:rPr>
                <w:sz w:val="19"/>
                <w:szCs w:val="19"/>
                <w:color w:val="auto"/>
              </w:rPr>
            </w:pPr>
          </w:p>
        </w:tc>
        <w:tc>
          <w:tcPr>
            <w:tcW w:w="920" w:type="dxa"/>
            <w:vAlign w:val="bottom"/>
            <w:tcBorders>
              <w:bottom w:val="single" w:sz="8" w:color="E9F0F3"/>
            </w:tcBorders>
            <w:shd w:val="clear" w:color="auto" w:fill="E9F0F3"/>
          </w:tcPr>
          <w:p>
            <w:pPr>
              <w:ind w:left="4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9F0F3"/>
            </w:tcBorders>
            <w:shd w:val="clear" w:color="auto" w:fill="E9F0F3"/>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660" w:type="dxa"/>
            <w:vAlign w:val="bottom"/>
            <w:shd w:val="clear" w:color="auto" w:fill="6D98AD"/>
          </w:tcPr>
          <w:p>
            <w:pPr>
              <w:ind w:left="60"/>
              <w:spacing w:after="0"/>
              <w:rPr>
                <w:sz w:val="20"/>
                <w:szCs w:val="20"/>
                <w:color w:val="auto"/>
              </w:rPr>
            </w:pPr>
            <w:r>
              <w:rPr>
                <w:rFonts w:ascii="Arial" w:cs="Arial" w:eastAsia="Arial" w:hAnsi="Arial"/>
                <w:sz w:val="14"/>
                <w:szCs w:val="14"/>
                <w:b w:val="1"/>
                <w:bCs w:val="1"/>
                <w:color w:val="FFFFFF"/>
              </w:rPr>
              <w:t>Industry Experience</w:t>
            </w:r>
          </w:p>
        </w:tc>
        <w:tc>
          <w:tcPr>
            <w:tcW w:w="680" w:type="dxa"/>
            <w:vAlign w:val="bottom"/>
            <w:shd w:val="clear" w:color="auto" w:fill="6D98AD"/>
          </w:tcPr>
          <w:p>
            <w:pPr>
              <w:spacing w:after="0"/>
              <w:rPr>
                <w:sz w:val="21"/>
                <w:szCs w:val="21"/>
                <w:color w:val="auto"/>
              </w:rPr>
            </w:pPr>
          </w:p>
        </w:tc>
        <w:tc>
          <w:tcPr>
            <w:tcW w:w="800" w:type="dxa"/>
            <w:vAlign w:val="bottom"/>
            <w:shd w:val="clear" w:color="auto" w:fill="6D98AD"/>
          </w:tcPr>
          <w:p>
            <w:pPr>
              <w:spacing w:after="0"/>
              <w:rPr>
                <w:sz w:val="21"/>
                <w:szCs w:val="21"/>
                <w:color w:val="auto"/>
              </w:rPr>
            </w:pPr>
          </w:p>
        </w:tc>
        <w:tc>
          <w:tcPr>
            <w:tcW w:w="900" w:type="dxa"/>
            <w:vAlign w:val="bottom"/>
            <w:shd w:val="clear" w:color="auto" w:fill="6D98AD"/>
          </w:tcPr>
          <w:p>
            <w:pPr>
              <w:spacing w:after="0"/>
              <w:rPr>
                <w:sz w:val="21"/>
                <w:szCs w:val="21"/>
                <w:color w:val="auto"/>
              </w:rPr>
            </w:pPr>
          </w:p>
        </w:tc>
        <w:tc>
          <w:tcPr>
            <w:tcW w:w="920" w:type="dxa"/>
            <w:vAlign w:val="bottom"/>
            <w:shd w:val="clear" w:color="auto" w:fill="6D98AD"/>
          </w:tcPr>
          <w:p>
            <w:pPr>
              <w:spacing w:after="0"/>
              <w:rPr>
                <w:sz w:val="21"/>
                <w:szCs w:val="21"/>
                <w:color w:val="auto"/>
              </w:rPr>
            </w:pPr>
          </w:p>
        </w:tc>
        <w:tc>
          <w:tcPr>
            <w:tcW w:w="840" w:type="dxa"/>
            <w:vAlign w:val="bottom"/>
            <w:shd w:val="clear" w:color="auto" w:fill="6D98AD"/>
          </w:tcPr>
          <w:p>
            <w:pPr>
              <w:spacing w:after="0"/>
              <w:rPr>
                <w:sz w:val="21"/>
                <w:szCs w:val="21"/>
                <w:color w:val="auto"/>
              </w:rPr>
            </w:pPr>
          </w:p>
        </w:tc>
        <w:tc>
          <w:tcPr>
            <w:tcW w:w="780" w:type="dxa"/>
            <w:vAlign w:val="bottom"/>
            <w:shd w:val="clear" w:color="auto" w:fill="6D98AD"/>
          </w:tcPr>
          <w:p>
            <w:pPr>
              <w:spacing w:after="0"/>
              <w:rPr>
                <w:sz w:val="21"/>
                <w:szCs w:val="21"/>
                <w:color w:val="auto"/>
              </w:rPr>
            </w:pPr>
          </w:p>
        </w:tc>
        <w:tc>
          <w:tcPr>
            <w:tcW w:w="860" w:type="dxa"/>
            <w:vAlign w:val="bottom"/>
            <w:shd w:val="clear" w:color="auto" w:fill="6D98AD"/>
          </w:tcPr>
          <w:p>
            <w:pPr>
              <w:spacing w:after="0"/>
              <w:rPr>
                <w:sz w:val="21"/>
                <w:szCs w:val="21"/>
                <w:color w:val="auto"/>
              </w:rPr>
            </w:pPr>
          </w:p>
        </w:tc>
        <w:tc>
          <w:tcPr>
            <w:tcW w:w="960" w:type="dxa"/>
            <w:vAlign w:val="bottom"/>
            <w:shd w:val="clear" w:color="auto" w:fill="6D98AD"/>
          </w:tcPr>
          <w:p>
            <w:pPr>
              <w:spacing w:after="0"/>
              <w:rPr>
                <w:sz w:val="21"/>
                <w:szCs w:val="21"/>
                <w:color w:val="auto"/>
              </w:rPr>
            </w:pPr>
          </w:p>
        </w:tc>
        <w:tc>
          <w:tcPr>
            <w:tcW w:w="920" w:type="dxa"/>
            <w:vAlign w:val="bottom"/>
            <w:shd w:val="clear" w:color="auto" w:fill="6D98AD"/>
          </w:tcPr>
          <w:p>
            <w:pPr>
              <w:spacing w:after="0"/>
              <w:rPr>
                <w:sz w:val="21"/>
                <w:szCs w:val="21"/>
                <w:color w:val="auto"/>
              </w:rPr>
            </w:pPr>
          </w:p>
        </w:tc>
        <w:tc>
          <w:tcPr>
            <w:tcW w:w="880" w:type="dxa"/>
            <w:vAlign w:val="bottom"/>
            <w:shd w:val="clear" w:color="auto" w:fill="6D98AD"/>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660" w:type="dxa"/>
            <w:vAlign w:val="bottom"/>
          </w:tcPr>
          <w:p>
            <w:pPr>
              <w:ind w:left="60"/>
              <w:spacing w:after="0"/>
              <w:rPr>
                <w:sz w:val="20"/>
                <w:szCs w:val="20"/>
                <w:color w:val="auto"/>
              </w:rPr>
            </w:pPr>
            <w:r>
              <w:rPr>
                <w:rFonts w:ascii="Arial" w:cs="Arial" w:eastAsia="Arial" w:hAnsi="Arial"/>
                <w:sz w:val="14"/>
                <w:szCs w:val="14"/>
                <w:color w:val="auto"/>
              </w:rPr>
              <w:t>Consumer Products or Services</w:t>
            </w:r>
          </w:p>
        </w:tc>
        <w:tc>
          <w:tcPr>
            <w:tcW w:w="680" w:type="dxa"/>
            <w:vAlign w:val="bottom"/>
          </w:tcPr>
          <w:p>
            <w:pPr>
              <w:ind w:left="220"/>
              <w:spacing w:after="0"/>
              <w:rPr>
                <w:sz w:val="20"/>
                <w:szCs w:val="20"/>
                <w:color w:val="auto"/>
              </w:rPr>
            </w:pPr>
            <w:r>
              <w:rPr>
                <w:rFonts w:ascii="Arial" w:cs="Arial" w:eastAsia="Arial" w:hAnsi="Arial"/>
                <w:sz w:val="14"/>
                <w:szCs w:val="14"/>
                <w:color w:val="auto"/>
              </w:rPr>
              <w:t>●</w:t>
            </w:r>
          </w:p>
        </w:tc>
        <w:tc>
          <w:tcPr>
            <w:tcW w:w="800" w:type="dxa"/>
            <w:vAlign w:val="bottom"/>
          </w:tcPr>
          <w:p>
            <w:pPr>
              <w:ind w:left="340"/>
              <w:spacing w:after="0"/>
              <w:rPr>
                <w:sz w:val="20"/>
                <w:szCs w:val="20"/>
                <w:color w:val="auto"/>
              </w:rPr>
            </w:pPr>
            <w:r>
              <w:rPr>
                <w:rFonts w:ascii="Arial" w:cs="Arial" w:eastAsia="Arial" w:hAnsi="Arial"/>
                <w:sz w:val="14"/>
                <w:szCs w:val="14"/>
                <w:color w:val="auto"/>
              </w:rPr>
              <w:t>●</w:t>
            </w:r>
          </w:p>
        </w:tc>
        <w:tc>
          <w:tcPr>
            <w:tcW w:w="900" w:type="dxa"/>
            <w:vAlign w:val="bottom"/>
          </w:tcPr>
          <w:p>
            <w:pPr>
              <w:ind w:left="360"/>
              <w:spacing w:after="0"/>
              <w:rPr>
                <w:sz w:val="20"/>
                <w:szCs w:val="20"/>
                <w:color w:val="auto"/>
              </w:rPr>
            </w:pPr>
            <w:r>
              <w:rPr>
                <w:rFonts w:ascii="Arial" w:cs="Arial" w:eastAsia="Arial" w:hAnsi="Arial"/>
                <w:sz w:val="14"/>
                <w:szCs w:val="14"/>
                <w:color w:val="auto"/>
              </w:rPr>
              <w:t>●</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840" w:type="dxa"/>
            <w:vAlign w:val="bottom"/>
          </w:tcPr>
          <w:p>
            <w:pPr>
              <w:ind w:left="380"/>
              <w:spacing w:after="0"/>
              <w:rPr>
                <w:sz w:val="20"/>
                <w:szCs w:val="20"/>
                <w:color w:val="auto"/>
              </w:rPr>
            </w:pPr>
            <w:r>
              <w:rPr>
                <w:rFonts w:ascii="Arial" w:cs="Arial" w:eastAsia="Arial" w:hAnsi="Arial"/>
                <w:sz w:val="14"/>
                <w:szCs w:val="14"/>
                <w:color w:val="auto"/>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960" w:type="dxa"/>
            <w:vAlign w:val="bottom"/>
          </w:tcPr>
          <w:p>
            <w:pPr>
              <w:ind w:left="400"/>
              <w:spacing w:after="0"/>
              <w:rPr>
                <w:sz w:val="20"/>
                <w:szCs w:val="20"/>
                <w:color w:val="auto"/>
              </w:rPr>
            </w:pPr>
            <w:r>
              <w:rPr>
                <w:rFonts w:ascii="Arial" w:cs="Arial" w:eastAsia="Arial" w:hAnsi="Arial"/>
                <w:sz w:val="14"/>
                <w:szCs w:val="14"/>
                <w:color w:val="auto"/>
              </w:rPr>
              <w:t>●</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880" w:type="dxa"/>
            <w:vAlign w:val="bottom"/>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4"/>
        </w:trPr>
        <w:tc>
          <w:tcPr>
            <w:tcW w:w="266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Digital/E-commerce</w:t>
            </w:r>
          </w:p>
        </w:tc>
        <w:tc>
          <w:tcPr>
            <w:tcW w:w="680" w:type="dxa"/>
            <w:vAlign w:val="bottom"/>
            <w:tcBorders>
              <w:bottom w:val="single" w:sz="8" w:color="E9F0F3"/>
            </w:tcBorders>
            <w:shd w:val="clear" w:color="auto" w:fill="E9F0F3"/>
          </w:tcPr>
          <w:p>
            <w:pPr>
              <w:ind w:left="220"/>
              <w:spacing w:after="0"/>
              <w:rPr>
                <w:sz w:val="20"/>
                <w:szCs w:val="20"/>
                <w:color w:val="auto"/>
              </w:rPr>
            </w:pPr>
            <w:r>
              <w:rPr>
                <w:rFonts w:ascii="Arial" w:cs="Arial" w:eastAsia="Arial" w:hAnsi="Arial"/>
                <w:sz w:val="14"/>
                <w:szCs w:val="14"/>
                <w:color w:val="6D98AD"/>
              </w:rPr>
              <w:t>●</w:t>
            </w:r>
          </w:p>
        </w:tc>
        <w:tc>
          <w:tcPr>
            <w:tcW w:w="800" w:type="dxa"/>
            <w:vAlign w:val="bottom"/>
            <w:tcBorders>
              <w:bottom w:val="single" w:sz="8" w:color="E9F0F3"/>
            </w:tcBorders>
            <w:shd w:val="clear" w:color="auto" w:fill="E9F0F3"/>
          </w:tcPr>
          <w:p>
            <w:pPr>
              <w:ind w:left="3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9F0F3"/>
            </w:tcBorders>
            <w:shd w:val="clear" w:color="auto" w:fill="E9F0F3"/>
          </w:tcPr>
          <w:p>
            <w:pPr>
              <w:spacing w:after="0"/>
              <w:rPr>
                <w:sz w:val="20"/>
                <w:szCs w:val="20"/>
                <w:color w:val="auto"/>
              </w:rPr>
            </w:pPr>
          </w:p>
        </w:tc>
        <w:tc>
          <w:tcPr>
            <w:tcW w:w="920" w:type="dxa"/>
            <w:vAlign w:val="bottom"/>
            <w:tcBorders>
              <w:bottom w:val="single" w:sz="8" w:color="E9F0F3"/>
            </w:tcBorders>
            <w:shd w:val="clear" w:color="auto" w:fill="E9F0F3"/>
          </w:tcPr>
          <w:p>
            <w:pPr>
              <w:ind w:left="4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E9F0F3"/>
            </w:tcBorders>
            <w:shd w:val="clear" w:color="auto" w:fill="E9F0F3"/>
          </w:tcPr>
          <w:p>
            <w:pPr>
              <w:ind w:left="3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9F0F3"/>
            </w:tcBorders>
            <w:shd w:val="clear" w:color="auto" w:fill="E9F0F3"/>
          </w:tcPr>
          <w:p>
            <w:pPr>
              <w:ind w:lef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9F0F3"/>
            </w:tcBorders>
            <w:shd w:val="clear" w:color="auto" w:fill="E9F0F3"/>
          </w:tcPr>
          <w:p>
            <w:pPr>
              <w:ind w:left="340"/>
              <w:spacing w:after="0"/>
              <w:rPr>
                <w:sz w:val="20"/>
                <w:szCs w:val="20"/>
                <w:color w:val="auto"/>
              </w:rPr>
            </w:pPr>
            <w:r>
              <w:rPr>
                <w:rFonts w:ascii="Arial" w:cs="Arial" w:eastAsia="Arial" w:hAnsi="Arial"/>
                <w:sz w:val="14"/>
                <w:szCs w:val="14"/>
                <w:color w:val="6D98AD"/>
              </w:rPr>
              <w:t>●</w:t>
            </w:r>
          </w:p>
        </w:tc>
        <w:tc>
          <w:tcPr>
            <w:tcW w:w="960" w:type="dxa"/>
            <w:vAlign w:val="bottom"/>
            <w:tcBorders>
              <w:bottom w:val="single" w:sz="8" w:color="E9F0F3"/>
            </w:tcBorders>
            <w:shd w:val="clear" w:color="auto" w:fill="E9F0F3"/>
          </w:tcPr>
          <w:p>
            <w:pPr>
              <w:ind w:left="400"/>
              <w:spacing w:after="0"/>
              <w:rPr>
                <w:sz w:val="20"/>
                <w:szCs w:val="20"/>
                <w:color w:val="auto"/>
              </w:rPr>
            </w:pPr>
            <w:r>
              <w:rPr>
                <w:rFonts w:ascii="Arial" w:cs="Arial" w:eastAsia="Arial" w:hAnsi="Arial"/>
                <w:sz w:val="14"/>
                <w:szCs w:val="14"/>
                <w:color w:val="6D98AD"/>
              </w:rPr>
              <w:t>●</w:t>
            </w:r>
          </w:p>
        </w:tc>
        <w:tc>
          <w:tcPr>
            <w:tcW w:w="920" w:type="dxa"/>
            <w:vAlign w:val="bottom"/>
            <w:tcBorders>
              <w:bottom w:val="single" w:sz="8" w:color="E9F0F3"/>
            </w:tcBorders>
            <w:shd w:val="clear" w:color="auto" w:fill="E9F0F3"/>
          </w:tcPr>
          <w:p>
            <w:pPr>
              <w:ind w:left="4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9F0F3"/>
            </w:tcBorders>
            <w:shd w:val="clear" w:color="auto" w:fill="E9F0F3"/>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660" w:type="dxa"/>
            <w:vAlign w:val="bottom"/>
          </w:tcPr>
          <w:p>
            <w:pPr>
              <w:ind w:left="60"/>
              <w:spacing w:after="0" w:line="153" w:lineRule="exact"/>
              <w:rPr>
                <w:sz w:val="20"/>
                <w:szCs w:val="20"/>
                <w:color w:val="auto"/>
              </w:rPr>
            </w:pPr>
            <w:r>
              <w:rPr>
                <w:rFonts w:ascii="Arial" w:cs="Arial" w:eastAsia="Arial" w:hAnsi="Arial"/>
                <w:sz w:val="14"/>
                <w:szCs w:val="14"/>
                <w:color w:val="auto"/>
              </w:rPr>
              <w:t>Technology/Cyber Risk/Information</w:t>
            </w:r>
          </w:p>
        </w:tc>
        <w:tc>
          <w:tcPr>
            <w:tcW w:w="680" w:type="dxa"/>
            <w:vAlign w:val="bottom"/>
            <w:vMerge w:val="restart"/>
          </w:tcPr>
          <w:p>
            <w:pPr>
              <w:ind w:left="220"/>
              <w:spacing w:after="0"/>
              <w:rPr>
                <w:sz w:val="20"/>
                <w:szCs w:val="20"/>
                <w:color w:val="auto"/>
              </w:rPr>
            </w:pPr>
            <w:r>
              <w:rPr>
                <w:rFonts w:ascii="Arial" w:cs="Arial" w:eastAsia="Arial" w:hAnsi="Arial"/>
                <w:sz w:val="14"/>
                <w:szCs w:val="14"/>
                <w:color w:val="6D98AD"/>
              </w:rPr>
              <w:t>●</w:t>
            </w:r>
          </w:p>
        </w:tc>
        <w:tc>
          <w:tcPr>
            <w:tcW w:w="800" w:type="dxa"/>
            <w:vAlign w:val="bottom"/>
            <w:vMerge w:val="restart"/>
          </w:tcPr>
          <w:p>
            <w:pPr>
              <w:ind w:left="34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3"/>
                <w:szCs w:val="13"/>
                <w:color w:val="auto"/>
              </w:rPr>
            </w:pPr>
          </w:p>
        </w:tc>
        <w:tc>
          <w:tcPr>
            <w:tcW w:w="9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3"/>
                <w:szCs w:val="13"/>
                <w:color w:val="auto"/>
              </w:rPr>
            </w:pPr>
          </w:p>
        </w:tc>
        <w:tc>
          <w:tcPr>
            <w:tcW w:w="78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vMerge w:val="restart"/>
          </w:tcPr>
          <w:p>
            <w:pPr>
              <w:ind w:left="420"/>
              <w:spacing w:after="0"/>
              <w:rPr>
                <w:sz w:val="20"/>
                <w:szCs w:val="20"/>
                <w:color w:val="auto"/>
              </w:rPr>
            </w:pPr>
            <w:r>
              <w:rPr>
                <w:rFonts w:ascii="Arial" w:cs="Arial" w:eastAsia="Arial" w:hAnsi="Arial"/>
                <w:sz w:val="14"/>
                <w:szCs w:val="14"/>
                <w:color w:val="6D98AD"/>
              </w:rPr>
              <w:t>●</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660" w:type="dxa"/>
            <w:vAlign w:val="bottom"/>
            <w:vMerge w:val="restart"/>
          </w:tcPr>
          <w:p>
            <w:pPr>
              <w:ind w:left="60"/>
              <w:spacing w:after="0"/>
              <w:rPr>
                <w:sz w:val="20"/>
                <w:szCs w:val="20"/>
                <w:color w:val="auto"/>
              </w:rPr>
            </w:pPr>
            <w:r>
              <w:rPr>
                <w:rFonts w:ascii="Arial" w:cs="Arial" w:eastAsia="Arial" w:hAnsi="Arial"/>
                <w:sz w:val="14"/>
                <w:szCs w:val="14"/>
                <w:color w:val="auto"/>
              </w:rPr>
              <w:t>Security</w:t>
            </w:r>
          </w:p>
        </w:tc>
        <w:tc>
          <w:tcPr>
            <w:tcW w:w="6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6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9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66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Regulatory/Corporate Governance</w:t>
            </w:r>
          </w:p>
        </w:tc>
        <w:tc>
          <w:tcPr>
            <w:tcW w:w="680" w:type="dxa"/>
            <w:vAlign w:val="bottom"/>
            <w:tcBorders>
              <w:bottom w:val="single" w:sz="8" w:color="E9F0F3"/>
            </w:tcBorders>
            <w:shd w:val="clear" w:color="auto" w:fill="E9F0F3"/>
          </w:tcPr>
          <w:p>
            <w:pPr>
              <w:ind w:left="2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E9F0F3"/>
            </w:tcBorders>
            <w:shd w:val="clear" w:color="auto" w:fill="E9F0F3"/>
          </w:tcPr>
          <w:p>
            <w:pPr>
              <w:ind w:left="3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9F0F3"/>
            </w:tcBorders>
            <w:shd w:val="clear" w:color="auto" w:fill="E9F0F3"/>
          </w:tcPr>
          <w:p>
            <w:pPr>
              <w:ind w:left="3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9F0F3"/>
            </w:tcBorders>
            <w:shd w:val="clear" w:color="auto" w:fill="E9F0F3"/>
          </w:tcPr>
          <w:p>
            <w:pPr>
              <w:ind w:left="4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E9F0F3"/>
            </w:tcBorders>
            <w:shd w:val="clear" w:color="auto" w:fill="E9F0F3"/>
          </w:tcPr>
          <w:p>
            <w:pPr>
              <w:ind w:left="38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E9F0F3"/>
            </w:tcBorders>
            <w:shd w:val="clear" w:color="auto" w:fill="E9F0F3"/>
          </w:tcPr>
          <w:p>
            <w:pPr>
              <w:ind w:left="320"/>
              <w:spacing w:after="0"/>
              <w:rPr>
                <w:sz w:val="20"/>
                <w:szCs w:val="20"/>
                <w:color w:val="auto"/>
              </w:rPr>
            </w:pPr>
            <w:r>
              <w:rPr>
                <w:rFonts w:ascii="Arial" w:cs="Arial" w:eastAsia="Arial" w:hAnsi="Arial"/>
                <w:sz w:val="14"/>
                <w:szCs w:val="14"/>
                <w:color w:val="6D98AD"/>
              </w:rPr>
              <w:t>●</w:t>
            </w:r>
          </w:p>
        </w:tc>
        <w:tc>
          <w:tcPr>
            <w:tcW w:w="860" w:type="dxa"/>
            <w:vAlign w:val="bottom"/>
            <w:tcBorders>
              <w:bottom w:val="single" w:sz="8" w:color="E9F0F3"/>
            </w:tcBorders>
            <w:shd w:val="clear" w:color="auto" w:fill="E9F0F3"/>
          </w:tcPr>
          <w:p>
            <w:pPr>
              <w:spacing w:after="0"/>
              <w:rPr>
                <w:sz w:val="19"/>
                <w:szCs w:val="19"/>
                <w:color w:val="auto"/>
              </w:rPr>
            </w:pPr>
          </w:p>
        </w:tc>
        <w:tc>
          <w:tcPr>
            <w:tcW w:w="960" w:type="dxa"/>
            <w:vAlign w:val="bottom"/>
            <w:tcBorders>
              <w:bottom w:val="single" w:sz="8" w:color="E9F0F3"/>
            </w:tcBorders>
            <w:shd w:val="clear" w:color="auto" w:fill="E9F0F3"/>
          </w:tcPr>
          <w:p>
            <w:pPr>
              <w:spacing w:after="0"/>
              <w:rPr>
                <w:sz w:val="19"/>
                <w:szCs w:val="19"/>
                <w:color w:val="auto"/>
              </w:rPr>
            </w:pPr>
          </w:p>
        </w:tc>
        <w:tc>
          <w:tcPr>
            <w:tcW w:w="920" w:type="dxa"/>
            <w:vAlign w:val="bottom"/>
            <w:tcBorders>
              <w:bottom w:val="single" w:sz="8" w:color="E9F0F3"/>
            </w:tcBorders>
            <w:shd w:val="clear" w:color="auto" w:fill="E9F0F3"/>
          </w:tcPr>
          <w:p>
            <w:pPr>
              <w:spacing w:after="0"/>
              <w:rPr>
                <w:sz w:val="19"/>
                <w:szCs w:val="19"/>
                <w:color w:val="auto"/>
              </w:rPr>
            </w:pPr>
          </w:p>
        </w:tc>
        <w:tc>
          <w:tcPr>
            <w:tcW w:w="880" w:type="dxa"/>
            <w:vAlign w:val="bottom"/>
            <w:tcBorders>
              <w:bottom w:val="single" w:sz="8" w:color="E9F0F3"/>
            </w:tcBorders>
            <w:shd w:val="clear" w:color="auto" w:fill="E9F0F3"/>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660" w:type="dxa"/>
            <w:vAlign w:val="bottom"/>
          </w:tcPr>
          <w:p>
            <w:pPr>
              <w:ind w:left="60"/>
              <w:spacing w:after="0"/>
              <w:rPr>
                <w:sz w:val="20"/>
                <w:szCs w:val="20"/>
                <w:color w:val="auto"/>
              </w:rPr>
            </w:pPr>
            <w:r>
              <w:rPr>
                <w:rFonts w:ascii="Arial" w:cs="Arial" w:eastAsia="Arial" w:hAnsi="Arial"/>
                <w:sz w:val="14"/>
                <w:szCs w:val="14"/>
                <w:color w:val="auto"/>
              </w:rPr>
              <w:t>International Experience</w:t>
            </w:r>
          </w:p>
        </w:tc>
        <w:tc>
          <w:tcPr>
            <w:tcW w:w="680" w:type="dxa"/>
            <w:vAlign w:val="bottom"/>
          </w:tcPr>
          <w:p>
            <w:pPr>
              <w:ind w:left="2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900" w:type="dxa"/>
            <w:vAlign w:val="bottom"/>
          </w:tcPr>
          <w:p>
            <w:pPr>
              <w:ind w:left="360"/>
              <w:spacing w:after="0"/>
              <w:rPr>
                <w:sz w:val="20"/>
                <w:szCs w:val="20"/>
                <w:color w:val="auto"/>
              </w:rPr>
            </w:pPr>
            <w:r>
              <w:rPr>
                <w:rFonts w:ascii="Arial" w:cs="Arial" w:eastAsia="Arial" w:hAnsi="Arial"/>
                <w:sz w:val="14"/>
                <w:szCs w:val="14"/>
                <w:color w:val="A7A9AC"/>
              </w:rPr>
              <w:t>●</w:t>
            </w:r>
          </w:p>
        </w:tc>
        <w:tc>
          <w:tcPr>
            <w:tcW w:w="920" w:type="dxa"/>
            <w:vAlign w:val="bottom"/>
          </w:tcPr>
          <w:p>
            <w:pPr>
              <w:ind w:left="420"/>
              <w:spacing w:after="0"/>
              <w:rPr>
                <w:sz w:val="20"/>
                <w:szCs w:val="20"/>
                <w:color w:val="auto"/>
              </w:rPr>
            </w:pPr>
            <w:r>
              <w:rPr>
                <w:rFonts w:ascii="Arial" w:cs="Arial" w:eastAsia="Arial" w:hAnsi="Arial"/>
                <w:sz w:val="14"/>
                <w:szCs w:val="14"/>
                <w:color w:val="A7A9AC"/>
              </w:rPr>
              <w:t>●</w:t>
            </w:r>
          </w:p>
        </w:tc>
        <w:tc>
          <w:tcPr>
            <w:tcW w:w="840" w:type="dxa"/>
            <w:vAlign w:val="bottom"/>
          </w:tcPr>
          <w:p>
            <w:pPr>
              <w:ind w:left="380"/>
              <w:spacing w:after="0"/>
              <w:rPr>
                <w:sz w:val="20"/>
                <w:szCs w:val="20"/>
                <w:color w:val="auto"/>
              </w:rPr>
            </w:pPr>
            <w:r>
              <w:rPr>
                <w:rFonts w:ascii="Arial" w:cs="Arial" w:eastAsia="Arial" w:hAnsi="Arial"/>
                <w:sz w:val="14"/>
                <w:szCs w:val="14"/>
                <w:color w:val="A7A9AC"/>
              </w:rPr>
              <w:t>●</w:t>
            </w:r>
          </w:p>
        </w:tc>
        <w:tc>
          <w:tcPr>
            <w:tcW w:w="780" w:type="dxa"/>
            <w:vAlign w:val="bottom"/>
          </w:tcPr>
          <w:p>
            <w:pPr>
              <w:ind w:left="320"/>
              <w:spacing w:after="0"/>
              <w:rPr>
                <w:sz w:val="20"/>
                <w:szCs w:val="20"/>
                <w:color w:val="auto"/>
              </w:rPr>
            </w:pPr>
            <w:r>
              <w:rPr>
                <w:rFonts w:ascii="Arial" w:cs="Arial" w:eastAsia="Arial" w:hAnsi="Arial"/>
                <w:sz w:val="14"/>
                <w:szCs w:val="14"/>
                <w:color w:val="A7A9AC"/>
              </w:rPr>
              <w:t>●</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960" w:type="dxa"/>
            <w:vAlign w:val="bottom"/>
          </w:tcPr>
          <w:p>
            <w:pPr>
              <w:ind w:left="400"/>
              <w:spacing w:after="0"/>
              <w:rPr>
                <w:sz w:val="20"/>
                <w:szCs w:val="20"/>
                <w:color w:val="auto"/>
              </w:rPr>
            </w:pPr>
            <w:r>
              <w:rPr>
                <w:rFonts w:ascii="Arial" w:cs="Arial" w:eastAsia="Arial" w:hAnsi="Arial"/>
                <w:sz w:val="14"/>
                <w:szCs w:val="14"/>
                <w:color w:val="auto"/>
              </w:rPr>
              <w:t>●</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880" w:type="dxa"/>
            <w:vAlign w:val="bottom"/>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0"/>
        </w:trPr>
        <w:tc>
          <w:tcPr>
            <w:tcW w:w="2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66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Risk Management</w:t>
            </w:r>
          </w:p>
        </w:tc>
        <w:tc>
          <w:tcPr>
            <w:tcW w:w="680" w:type="dxa"/>
            <w:vAlign w:val="bottom"/>
            <w:tcBorders>
              <w:bottom w:val="single" w:sz="8" w:color="E9F0F3"/>
            </w:tcBorders>
            <w:shd w:val="clear" w:color="auto" w:fill="E9F0F3"/>
          </w:tcPr>
          <w:p>
            <w:pPr>
              <w:ind w:left="2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E9F0F3"/>
            </w:tcBorders>
            <w:shd w:val="clear" w:color="auto" w:fill="E9F0F3"/>
          </w:tcPr>
          <w:p>
            <w:pPr>
              <w:ind w:left="3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9F0F3"/>
            </w:tcBorders>
            <w:shd w:val="clear" w:color="auto" w:fill="E9F0F3"/>
          </w:tcPr>
          <w:p>
            <w:pPr>
              <w:ind w:left="3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9F0F3"/>
            </w:tcBorders>
            <w:shd w:val="clear" w:color="auto" w:fill="E9F0F3"/>
          </w:tcPr>
          <w:p>
            <w:pPr>
              <w:ind w:left="4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E9F0F3"/>
            </w:tcBorders>
            <w:shd w:val="clear" w:color="auto" w:fill="E9F0F3"/>
          </w:tcPr>
          <w:p>
            <w:pPr>
              <w:spacing w:after="0"/>
              <w:rPr>
                <w:sz w:val="19"/>
                <w:szCs w:val="19"/>
                <w:color w:val="auto"/>
              </w:rPr>
            </w:pPr>
          </w:p>
        </w:tc>
        <w:tc>
          <w:tcPr>
            <w:tcW w:w="780" w:type="dxa"/>
            <w:vAlign w:val="bottom"/>
            <w:tcBorders>
              <w:bottom w:val="single" w:sz="8" w:color="E9F0F3"/>
            </w:tcBorders>
            <w:shd w:val="clear" w:color="auto" w:fill="E9F0F3"/>
          </w:tcPr>
          <w:p>
            <w:pPr>
              <w:ind w:left="3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9F0F3"/>
            </w:tcBorders>
            <w:shd w:val="clear" w:color="auto" w:fill="E9F0F3"/>
          </w:tcPr>
          <w:p>
            <w:pPr>
              <w:spacing w:after="0"/>
              <w:rPr>
                <w:sz w:val="19"/>
                <w:szCs w:val="19"/>
                <w:color w:val="auto"/>
              </w:rPr>
            </w:pPr>
          </w:p>
        </w:tc>
        <w:tc>
          <w:tcPr>
            <w:tcW w:w="960" w:type="dxa"/>
            <w:vAlign w:val="bottom"/>
            <w:tcBorders>
              <w:bottom w:val="single" w:sz="8" w:color="E9F0F3"/>
            </w:tcBorders>
            <w:shd w:val="clear" w:color="auto" w:fill="E9F0F3"/>
          </w:tcPr>
          <w:p>
            <w:pPr>
              <w:spacing w:after="0"/>
              <w:rPr>
                <w:sz w:val="19"/>
                <w:szCs w:val="19"/>
                <w:color w:val="auto"/>
              </w:rPr>
            </w:pPr>
          </w:p>
        </w:tc>
        <w:tc>
          <w:tcPr>
            <w:tcW w:w="920" w:type="dxa"/>
            <w:vAlign w:val="bottom"/>
            <w:tcBorders>
              <w:bottom w:val="single" w:sz="8" w:color="E9F0F3"/>
            </w:tcBorders>
            <w:shd w:val="clear" w:color="auto" w:fill="E9F0F3"/>
          </w:tcPr>
          <w:p>
            <w:pPr>
              <w:spacing w:after="0"/>
              <w:rPr>
                <w:sz w:val="19"/>
                <w:szCs w:val="19"/>
                <w:color w:val="auto"/>
              </w:rPr>
            </w:pPr>
          </w:p>
        </w:tc>
        <w:tc>
          <w:tcPr>
            <w:tcW w:w="880" w:type="dxa"/>
            <w:vAlign w:val="bottom"/>
            <w:tcBorders>
              <w:bottom w:val="single" w:sz="8" w:color="E9F0F3"/>
            </w:tcBorders>
            <w:shd w:val="clear" w:color="auto" w:fill="E9F0F3"/>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660" w:type="dxa"/>
            <w:vAlign w:val="bottom"/>
          </w:tcPr>
          <w:p>
            <w:pPr>
              <w:ind w:left="60"/>
              <w:spacing w:after="0"/>
              <w:rPr>
                <w:sz w:val="20"/>
                <w:szCs w:val="20"/>
                <w:color w:val="auto"/>
              </w:rPr>
            </w:pPr>
            <w:r>
              <w:rPr>
                <w:rFonts w:ascii="Arial" w:cs="Arial" w:eastAsia="Arial" w:hAnsi="Arial"/>
                <w:sz w:val="14"/>
                <w:szCs w:val="14"/>
                <w:color w:val="auto"/>
              </w:rPr>
              <w:t>Sales/Marketing/Public Relations</w:t>
            </w:r>
          </w:p>
        </w:tc>
        <w:tc>
          <w:tcPr>
            <w:tcW w:w="680" w:type="dxa"/>
            <w:vAlign w:val="bottom"/>
          </w:tcPr>
          <w:p>
            <w:pPr>
              <w:ind w:left="220"/>
              <w:spacing w:after="0"/>
              <w:rPr>
                <w:sz w:val="20"/>
                <w:szCs w:val="20"/>
                <w:color w:val="auto"/>
              </w:rPr>
            </w:pPr>
            <w:r>
              <w:rPr>
                <w:rFonts w:ascii="Arial" w:cs="Arial" w:eastAsia="Arial" w:hAnsi="Arial"/>
                <w:sz w:val="14"/>
                <w:szCs w:val="14"/>
                <w:color w:val="6D98AD"/>
              </w:rPr>
              <w:t>●</w:t>
            </w:r>
          </w:p>
        </w:tc>
        <w:tc>
          <w:tcPr>
            <w:tcW w:w="800" w:type="dxa"/>
            <w:vAlign w:val="bottom"/>
          </w:tcPr>
          <w:p>
            <w:pPr>
              <w:ind w:left="34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7"/>
                <w:szCs w:val="17"/>
                <w:color w:val="auto"/>
              </w:rPr>
            </w:pP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Arial" w:cs="Arial" w:eastAsia="Arial" w:hAnsi="Arial"/>
                <w:sz w:val="14"/>
                <w:szCs w:val="14"/>
                <w:color w:val="6D98AD"/>
              </w:rPr>
              <w:t>●</w:t>
            </w:r>
          </w:p>
        </w:tc>
        <w:tc>
          <w:tcPr>
            <w:tcW w:w="860" w:type="dxa"/>
            <w:vAlign w:val="bottom"/>
          </w:tcPr>
          <w:p>
            <w:pPr>
              <w:ind w:left="340"/>
              <w:spacing w:after="0"/>
              <w:rPr>
                <w:sz w:val="20"/>
                <w:szCs w:val="20"/>
                <w:color w:val="auto"/>
              </w:rPr>
            </w:pPr>
            <w:r>
              <w:rPr>
                <w:rFonts w:ascii="Arial" w:cs="Arial" w:eastAsia="Arial" w:hAnsi="Arial"/>
                <w:sz w:val="14"/>
                <w:szCs w:val="14"/>
                <w:color w:val="auto"/>
              </w:rPr>
              <w:t>●</w:t>
            </w:r>
          </w:p>
        </w:tc>
        <w:tc>
          <w:tcPr>
            <w:tcW w:w="960" w:type="dxa"/>
            <w:vAlign w:val="bottom"/>
          </w:tcPr>
          <w:p>
            <w:pPr>
              <w:ind w:left="400"/>
              <w:spacing w:after="0"/>
              <w:rPr>
                <w:sz w:val="20"/>
                <w:szCs w:val="20"/>
                <w:color w:val="auto"/>
              </w:rPr>
            </w:pPr>
            <w:r>
              <w:rPr>
                <w:rFonts w:ascii="Arial" w:cs="Arial" w:eastAsia="Arial" w:hAnsi="Arial"/>
                <w:sz w:val="14"/>
                <w:szCs w:val="14"/>
                <w:color w:val="auto"/>
              </w:rPr>
              <w:t>●</w:t>
            </w:r>
          </w:p>
        </w:tc>
        <w:tc>
          <w:tcPr>
            <w:tcW w:w="920" w:type="dxa"/>
            <w:vAlign w:val="bottom"/>
          </w:tcPr>
          <w:p>
            <w:pPr>
              <w:ind w:left="420"/>
              <w:spacing w:after="0"/>
              <w:rPr>
                <w:sz w:val="20"/>
                <w:szCs w:val="20"/>
                <w:color w:val="auto"/>
              </w:rPr>
            </w:pPr>
            <w:r>
              <w:rPr>
                <w:rFonts w:ascii="Arial" w:cs="Arial" w:eastAsia="Arial" w:hAnsi="Arial"/>
                <w:sz w:val="14"/>
                <w:szCs w:val="14"/>
                <w:color w:val="auto"/>
              </w:rPr>
              <w:t>●</w:t>
            </w:r>
          </w:p>
        </w:tc>
        <w:tc>
          <w:tcPr>
            <w:tcW w:w="880" w:type="dxa"/>
            <w:vAlign w:val="bottom"/>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0"/>
        </w:trPr>
        <w:tc>
          <w:tcPr>
            <w:tcW w:w="2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660" w:type="dxa"/>
            <w:vAlign w:val="bottom"/>
            <w:shd w:val="clear" w:color="auto" w:fill="E9F0F3"/>
          </w:tcPr>
          <w:p>
            <w:pPr>
              <w:ind w:left="60"/>
              <w:spacing w:after="0"/>
              <w:rPr>
                <w:sz w:val="20"/>
                <w:szCs w:val="20"/>
                <w:color w:val="auto"/>
              </w:rPr>
            </w:pPr>
            <w:r>
              <w:rPr>
                <w:rFonts w:ascii="Arial" w:cs="Arial" w:eastAsia="Arial" w:hAnsi="Arial"/>
                <w:sz w:val="14"/>
                <w:szCs w:val="14"/>
                <w:color w:val="auto"/>
              </w:rPr>
              <w:t>Strategic Planning/Development</w:t>
            </w:r>
          </w:p>
        </w:tc>
        <w:tc>
          <w:tcPr>
            <w:tcW w:w="680" w:type="dxa"/>
            <w:vAlign w:val="bottom"/>
            <w:shd w:val="clear" w:color="auto" w:fill="E9F0F3"/>
          </w:tcPr>
          <w:p>
            <w:pPr>
              <w:ind w:lef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9F0F3"/>
          </w:tcPr>
          <w:p>
            <w:pPr>
              <w:ind w:left="340"/>
              <w:spacing w:after="0"/>
              <w:rPr>
                <w:sz w:val="20"/>
                <w:szCs w:val="20"/>
                <w:color w:val="auto"/>
              </w:rPr>
            </w:pPr>
            <w:r>
              <w:rPr>
                <w:rFonts w:ascii="Arial" w:cs="Arial" w:eastAsia="Arial" w:hAnsi="Arial"/>
                <w:sz w:val="14"/>
                <w:szCs w:val="14"/>
                <w:color w:val="auto"/>
              </w:rPr>
              <w:t>●</w:t>
            </w:r>
          </w:p>
        </w:tc>
        <w:tc>
          <w:tcPr>
            <w:tcW w:w="900" w:type="dxa"/>
            <w:vAlign w:val="bottom"/>
            <w:shd w:val="clear" w:color="auto" w:fill="E9F0F3"/>
          </w:tcPr>
          <w:p>
            <w:pPr>
              <w:ind w:left="360"/>
              <w:spacing w:after="0"/>
              <w:rPr>
                <w:sz w:val="20"/>
                <w:szCs w:val="20"/>
                <w:color w:val="auto"/>
              </w:rPr>
            </w:pPr>
            <w:r>
              <w:rPr>
                <w:rFonts w:ascii="Arial" w:cs="Arial" w:eastAsia="Arial" w:hAnsi="Arial"/>
                <w:sz w:val="14"/>
                <w:szCs w:val="14"/>
                <w:color w:val="auto"/>
              </w:rPr>
              <w:t>●</w:t>
            </w:r>
          </w:p>
        </w:tc>
        <w:tc>
          <w:tcPr>
            <w:tcW w:w="920" w:type="dxa"/>
            <w:vAlign w:val="bottom"/>
            <w:shd w:val="clear" w:color="auto" w:fill="E9F0F3"/>
          </w:tcPr>
          <w:p>
            <w:pPr>
              <w:ind w:left="420"/>
              <w:spacing w:after="0"/>
              <w:rPr>
                <w:sz w:val="20"/>
                <w:szCs w:val="20"/>
                <w:color w:val="auto"/>
              </w:rPr>
            </w:pPr>
            <w:r>
              <w:rPr>
                <w:rFonts w:ascii="Arial" w:cs="Arial" w:eastAsia="Arial" w:hAnsi="Arial"/>
                <w:sz w:val="14"/>
                <w:szCs w:val="14"/>
                <w:color w:val="auto"/>
              </w:rPr>
              <w:t>●</w:t>
            </w:r>
          </w:p>
        </w:tc>
        <w:tc>
          <w:tcPr>
            <w:tcW w:w="840" w:type="dxa"/>
            <w:vAlign w:val="bottom"/>
            <w:shd w:val="clear" w:color="auto" w:fill="E9F0F3"/>
          </w:tcPr>
          <w:p>
            <w:pPr>
              <w:ind w:left="380"/>
              <w:spacing w:after="0"/>
              <w:rPr>
                <w:sz w:val="20"/>
                <w:szCs w:val="20"/>
                <w:color w:val="auto"/>
              </w:rPr>
            </w:pPr>
            <w:r>
              <w:rPr>
                <w:rFonts w:ascii="Arial" w:cs="Arial" w:eastAsia="Arial" w:hAnsi="Arial"/>
                <w:sz w:val="14"/>
                <w:szCs w:val="14"/>
                <w:color w:val="auto"/>
              </w:rPr>
              <w:t>●</w:t>
            </w:r>
          </w:p>
        </w:tc>
        <w:tc>
          <w:tcPr>
            <w:tcW w:w="780" w:type="dxa"/>
            <w:vAlign w:val="bottom"/>
            <w:shd w:val="clear" w:color="auto" w:fill="E9F0F3"/>
          </w:tcPr>
          <w:p>
            <w:pPr>
              <w:ind w:left="320"/>
              <w:spacing w:after="0"/>
              <w:rPr>
                <w:sz w:val="20"/>
                <w:szCs w:val="20"/>
                <w:color w:val="auto"/>
              </w:rPr>
            </w:pPr>
            <w:r>
              <w:rPr>
                <w:rFonts w:ascii="Arial" w:cs="Arial" w:eastAsia="Arial" w:hAnsi="Arial"/>
                <w:sz w:val="14"/>
                <w:szCs w:val="14"/>
                <w:color w:val="auto"/>
              </w:rPr>
              <w:t>●</w:t>
            </w:r>
          </w:p>
        </w:tc>
        <w:tc>
          <w:tcPr>
            <w:tcW w:w="860" w:type="dxa"/>
            <w:vAlign w:val="bottom"/>
            <w:shd w:val="clear" w:color="auto" w:fill="E9F0F3"/>
          </w:tcPr>
          <w:p>
            <w:pPr>
              <w:ind w:left="340"/>
              <w:spacing w:after="0"/>
              <w:rPr>
                <w:sz w:val="20"/>
                <w:szCs w:val="20"/>
                <w:color w:val="auto"/>
              </w:rPr>
            </w:pPr>
            <w:r>
              <w:rPr>
                <w:rFonts w:ascii="Arial" w:cs="Arial" w:eastAsia="Arial" w:hAnsi="Arial"/>
                <w:sz w:val="14"/>
                <w:szCs w:val="14"/>
                <w:color w:val="auto"/>
              </w:rPr>
              <w:t>●</w:t>
            </w:r>
          </w:p>
        </w:tc>
        <w:tc>
          <w:tcPr>
            <w:tcW w:w="960" w:type="dxa"/>
            <w:vAlign w:val="bottom"/>
            <w:shd w:val="clear" w:color="auto" w:fill="E9F0F3"/>
          </w:tcPr>
          <w:p>
            <w:pPr>
              <w:ind w:left="400"/>
              <w:spacing w:after="0"/>
              <w:rPr>
                <w:sz w:val="20"/>
                <w:szCs w:val="20"/>
                <w:color w:val="auto"/>
              </w:rPr>
            </w:pPr>
            <w:r>
              <w:rPr>
                <w:rFonts w:ascii="Arial" w:cs="Arial" w:eastAsia="Arial" w:hAnsi="Arial"/>
                <w:sz w:val="14"/>
                <w:szCs w:val="14"/>
                <w:color w:val="auto"/>
              </w:rPr>
              <w:t>●</w:t>
            </w:r>
          </w:p>
        </w:tc>
        <w:tc>
          <w:tcPr>
            <w:tcW w:w="920" w:type="dxa"/>
            <w:vAlign w:val="bottom"/>
            <w:shd w:val="clear" w:color="auto" w:fill="E9F0F3"/>
          </w:tcPr>
          <w:p>
            <w:pPr>
              <w:ind w:left="420"/>
              <w:spacing w:after="0"/>
              <w:rPr>
                <w:sz w:val="20"/>
                <w:szCs w:val="20"/>
                <w:color w:val="auto"/>
              </w:rPr>
            </w:pPr>
            <w:r>
              <w:rPr>
                <w:rFonts w:ascii="Arial" w:cs="Arial" w:eastAsia="Arial" w:hAnsi="Arial"/>
                <w:sz w:val="14"/>
                <w:szCs w:val="14"/>
                <w:color w:val="auto"/>
              </w:rPr>
              <w:t>●</w:t>
            </w:r>
          </w:p>
        </w:tc>
        <w:tc>
          <w:tcPr>
            <w:tcW w:w="880" w:type="dxa"/>
            <w:vAlign w:val="bottom"/>
            <w:shd w:val="clear" w:color="auto" w:fill="E9F0F3"/>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660" w:type="dxa"/>
            <w:vAlign w:val="bottom"/>
          </w:tcPr>
          <w:p>
            <w:pPr>
              <w:ind w:left="60"/>
              <w:spacing w:after="0"/>
              <w:rPr>
                <w:sz w:val="20"/>
                <w:szCs w:val="20"/>
                <w:color w:val="auto"/>
              </w:rPr>
            </w:pPr>
            <w:r>
              <w:rPr>
                <w:rFonts w:ascii="Arial" w:cs="Arial" w:eastAsia="Arial" w:hAnsi="Arial"/>
                <w:sz w:val="14"/>
                <w:szCs w:val="14"/>
                <w:color w:val="auto"/>
              </w:rPr>
              <w:t>Human Capital Management</w:t>
            </w: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ind w:left="380"/>
              <w:spacing w:after="0"/>
              <w:rPr>
                <w:sz w:val="20"/>
                <w:szCs w:val="20"/>
                <w:color w:val="auto"/>
              </w:rPr>
            </w:pPr>
            <w:r>
              <w:rPr>
                <w:rFonts w:ascii="Arial" w:cs="Arial" w:eastAsia="Arial" w:hAnsi="Arial"/>
                <w:sz w:val="14"/>
                <w:szCs w:val="14"/>
                <w:color w:val="6D98AD"/>
              </w:rPr>
              <w:t>●</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860" w:type="dxa"/>
            <w:vAlign w:val="bottom"/>
          </w:tcPr>
          <w:p>
            <w:pPr>
              <w:ind w:left="340"/>
              <w:spacing w:after="0"/>
              <w:rPr>
                <w:sz w:val="20"/>
                <w:szCs w:val="20"/>
                <w:color w:val="auto"/>
              </w:rPr>
            </w:pPr>
            <w:r>
              <w:rPr>
                <w:rFonts w:ascii="Arial" w:cs="Arial" w:eastAsia="Arial" w:hAnsi="Arial"/>
                <w:sz w:val="14"/>
                <w:szCs w:val="14"/>
                <w:color w:val="6D98AD"/>
              </w:rPr>
              <w:t>●</w:t>
            </w:r>
          </w:p>
        </w:tc>
        <w:tc>
          <w:tcPr>
            <w:tcW w:w="960" w:type="dxa"/>
            <w:vAlign w:val="bottom"/>
          </w:tcPr>
          <w:p>
            <w:pPr>
              <w:ind w:left="400"/>
              <w:spacing w:after="0"/>
              <w:rPr>
                <w:sz w:val="20"/>
                <w:szCs w:val="20"/>
                <w:color w:val="auto"/>
              </w:rPr>
            </w:pPr>
            <w:r>
              <w:rPr>
                <w:rFonts w:ascii="Arial" w:cs="Arial" w:eastAsia="Arial" w:hAnsi="Arial"/>
                <w:sz w:val="14"/>
                <w:szCs w:val="14"/>
                <w:color w:val="6D98AD"/>
              </w:rPr>
              <w:t>●</w:t>
            </w:r>
          </w:p>
        </w:tc>
        <w:tc>
          <w:tcPr>
            <w:tcW w:w="920" w:type="dxa"/>
            <w:vAlign w:val="bottom"/>
          </w:tcPr>
          <w:p>
            <w:pPr>
              <w:ind w:left="420"/>
              <w:spacing w:after="0"/>
              <w:rPr>
                <w:sz w:val="20"/>
                <w:szCs w:val="20"/>
                <w:color w:val="auto"/>
              </w:rPr>
            </w:pPr>
            <w:r>
              <w:rPr>
                <w:rFonts w:ascii="Arial" w:cs="Arial" w:eastAsia="Arial" w:hAnsi="Arial"/>
                <w:sz w:val="14"/>
                <w:szCs w:val="14"/>
                <w:color w:val="6D98AD"/>
              </w:rPr>
              <w:t>●</w:t>
            </w:r>
          </w:p>
        </w:tc>
        <w:tc>
          <w:tcPr>
            <w:tcW w:w="880" w:type="dxa"/>
            <w:vAlign w:val="bottom"/>
          </w:tcPr>
          <w:p>
            <w:pPr>
              <w:ind w:left="380"/>
              <w:spacing w:after="0"/>
              <w:rPr>
                <w:sz w:val="20"/>
                <w:szCs w:val="20"/>
                <w:color w:val="auto"/>
              </w:rPr>
            </w:pPr>
            <w:r>
              <w:rPr>
                <w:rFonts w:ascii="Arial" w:cs="Arial" w:eastAsia="Arial" w:hAnsi="Arial"/>
                <w:sz w:val="14"/>
                <w:szCs w:val="14"/>
                <w:color w:val="6D98AD"/>
              </w:rPr>
              <w:t>●</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280" w:hanging="269"/>
        <w:spacing w:after="0"/>
        <w:tabs>
          <w:tab w:leader="none" w:pos="280" w:val="left"/>
        </w:tabs>
        <w:numPr>
          <w:ilvl w:val="0"/>
          <w:numId w:val="51"/>
        </w:numPr>
        <w:rPr>
          <w:rFonts w:ascii="Arial" w:cs="Arial" w:eastAsia="Arial" w:hAnsi="Arial"/>
          <w:sz w:val="16"/>
          <w:szCs w:val="16"/>
          <w:color w:val="auto"/>
        </w:rPr>
      </w:pPr>
      <w:r>
        <w:rPr>
          <w:rFonts w:ascii="Arial" w:cs="Arial" w:eastAsia="Arial" w:hAnsi="Arial"/>
          <w:sz w:val="13"/>
          <w:szCs w:val="13"/>
          <w:color w:val="auto"/>
        </w:rPr>
        <w:t>Direct experience</w:t>
      </w:r>
    </w:p>
    <w:p>
      <w:pPr>
        <w:spacing w:after="0" w:line="63" w:lineRule="exact"/>
        <w:rPr>
          <w:rFonts w:ascii="Arial" w:cs="Arial" w:eastAsia="Arial" w:hAnsi="Arial"/>
          <w:sz w:val="16"/>
          <w:szCs w:val="16"/>
          <w:color w:val="auto"/>
        </w:rPr>
      </w:pPr>
    </w:p>
    <w:p>
      <w:pPr>
        <w:ind w:left="280" w:hanging="269"/>
        <w:spacing w:after="0"/>
        <w:tabs>
          <w:tab w:leader="none" w:pos="280" w:val="left"/>
        </w:tabs>
        <w:numPr>
          <w:ilvl w:val="0"/>
          <w:numId w:val="51"/>
        </w:numPr>
        <w:rPr>
          <w:rFonts w:ascii="Arial" w:cs="Arial" w:eastAsia="Arial" w:hAnsi="Arial"/>
          <w:sz w:val="16"/>
          <w:szCs w:val="16"/>
          <w:color w:val="6D98AD"/>
        </w:rPr>
      </w:pPr>
      <w:r>
        <w:rPr>
          <w:rFonts w:ascii="Arial" w:cs="Arial" w:eastAsia="Arial" w:hAnsi="Arial"/>
          <w:sz w:val="13"/>
          <w:szCs w:val="13"/>
          <w:color w:val="auto"/>
        </w:rPr>
        <w:t>C-suite experience managing a business with this component or experience obtained as a result of directly overseeing this function</w:t>
      </w:r>
    </w:p>
    <w:p>
      <w:pPr>
        <w:spacing w:after="0" w:line="63" w:lineRule="exact"/>
        <w:rPr>
          <w:rFonts w:ascii="Arial" w:cs="Arial" w:eastAsia="Arial" w:hAnsi="Arial"/>
          <w:sz w:val="16"/>
          <w:szCs w:val="16"/>
          <w:color w:val="6D98AD"/>
        </w:rPr>
      </w:pPr>
    </w:p>
    <w:p>
      <w:pPr>
        <w:ind w:left="280" w:hanging="269"/>
        <w:spacing w:after="0"/>
        <w:tabs>
          <w:tab w:leader="none" w:pos="280" w:val="left"/>
        </w:tabs>
        <w:numPr>
          <w:ilvl w:val="0"/>
          <w:numId w:val="51"/>
        </w:numPr>
        <w:rPr>
          <w:rFonts w:ascii="Arial" w:cs="Arial" w:eastAsia="Arial" w:hAnsi="Arial"/>
          <w:sz w:val="16"/>
          <w:szCs w:val="16"/>
          <w:color w:val="A7A9AC"/>
        </w:rPr>
      </w:pPr>
      <w:r>
        <w:rPr>
          <w:rFonts w:ascii="Arial" w:cs="Arial" w:eastAsia="Arial" w:hAnsi="Arial"/>
          <w:sz w:val="13"/>
          <w:szCs w:val="13"/>
          <w:color w:val="auto"/>
        </w:rPr>
        <w:t>C-suite experience managing a business with international operations</w:t>
      </w:r>
    </w:p>
    <w:p>
      <w:pPr>
        <w:spacing w:after="0" w:line="227" w:lineRule="exact"/>
        <w:rPr>
          <w:sz w:val="20"/>
          <w:szCs w:val="20"/>
          <w:color w:val="auto"/>
        </w:rPr>
      </w:pPr>
    </w:p>
    <w:p>
      <w:pPr>
        <w:ind w:left="7180"/>
        <w:spacing w:after="0"/>
        <w:rPr>
          <w:sz w:val="20"/>
          <w:szCs w:val="20"/>
          <w:color w:val="auto"/>
        </w:rPr>
      </w:pPr>
      <w:r>
        <w:rPr>
          <w:rFonts w:ascii="Arial" w:cs="Arial" w:eastAsia="Arial" w:hAnsi="Arial"/>
          <w:sz w:val="11"/>
          <w:szCs w:val="11"/>
          <w:b w:val="1"/>
          <w:bCs w:val="1"/>
          <w:color w:val="6D98AD"/>
        </w:rPr>
        <w:t xml:space="preserve">CORPORATE GOVERNANCE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695515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1200"/>
          </w:cols>
          <w:pgMar w:left="460" w:top="257" w:right="239" w:bottom="1440" w:gutter="0" w:footer="0" w:header="0"/>
        </w:sectPr>
      </w:pPr>
    </w:p>
    <w:bookmarkStart w:id="28" w:name="page29"/>
    <w:bookmarkEnd w:id="28"/>
    <w:p>
      <w:pPr>
        <w:spacing w:after="0"/>
        <w:rPr>
          <w:sz w:val="20"/>
          <w:szCs w:val="20"/>
          <w:color w:val="auto"/>
        </w:rPr>
      </w:pPr>
      <w:r>
        <w:rPr>
          <w:rFonts w:ascii="Arial" w:cs="Arial" w:eastAsia="Arial" w:hAnsi="Arial"/>
          <w:sz w:val="22"/>
          <w:szCs w:val="22"/>
          <w:b w:val="1"/>
          <w:bCs w:val="1"/>
          <w:color w:val="auto"/>
        </w:rPr>
        <w:t>Director qualifications</w:t>
      </w:r>
    </w:p>
    <w:p>
      <w:pPr>
        <w:spacing w:after="0" w:line="62"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The Nominating, Governance &amp; Management Development Committee considers the broad array of attributes of the Board and potential candidates in selecting new directors. In connection with the current Board refreshment program, the Committee has instructed search and recruiting firms to include candidates with a broad array of attributes in all pools of prospective directors that they present but does not have a specific diversity policy. In practice, the Committee reviews whether a candidate would contribute to the diversity of skills, abilities, and experience as well as have different backgrounds.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Identifying potential new directors</w:t>
      </w:r>
    </w:p>
    <w:p>
      <w:pPr>
        <w:spacing w:after="0" w:line="62"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In evaluating potential new directors, the Nominating, Governance &amp; Management Development Committee will consider the needs identified by our formal review process and the resulting skills matrix, and also may consider factors such as each candidate’s professional experience; business, charitable or educational background; performance in current position; reputation; age; and service on other boards of directors. Potential candidates have been identified at various times by members of the Board, by third-party search and recruiting firms retained for that purpose (as was the case with our newest independent directors), and by senior executives.</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The Nominating, Governance &amp; Management Development Committee will consider a nominee recommended by a stockholder if the recommendation is made in writing and includes (i) the qualifications of the proposed nominee to serve on the Board, (ii) the principal occupation(s) and employment of the proposed nominee during the past five years, (iii) each directorship currently held by the proposed nominee, and (iv) a statement that the proposed nominee has consented to the nomination. The recommendation should be addressed to our Secretary. The expectation is that candidates recommended by stockholders will be evaluated in substantially the same way we evaluate candidates identified by the Committee.</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access</w:t>
      </w:r>
    </w:p>
    <w:p>
      <w:pPr>
        <w:spacing w:after="0" w:line="62"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We have a proxy access provision in our By-Laws. This provision allows qualified stockholders to nominate director candidates for election to our Board, and for those candidates to be included in our proxy materials. Under the proxy access provision, a group of up to 20 stockholders that collectively has owned at least 3% of our common stock for at least three years may nominate director candidates constituting up to the lesser of two directors and 20% of our Board, subject to certain informational and procedural requirements.</w:t>
      </w:r>
    </w:p>
    <w:p>
      <w:pPr>
        <w:spacing w:after="0" w:line="62"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The Nominating, Governance &amp; Management Development Committee evaluated a number of different factors and potential formulations in adopting our proxy access provision before recommending it to the Board for approval. We believe the provision gives stockholders a meaningful opportunity to participate in the director nomination process, while also imposing reasonable thresholds to avoid unnecessary administrative costs and to ensure the nominating stockholders have an appropriate and genuine interest in PVH and its governance.</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Mandatory retirement</w:t>
      </w:r>
    </w:p>
    <w:p>
      <w:pPr>
        <w:spacing w:after="0" w:line="62" w:lineRule="exact"/>
        <w:rPr>
          <w:sz w:val="20"/>
          <w:szCs w:val="20"/>
          <w:color w:val="auto"/>
        </w:rPr>
      </w:pPr>
    </w:p>
    <w:p>
      <w:pPr>
        <w:ind w:right="600"/>
        <w:spacing w:after="0" w:line="282" w:lineRule="auto"/>
        <w:rPr>
          <w:sz w:val="20"/>
          <w:szCs w:val="20"/>
          <w:color w:val="auto"/>
        </w:rPr>
      </w:pPr>
      <w:r>
        <w:rPr>
          <w:rFonts w:ascii="Arial" w:cs="Arial" w:eastAsia="Arial" w:hAnsi="Arial"/>
          <w:sz w:val="14"/>
          <w:szCs w:val="14"/>
          <w:color w:val="auto"/>
        </w:rPr>
        <w:t>Directors cannot be nominated for re-election if they will be 72 years old on the date of the applicable annual meeting. The Board believes that imposing a mandatory retirement age is an effective way to ensure director refreshment.</w:t>
      </w:r>
    </w:p>
    <w:p>
      <w:pPr>
        <w:sectPr>
          <w:pgSz w:w="11900" w:h="16838" w:orient="portrait"/>
          <w:cols w:equalWidth="0" w:num="1">
            <w:col w:w="10900"/>
          </w:cols>
          <w:pgMar w:left="480" w:top="319" w:right="519" w:bottom="144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 Engagement</w:t>
      </w:r>
    </w:p>
    <w:p>
      <w:pPr>
        <w:spacing w:after="0" w:line="50"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We regularly engage with stockholders to understand their concerns and their perspectives on our company and our business. We meet with and speak to stockholders during appearances by management at scheduled events, as well as in one-on-one meetings and through conference calls held throughout the year. Our CEO, CFO, and leader of our Investor Relations team held discussions during 2025 with approximately 90% of our top 15 stockholders who are active managers (</w:t>
      </w:r>
      <w:r>
        <w:rPr>
          <w:rFonts w:ascii="Arial" w:cs="Arial" w:eastAsia="Arial" w:hAnsi="Arial"/>
          <w:sz w:val="14"/>
          <w:szCs w:val="14"/>
          <w:i w:val="1"/>
          <w:iCs w:val="1"/>
          <w:color w:val="auto"/>
        </w:rPr>
        <w:t>i.e</w:t>
      </w:r>
      <w:r>
        <w:rPr>
          <w:rFonts w:ascii="Arial" w:cs="Arial" w:eastAsia="Arial" w:hAnsi="Arial"/>
          <w:sz w:val="14"/>
          <w:szCs w:val="14"/>
          <w:color w:val="auto"/>
        </w:rPr>
        <w:t>., excluding index funds and others who do not meet with management) and who hold approximately 35% of PVH’s outstanding shares. Additionally, these executives have held meetings with stewardship teams of passive and active investors. Others who have met with investors include our Chair, our General Counsel, and our Chief Sustainability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-739775</wp:posOffset>
            </wp:positionV>
            <wp:extent cx="7620" cy="10172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20" cy="1017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held discussions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during 2025 with approximately</w:t>
      </w:r>
    </w:p>
    <w:p>
      <w:pPr>
        <w:spacing w:after="0" w:line="25" w:lineRule="exact"/>
        <w:rPr>
          <w:sz w:val="20"/>
          <w:szCs w:val="20"/>
          <w:color w:val="auto"/>
        </w:rPr>
      </w:pPr>
    </w:p>
    <w:p>
      <w:pPr>
        <w:spacing w:after="0"/>
        <w:rPr>
          <w:sz w:val="20"/>
          <w:szCs w:val="20"/>
          <w:color w:val="auto"/>
        </w:rPr>
      </w:pPr>
      <w:r>
        <w:rPr>
          <w:rFonts w:ascii="Arial" w:cs="Arial" w:eastAsia="Arial" w:hAnsi="Arial"/>
          <w:sz w:val="53"/>
          <w:szCs w:val="53"/>
          <w:color w:val="6D98AD"/>
        </w:rPr>
        <w:t>90%</w:t>
      </w:r>
    </w:p>
    <w:p>
      <w:pPr>
        <w:spacing w:after="0" w:line="64"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b w:val="1"/>
          <w:bCs w:val="1"/>
          <w:color w:val="auto"/>
        </w:rPr>
        <w:t>of our top 15 stockholders who are active managers</w:t>
      </w:r>
    </w:p>
    <w:p>
      <w:pPr>
        <w:spacing w:after="0" w:line="164" w:lineRule="exact"/>
        <w:rPr>
          <w:sz w:val="20"/>
          <w:szCs w:val="20"/>
          <w:color w:val="auto"/>
        </w:rPr>
      </w:pPr>
    </w:p>
    <w:p>
      <w:pPr>
        <w:sectPr>
          <w:pgSz w:w="11900" w:h="16838" w:orient="portrait"/>
          <w:cols w:equalWidth="0" w:num="2">
            <w:col w:w="7640" w:space="340"/>
            <w:col w:w="2920"/>
          </w:cols>
          <w:pgMar w:left="480" w:top="319" w:right="519" w:bottom="1440" w:gutter="0" w:footer="0" w:header="0"/>
          <w:type w:val="continuous"/>
        </w:sectPr>
      </w:pPr>
    </w:p>
    <w:p>
      <w:pPr>
        <w:ind w:right="80"/>
        <w:spacing w:after="0" w:line="282" w:lineRule="auto"/>
        <w:rPr>
          <w:sz w:val="20"/>
          <w:szCs w:val="20"/>
          <w:color w:val="auto"/>
        </w:rPr>
      </w:pPr>
      <w:r>
        <w:rPr>
          <w:rFonts w:ascii="Arial" w:cs="Arial" w:eastAsia="Arial" w:hAnsi="Arial"/>
          <w:sz w:val="14"/>
          <w:szCs w:val="14"/>
          <w:color w:val="auto"/>
        </w:rPr>
        <w:t xml:space="preserve">Our discussions with stockholders in 2025 often centered on the PVH+ Plan, our multi-year strategic plan to build </w:t>
      </w:r>
      <w:r>
        <w:rPr>
          <w:rFonts w:ascii="Arial" w:cs="Arial" w:eastAsia="Arial" w:hAnsi="Arial"/>
          <w:sz w:val="14"/>
          <w:szCs w:val="14"/>
          <w:i w:val="1"/>
          <w:iCs w:val="1"/>
          <w:color w:val="auto"/>
        </w:rPr>
        <w:t>Calvin Klein</w:t>
      </w:r>
      <w:r>
        <w:rPr>
          <w:rFonts w:ascii="Arial" w:cs="Arial" w:eastAsia="Arial" w:hAnsi="Arial"/>
          <w:sz w:val="14"/>
          <w:szCs w:val="14"/>
          <w:color w:val="auto"/>
        </w:rPr>
        <w:t xml:space="preserve"> and </w:t>
      </w:r>
      <w:r>
        <w:rPr>
          <w:rFonts w:ascii="Arial" w:cs="Arial" w:eastAsia="Arial" w:hAnsi="Arial"/>
          <w:sz w:val="14"/>
          <w:szCs w:val="14"/>
          <w:i w:val="1"/>
          <w:iCs w:val="1"/>
          <w:color w:val="auto"/>
        </w:rPr>
        <w:t>TOMMY HILFIGER</w:t>
      </w:r>
      <w:r>
        <w:rPr>
          <w:rFonts w:ascii="Arial" w:cs="Arial" w:eastAsia="Arial" w:hAnsi="Arial"/>
          <w:sz w:val="14"/>
          <w:szCs w:val="14"/>
          <w:color w:val="auto"/>
        </w:rPr>
        <w:t xml:space="preserve"> into the most desirable lifestyle brands in the world and build PVH into one of the highest performing brand groups in our sector.</w:t>
      </w:r>
    </w:p>
    <w:p>
      <w:pPr>
        <w:spacing w:after="0" w:line="13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26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695515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00"/>
          </w:cols>
          <w:pgMar w:left="480" w:top="319" w:right="519" w:bottom="1440" w:gutter="0" w:footer="0" w:header="0"/>
          <w:type w:val="continuous"/>
        </w:sectPr>
      </w:pPr>
    </w:p>
    <w:bookmarkStart w:id="29" w:name="page30"/>
    <w:bookmarkEnd w:id="29"/>
    <w:p>
      <w:pPr>
        <w:ind w:left="9"/>
        <w:spacing w:after="0"/>
        <w:rPr>
          <w:sz w:val="20"/>
          <w:szCs w:val="20"/>
          <w:color w:val="auto"/>
        </w:rPr>
      </w:pPr>
      <w:r>
        <w:rPr>
          <w:rFonts w:ascii="Arial" w:cs="Arial" w:eastAsia="Arial" w:hAnsi="Arial"/>
          <w:sz w:val="14"/>
          <w:szCs w:val="14"/>
          <w:color w:val="auto"/>
        </w:rPr>
        <w:t>Other common issues discussed included:</w:t>
      </w:r>
    </w:p>
    <w:p>
      <w:pPr>
        <w:spacing w:after="0" w:line="157" w:lineRule="exact"/>
        <w:rPr>
          <w:sz w:val="20"/>
          <w:szCs w:val="20"/>
          <w:color w:val="auto"/>
        </w:rPr>
      </w:pPr>
    </w:p>
    <w:p>
      <w:pPr>
        <w:ind w:left="149" w:hanging="149"/>
        <w:spacing w:after="0"/>
        <w:tabs>
          <w:tab w:leader="none" w:pos="149"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long-term growth targets</w:t>
      </w:r>
    </w:p>
    <w:p>
      <w:pPr>
        <w:spacing w:after="0" w:line="51" w:lineRule="exact"/>
        <w:rPr>
          <w:rFonts w:ascii="Arial" w:cs="Arial" w:eastAsia="Arial" w:hAnsi="Arial"/>
          <w:sz w:val="14"/>
          <w:szCs w:val="14"/>
          <w:color w:val="auto"/>
        </w:rPr>
      </w:pPr>
    </w:p>
    <w:p>
      <w:pPr>
        <w:ind w:left="149" w:hanging="149"/>
        <w:spacing w:after="0"/>
        <w:tabs>
          <w:tab w:leader="none" w:pos="149"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senior leadership team</w:t>
      </w:r>
    </w:p>
    <w:p>
      <w:pPr>
        <w:spacing w:after="0" w:line="51" w:lineRule="exact"/>
        <w:rPr>
          <w:rFonts w:ascii="Arial" w:cs="Arial" w:eastAsia="Arial" w:hAnsi="Arial"/>
          <w:sz w:val="14"/>
          <w:szCs w:val="14"/>
          <w:color w:val="auto"/>
        </w:rPr>
      </w:pPr>
    </w:p>
    <w:p>
      <w:pPr>
        <w:ind w:left="149" w:hanging="149"/>
        <w:spacing w:after="0" w:line="280" w:lineRule="auto"/>
        <w:tabs>
          <w:tab w:leader="none" w:pos="151" w:val="left"/>
        </w:tabs>
        <w:numPr>
          <w:ilvl w:val="0"/>
          <w:numId w:val="52"/>
        </w:numPr>
        <w:rPr>
          <w:rFonts w:ascii="Arial" w:cs="Arial" w:eastAsia="Arial" w:hAnsi="Arial"/>
          <w:sz w:val="14"/>
          <w:szCs w:val="14"/>
          <w:color w:val="auto"/>
        </w:rPr>
      </w:pPr>
      <w:r>
        <w:rPr>
          <w:rFonts w:ascii="Arial" w:cs="Arial" w:eastAsia="Arial" w:hAnsi="Arial"/>
          <w:sz w:val="14"/>
          <w:szCs w:val="14"/>
          <w:color w:val="auto"/>
        </w:rPr>
        <w:t>Growth opportunities for each of our branded businesses, including regional and category opportunities</w:t>
      </w:r>
    </w:p>
    <w:p>
      <w:pPr>
        <w:spacing w:after="0" w:line="1" w:lineRule="exact"/>
        <w:rPr>
          <w:rFonts w:ascii="Arial" w:cs="Arial" w:eastAsia="Arial" w:hAnsi="Arial"/>
          <w:sz w:val="14"/>
          <w:szCs w:val="14"/>
          <w:color w:val="auto"/>
        </w:rPr>
      </w:pPr>
    </w:p>
    <w:p>
      <w:pPr>
        <w:ind w:left="149" w:right="740" w:hanging="149"/>
        <w:spacing w:after="0" w:line="280" w:lineRule="auto"/>
        <w:tabs>
          <w:tab w:leader="none" w:pos="151"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plans and perspectives on, as well as expected impact on us of, macroenvironmental issues</w:t>
      </w:r>
    </w:p>
    <w:p>
      <w:pPr>
        <w:spacing w:after="0" w:line="1" w:lineRule="exact"/>
        <w:rPr>
          <w:rFonts w:ascii="Arial" w:cs="Arial" w:eastAsia="Arial" w:hAnsi="Arial"/>
          <w:sz w:val="14"/>
          <w:szCs w:val="14"/>
          <w:color w:val="auto"/>
        </w:rPr>
      </w:pPr>
    </w:p>
    <w:p>
      <w:pPr>
        <w:ind w:left="149" w:right="280" w:hanging="149"/>
        <w:spacing w:after="0" w:line="280" w:lineRule="auto"/>
        <w:tabs>
          <w:tab w:leader="none" w:pos="151"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competitive landscape and how we are positioned to gain market share globally</w:t>
      </w:r>
    </w:p>
    <w:p>
      <w:pPr>
        <w:spacing w:after="0" w:line="1" w:lineRule="exact"/>
        <w:rPr>
          <w:rFonts w:ascii="Arial" w:cs="Arial" w:eastAsia="Arial" w:hAnsi="Arial"/>
          <w:sz w:val="14"/>
          <w:szCs w:val="14"/>
          <w:color w:val="auto"/>
        </w:rPr>
      </w:pPr>
    </w:p>
    <w:p>
      <w:pPr>
        <w:ind w:left="149" w:hanging="149"/>
        <w:spacing w:after="0"/>
        <w:tabs>
          <w:tab w:leader="none" w:pos="149"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initiatives to grow digital commerce</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152" w:hanging="152"/>
        <w:spacing w:after="0"/>
        <w:tabs>
          <w:tab w:leader="none" w:pos="152" w:val="left"/>
        </w:tabs>
        <w:numPr>
          <w:ilvl w:val="0"/>
          <w:numId w:val="53"/>
        </w:numPr>
        <w:rPr>
          <w:rFonts w:ascii="Arial" w:cs="Arial" w:eastAsia="Arial" w:hAnsi="Arial"/>
          <w:sz w:val="14"/>
          <w:szCs w:val="14"/>
          <w:color w:val="auto"/>
        </w:rPr>
      </w:pPr>
      <w:r>
        <w:rPr>
          <w:rFonts w:ascii="Arial" w:cs="Arial" w:eastAsia="Arial" w:hAnsi="Arial"/>
          <w:sz w:val="14"/>
          <w:szCs w:val="14"/>
          <w:color w:val="auto"/>
        </w:rPr>
        <w:t>Our consumer engagement initiatives, both globally and regionally</w:t>
      </w:r>
    </w:p>
    <w:p>
      <w:pPr>
        <w:spacing w:after="0" w:line="51" w:lineRule="exact"/>
        <w:rPr>
          <w:rFonts w:ascii="Arial" w:cs="Arial" w:eastAsia="Arial" w:hAnsi="Arial"/>
          <w:sz w:val="14"/>
          <w:szCs w:val="14"/>
          <w:color w:val="auto"/>
        </w:rPr>
      </w:pPr>
    </w:p>
    <w:p>
      <w:pPr>
        <w:ind w:left="132" w:right="220" w:hanging="132"/>
        <w:spacing w:after="0" w:line="264" w:lineRule="auto"/>
        <w:tabs>
          <w:tab w:leader="none" w:pos="134" w:val="left"/>
        </w:tabs>
        <w:numPr>
          <w:ilvl w:val="0"/>
          <w:numId w:val="53"/>
        </w:numPr>
        <w:rPr>
          <w:rFonts w:ascii="Arial" w:cs="Arial" w:eastAsia="Arial" w:hAnsi="Arial"/>
          <w:sz w:val="14"/>
          <w:szCs w:val="14"/>
          <w:color w:val="auto"/>
        </w:rPr>
      </w:pPr>
      <w:r>
        <w:rPr>
          <w:rFonts w:ascii="Arial" w:cs="Arial" w:eastAsia="Arial" w:hAnsi="Arial"/>
          <w:sz w:val="14"/>
          <w:szCs w:val="14"/>
          <w:color w:val="auto"/>
        </w:rPr>
        <w:t>Our development of a demand- and data-driven operating model, including infrastructure investments such as supply chain optimization and speed-to-market initiatives</w:t>
      </w:r>
    </w:p>
    <w:p>
      <w:pPr>
        <w:spacing w:after="0" w:line="10" w:lineRule="exact"/>
        <w:rPr>
          <w:rFonts w:ascii="Arial" w:cs="Arial" w:eastAsia="Arial" w:hAnsi="Arial"/>
          <w:sz w:val="14"/>
          <w:szCs w:val="14"/>
          <w:color w:val="auto"/>
        </w:rPr>
      </w:pPr>
    </w:p>
    <w:p>
      <w:pPr>
        <w:ind w:left="132" w:right="120" w:hanging="132"/>
        <w:spacing w:after="0" w:line="280" w:lineRule="auto"/>
        <w:tabs>
          <w:tab w:leader="none" w:pos="134" w:val="left"/>
        </w:tabs>
        <w:numPr>
          <w:ilvl w:val="0"/>
          <w:numId w:val="53"/>
        </w:numPr>
        <w:rPr>
          <w:rFonts w:ascii="Arial" w:cs="Arial" w:eastAsia="Arial" w:hAnsi="Arial"/>
          <w:sz w:val="14"/>
          <w:szCs w:val="14"/>
          <w:color w:val="auto"/>
        </w:rPr>
      </w:pPr>
      <w:r>
        <w:rPr>
          <w:rFonts w:ascii="Arial" w:cs="Arial" w:eastAsia="Arial" w:hAnsi="Arial"/>
          <w:sz w:val="14"/>
          <w:szCs w:val="14"/>
          <w:color w:val="auto"/>
        </w:rPr>
        <w:t>How we are driving operating efficiencies across each of our businesses to improve our cost competitiveness</w:t>
      </w:r>
    </w:p>
    <w:p>
      <w:pPr>
        <w:spacing w:after="0" w:line="1" w:lineRule="exact"/>
        <w:rPr>
          <w:rFonts w:ascii="Arial" w:cs="Arial" w:eastAsia="Arial" w:hAnsi="Arial"/>
          <w:sz w:val="14"/>
          <w:szCs w:val="14"/>
          <w:color w:val="auto"/>
        </w:rPr>
      </w:pPr>
    </w:p>
    <w:p>
      <w:pPr>
        <w:ind w:left="132" w:right="540" w:hanging="132"/>
        <w:spacing w:after="0" w:line="280" w:lineRule="auto"/>
        <w:tabs>
          <w:tab w:leader="none" w:pos="134" w:val="left"/>
        </w:tabs>
        <w:numPr>
          <w:ilvl w:val="0"/>
          <w:numId w:val="53"/>
        </w:numPr>
        <w:rPr>
          <w:rFonts w:ascii="Arial" w:cs="Arial" w:eastAsia="Arial" w:hAnsi="Arial"/>
          <w:sz w:val="14"/>
          <w:szCs w:val="14"/>
          <w:color w:val="auto"/>
        </w:rPr>
      </w:pPr>
      <w:r>
        <w:rPr>
          <w:rFonts w:ascii="Arial" w:cs="Arial" w:eastAsia="Arial" w:hAnsi="Arial"/>
          <w:sz w:val="14"/>
          <w:szCs w:val="14"/>
          <w:color w:val="auto"/>
        </w:rPr>
        <w:t>Free cash flow, particularly how it is used for capital allocation, such as stock repurchases and dividend policy</w:t>
      </w:r>
    </w:p>
    <w:p>
      <w:pPr>
        <w:spacing w:after="0" w:line="1" w:lineRule="exact"/>
        <w:rPr>
          <w:rFonts w:ascii="Arial" w:cs="Arial" w:eastAsia="Arial" w:hAnsi="Arial"/>
          <w:sz w:val="14"/>
          <w:szCs w:val="14"/>
          <w:color w:val="auto"/>
        </w:rPr>
      </w:pPr>
    </w:p>
    <w:p>
      <w:pPr>
        <w:ind w:left="152" w:hanging="152"/>
        <w:spacing w:after="0"/>
        <w:tabs>
          <w:tab w:leader="none" w:pos="152" w:val="left"/>
        </w:tabs>
        <w:numPr>
          <w:ilvl w:val="0"/>
          <w:numId w:val="53"/>
        </w:numPr>
        <w:rPr>
          <w:rFonts w:ascii="Arial" w:cs="Arial" w:eastAsia="Arial" w:hAnsi="Arial"/>
          <w:sz w:val="14"/>
          <w:szCs w:val="14"/>
          <w:color w:val="auto"/>
        </w:rPr>
      </w:pPr>
      <w:r>
        <w:rPr>
          <w:rFonts w:ascii="Arial" w:cs="Arial" w:eastAsia="Arial" w:hAnsi="Arial"/>
          <w:sz w:val="14"/>
          <w:szCs w:val="14"/>
          <w:color w:val="auto"/>
        </w:rPr>
        <w:t>Our corporate responsibility program</w:t>
      </w:r>
    </w:p>
    <w:p>
      <w:pPr>
        <w:spacing w:after="0" w:line="247" w:lineRule="exact"/>
        <w:rPr>
          <w:sz w:val="20"/>
          <w:szCs w:val="20"/>
          <w:color w:val="auto"/>
        </w:rPr>
      </w:pPr>
    </w:p>
    <w:p>
      <w:pPr>
        <w:sectPr>
          <w:pgSz w:w="11900" w:h="16838" w:orient="portrait"/>
          <w:cols w:equalWidth="0" w:num="2">
            <w:col w:w="5149" w:space="328"/>
            <w:col w:w="5472"/>
          </w:cols>
          <w:pgMar w:left="471" w:top="221" w:right="479" w:bottom="1440" w:gutter="0" w:footer="0" w:header="0"/>
        </w:sectPr>
      </w:pPr>
    </w:p>
    <w:p>
      <w:pPr>
        <w:spacing w:after="0" w:line="51" w:lineRule="exact"/>
        <w:rPr>
          <w:sz w:val="20"/>
          <w:szCs w:val="20"/>
          <w:color w:val="auto"/>
        </w:rPr>
      </w:pPr>
    </w:p>
    <w:p>
      <w:pPr>
        <w:ind w:left="9" w:right="360"/>
        <w:spacing w:after="0" w:line="258" w:lineRule="auto"/>
        <w:rPr>
          <w:sz w:val="20"/>
          <w:szCs w:val="20"/>
          <w:color w:val="auto"/>
        </w:rPr>
      </w:pPr>
      <w:r>
        <w:rPr>
          <w:rFonts w:ascii="Arial" w:cs="Arial" w:eastAsia="Arial" w:hAnsi="Arial"/>
          <w:sz w:val="14"/>
          <w:szCs w:val="14"/>
          <w:color w:val="auto"/>
        </w:rPr>
        <w:t>We also engage with stockholders on our compensation practices and pay-for-performance alignment, most notably on CEO compensation, and periodically seek input regarding our compensation program and the compensation paid to our senior executives. The Compensation Committee has discussed and considered communications received from stockholders relating to our compensation program, and, in the past, the Committee Chair has responded to inquiries. In addition, the members of the Compensation Committee typically attend our Annual Meeting and are available to answer questions regarding our compensation program.</w:t>
      </w:r>
    </w:p>
    <w:p>
      <w:pPr>
        <w:spacing w:after="0" w:line="62" w:lineRule="exact"/>
        <w:rPr>
          <w:sz w:val="20"/>
          <w:szCs w:val="20"/>
          <w:color w:val="auto"/>
        </w:rPr>
      </w:pPr>
    </w:p>
    <w:p>
      <w:pPr>
        <w:ind w:left="9" w:right="180"/>
        <w:spacing w:after="0" w:line="282" w:lineRule="auto"/>
        <w:rPr>
          <w:sz w:val="20"/>
          <w:szCs w:val="20"/>
          <w:color w:val="auto"/>
        </w:rPr>
      </w:pPr>
      <w:r>
        <w:rPr>
          <w:rFonts w:ascii="Arial" w:cs="Arial" w:eastAsia="Arial" w:hAnsi="Arial"/>
          <w:sz w:val="14"/>
          <w:szCs w:val="14"/>
          <w:color w:val="auto"/>
        </w:rPr>
        <w:t>Feedback from our stockholders typically is positive, and we generally have not received any requests to undertake changes to our compensation practices, adopt corporate governance measures, undertake additional (or enhance existing) corporate responsibility initiatives, or expand our engagement practices.</w:t>
      </w:r>
    </w:p>
    <w:p>
      <w:pPr>
        <w:spacing w:after="0" w:line="84" w:lineRule="exact"/>
        <w:rPr>
          <w:sz w:val="20"/>
          <w:szCs w:val="20"/>
          <w:color w:val="auto"/>
        </w:rPr>
      </w:pPr>
    </w:p>
    <w:p>
      <w:pPr>
        <w:ind w:left="9"/>
        <w:spacing w:after="0"/>
        <w:rPr>
          <w:sz w:val="20"/>
          <w:szCs w:val="20"/>
          <w:color w:val="auto"/>
        </w:rPr>
      </w:pPr>
      <w:r>
        <w:rPr>
          <w:rFonts w:ascii="Arial" w:cs="Arial" w:eastAsia="Arial" w:hAnsi="Arial"/>
          <w:sz w:val="22"/>
          <w:szCs w:val="22"/>
          <w:b w:val="1"/>
          <w:bCs w:val="1"/>
          <w:color w:val="auto"/>
        </w:rPr>
        <w:t>Director On-Boarding</w:t>
      </w:r>
    </w:p>
    <w:p>
      <w:pPr>
        <w:spacing w:after="0" w:line="62" w:lineRule="exact"/>
        <w:rPr>
          <w:sz w:val="20"/>
          <w:szCs w:val="20"/>
          <w:color w:val="auto"/>
        </w:rPr>
      </w:pPr>
    </w:p>
    <w:p>
      <w:pPr>
        <w:ind w:left="9" w:right="100"/>
        <w:spacing w:after="0" w:line="249" w:lineRule="auto"/>
        <w:rPr>
          <w:sz w:val="20"/>
          <w:szCs w:val="20"/>
          <w:color w:val="auto"/>
        </w:rPr>
      </w:pPr>
      <w:r>
        <w:rPr>
          <w:rFonts w:ascii="Arial" w:cs="Arial" w:eastAsia="Arial" w:hAnsi="Arial"/>
          <w:sz w:val="14"/>
          <w:szCs w:val="14"/>
          <w:color w:val="auto"/>
        </w:rPr>
        <w:t>We believe a wide-ranging orientation is important in positioning new directors for success, so we conduct a comprehensive on-boarding process. Our Board orientation includes pairing each new director with a seasoned member of the Board who serves as a peer mentor for the first three to six months. In addition, new directors participate in a corporate, business and financial orientation program that involves substantive individual meetings with the members of our Executive Leadership Team and others. For example, the Chief Executive Officer will brief new directors on current business; the Chief Financial Officer will speak about our financial performance and capital structure; a member of the Corporate Strategy team will discuss strategy; the General Counsel will discuss corporate governance, periodic reporting and stock-related matters; the Chief People Officer will report on human resources strategies, key talent and succession planning; and the leader of our Investor Relations team will discuss the stockholder base and investor relations. In addition, senior executives of our brand businesses provide an overview of their respective businesses. The orientation extends to the Board committees on which a new director will sit and includes an introductory session with the Chair or other committee members and potentially executives and outside advisors who work with the committee. New directors receive Securities and Exchange Commission (“SEC”) filings and other information as a background resource. We endeavor to have all new directors visit our European headquarters in Amsterdam within their first year of service.</w:t>
      </w:r>
    </w:p>
    <w:p>
      <w:pPr>
        <w:spacing w:after="0" w:line="112" w:lineRule="exact"/>
        <w:rPr>
          <w:sz w:val="20"/>
          <w:szCs w:val="20"/>
          <w:color w:val="auto"/>
        </w:rPr>
      </w:pPr>
    </w:p>
    <w:p>
      <w:pPr>
        <w:ind w:left="9"/>
        <w:spacing w:after="0"/>
        <w:rPr>
          <w:sz w:val="20"/>
          <w:szCs w:val="20"/>
          <w:color w:val="auto"/>
        </w:rPr>
      </w:pPr>
      <w:r>
        <w:rPr>
          <w:rFonts w:ascii="Arial" w:cs="Arial" w:eastAsia="Arial" w:hAnsi="Arial"/>
          <w:sz w:val="22"/>
          <w:szCs w:val="22"/>
          <w:b w:val="1"/>
          <w:bCs w:val="1"/>
          <w:color w:val="auto"/>
        </w:rPr>
        <w:t>Ongoing Director Education</w:t>
      </w:r>
    </w:p>
    <w:p>
      <w:pPr>
        <w:spacing w:after="0" w:line="62" w:lineRule="exact"/>
        <w:rPr>
          <w:sz w:val="20"/>
          <w:szCs w:val="20"/>
          <w:color w:val="auto"/>
        </w:rPr>
      </w:pPr>
    </w:p>
    <w:p>
      <w:pPr>
        <w:ind w:left="9" w:right="140"/>
        <w:spacing w:after="0" w:line="264" w:lineRule="auto"/>
        <w:rPr>
          <w:sz w:val="20"/>
          <w:szCs w:val="20"/>
          <w:color w:val="auto"/>
        </w:rPr>
      </w:pPr>
      <w:r>
        <w:rPr>
          <w:rFonts w:ascii="Arial" w:cs="Arial" w:eastAsia="Arial" w:hAnsi="Arial"/>
          <w:sz w:val="14"/>
          <w:szCs w:val="14"/>
          <w:color w:val="auto"/>
        </w:rPr>
        <w:t>We have created a website for directors that is part of our PVH University learning management platform. The site provides directors with access to information on director educational conferences and programs, our PVH Complies compliance training courses, and the extensive library of courses we offer to our associates. To help directors use the site more efficiently, programs, conferences and classes recommended by other directors and our Talent Development team are flagged.</w:t>
      </w:r>
    </w:p>
    <w:p>
      <w:pPr>
        <w:spacing w:after="0" w:line="58" w:lineRule="exact"/>
        <w:rPr>
          <w:sz w:val="20"/>
          <w:szCs w:val="20"/>
          <w:color w:val="auto"/>
        </w:rPr>
      </w:pPr>
    </w:p>
    <w:p>
      <w:pPr>
        <w:ind w:left="9" w:right="20"/>
        <w:spacing w:after="0" w:line="253" w:lineRule="auto"/>
        <w:rPr>
          <w:sz w:val="20"/>
          <w:szCs w:val="20"/>
          <w:color w:val="auto"/>
        </w:rPr>
      </w:pPr>
      <w:r>
        <w:rPr>
          <w:rFonts w:ascii="Arial" w:cs="Arial" w:eastAsia="Arial" w:hAnsi="Arial"/>
          <w:sz w:val="14"/>
          <w:szCs w:val="14"/>
          <w:color w:val="auto"/>
        </w:rPr>
        <w:t>We encourage directors to pursue educational opportunities to enable them to better perform their duties and to learn about emerging issues. Moreover, our Corporate Governance Guidelines strongly encourage directors to attend at least one external director education program per year. We provide access to educational materials and resources, including subscriptions to outside publications relevant to governance and our industry, and membership in governance organizations. We do not limit the amount of time or money that can be spent on director education, although we do evaluate the courses and conferences to confirm the subject matter is appropriate for the director and their role. We recommend courses that directors have found worthwhile, and directors can identify other programs they think will support them in their roles. Directors attended six external courses and conferences in 2025 on topics including cybersecurity, board operations, talent and compensation, and CEO succession.</w:t>
      </w:r>
    </w:p>
    <w:p>
      <w:pPr>
        <w:spacing w:after="0" w:line="65" w:lineRule="exact"/>
        <w:rPr>
          <w:sz w:val="20"/>
          <w:szCs w:val="20"/>
          <w:color w:val="auto"/>
        </w:rPr>
      </w:pPr>
    </w:p>
    <w:p>
      <w:pPr>
        <w:ind w:left="9" w:right="760"/>
        <w:spacing w:after="0" w:line="282" w:lineRule="auto"/>
        <w:rPr>
          <w:sz w:val="20"/>
          <w:szCs w:val="20"/>
          <w:color w:val="auto"/>
        </w:rPr>
      </w:pPr>
      <w:r>
        <w:rPr>
          <w:rFonts w:ascii="Arial" w:cs="Arial" w:eastAsia="Arial" w:hAnsi="Arial"/>
          <w:sz w:val="14"/>
          <w:szCs w:val="14"/>
          <w:color w:val="auto"/>
        </w:rPr>
        <w:t>The Nominating, Governance &amp; Management Development Committee may request that directors seek out particular education programs or that the Board receive presentations based on results from the Board questionnaires and individual director self-assessments.</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CORPORATE GOVERNANCE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221" w:right="479" w:bottom="1440" w:gutter="0" w:footer="0" w:header="0"/>
          <w:type w:val="continuous"/>
        </w:sectPr>
      </w:pPr>
    </w:p>
    <w:bookmarkStart w:id="30" w:name="page31"/>
    <w:bookmarkEnd w:id="30"/>
    <w:p>
      <w:pPr>
        <w:ind w:right="60"/>
        <w:spacing w:after="0" w:line="255" w:lineRule="auto"/>
        <w:rPr>
          <w:sz w:val="20"/>
          <w:szCs w:val="20"/>
          <w:color w:val="auto"/>
        </w:rPr>
      </w:pPr>
      <w:r>
        <w:rPr>
          <w:rFonts w:ascii="Arial" w:cs="Arial" w:eastAsia="Arial" w:hAnsi="Arial"/>
          <w:sz w:val="14"/>
          <w:szCs w:val="14"/>
          <w:color w:val="auto"/>
        </w:rPr>
        <w:t>We often incorporate travel to PVH facilities and facilities operated by business partners to educate directors on our global operations, as well as matters related to the committees on which they serve. For example, the Board traveled in 2025 to Amsterdam, where our European headquarters is based, and Board members visited our stores and operations in Roermond and D</w:t>
      </w:r>
      <w:r>
        <w:rPr>
          <w:rFonts w:ascii="Arial" w:cs="Arial" w:eastAsia="Arial" w:hAnsi="Arial"/>
          <w:sz w:val="9"/>
          <w:szCs w:val="9"/>
          <w:color w:val="auto"/>
        </w:rPr>
        <w:t>ü</w:t>
      </w:r>
      <w:r>
        <w:rPr>
          <w:rFonts w:ascii="Arial" w:cs="Arial" w:eastAsia="Arial" w:hAnsi="Arial"/>
          <w:sz w:val="14"/>
          <w:szCs w:val="14"/>
          <w:color w:val="auto"/>
        </w:rPr>
        <w:t>sseldorf, Germany, as well as competitor and wholesale partner stores in those cities, in connection with this trip. Those visits enabled the Board to meet with key members of management in those offices, to meet the country managers of each European office, and to tour our offices and certain key retail operations. We plan to have at least one trip to company facilities, stores, customer or competitor locations, or international markets or offices each year.</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Restrictions on Other Board Service</w:t>
      </w:r>
    </w:p>
    <w:p>
      <w:pPr>
        <w:spacing w:after="0" w:line="62"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In order to ensure that our directors have time to commit to service on our Board, our Corporate Governance Guidelines restrict their ability to accept other board seats. In particular, the Chief Executive Officer may not serve on more than one other public company board, and no other director may serve on more than three other public company boards. A director who serves as a “Section 16 officer” of a public company or in an equivalent position at a private company is limited to board service at the company at which the director is employed and one other public company.</w:t>
      </w:r>
    </w:p>
    <w:p>
      <w:pPr>
        <w:spacing w:after="0" w:line="62" w:lineRule="exact"/>
        <w:rPr>
          <w:sz w:val="20"/>
          <w:szCs w:val="20"/>
          <w:color w:val="auto"/>
        </w:rPr>
      </w:pPr>
    </w:p>
    <w:p>
      <w:pPr>
        <w:ind w:right="260"/>
        <w:spacing w:after="0" w:line="264" w:lineRule="auto"/>
        <w:rPr>
          <w:sz w:val="20"/>
          <w:szCs w:val="20"/>
          <w:color w:val="auto"/>
        </w:rPr>
      </w:pPr>
      <w:r>
        <w:rPr>
          <w:rFonts w:ascii="Arial" w:cs="Arial" w:eastAsia="Arial" w:hAnsi="Arial"/>
          <w:sz w:val="14"/>
          <w:szCs w:val="14"/>
          <w:color w:val="auto"/>
        </w:rPr>
        <w:t>Any director who wishes to join another company’s board (other than the board of a non-profit company) must first get approval from the full Board, the Nominating, Governance &amp; Management Development Committee, or both. Such approval will be based on whether the director’s proposed additional board service would conflict with PVH policy or the director’s responsibility to PVH, whether due to the nature of the business, the timing of meetings, work demands or otherwise.</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 Succession Planning</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The Nominating, Governance &amp; Management Development Committee engages in detailed succession planning. Succession plans for the Chief Executive Officer and the executive leadership team are reviewed regularly by the CEO and Chief People Officer with the Committee. Status reports on talent and succession plans are presented to the full Board annually.</w:t>
      </w:r>
    </w:p>
    <w:p>
      <w:pPr>
        <w:spacing w:after="0" w:line="58"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The succession planning process includes identifying and developing plans for promising internal candidates as well as monitoring external talent. The plan includes mid-term and long-term solutions and arrangements in the event an emergency arises.</w:t>
      </w:r>
    </w:p>
    <w:p>
      <w:pPr>
        <w:spacing w:after="0" w:line="13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28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695515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00"/>
          </w:cols>
          <w:pgMar w:left="480" w:top="221" w:right="519" w:bottom="1440" w:gutter="0" w:footer="0" w:header="0"/>
        </w:sectPr>
      </w:pPr>
    </w:p>
    <w:bookmarkStart w:id="31" w:name="page32"/>
    <w:bookmarkEnd w:id="31"/>
    <w:p>
      <w:pPr>
        <w:spacing w:after="0"/>
        <w:rPr>
          <w:sz w:val="20"/>
          <w:szCs w:val="20"/>
          <w:color w:val="auto"/>
        </w:rPr>
      </w:pPr>
      <w:r>
        <w:rPr>
          <w:rFonts w:ascii="Arial" w:cs="Arial" w:eastAsia="Arial" w:hAnsi="Arial"/>
          <w:sz w:val="28"/>
          <w:szCs w:val="28"/>
          <w:b w:val="1"/>
          <w:bCs w:val="1"/>
          <w:color w:val="6D98AD"/>
        </w:rPr>
        <w:t>Committees</w:t>
      </w:r>
    </w:p>
    <w:p>
      <w:pPr>
        <w:spacing w:after="0" w:line="114" w:lineRule="exact"/>
        <w:rPr>
          <w:sz w:val="20"/>
          <w:szCs w:val="20"/>
          <w:color w:val="auto"/>
        </w:rPr>
      </w:pPr>
    </w:p>
    <w:p>
      <w:pPr>
        <w:ind w:right="120"/>
        <w:spacing w:after="0" w:line="264" w:lineRule="auto"/>
        <w:rPr>
          <w:sz w:val="20"/>
          <w:szCs w:val="20"/>
          <w:color w:val="auto"/>
        </w:rPr>
      </w:pPr>
      <w:r>
        <w:rPr>
          <w:rFonts w:ascii="Arial" w:cs="Arial" w:eastAsia="Arial" w:hAnsi="Arial"/>
          <w:sz w:val="14"/>
          <w:szCs w:val="14"/>
          <w:color w:val="auto"/>
        </w:rPr>
        <w:t>The Board of Directors has four standing committees: Audit &amp; Risk Management; Compensation; Nominating, Governance &amp; Management Development; and Corporate Responsibility. Each committee has a written charter adopted by the Board of Directors that is available on our website at PVH.com/investor-relations/governance. The Board has determined that all members of the four standing committees satisfy the independence requirements under NYSE listing standards and SEC rules.</w:t>
      </w:r>
    </w:p>
    <w:p>
      <w:pPr>
        <w:spacing w:after="0" w:line="286" w:lineRule="exact"/>
        <w:rPr>
          <w:sz w:val="20"/>
          <w:szCs w:val="20"/>
          <w:color w:val="auto"/>
        </w:rPr>
      </w:pPr>
    </w:p>
    <w:p>
      <w:pPr>
        <w:spacing w:after="0"/>
        <w:rPr>
          <w:sz w:val="20"/>
          <w:szCs w:val="20"/>
          <w:color w:val="auto"/>
        </w:rPr>
      </w:pPr>
      <w:r>
        <w:rPr>
          <w:rFonts w:ascii="Arial" w:cs="Arial" w:eastAsia="Arial" w:hAnsi="Arial"/>
          <w:sz w:val="31"/>
          <w:szCs w:val="31"/>
          <w:color w:val="auto"/>
        </w:rPr>
        <w:t>Audit &amp; Risk Management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107950</wp:posOffset>
            </wp:positionV>
            <wp:extent cx="6948170"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48170" cy="15240"/>
                    </a:xfrm>
                    <a:prstGeom prst="rect">
                      <a:avLst/>
                    </a:prstGeom>
                    <a:noFill/>
                  </pic:spPr>
                </pic:pic>
              </a:graphicData>
            </a:graphic>
          </wp:anchor>
        </w:drawing>
      </w:r>
    </w:p>
    <w:p>
      <w:pPr>
        <w:sectPr>
          <w:pgSz w:w="11900" w:h="16838" w:orient="portrait"/>
          <w:cols w:equalWidth="0" w:num="1">
            <w:col w:w="10940"/>
          </w:cols>
          <w:pgMar w:left="480" w:top="25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-807085</wp:posOffset>
            </wp:positionV>
            <wp:extent cx="688340" cy="6883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8340" cy="68834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Brent Callinicos </w:t>
      </w:r>
      <w:r>
        <w:rPr>
          <w:rFonts w:ascii="Arial" w:cs="Arial" w:eastAsia="Arial" w:hAnsi="Arial"/>
          <w:sz w:val="12"/>
          <w:szCs w:val="12"/>
          <w:color w:val="auto"/>
        </w:rPr>
        <w:t>(Chair)</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Jesper Andersen</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Ajay Bhalla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Kate Gulliver</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Amy McPherson</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MEETINGS IN 2025</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The Audit &amp; Risk Management Committee is directly responsible for the appointment, compensation, and oversight of the work of the outside auditing firm. In addition, the Audit &amp; Risk Management Committee helps the Board fulfill its oversight functions relating to the quality and integrity of our financial reports by:</w:t>
      </w:r>
    </w:p>
    <w:p>
      <w:pPr>
        <w:spacing w:after="0" w:line="69" w:lineRule="exact"/>
        <w:rPr>
          <w:sz w:val="20"/>
          <w:szCs w:val="20"/>
          <w:color w:val="auto"/>
        </w:rPr>
      </w:pPr>
    </w:p>
    <w:p>
      <w:pPr>
        <w:ind w:left="140" w:hanging="136"/>
        <w:spacing w:after="0"/>
        <w:tabs>
          <w:tab w:leader="none" w:pos="1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monitoring our financial reporting process and internal audit function;</w:t>
      </w:r>
    </w:p>
    <w:p>
      <w:pPr>
        <w:spacing w:after="0" w:line="51" w:lineRule="exact"/>
        <w:rPr>
          <w:rFonts w:ascii="Arial" w:cs="Arial" w:eastAsia="Arial" w:hAnsi="Arial"/>
          <w:sz w:val="14"/>
          <w:szCs w:val="14"/>
          <w:color w:val="auto"/>
        </w:rPr>
      </w:pPr>
    </w:p>
    <w:p>
      <w:pPr>
        <w:ind w:left="140" w:hanging="136"/>
        <w:spacing w:after="0"/>
        <w:tabs>
          <w:tab w:leader="none" w:pos="1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monitoring the outside auditing firm’s qualifications, independence, and performance; and</w:t>
      </w:r>
    </w:p>
    <w:p>
      <w:pPr>
        <w:spacing w:after="0" w:line="51" w:lineRule="exact"/>
        <w:rPr>
          <w:rFonts w:ascii="Arial" w:cs="Arial" w:eastAsia="Arial" w:hAnsi="Arial"/>
          <w:sz w:val="14"/>
          <w:szCs w:val="14"/>
          <w:color w:val="auto"/>
        </w:rPr>
      </w:pPr>
    </w:p>
    <w:p>
      <w:pPr>
        <w:ind w:left="140" w:hanging="136"/>
        <w:spacing w:after="0"/>
        <w:tabs>
          <w:tab w:leader="none" w:pos="1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performing such other activities consistent with its charter and our By-Laws as the Committee or the Board deems appropriate.</w:t>
      </w:r>
    </w:p>
    <w:p>
      <w:pPr>
        <w:spacing w:after="0" w:line="75"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The Board has determined that all members of the Audit &amp; Risk Management Committee meet the heightened independence requirements for purposes of audit committee service under NYSE listing standards and SEC rules, and each of Mr. Callinicos, Mr. Andersen, Ms. Gulliver and Ms. McPherson qualifies as an “audit committee financial expert,” as defined in SEC rules.</w:t>
      </w:r>
    </w:p>
    <w:p>
      <w:pPr>
        <w:spacing w:after="0" w:line="918" w:lineRule="exact"/>
        <w:rPr>
          <w:sz w:val="20"/>
          <w:szCs w:val="20"/>
          <w:color w:val="auto"/>
        </w:rPr>
      </w:pPr>
    </w:p>
    <w:p>
      <w:pPr>
        <w:sectPr>
          <w:pgSz w:w="11900" w:h="16838" w:orient="portrait"/>
          <w:cols w:equalWidth="0" w:num="2">
            <w:col w:w="2000" w:space="720"/>
            <w:col w:w="8220"/>
          </w:cols>
          <w:pgMar w:left="480" w:top="256" w:right="479" w:bottom="1440" w:gutter="0" w:footer="0" w:header="0"/>
          <w:type w:val="continuous"/>
        </w:sectPr>
      </w:pPr>
    </w:p>
    <w:p>
      <w:pPr>
        <w:spacing w:after="0" w:line="263" w:lineRule="exact"/>
        <w:rPr>
          <w:sz w:val="20"/>
          <w:szCs w:val="20"/>
          <w:color w:val="auto"/>
        </w:rPr>
      </w:pPr>
    </w:p>
    <w:p>
      <w:pPr>
        <w:spacing w:after="0"/>
        <w:rPr>
          <w:sz w:val="20"/>
          <w:szCs w:val="20"/>
          <w:color w:val="auto"/>
        </w:rPr>
      </w:pPr>
      <w:r>
        <w:rPr>
          <w:rFonts w:ascii="Arial" w:cs="Arial" w:eastAsia="Arial" w:hAnsi="Arial"/>
          <w:sz w:val="31"/>
          <w:szCs w:val="3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107950</wp:posOffset>
            </wp:positionV>
            <wp:extent cx="6948170"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48170" cy="15240"/>
                    </a:xfrm>
                    <a:prstGeom prst="rect">
                      <a:avLst/>
                    </a:prstGeom>
                    <a:noFill/>
                  </pic:spPr>
                </pic:pic>
              </a:graphicData>
            </a:graphic>
          </wp:anchor>
        </w:drawing>
      </w:r>
    </w:p>
    <w:p>
      <w:pPr>
        <w:sectPr>
          <w:pgSz w:w="11900" w:h="16838" w:orient="portrait"/>
          <w:cols w:equalWidth="0" w:num="1">
            <w:col w:w="10940"/>
          </w:cols>
          <w:pgMar w:left="480" w:top="256"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-807085</wp:posOffset>
            </wp:positionV>
            <wp:extent cx="688340" cy="6883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8340" cy="68834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Amanda Sourry </w:t>
      </w:r>
      <w:r>
        <w:rPr>
          <w:rFonts w:ascii="Arial" w:cs="Arial" w:eastAsia="Arial" w:hAnsi="Arial"/>
          <w:sz w:val="12"/>
          <w:szCs w:val="12"/>
          <w:color w:val="auto"/>
        </w:rPr>
        <w:t>(Chair)</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Michael M. Calbert</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George Cheeks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MEETINGS IN 2025</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right="80"/>
        <w:spacing w:after="0" w:line="251" w:lineRule="auto"/>
        <w:rPr>
          <w:sz w:val="20"/>
          <w:szCs w:val="20"/>
          <w:color w:val="auto"/>
        </w:rPr>
      </w:pPr>
      <w:r>
        <w:rPr>
          <w:rFonts w:ascii="Arial" w:cs="Arial" w:eastAsia="Arial" w:hAnsi="Arial"/>
          <w:sz w:val="14"/>
          <w:szCs w:val="14"/>
          <w:color w:val="auto"/>
        </w:rPr>
        <w:t>The Compensation Committee discharges the Board’s responsibilities relating to the compensation of our executive officers. The Compensation Committee also has overall responsibility for evaluating and approving, or recommending to the Board for approval, certain compensation plans, policies, and programs applicable to our Section 16 officers, and is responsible for preparing the Compensation Committee Report that appears in this Proxy Statement. The Compensation Committee is authorized to delegate limited authority to enable appropriate corporate officers to make equity awards subject to parameters the Committee establishes. For more information on the authority granted to our Chief People Officer to grant equity awards, see “Compensation Committee Process,” which begins on page 44.</w:t>
      </w:r>
    </w:p>
    <w:p>
      <w:pPr>
        <w:spacing w:after="0" w:line="93"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Our Chief Executive Officer; Chief People Officer; Executive Vice President, Head of Global Rewards; and General Counsel regularly attend and participate in Compensation Committee meetings, as do representatives of Frederic W. Cook &amp; Co., the Committee’s independent compensation consultant since December 2024. For more information on the independent compensation advisor, see “Independent Compensation Consultant,” which begins on page 45.</w:t>
      </w:r>
    </w:p>
    <w:p>
      <w:pPr>
        <w:spacing w:after="0" w:line="73"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The Board has determined that all members of the Compensation Committee meet the heightened independence requirements for purposes of compensation committee service under SEC rules.</w:t>
      </w:r>
    </w:p>
    <w:p>
      <w:pPr>
        <w:spacing w:after="0" w:line="57"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There were no interlocks or relationships involving any member of the Compensation Committee during 2025 that are required to be disclosed under the SEC’s rules or proxy regulations.</w:t>
      </w:r>
    </w:p>
    <w:p>
      <w:pPr>
        <w:spacing w:after="0" w:line="200" w:lineRule="exact"/>
        <w:rPr>
          <w:sz w:val="20"/>
          <w:szCs w:val="20"/>
          <w:color w:val="auto"/>
        </w:rPr>
      </w:pPr>
    </w:p>
    <w:p>
      <w:pPr>
        <w:sectPr>
          <w:pgSz w:w="11900" w:h="16838" w:orient="portrait"/>
          <w:cols w:equalWidth="0" w:num="2">
            <w:col w:w="2000" w:space="720"/>
            <w:col w:w="8220"/>
          </w:cols>
          <w:pgMar w:left="480" w:top="256" w:right="479" w:bottom="1440" w:gutter="0" w:footer="0" w:header="0"/>
          <w:type w:val="continuous"/>
        </w:sectPr>
      </w:pPr>
    </w:p>
    <w:p>
      <w:pPr>
        <w:spacing w:after="0" w:line="90" w:lineRule="exact"/>
        <w:rPr>
          <w:sz w:val="20"/>
          <w:szCs w:val="20"/>
          <w:color w:val="auto"/>
        </w:rPr>
      </w:pPr>
    </w:p>
    <w:p>
      <w:pPr>
        <w:ind w:left="7160"/>
        <w:spacing w:after="0"/>
        <w:rPr>
          <w:sz w:val="20"/>
          <w:szCs w:val="20"/>
          <w:color w:val="auto"/>
        </w:rPr>
      </w:pPr>
      <w:r>
        <w:rPr>
          <w:rFonts w:ascii="Arial" w:cs="Arial" w:eastAsia="Arial" w:hAnsi="Arial"/>
          <w:sz w:val="10"/>
          <w:szCs w:val="10"/>
          <w:b w:val="1"/>
          <w:bCs w:val="1"/>
          <w:color w:val="749CAB"/>
        </w:rPr>
        <w:t xml:space="preserve">CORPORATE GOVERNANCE </w:t>
      </w:r>
      <w:r>
        <w:rPr>
          <w:rFonts w:ascii="Arial" w:cs="Arial" w:eastAsia="Arial" w:hAnsi="Arial"/>
          <w:sz w:val="10"/>
          <w:szCs w:val="10"/>
          <w:color w:val="000000"/>
        </w:rPr>
        <w:t>/ PVH CORP. 2026 PROXY STATEMENT /</w:t>
      </w:r>
      <w:r>
        <w:rPr>
          <w:rFonts w:ascii="Arial" w:cs="Arial" w:eastAsia="Arial" w:hAnsi="Arial"/>
          <w:sz w:val="10"/>
          <w:szCs w:val="10"/>
          <w:b w:val="1"/>
          <w:bCs w:val="1"/>
          <w:color w:val="749CAB"/>
        </w:rPr>
        <w:t xml:space="preserve"> </w:t>
      </w:r>
      <w:r>
        <w:rPr>
          <w:rFonts w:ascii="Arial" w:cs="Arial" w:eastAsia="Arial" w:hAnsi="Arial"/>
          <w:sz w:val="10"/>
          <w:szCs w:val="10"/>
          <w:b w:val="1"/>
          <w:bCs w:val="1"/>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695515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256" w:right="479" w:bottom="1440" w:gutter="0" w:footer="0" w:header="0"/>
          <w:type w:val="continuous"/>
        </w:sectPr>
      </w:pPr>
    </w:p>
    <w:bookmarkStart w:id="32" w:name="page33"/>
    <w:bookmarkEnd w:id="32"/>
    <w:p>
      <w:pPr>
        <w:ind w:right="5240"/>
        <w:spacing w:after="0" w:line="284" w:lineRule="auto"/>
        <w:rPr>
          <w:sz w:val="20"/>
          <w:szCs w:val="20"/>
          <w:color w:val="auto"/>
        </w:rPr>
      </w:pPr>
      <w:r>
        <w:rPr>
          <w:rFonts w:ascii="Arial" w:cs="Arial" w:eastAsia="Arial" w:hAnsi="Arial"/>
          <w:sz w:val="31"/>
          <w:szCs w:val="31"/>
          <w:color w:val="auto"/>
        </w:rPr>
        <w:t>Nominating, Governance &amp; Management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30480</wp:posOffset>
            </wp:positionV>
            <wp:extent cx="694817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48170" cy="15240"/>
                    </a:xfrm>
                    <a:prstGeom prst="rect">
                      <a:avLst/>
                    </a:prstGeom>
                    <a:noFill/>
                  </pic:spPr>
                </pic:pic>
              </a:graphicData>
            </a:graphic>
          </wp:anchor>
        </w:drawing>
      </w:r>
    </w:p>
    <w:p>
      <w:pPr>
        <w:sectPr>
          <w:pgSz w:w="11900" w:h="16838" w:orient="portrait"/>
          <w:cols w:equalWidth="0" w:num="1">
            <w:col w:w="10920"/>
          </w:cols>
          <w:pgMar w:left="480" w:top="45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-807085</wp:posOffset>
            </wp:positionV>
            <wp:extent cx="688340" cy="688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8340" cy="68834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Amy McPherson </w:t>
      </w:r>
      <w:r>
        <w:rPr>
          <w:rFonts w:ascii="Arial" w:cs="Arial" w:eastAsia="Arial" w:hAnsi="Arial"/>
          <w:sz w:val="12"/>
          <w:szCs w:val="12"/>
          <w:color w:val="auto"/>
        </w:rPr>
        <w:t>(Chair)</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Michael M. Calbert</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Amanda Sourry</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MEETINGS IN 2025</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The Nominating, Governance &amp; Management Development Committee is charged with:</w:t>
      </w:r>
    </w:p>
    <w:p>
      <w:pPr>
        <w:spacing w:after="0" w:line="110" w:lineRule="exact"/>
        <w:rPr>
          <w:sz w:val="20"/>
          <w:szCs w:val="20"/>
          <w:color w:val="auto"/>
        </w:rPr>
      </w:pPr>
    </w:p>
    <w:p>
      <w:pPr>
        <w:ind w:left="140" w:hanging="136"/>
        <w:spacing w:after="0"/>
        <w:tabs>
          <w:tab w:leader="none" w:pos="1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identifying individuals qualified to become Board members;</w:t>
      </w:r>
    </w:p>
    <w:p>
      <w:pPr>
        <w:spacing w:after="0" w:line="51" w:lineRule="exact"/>
        <w:rPr>
          <w:rFonts w:ascii="Arial" w:cs="Arial" w:eastAsia="Arial" w:hAnsi="Arial"/>
          <w:sz w:val="14"/>
          <w:szCs w:val="14"/>
          <w:color w:val="auto"/>
        </w:rPr>
      </w:pPr>
    </w:p>
    <w:p>
      <w:pPr>
        <w:ind w:left="140" w:hanging="136"/>
        <w:spacing w:after="0"/>
        <w:tabs>
          <w:tab w:leader="none" w:pos="1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recommending director nominees to the Board;</w:t>
      </w:r>
    </w:p>
    <w:p>
      <w:pPr>
        <w:spacing w:after="0" w:line="51" w:lineRule="exact"/>
        <w:rPr>
          <w:rFonts w:ascii="Arial" w:cs="Arial" w:eastAsia="Arial" w:hAnsi="Arial"/>
          <w:sz w:val="14"/>
          <w:szCs w:val="14"/>
          <w:color w:val="auto"/>
        </w:rPr>
      </w:pPr>
    </w:p>
    <w:p>
      <w:pPr>
        <w:ind w:left="140" w:hanging="136"/>
        <w:spacing w:after="0"/>
        <w:tabs>
          <w:tab w:leader="none" w:pos="1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recommending members for each Board committee;</w:t>
      </w:r>
    </w:p>
    <w:p>
      <w:pPr>
        <w:spacing w:after="0" w:line="51" w:lineRule="exact"/>
        <w:rPr>
          <w:rFonts w:ascii="Arial" w:cs="Arial" w:eastAsia="Arial" w:hAnsi="Arial"/>
          <w:sz w:val="14"/>
          <w:szCs w:val="14"/>
          <w:color w:val="auto"/>
        </w:rPr>
      </w:pPr>
    </w:p>
    <w:p>
      <w:pPr>
        <w:ind w:left="140" w:hanging="136"/>
        <w:spacing w:after="0"/>
        <w:tabs>
          <w:tab w:leader="none" w:pos="1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overseeing Board, committee and director evaluations;</w:t>
      </w:r>
    </w:p>
    <w:p>
      <w:pPr>
        <w:spacing w:after="0" w:line="51" w:lineRule="exact"/>
        <w:rPr>
          <w:rFonts w:ascii="Arial" w:cs="Arial" w:eastAsia="Arial" w:hAnsi="Arial"/>
          <w:sz w:val="14"/>
          <w:szCs w:val="14"/>
          <w:color w:val="auto"/>
        </w:rPr>
      </w:pPr>
    </w:p>
    <w:p>
      <w:pPr>
        <w:ind w:left="140" w:hanging="136"/>
        <w:spacing w:after="0"/>
        <w:tabs>
          <w:tab w:leader="none" w:pos="1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reviewing the Corporate Governance Guidelines and recommending changes to the full Board;</w:t>
      </w:r>
    </w:p>
    <w:p>
      <w:pPr>
        <w:spacing w:after="0" w:line="51" w:lineRule="exact"/>
        <w:rPr>
          <w:rFonts w:ascii="Arial" w:cs="Arial" w:eastAsia="Arial" w:hAnsi="Arial"/>
          <w:sz w:val="14"/>
          <w:szCs w:val="14"/>
          <w:color w:val="auto"/>
        </w:rPr>
      </w:pPr>
    </w:p>
    <w:p>
      <w:pPr>
        <w:ind w:left="140" w:right="300" w:hanging="136"/>
        <w:spacing w:after="0" w:line="280" w:lineRule="auto"/>
        <w:tabs>
          <w:tab w:leader="none" w:pos="142"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conducting Chief Executive Officer succession planning, and receiving detailed succession planning presentations for senior management;</w:t>
      </w:r>
    </w:p>
    <w:p>
      <w:pPr>
        <w:spacing w:after="0" w:line="1" w:lineRule="exact"/>
        <w:rPr>
          <w:rFonts w:ascii="Arial" w:cs="Arial" w:eastAsia="Arial" w:hAnsi="Arial"/>
          <w:sz w:val="14"/>
          <w:szCs w:val="14"/>
          <w:color w:val="auto"/>
        </w:rPr>
      </w:pPr>
    </w:p>
    <w:p>
      <w:pPr>
        <w:ind w:left="140" w:hanging="136"/>
        <w:spacing w:after="0"/>
        <w:tabs>
          <w:tab w:leader="none" w:pos="1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monitoring senior management development; and</w:t>
      </w:r>
    </w:p>
    <w:p>
      <w:pPr>
        <w:spacing w:after="0" w:line="51" w:lineRule="exact"/>
        <w:rPr>
          <w:rFonts w:ascii="Arial" w:cs="Arial" w:eastAsia="Arial" w:hAnsi="Arial"/>
          <w:sz w:val="14"/>
          <w:szCs w:val="14"/>
          <w:color w:val="auto"/>
        </w:rPr>
      </w:pPr>
    </w:p>
    <w:p>
      <w:pPr>
        <w:ind w:left="140" w:hanging="136"/>
        <w:spacing w:after="0"/>
        <w:tabs>
          <w:tab w:leader="none" w:pos="1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monitoring issues of corporate culture and conduct.</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The Committee has primary responsibility for human capital management matters.</w:t>
      </w:r>
    </w:p>
    <w:p>
      <w:pPr>
        <w:spacing w:after="0" w:line="200" w:lineRule="exact"/>
        <w:rPr>
          <w:sz w:val="20"/>
          <w:szCs w:val="20"/>
          <w:color w:val="auto"/>
        </w:rPr>
      </w:pPr>
    </w:p>
    <w:p>
      <w:pPr>
        <w:sectPr>
          <w:pgSz w:w="11900" w:h="16838" w:orient="portrait"/>
          <w:cols w:equalWidth="0" w:num="2">
            <w:col w:w="2000" w:space="720"/>
            <w:col w:w="8200"/>
          </w:cols>
          <w:pgMar w:left="480" w:top="450" w:right="499" w:bottom="1440" w:gutter="0" w:footer="0" w:header="0"/>
          <w:type w:val="continuous"/>
        </w:sectPr>
      </w:pPr>
    </w:p>
    <w:p>
      <w:pPr>
        <w:spacing w:after="0" w:line="279" w:lineRule="exact"/>
        <w:rPr>
          <w:sz w:val="20"/>
          <w:szCs w:val="20"/>
          <w:color w:val="auto"/>
        </w:rPr>
      </w:pPr>
    </w:p>
    <w:p>
      <w:pPr>
        <w:spacing w:after="0"/>
        <w:rPr>
          <w:sz w:val="20"/>
          <w:szCs w:val="20"/>
          <w:color w:val="auto"/>
        </w:rPr>
      </w:pPr>
      <w:r>
        <w:rPr>
          <w:rFonts w:ascii="Arial" w:cs="Arial" w:eastAsia="Arial" w:hAnsi="Arial"/>
          <w:sz w:val="31"/>
          <w:szCs w:val="31"/>
          <w:color w:val="auto"/>
        </w:rPr>
        <w:t>Corporate Responsibility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107950</wp:posOffset>
            </wp:positionV>
            <wp:extent cx="6948170"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48170" cy="15240"/>
                    </a:xfrm>
                    <a:prstGeom prst="rect">
                      <a:avLst/>
                    </a:prstGeom>
                    <a:noFill/>
                  </pic:spPr>
                </pic:pic>
              </a:graphicData>
            </a:graphic>
          </wp:anchor>
        </w:drawing>
      </w:r>
    </w:p>
    <w:p>
      <w:pPr>
        <w:spacing w:after="0" w:line="255" w:lineRule="exact"/>
        <w:rPr>
          <w:sz w:val="20"/>
          <w:szCs w:val="20"/>
          <w:color w:val="auto"/>
        </w:rPr>
      </w:pPr>
    </w:p>
    <w:p>
      <w:pPr>
        <w:ind w:left="2720"/>
        <w:spacing w:after="0" w:line="255" w:lineRule="auto"/>
        <w:rPr>
          <w:sz w:val="20"/>
          <w:szCs w:val="20"/>
          <w:color w:val="auto"/>
        </w:rPr>
      </w:pPr>
      <w:r>
        <w:rPr>
          <w:rFonts w:ascii="Arial" w:cs="Arial" w:eastAsia="Arial" w:hAnsi="Arial"/>
          <w:sz w:val="14"/>
          <w:szCs w:val="14"/>
          <w:color w:val="auto"/>
        </w:rPr>
        <w:t>The Corporate Responsibility Committee is charged with acting in an advisory capacity, generally consisting of oversight and guidance, to the Board and management with respect to policies and strategies that affect PVH’s role as a responsible organization. The Committee receives reports on The PVH Foundation (our charitable and philanthropic organization), our efforts to foster an inclusive work environment to unlock the full potential of all our associates and our business, and other ways we advance our core values. The Committee also oversees health and safety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-534670</wp:posOffset>
            </wp:positionV>
            <wp:extent cx="688340" cy="6883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8340" cy="68834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MEMBERS</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G. Penny McIntyre </w:t>
      </w:r>
      <w:r>
        <w:rPr>
          <w:rFonts w:ascii="Arial" w:cs="Arial" w:eastAsia="Arial" w:hAnsi="Arial"/>
          <w:sz w:val="13"/>
          <w:szCs w:val="13"/>
          <w:color w:val="auto"/>
        </w:rPr>
        <w:t>(Chair)</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Brent Callinicos</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George Cheeks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MEETINGS IN 2025</w:t>
      </w:r>
    </w:p>
    <w:p>
      <w:pPr>
        <w:spacing w:after="0" w:line="25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30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749CA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695515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20"/>
          </w:cols>
          <w:pgMar w:left="480" w:top="450" w:right="49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28"/>
          <w:szCs w:val="28"/>
          <w:b w:val="1"/>
          <w:bCs w:val="1"/>
          <w:color w:val="6D98AD"/>
        </w:rPr>
        <w:t>Meetings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Our Corporate Governance Guidelines require all members of the Board of Directors to use reasonable efforts to attend, in person or by telephone or video conference, all meetings of the Board and of any committees on which they serve, as well as the annual meeting of stockholders. All of our directors attended the 2025 Annual Meeting of Stockholders, and we expect all them to attend the 2026 meeting. There were five meetings of the Board of Directors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563880</wp:posOffset>
            </wp:positionV>
            <wp:extent cx="7620" cy="11144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2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Board meetings typically cover four categories of business, as described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75"/>
          <w:szCs w:val="75"/>
          <w:color w:val="6D98AD"/>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-506730</wp:posOffset>
            </wp:positionV>
            <wp:extent cx="7620" cy="9944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20" cy="99441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6D98AD"/>
        </w:rPr>
        <w:t>attendance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at Board meetings and</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98% at Committee meetings</w:t>
      </w:r>
    </w:p>
    <w:p>
      <w:pPr>
        <w:spacing w:after="0" w:line="555" w:lineRule="exact"/>
        <w:rPr>
          <w:sz w:val="20"/>
          <w:szCs w:val="20"/>
          <w:color w:val="auto"/>
        </w:rPr>
      </w:pPr>
    </w:p>
    <w:p>
      <w:pPr>
        <w:sectPr>
          <w:pgSz w:w="11900" w:h="16838" w:orient="portrait"/>
          <w:cols w:equalWidth="0" w:num="2">
            <w:col w:w="7280" w:space="380"/>
            <w:col w:w="3280"/>
          </w:cols>
          <w:pgMar w:left="480" w:top="256" w:right="479" w:bottom="1440" w:gutter="0" w:footer="0" w:header="0"/>
        </w:sectPr>
      </w:pPr>
    </w:p>
    <w:p>
      <w:pPr>
        <w:ind w:left="320" w:right="440" w:hanging="144"/>
        <w:spacing w:after="0" w:line="264" w:lineRule="auto"/>
        <w:tabs>
          <w:tab w:leader="none" w:pos="322"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6D98AD"/>
        </w:rPr>
        <w:t xml:space="preserve">Corporate governance matters. </w:t>
      </w:r>
      <w:r>
        <w:rPr>
          <w:rFonts w:ascii="Arial" w:cs="Arial" w:eastAsia="Arial" w:hAnsi="Arial"/>
          <w:sz w:val="14"/>
          <w:szCs w:val="14"/>
          <w:color w:val="000000"/>
        </w:rPr>
        <w:t>These discussions include approval of</w:t>
      </w:r>
      <w:r>
        <w:rPr>
          <w:rFonts w:ascii="Arial" w:cs="Arial" w:eastAsia="Arial" w:hAnsi="Arial"/>
          <w:sz w:val="14"/>
          <w:szCs w:val="14"/>
          <w:b w:val="1"/>
          <w:bCs w:val="1"/>
          <w:color w:val="6D98AD"/>
        </w:rPr>
        <w:t xml:space="preserve"> </w:t>
      </w:r>
      <w:r>
        <w:rPr>
          <w:rFonts w:ascii="Arial" w:cs="Arial" w:eastAsia="Arial" w:hAnsi="Arial"/>
          <w:sz w:val="14"/>
          <w:szCs w:val="14"/>
          <w:color w:val="000000"/>
        </w:rPr>
        <w:t>minutes and dividends, committee reports, and the review of committee charters, Board policies, and SEC filings.</w:t>
      </w:r>
    </w:p>
    <w:p>
      <w:pPr>
        <w:spacing w:after="0" w:line="22" w:lineRule="exact"/>
        <w:rPr>
          <w:rFonts w:ascii="Arial" w:cs="Arial" w:eastAsia="Arial" w:hAnsi="Arial"/>
          <w:sz w:val="14"/>
          <w:szCs w:val="14"/>
          <w:color w:val="auto"/>
        </w:rPr>
      </w:pPr>
    </w:p>
    <w:p>
      <w:pPr>
        <w:ind w:left="320" w:hanging="144"/>
        <w:spacing w:after="0" w:line="255" w:lineRule="auto"/>
        <w:tabs>
          <w:tab w:leader="none" w:pos="322" w:val="left"/>
        </w:tabs>
        <w:numPr>
          <w:ilvl w:val="0"/>
          <w:numId w:val="56"/>
        </w:numPr>
        <w:rPr>
          <w:rFonts w:ascii="Arial" w:cs="Arial" w:eastAsia="Arial" w:hAnsi="Arial"/>
          <w:sz w:val="14"/>
          <w:szCs w:val="14"/>
          <w:color w:val="auto"/>
        </w:rPr>
      </w:pPr>
      <w:r>
        <w:rPr>
          <w:rFonts w:ascii="Arial" w:cs="Arial" w:eastAsia="Arial" w:hAnsi="Arial"/>
          <w:sz w:val="14"/>
          <w:szCs w:val="14"/>
          <w:b w:val="1"/>
          <w:bCs w:val="1"/>
          <w:color w:val="6D98AD"/>
        </w:rPr>
        <w:t xml:space="preserve">Standing agenda items. </w:t>
      </w:r>
      <w:r>
        <w:rPr>
          <w:rFonts w:ascii="Arial" w:cs="Arial" w:eastAsia="Arial" w:hAnsi="Arial"/>
          <w:sz w:val="14"/>
          <w:szCs w:val="14"/>
          <w:color w:val="000000"/>
        </w:rPr>
        <w:t>These discussions address matters such as business</w:t>
      </w:r>
      <w:r>
        <w:rPr>
          <w:rFonts w:ascii="Arial" w:cs="Arial" w:eastAsia="Arial" w:hAnsi="Arial"/>
          <w:sz w:val="14"/>
          <w:szCs w:val="14"/>
          <w:b w:val="1"/>
          <w:bCs w:val="1"/>
          <w:color w:val="6D98AD"/>
        </w:rPr>
        <w:t xml:space="preserve"> </w:t>
      </w:r>
      <w:r>
        <w:rPr>
          <w:rFonts w:ascii="Arial" w:cs="Arial" w:eastAsia="Arial" w:hAnsi="Arial"/>
          <w:sz w:val="14"/>
          <w:szCs w:val="14"/>
          <w:color w:val="000000"/>
        </w:rPr>
        <w:t>and financial updates, budget review and approval, corporate strategy and strategic opportunities/alternatives, capital structure, stockholder activism, and updates on enterprise risk management, corporate responsibility and other programs.</w:t>
      </w:r>
    </w:p>
    <w:p>
      <w:pPr>
        <w:spacing w:after="0" w:line="20" w:lineRule="exact"/>
        <w:rPr>
          <w:sz w:val="20"/>
          <w:szCs w:val="20"/>
          <w:color w:val="auto"/>
        </w:rPr>
      </w:pPr>
      <w:r>
        <w:rPr>
          <w:sz w:val="20"/>
          <w:szCs w:val="20"/>
          <w:color w:val="auto"/>
        </w:rPr>
        <w:br w:type="column"/>
      </w:r>
    </w:p>
    <w:p>
      <w:pPr>
        <w:ind w:left="132" w:right="40" w:hanging="132"/>
        <w:spacing w:after="0" w:line="255" w:lineRule="auto"/>
        <w:tabs>
          <w:tab w:leader="none" w:pos="134" w:val="left"/>
        </w:tabs>
        <w:numPr>
          <w:ilvl w:val="0"/>
          <w:numId w:val="57"/>
        </w:numPr>
        <w:rPr>
          <w:rFonts w:ascii="Arial" w:cs="Arial" w:eastAsia="Arial" w:hAnsi="Arial"/>
          <w:sz w:val="14"/>
          <w:szCs w:val="14"/>
          <w:color w:val="auto"/>
        </w:rPr>
      </w:pPr>
      <w:r>
        <w:rPr>
          <w:rFonts w:ascii="Arial" w:cs="Arial" w:eastAsia="Arial" w:hAnsi="Arial"/>
          <w:sz w:val="14"/>
          <w:szCs w:val="14"/>
          <w:b w:val="1"/>
          <w:bCs w:val="1"/>
          <w:color w:val="6D98AD"/>
        </w:rPr>
        <w:t xml:space="preserve">Topical issues. </w:t>
      </w:r>
      <w:r>
        <w:rPr>
          <w:rFonts w:ascii="Arial" w:cs="Arial" w:eastAsia="Arial" w:hAnsi="Arial"/>
          <w:sz w:val="14"/>
          <w:szCs w:val="14"/>
          <w:color w:val="000000"/>
        </w:rPr>
        <w:t>The Board receives presentations on and, as appropriate, considers</w:t>
      </w:r>
      <w:r>
        <w:rPr>
          <w:rFonts w:ascii="Arial" w:cs="Arial" w:eastAsia="Arial" w:hAnsi="Arial"/>
          <w:sz w:val="14"/>
          <w:szCs w:val="14"/>
          <w:b w:val="1"/>
          <w:bCs w:val="1"/>
          <w:color w:val="6D98AD"/>
        </w:rPr>
        <w:t xml:space="preserve"> </w:t>
      </w:r>
      <w:r>
        <w:rPr>
          <w:rFonts w:ascii="Arial" w:cs="Arial" w:eastAsia="Arial" w:hAnsi="Arial"/>
          <w:sz w:val="14"/>
          <w:szCs w:val="14"/>
          <w:color w:val="000000"/>
        </w:rPr>
        <w:t>matters such as competitive and industry developments, advertising and marketing campaigns, regulatory updates, capital programs, and initiatives like speed-to-market, sourcing, health and safety of employees and those in our supply chain, leadership transitions and organizational restructurings.</w:t>
      </w:r>
    </w:p>
    <w:p>
      <w:pPr>
        <w:spacing w:after="0" w:line="28" w:lineRule="exact"/>
        <w:rPr>
          <w:rFonts w:ascii="Arial" w:cs="Arial" w:eastAsia="Arial" w:hAnsi="Arial"/>
          <w:sz w:val="14"/>
          <w:szCs w:val="14"/>
          <w:color w:val="auto"/>
        </w:rPr>
      </w:pPr>
    </w:p>
    <w:p>
      <w:pPr>
        <w:ind w:left="132" w:right="340" w:hanging="132"/>
        <w:spacing w:after="0" w:line="282" w:lineRule="auto"/>
        <w:tabs>
          <w:tab w:leader="none" w:pos="134" w:val="left"/>
        </w:tabs>
        <w:numPr>
          <w:ilvl w:val="0"/>
          <w:numId w:val="57"/>
        </w:numPr>
        <w:rPr>
          <w:rFonts w:ascii="Arial" w:cs="Arial" w:eastAsia="Arial" w:hAnsi="Arial"/>
          <w:sz w:val="14"/>
          <w:szCs w:val="14"/>
          <w:color w:val="auto"/>
        </w:rPr>
      </w:pPr>
      <w:r>
        <w:rPr>
          <w:rFonts w:ascii="Arial" w:cs="Arial" w:eastAsia="Arial" w:hAnsi="Arial"/>
          <w:sz w:val="14"/>
          <w:szCs w:val="14"/>
          <w:b w:val="1"/>
          <w:bCs w:val="1"/>
          <w:color w:val="6D98AD"/>
        </w:rPr>
        <w:t xml:space="preserve">Transaction-related discussions and approvals. </w:t>
      </w:r>
      <w:r>
        <w:rPr>
          <w:rFonts w:ascii="Arial" w:cs="Arial" w:eastAsia="Arial" w:hAnsi="Arial"/>
          <w:sz w:val="14"/>
          <w:szCs w:val="14"/>
          <w:color w:val="000000"/>
        </w:rPr>
        <w:t>The Board discusses issues</w:t>
      </w:r>
      <w:r>
        <w:rPr>
          <w:rFonts w:ascii="Arial" w:cs="Arial" w:eastAsia="Arial" w:hAnsi="Arial"/>
          <w:sz w:val="14"/>
          <w:szCs w:val="14"/>
          <w:b w:val="1"/>
          <w:bCs w:val="1"/>
          <w:color w:val="6D98AD"/>
        </w:rPr>
        <w:t xml:space="preserve"> </w:t>
      </w:r>
      <w:r>
        <w:rPr>
          <w:rFonts w:ascii="Arial" w:cs="Arial" w:eastAsia="Arial" w:hAnsi="Arial"/>
          <w:sz w:val="14"/>
          <w:szCs w:val="14"/>
          <w:color w:val="000000"/>
        </w:rPr>
        <w:t>such as financings, acquisitions and joint ventures when they arise.</w:t>
      </w:r>
    </w:p>
    <w:p>
      <w:pPr>
        <w:spacing w:after="0" w:line="305" w:lineRule="exact"/>
        <w:rPr>
          <w:sz w:val="20"/>
          <w:szCs w:val="20"/>
          <w:color w:val="auto"/>
        </w:rPr>
      </w:pPr>
    </w:p>
    <w:p>
      <w:pPr>
        <w:sectPr>
          <w:pgSz w:w="11900" w:h="16838" w:orient="portrait"/>
          <w:cols w:equalWidth="0" w:num="2">
            <w:col w:w="5280" w:space="188"/>
            <w:col w:w="5472"/>
          </w:cols>
          <w:pgMar w:left="480" w:top="256" w:right="479" w:bottom="1440" w:gutter="0" w:footer="0" w:header="0"/>
          <w:type w:val="continuous"/>
        </w:sectPr>
      </w:pPr>
    </w:p>
    <w:p>
      <w:pPr>
        <w:jc w:val="both"/>
        <w:ind w:right="100"/>
        <w:spacing w:after="0" w:line="258" w:lineRule="auto"/>
        <w:rPr>
          <w:sz w:val="20"/>
          <w:szCs w:val="20"/>
          <w:color w:val="auto"/>
        </w:rPr>
      </w:pPr>
      <w:r>
        <w:rPr>
          <w:rFonts w:ascii="Arial" w:cs="Arial" w:eastAsia="Arial" w:hAnsi="Arial"/>
          <w:sz w:val="14"/>
          <w:szCs w:val="14"/>
          <w:color w:val="auto"/>
        </w:rPr>
        <w:t>To ensure that the Board is fully informed about issues under discussion, meetings often include presentations by our corporate officers, senior executives or internal subject matter experts, and outside advisors and consultants. One meeting each year typically is convened to give directors an opportunity to consider and discuss at length matters such as strategy, opportunities, business strengths and weaknesses, and competitive threats. This meeting also provides the directors with exposure to and the opportunity to interact with a large contingent of executives from the global management team. These interactions help the Board assess the talent pool globally.</w:t>
      </w:r>
    </w:p>
    <w:p>
      <w:pPr>
        <w:spacing w:after="0" w:line="226" w:lineRule="exact"/>
        <w:rPr>
          <w:sz w:val="20"/>
          <w:szCs w:val="20"/>
          <w:color w:val="auto"/>
        </w:rPr>
      </w:pPr>
    </w:p>
    <w:p>
      <w:pPr>
        <w:spacing w:after="0"/>
        <w:rPr>
          <w:sz w:val="20"/>
          <w:szCs w:val="20"/>
          <w:color w:val="auto"/>
        </w:rPr>
      </w:pPr>
      <w:r>
        <w:rPr>
          <w:rFonts w:ascii="Arial" w:cs="Arial" w:eastAsia="Arial" w:hAnsi="Arial"/>
          <w:sz w:val="28"/>
          <w:szCs w:val="28"/>
          <w:b w:val="1"/>
          <w:bCs w:val="1"/>
          <w:color w:val="6D98AD"/>
        </w:rPr>
        <w:t>Executive Sessions</w:t>
      </w:r>
    </w:p>
    <w:p>
      <w:pPr>
        <w:spacing w:after="0" w:line="114"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Each Board meeting begins in an executive session of all the directors. This session includes an overview of the agenda by the Chief Executive Officer and a preview of some of the key issues confronting management. In addition, the executive session gives directors an opportunity to prepare possible lines of questioning for management and outside advisors and enables the Board to discuss issues that they do not want to raise with the rest of management present. Additional members of management are often invited to participate in parts of these sessions in order to discuss discrete items.</w:t>
      </w:r>
    </w:p>
    <w:p>
      <w:pPr>
        <w:spacing w:after="0" w:line="73"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Our independent directors also meet at the end of each regular meeting (and other times) in executive session to discuss Board presentations, management performance, and the performance of our Chief Executive Officer. Our Chair (or if the Chair is not an independent director, the presiding director) leads these sessions.</w:t>
      </w:r>
    </w:p>
    <w:p>
      <w:pPr>
        <w:spacing w:after="0" w:line="210" w:lineRule="exact"/>
        <w:rPr>
          <w:sz w:val="20"/>
          <w:szCs w:val="20"/>
          <w:color w:val="auto"/>
        </w:rPr>
      </w:pPr>
    </w:p>
    <w:p>
      <w:pPr>
        <w:spacing w:after="0"/>
        <w:rPr>
          <w:sz w:val="20"/>
          <w:szCs w:val="20"/>
          <w:color w:val="auto"/>
        </w:rPr>
      </w:pPr>
      <w:r>
        <w:rPr>
          <w:rFonts w:ascii="Arial" w:cs="Arial" w:eastAsia="Arial" w:hAnsi="Arial"/>
          <w:sz w:val="28"/>
          <w:szCs w:val="28"/>
          <w:b w:val="1"/>
          <w:bCs w:val="1"/>
          <w:color w:val="6D98AD"/>
        </w:rPr>
        <w:t>CEO Evaluation</w:t>
      </w:r>
    </w:p>
    <w:p>
      <w:pPr>
        <w:spacing w:after="0" w:line="114"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The Chair (or if the Chair is not an independent director, the presiding director) meets with our Chief Executive Officer at least annually to discuss the Board’s feedback on the CEO’s performance and to suggest areas for improvement. The discussion is based on a robust written evaluation with input from all directors on goals, objectives and performance, including in respect of leadership and people, strategic planning, financial results, external relations and Board relations. Feedback is elicited through a written performance evaluation completed by each director that solicits both quantitative and qualitative responses regarding these key areas of performance.</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49CAB"/>
        </w:rPr>
        <w:t xml:space="preserve">CORPORATE GOVERNANCE </w:t>
      </w:r>
      <w:r>
        <w:rPr>
          <w:rFonts w:ascii="Arial" w:cs="Arial" w:eastAsia="Arial" w:hAnsi="Arial"/>
          <w:sz w:val="11"/>
          <w:szCs w:val="11"/>
          <w:color w:val="000000"/>
        </w:rPr>
        <w:t>/ PVH CORP. 2026 PROXY STATEMENT /</w:t>
      </w:r>
      <w:r>
        <w:rPr>
          <w:rFonts w:ascii="Arial" w:cs="Arial" w:eastAsia="Arial" w:hAnsi="Arial"/>
          <w:sz w:val="11"/>
          <w:szCs w:val="11"/>
          <w:b w:val="1"/>
          <w:bCs w:val="1"/>
          <w:color w:val="749CAB"/>
        </w:rPr>
        <w:t xml:space="preserve"> </w:t>
      </w:r>
      <w:r>
        <w:rPr>
          <w:rFonts w:ascii="Arial" w:cs="Arial" w:eastAsia="Arial" w:hAnsi="Arial"/>
          <w:sz w:val="11"/>
          <w:szCs w:val="11"/>
          <w:b w:val="1"/>
          <w:bCs w:val="1"/>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695515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256" w:right="479" w:bottom="1440" w:gutter="0" w:footer="0" w:header="0"/>
          <w:type w:val="continuous"/>
        </w:sectPr>
      </w:pPr>
    </w:p>
    <w:bookmarkStart w:id="34" w:name="page35"/>
    <w:bookmarkEnd w:id="34"/>
    <w:p>
      <w:pPr>
        <w:ind w:left="9"/>
        <w:spacing w:after="0"/>
        <w:rPr>
          <w:sz w:val="20"/>
          <w:szCs w:val="20"/>
          <w:color w:val="auto"/>
        </w:rPr>
      </w:pPr>
      <w:r>
        <w:rPr>
          <w:rFonts w:ascii="Arial" w:cs="Arial" w:eastAsia="Arial" w:hAnsi="Arial"/>
          <w:sz w:val="28"/>
          <w:szCs w:val="28"/>
          <w:b w:val="1"/>
          <w:bCs w:val="1"/>
          <w:color w:val="6D98AD"/>
        </w:rPr>
        <w:t>Transactions With Related Persons</w:t>
      </w:r>
    </w:p>
    <w:p>
      <w:pPr>
        <w:spacing w:after="0" w:line="114" w:lineRule="exact"/>
        <w:rPr>
          <w:sz w:val="20"/>
          <w:szCs w:val="20"/>
          <w:color w:val="auto"/>
        </w:rPr>
      </w:pPr>
    </w:p>
    <w:p>
      <w:pPr>
        <w:ind w:left="9" w:right="680"/>
        <w:spacing w:after="0" w:line="282" w:lineRule="auto"/>
        <w:rPr>
          <w:sz w:val="20"/>
          <w:szCs w:val="20"/>
          <w:color w:val="auto"/>
        </w:rPr>
      </w:pPr>
      <w:r>
        <w:rPr>
          <w:rFonts w:ascii="Arial" w:cs="Arial" w:eastAsia="Arial" w:hAnsi="Arial"/>
          <w:sz w:val="14"/>
          <w:szCs w:val="14"/>
          <w:color w:val="auto"/>
        </w:rPr>
        <w:t>SEC rules require us to disclose certain transactions with “related persons.” These are transactions, with some exceptions, involving amounts in excess of $120,000 between PVH on one side and one of the following categories of people on the other side:</w:t>
      </w:r>
    </w:p>
    <w:p>
      <w:pPr>
        <w:sectPr>
          <w:pgSz w:w="11900" w:h="16838" w:orient="portrait"/>
          <w:cols w:equalWidth="0" w:num="1">
            <w:col w:w="10929"/>
          </w:cols>
          <w:pgMar w:left="471" w:top="256" w:right="499" w:bottom="1440" w:gutter="0" w:footer="0" w:header="0"/>
        </w:sectPr>
      </w:pPr>
    </w:p>
    <w:p>
      <w:pPr>
        <w:spacing w:after="0" w:line="152" w:lineRule="exact"/>
        <w:rPr>
          <w:sz w:val="20"/>
          <w:szCs w:val="20"/>
          <w:color w:val="auto"/>
        </w:rPr>
      </w:pPr>
    </w:p>
    <w:p>
      <w:pPr>
        <w:ind w:left="149" w:hanging="149"/>
        <w:spacing w:after="0"/>
        <w:tabs>
          <w:tab w:leader="none" w:pos="149" w:val="left"/>
        </w:tabs>
        <w:numPr>
          <w:ilvl w:val="0"/>
          <w:numId w:val="58"/>
        </w:numPr>
        <w:rPr>
          <w:rFonts w:ascii="Arial" w:cs="Arial" w:eastAsia="Arial" w:hAnsi="Arial"/>
          <w:sz w:val="14"/>
          <w:szCs w:val="14"/>
          <w:color w:val="auto"/>
        </w:rPr>
      </w:pPr>
      <w:r>
        <w:rPr>
          <w:rFonts w:ascii="Arial" w:cs="Arial" w:eastAsia="Arial" w:hAnsi="Arial"/>
          <w:sz w:val="14"/>
          <w:szCs w:val="14"/>
          <w:color w:val="auto"/>
        </w:rPr>
        <w:t>a current director or executive officer;</w:t>
      </w:r>
    </w:p>
    <w:p>
      <w:pPr>
        <w:spacing w:after="0" w:line="51" w:lineRule="exact"/>
        <w:rPr>
          <w:rFonts w:ascii="Arial" w:cs="Arial" w:eastAsia="Arial" w:hAnsi="Arial"/>
          <w:sz w:val="14"/>
          <w:szCs w:val="14"/>
          <w:color w:val="auto"/>
        </w:rPr>
      </w:pPr>
    </w:p>
    <w:p>
      <w:pPr>
        <w:ind w:left="149" w:hanging="149"/>
        <w:spacing w:after="0" w:line="280" w:lineRule="auto"/>
        <w:tabs>
          <w:tab w:leader="none" w:pos="151" w:val="left"/>
        </w:tabs>
        <w:numPr>
          <w:ilvl w:val="0"/>
          <w:numId w:val="58"/>
        </w:numPr>
        <w:rPr>
          <w:rFonts w:ascii="Arial" w:cs="Arial" w:eastAsia="Arial" w:hAnsi="Arial"/>
          <w:sz w:val="14"/>
          <w:szCs w:val="14"/>
          <w:color w:val="auto"/>
        </w:rPr>
      </w:pPr>
      <w:r>
        <w:rPr>
          <w:rFonts w:ascii="Arial" w:cs="Arial" w:eastAsia="Arial" w:hAnsi="Arial"/>
          <w:sz w:val="14"/>
          <w:szCs w:val="14"/>
          <w:color w:val="auto"/>
        </w:rPr>
        <w:t>a person who, during our most recently completed fiscal year, served as a director or executive officer;</w:t>
      </w:r>
    </w:p>
    <w:p>
      <w:pPr>
        <w:spacing w:after="0" w:line="1" w:lineRule="exact"/>
        <w:rPr>
          <w:rFonts w:ascii="Arial" w:cs="Arial" w:eastAsia="Arial" w:hAnsi="Arial"/>
          <w:sz w:val="14"/>
          <w:szCs w:val="14"/>
          <w:color w:val="auto"/>
        </w:rPr>
      </w:pPr>
    </w:p>
    <w:p>
      <w:pPr>
        <w:ind w:left="149" w:hanging="149"/>
        <w:spacing w:after="0"/>
        <w:tabs>
          <w:tab w:leader="none" w:pos="149" w:val="left"/>
        </w:tabs>
        <w:numPr>
          <w:ilvl w:val="0"/>
          <w:numId w:val="58"/>
        </w:numPr>
        <w:rPr>
          <w:rFonts w:ascii="Arial" w:cs="Arial" w:eastAsia="Arial" w:hAnsi="Arial"/>
          <w:sz w:val="14"/>
          <w:szCs w:val="14"/>
          <w:color w:val="auto"/>
        </w:rPr>
      </w:pPr>
      <w:r>
        <w:rPr>
          <w:rFonts w:ascii="Arial" w:cs="Arial" w:eastAsia="Arial" w:hAnsi="Arial"/>
          <w:sz w:val="14"/>
          <w:szCs w:val="14"/>
          <w:color w:val="auto"/>
        </w:rPr>
        <w:t>a nominee for director;</w:t>
      </w:r>
    </w:p>
    <w:p>
      <w:pPr>
        <w:spacing w:after="0" w:line="287" w:lineRule="exact"/>
        <w:rPr>
          <w:sz w:val="20"/>
          <w:szCs w:val="20"/>
          <w:color w:val="auto"/>
        </w:rPr>
      </w:pPr>
    </w:p>
    <w:p>
      <w:pPr>
        <w:ind w:left="9"/>
        <w:spacing w:after="0"/>
        <w:rPr>
          <w:sz w:val="20"/>
          <w:szCs w:val="20"/>
          <w:color w:val="auto"/>
        </w:rPr>
      </w:pPr>
      <w:r>
        <w:rPr>
          <w:rFonts w:ascii="Arial" w:cs="Arial" w:eastAsia="Arial" w:hAnsi="Arial"/>
          <w:sz w:val="14"/>
          <w:szCs w:val="14"/>
          <w:color w:val="auto"/>
        </w:rPr>
        <w:t>No transactions met these criteria in 2025.</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152" w:hanging="152"/>
        <w:spacing w:after="0"/>
        <w:tabs>
          <w:tab w:leader="none" w:pos="152" w:val="left"/>
        </w:tabs>
        <w:numPr>
          <w:ilvl w:val="0"/>
          <w:numId w:val="59"/>
        </w:numPr>
        <w:rPr>
          <w:rFonts w:ascii="Arial" w:cs="Arial" w:eastAsia="Arial" w:hAnsi="Arial"/>
          <w:sz w:val="14"/>
          <w:szCs w:val="14"/>
          <w:color w:val="auto"/>
        </w:rPr>
      </w:pPr>
      <w:r>
        <w:rPr>
          <w:rFonts w:ascii="Arial" w:cs="Arial" w:eastAsia="Arial" w:hAnsi="Arial"/>
          <w:sz w:val="14"/>
          <w:szCs w:val="14"/>
          <w:color w:val="auto"/>
        </w:rPr>
        <w:t>a holder of more than 5% of our common stock; or</w:t>
      </w:r>
    </w:p>
    <w:p>
      <w:pPr>
        <w:spacing w:after="0" w:line="51" w:lineRule="exact"/>
        <w:rPr>
          <w:rFonts w:ascii="Arial" w:cs="Arial" w:eastAsia="Arial" w:hAnsi="Arial"/>
          <w:sz w:val="14"/>
          <w:szCs w:val="14"/>
          <w:color w:val="auto"/>
        </w:rPr>
      </w:pPr>
    </w:p>
    <w:p>
      <w:pPr>
        <w:ind w:left="132" w:right="560" w:hanging="132"/>
        <w:spacing w:after="0" w:line="282" w:lineRule="auto"/>
        <w:tabs>
          <w:tab w:leader="none" w:pos="134"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 immediate family member of someone who falls into one of the foregoing categories.</w:t>
      </w:r>
    </w:p>
    <w:p>
      <w:pPr>
        <w:spacing w:after="0" w:line="717" w:lineRule="exact"/>
        <w:rPr>
          <w:sz w:val="20"/>
          <w:szCs w:val="20"/>
          <w:color w:val="auto"/>
        </w:rPr>
      </w:pPr>
    </w:p>
    <w:p>
      <w:pPr>
        <w:sectPr>
          <w:pgSz w:w="11900" w:h="16838" w:orient="portrait"/>
          <w:cols w:equalWidth="0" w:num="2">
            <w:col w:w="5269" w:space="208"/>
            <w:col w:w="5452"/>
          </w:cols>
          <w:pgMar w:left="471" w:top="256" w:right="499" w:bottom="1440" w:gutter="0" w:footer="0" w:header="0"/>
          <w:type w:val="continuous"/>
        </w:sectPr>
      </w:pPr>
    </w:p>
    <w:p>
      <w:pPr>
        <w:ind w:left="9" w:right="160"/>
        <w:spacing w:after="0" w:line="264" w:lineRule="auto"/>
        <w:rPr>
          <w:sz w:val="20"/>
          <w:szCs w:val="20"/>
          <w:color w:val="auto"/>
        </w:rPr>
      </w:pPr>
      <w:r>
        <w:rPr>
          <w:rFonts w:ascii="Arial" w:cs="Arial" w:eastAsia="Arial" w:hAnsi="Arial"/>
          <w:sz w:val="14"/>
          <w:szCs w:val="14"/>
          <w:color w:val="auto"/>
        </w:rPr>
        <w:t>The Audit &amp; Risk Management Committee is required to review and approve any transaction between PVH and any director or executive officer that will, or is reasonably likely to, require disclosure under SEC rules. In determining whether to approve any such transaction, the Committee will consider the following factors, among others, to the extent relevant to the transaction:</w:t>
      </w:r>
    </w:p>
    <w:p>
      <w:pPr>
        <w:sectPr>
          <w:pgSz w:w="11900" w:h="16838" w:orient="portrait"/>
          <w:cols w:equalWidth="0" w:num="1">
            <w:col w:w="10929"/>
          </w:cols>
          <w:pgMar w:left="471" w:top="256" w:right="499" w:bottom="1440" w:gutter="0" w:footer="0" w:header="0"/>
          <w:type w:val="continuous"/>
        </w:sectPr>
      </w:pPr>
    </w:p>
    <w:p>
      <w:pPr>
        <w:spacing w:after="0" w:line="164" w:lineRule="exact"/>
        <w:rPr>
          <w:sz w:val="20"/>
          <w:szCs w:val="20"/>
          <w:color w:val="auto"/>
        </w:rPr>
      </w:pPr>
    </w:p>
    <w:p>
      <w:pPr>
        <w:ind w:left="149" w:right="280" w:hanging="149"/>
        <w:spacing w:after="0" w:line="280" w:lineRule="auto"/>
        <w:tabs>
          <w:tab w:leader="none" w:pos="151" w:val="left"/>
        </w:tabs>
        <w:numPr>
          <w:ilvl w:val="0"/>
          <w:numId w:val="60"/>
        </w:numPr>
        <w:rPr>
          <w:rFonts w:ascii="Arial" w:cs="Arial" w:eastAsia="Arial" w:hAnsi="Arial"/>
          <w:sz w:val="14"/>
          <w:szCs w:val="14"/>
          <w:color w:val="auto"/>
        </w:rPr>
      </w:pPr>
      <w:r>
        <w:rPr>
          <w:rFonts w:ascii="Arial" w:cs="Arial" w:eastAsia="Arial" w:hAnsi="Arial"/>
          <w:sz w:val="14"/>
          <w:szCs w:val="14"/>
          <w:color w:val="auto"/>
        </w:rPr>
        <w:t>whether the terms of the transaction are fair to PVH and on the same basis as would apply if the transaction did not involve a related person;</w:t>
      </w:r>
    </w:p>
    <w:p>
      <w:pPr>
        <w:spacing w:after="0" w:line="1" w:lineRule="exact"/>
        <w:rPr>
          <w:rFonts w:ascii="Arial" w:cs="Arial" w:eastAsia="Arial" w:hAnsi="Arial"/>
          <w:sz w:val="14"/>
          <w:szCs w:val="14"/>
          <w:color w:val="auto"/>
        </w:rPr>
      </w:pPr>
    </w:p>
    <w:p>
      <w:pPr>
        <w:ind w:left="149" w:hanging="149"/>
        <w:spacing w:after="0"/>
        <w:tabs>
          <w:tab w:leader="none" w:pos="149" w:val="left"/>
        </w:tabs>
        <w:numPr>
          <w:ilvl w:val="0"/>
          <w:numId w:val="60"/>
        </w:numPr>
        <w:rPr>
          <w:rFonts w:ascii="Arial" w:cs="Arial" w:eastAsia="Arial" w:hAnsi="Arial"/>
          <w:sz w:val="14"/>
          <w:szCs w:val="14"/>
          <w:color w:val="auto"/>
        </w:rPr>
      </w:pPr>
      <w:r>
        <w:rPr>
          <w:rFonts w:ascii="Arial" w:cs="Arial" w:eastAsia="Arial" w:hAnsi="Arial"/>
          <w:sz w:val="14"/>
          <w:szCs w:val="14"/>
          <w:color w:val="auto"/>
        </w:rPr>
        <w:t>whether there are business reasons for PVH to enter into the transaction;</w:t>
      </w:r>
    </w:p>
    <w:p>
      <w:pPr>
        <w:spacing w:after="0" w:line="51" w:lineRule="exact"/>
        <w:rPr>
          <w:rFonts w:ascii="Arial" w:cs="Arial" w:eastAsia="Arial" w:hAnsi="Arial"/>
          <w:sz w:val="14"/>
          <w:szCs w:val="14"/>
          <w:color w:val="auto"/>
        </w:rPr>
      </w:pPr>
    </w:p>
    <w:p>
      <w:pPr>
        <w:ind w:left="149" w:hanging="149"/>
        <w:spacing w:after="0"/>
        <w:tabs>
          <w:tab w:leader="none" w:pos="149" w:val="left"/>
        </w:tabs>
        <w:numPr>
          <w:ilvl w:val="0"/>
          <w:numId w:val="60"/>
        </w:numPr>
        <w:rPr>
          <w:rFonts w:ascii="Arial" w:cs="Arial" w:eastAsia="Arial" w:hAnsi="Arial"/>
          <w:sz w:val="14"/>
          <w:szCs w:val="14"/>
          <w:color w:val="auto"/>
        </w:rPr>
      </w:pPr>
      <w:r>
        <w:rPr>
          <w:rFonts w:ascii="Arial" w:cs="Arial" w:eastAsia="Arial" w:hAnsi="Arial"/>
          <w:sz w:val="14"/>
          <w:szCs w:val="14"/>
          <w:color w:val="auto"/>
        </w:rPr>
        <w:t>whether the transaction would impair the independence of an outside director; and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132" w:hanging="132"/>
        <w:spacing w:after="0" w:line="255" w:lineRule="auto"/>
        <w:tabs>
          <w:tab w:leader="none" w:pos="134" w:val="left"/>
        </w:tabs>
        <w:numPr>
          <w:ilvl w:val="0"/>
          <w:numId w:val="61"/>
        </w:numPr>
        <w:rPr>
          <w:rFonts w:ascii="Arial" w:cs="Arial" w:eastAsia="Arial" w:hAnsi="Arial"/>
          <w:sz w:val="14"/>
          <w:szCs w:val="14"/>
          <w:color w:val="auto"/>
        </w:rPr>
      </w:pPr>
      <w:r>
        <w:rPr>
          <w:rFonts w:ascii="Arial" w:cs="Arial" w:eastAsia="Arial" w:hAnsi="Arial"/>
          <w:sz w:val="14"/>
          <w:szCs w:val="14"/>
          <w:color w:val="auto"/>
        </w:rPr>
        <w:t>whether the transaction would present an improper conflict of interest for a director or executive officer, taking into consideration such factors as the Committee deems relevant, such as the size of the transaction, the overall financial position of the individual, the direct or indirect nature of the individual’s interest in the transaction, and the ongoing nature of any proposed relationship.</w:t>
      </w:r>
    </w:p>
    <w:p>
      <w:pPr>
        <w:spacing w:after="0" w:line="200" w:lineRule="exact"/>
        <w:rPr>
          <w:sz w:val="20"/>
          <w:szCs w:val="20"/>
          <w:color w:val="auto"/>
        </w:rPr>
      </w:pPr>
    </w:p>
    <w:p>
      <w:pPr>
        <w:sectPr>
          <w:pgSz w:w="11900" w:h="16838" w:orient="portrait"/>
          <w:cols w:equalWidth="0" w:num="2">
            <w:col w:w="5289" w:space="188"/>
            <w:col w:w="5452"/>
          </w:cols>
          <w:pgMar w:left="471" w:top="256" w:right="499" w:bottom="1440" w:gutter="0" w:footer="0" w:header="0"/>
          <w:type w:val="continuous"/>
        </w:sectPr>
      </w:pPr>
    </w:p>
    <w:p>
      <w:pPr>
        <w:spacing w:after="0" w:line="16" w:lineRule="exact"/>
        <w:rPr>
          <w:sz w:val="20"/>
          <w:szCs w:val="20"/>
          <w:color w:val="auto"/>
        </w:rPr>
      </w:pPr>
    </w:p>
    <w:p>
      <w:pPr>
        <w:ind w:left="9" w:right="440"/>
        <w:spacing w:after="0" w:line="264" w:lineRule="auto"/>
        <w:rPr>
          <w:sz w:val="20"/>
          <w:szCs w:val="20"/>
          <w:color w:val="auto"/>
        </w:rPr>
      </w:pPr>
      <w:r>
        <w:rPr>
          <w:rFonts w:ascii="Arial" w:cs="Arial" w:eastAsia="Arial" w:hAnsi="Arial"/>
          <w:sz w:val="14"/>
          <w:szCs w:val="14"/>
          <w:color w:val="auto"/>
        </w:rPr>
        <w:t>Additionally, under our Code of Business Conduct and Ethics and our Conflict of Interest Policy, our directors and associates, including executive officers, have a duty to report all potential conflicts of interest, including transactions with related persons. We have established procedures for reviewing and approving disclosures under the Conflict of Interest Policy, and all disclosures are discussed annually with the Audit &amp; Risk Management Committee.</w:t>
      </w:r>
    </w:p>
    <w:p>
      <w:pPr>
        <w:spacing w:after="0" w:line="210" w:lineRule="exact"/>
        <w:rPr>
          <w:sz w:val="20"/>
          <w:szCs w:val="20"/>
          <w:color w:val="auto"/>
        </w:rPr>
      </w:pPr>
    </w:p>
    <w:p>
      <w:pPr>
        <w:ind w:left="9"/>
        <w:spacing w:after="0"/>
        <w:rPr>
          <w:sz w:val="20"/>
          <w:szCs w:val="20"/>
          <w:color w:val="auto"/>
        </w:rPr>
      </w:pPr>
      <w:r>
        <w:rPr>
          <w:rFonts w:ascii="Arial" w:cs="Arial" w:eastAsia="Arial" w:hAnsi="Arial"/>
          <w:sz w:val="28"/>
          <w:szCs w:val="28"/>
          <w:b w:val="1"/>
          <w:bCs w:val="1"/>
          <w:color w:val="6D98AD"/>
        </w:rPr>
        <w:t>Insider Trading Policy</w:t>
      </w:r>
    </w:p>
    <w:p>
      <w:pPr>
        <w:spacing w:after="0" w:line="114" w:lineRule="exact"/>
        <w:rPr>
          <w:sz w:val="20"/>
          <w:szCs w:val="20"/>
          <w:color w:val="auto"/>
        </w:rPr>
      </w:pPr>
    </w:p>
    <w:p>
      <w:pPr>
        <w:ind w:left="9" w:right="20"/>
        <w:spacing w:after="0" w:line="282" w:lineRule="auto"/>
        <w:rPr>
          <w:sz w:val="20"/>
          <w:szCs w:val="20"/>
          <w:color w:val="auto"/>
        </w:rPr>
      </w:pPr>
      <w:r>
        <w:rPr>
          <w:rFonts w:ascii="Arial" w:cs="Arial" w:eastAsia="Arial" w:hAnsi="Arial"/>
          <w:sz w:val="14"/>
          <w:szCs w:val="14"/>
          <w:color w:val="auto"/>
        </w:rPr>
        <w:t>We have an Insider Trading Policy governing the purchase, sale, and other dispositions of our securities that is designed to promote compliance with insider trading laws, rules and regulations, and listing standards applicable to us. The Insider Trading Policy applies to our directors, officers and employees, as well as to PVH.</w:t>
      </w:r>
    </w:p>
    <w:p>
      <w:pPr>
        <w:spacing w:after="0" w:line="210" w:lineRule="exact"/>
        <w:rPr>
          <w:sz w:val="20"/>
          <w:szCs w:val="20"/>
          <w:color w:val="auto"/>
        </w:rPr>
      </w:pPr>
    </w:p>
    <w:p>
      <w:pPr>
        <w:ind w:left="9"/>
        <w:spacing w:after="0"/>
        <w:rPr>
          <w:sz w:val="20"/>
          <w:szCs w:val="20"/>
          <w:color w:val="auto"/>
        </w:rPr>
      </w:pPr>
      <w:r>
        <w:rPr>
          <w:rFonts w:ascii="Arial" w:cs="Arial" w:eastAsia="Arial" w:hAnsi="Arial"/>
          <w:sz w:val="28"/>
          <w:szCs w:val="28"/>
          <w:b w:val="1"/>
          <w:bCs w:val="1"/>
          <w:color w:val="6D98AD"/>
        </w:rPr>
        <w:t>Governing Documents</w:t>
      </w:r>
    </w:p>
    <w:p>
      <w:pPr>
        <w:spacing w:after="0" w:line="114" w:lineRule="exact"/>
        <w:rPr>
          <w:sz w:val="20"/>
          <w:szCs w:val="20"/>
          <w:color w:val="auto"/>
        </w:rPr>
      </w:pPr>
    </w:p>
    <w:p>
      <w:pPr>
        <w:ind w:left="9" w:right="40"/>
        <w:spacing w:after="0" w:line="255" w:lineRule="auto"/>
        <w:rPr>
          <w:sz w:val="20"/>
          <w:szCs w:val="20"/>
          <w:color w:val="auto"/>
        </w:rPr>
      </w:pPr>
      <w:r>
        <w:rPr>
          <w:rFonts w:ascii="Arial" w:cs="Arial" w:eastAsia="Arial" w:hAnsi="Arial"/>
          <w:sz w:val="14"/>
          <w:szCs w:val="14"/>
          <w:b w:val="1"/>
          <w:bCs w:val="1"/>
          <w:color w:val="6D98AD"/>
        </w:rPr>
        <w:t xml:space="preserve">Corporate Governance Guidelines. </w:t>
      </w:r>
      <w:r>
        <w:rPr>
          <w:rFonts w:ascii="Arial" w:cs="Arial" w:eastAsia="Arial" w:hAnsi="Arial"/>
          <w:sz w:val="14"/>
          <w:szCs w:val="14"/>
          <w:color w:val="000000"/>
        </w:rPr>
        <w:t>Our Corporate Governance Guidelines address matters such as director qualifications and responsibilities, Board committees and their</w:t>
      </w:r>
      <w:r>
        <w:rPr>
          <w:rFonts w:ascii="Arial" w:cs="Arial" w:eastAsia="Arial" w:hAnsi="Arial"/>
          <w:sz w:val="14"/>
          <w:szCs w:val="14"/>
          <w:b w:val="1"/>
          <w:bCs w:val="1"/>
          <w:color w:val="6D98AD"/>
        </w:rPr>
        <w:t xml:space="preserve"> </w:t>
      </w:r>
      <w:r>
        <w:rPr>
          <w:rFonts w:ascii="Arial" w:cs="Arial" w:eastAsia="Arial" w:hAnsi="Arial"/>
          <w:sz w:val="14"/>
          <w:szCs w:val="14"/>
          <w:color w:val="000000"/>
        </w:rPr>
        <w:t>charters, the responsibilities of the independent Chair or presiding director (as applicable), director independence, director access to management, director compensation, director orientation and education, evaluation of management, management development and succession planning, and annual performance evaluations for the Board. The Nominating, Governance &amp; Management Development Committee reviews the Corporate Governance Guidelines annually and determines whether to recommend changes to the Board.</w:t>
      </w:r>
    </w:p>
    <w:p>
      <w:pPr>
        <w:spacing w:after="0" w:line="75" w:lineRule="exact"/>
        <w:rPr>
          <w:sz w:val="20"/>
          <w:szCs w:val="20"/>
          <w:color w:val="auto"/>
        </w:rPr>
      </w:pPr>
    </w:p>
    <w:p>
      <w:pPr>
        <w:ind w:left="9" w:right="300"/>
        <w:spacing w:after="0" w:line="264" w:lineRule="auto"/>
        <w:rPr>
          <w:sz w:val="20"/>
          <w:szCs w:val="20"/>
          <w:color w:val="auto"/>
        </w:rPr>
      </w:pPr>
      <w:r>
        <w:rPr>
          <w:rFonts w:ascii="Arial" w:cs="Arial" w:eastAsia="Arial" w:hAnsi="Arial"/>
          <w:sz w:val="14"/>
          <w:szCs w:val="14"/>
          <w:b w:val="1"/>
          <w:bCs w:val="1"/>
          <w:color w:val="6D98AD"/>
        </w:rPr>
        <w:t xml:space="preserve">Code of Ethics for Chief Executive Officer and Senior Financial Officers. </w:t>
      </w:r>
      <w:r>
        <w:rPr>
          <w:rFonts w:ascii="Arial" w:cs="Arial" w:eastAsia="Arial" w:hAnsi="Arial"/>
          <w:sz w:val="14"/>
          <w:szCs w:val="14"/>
          <w:color w:val="000000"/>
        </w:rPr>
        <w:t>Our Code of Ethics is designed to ensure full, fair, accurate, timely and understandable</w:t>
      </w:r>
      <w:r>
        <w:rPr>
          <w:rFonts w:ascii="Arial" w:cs="Arial" w:eastAsia="Arial" w:hAnsi="Arial"/>
          <w:sz w:val="14"/>
          <w:szCs w:val="14"/>
          <w:b w:val="1"/>
          <w:bCs w:val="1"/>
          <w:color w:val="6D98AD"/>
        </w:rPr>
        <w:t xml:space="preserve"> </w:t>
      </w:r>
      <w:r>
        <w:rPr>
          <w:rFonts w:ascii="Arial" w:cs="Arial" w:eastAsia="Arial" w:hAnsi="Arial"/>
          <w:sz w:val="14"/>
          <w:szCs w:val="14"/>
          <w:color w:val="000000"/>
        </w:rPr>
        <w:t>disclosure in the periodic reports we file with the SEC. We intend to disclose on our website any amendments to, or waivers of, the Code of Ethics that would otherwise be reportable on a Current Report on Form 8-K. Any such disclosure will be posted within four business days of the amendment or waiver.</w:t>
      </w:r>
    </w:p>
    <w:p>
      <w:pPr>
        <w:spacing w:after="0" w:line="81" w:lineRule="exact"/>
        <w:rPr>
          <w:sz w:val="20"/>
          <w:szCs w:val="20"/>
          <w:color w:val="auto"/>
        </w:rPr>
      </w:pPr>
    </w:p>
    <w:p>
      <w:pPr>
        <w:ind w:left="9" w:right="80"/>
        <w:spacing w:after="0" w:line="282" w:lineRule="auto"/>
        <w:rPr>
          <w:sz w:val="20"/>
          <w:szCs w:val="20"/>
          <w:color w:val="auto"/>
        </w:rPr>
      </w:pPr>
      <w:r>
        <w:rPr>
          <w:rFonts w:ascii="Arial" w:cs="Arial" w:eastAsia="Arial" w:hAnsi="Arial"/>
          <w:sz w:val="14"/>
          <w:szCs w:val="14"/>
          <w:b w:val="1"/>
          <w:bCs w:val="1"/>
          <w:color w:val="6D98AD"/>
        </w:rPr>
        <w:t xml:space="preserve">Code of Business Conduct and Ethics. </w:t>
      </w:r>
      <w:r>
        <w:rPr>
          <w:rFonts w:ascii="Arial" w:cs="Arial" w:eastAsia="Arial" w:hAnsi="Arial"/>
          <w:sz w:val="14"/>
          <w:szCs w:val="14"/>
          <w:color w:val="000000"/>
        </w:rPr>
        <w:t>The Code of Conduct and Ethics, which applies to all PVH directors, officers and associates, addresses matters such as conflicts of</w:t>
      </w:r>
      <w:r>
        <w:rPr>
          <w:rFonts w:ascii="Arial" w:cs="Arial" w:eastAsia="Arial" w:hAnsi="Arial"/>
          <w:sz w:val="14"/>
          <w:szCs w:val="14"/>
          <w:b w:val="1"/>
          <w:bCs w:val="1"/>
          <w:color w:val="6D98AD"/>
        </w:rPr>
        <w:t xml:space="preserve"> </w:t>
      </w:r>
      <w:r>
        <w:rPr>
          <w:rFonts w:ascii="Arial" w:cs="Arial" w:eastAsia="Arial" w:hAnsi="Arial"/>
          <w:sz w:val="14"/>
          <w:szCs w:val="14"/>
          <w:color w:val="000000"/>
        </w:rPr>
        <w:t>interest, insider trading, confidentiality of PVH’s proprietary information, and discrimination and harassment.</w:t>
      </w:r>
    </w:p>
    <w:p>
      <w:pPr>
        <w:spacing w:after="0" w:line="57"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6D98AD"/>
        </w:rPr>
        <w:t xml:space="preserve">All of these documents, </w:t>
      </w:r>
      <w:r>
        <w:rPr>
          <w:rFonts w:ascii="Arial" w:cs="Arial" w:eastAsia="Arial" w:hAnsi="Arial"/>
          <w:sz w:val="14"/>
          <w:szCs w:val="14"/>
          <w:color w:val="000000"/>
        </w:rPr>
        <w:t>as well as the charters for our four standing committees, are posted on our website at PVH.com/investor-relations/governance.</w:t>
      </w:r>
    </w:p>
    <w:p>
      <w:pPr>
        <w:spacing w:after="0" w:line="189"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 xml:space="preserve">32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749CA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29"/>
          </w:cols>
          <w:pgMar w:left="471" w:top="256" w:right="49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28"/>
          <w:szCs w:val="28"/>
          <w:b w:val="1"/>
          <w:bCs w:val="1"/>
          <w:color w:val="6D98AD"/>
        </w:rPr>
        <w:t>How to Contact the Board</w:t>
      </w:r>
    </w:p>
    <w:p>
      <w:pPr>
        <w:spacing w:after="0" w:line="114" w:lineRule="exact"/>
        <w:rPr>
          <w:sz w:val="20"/>
          <w:szCs w:val="20"/>
          <w:color w:val="auto"/>
        </w:rPr>
      </w:pPr>
    </w:p>
    <w:p>
      <w:pPr>
        <w:ind w:right="180"/>
        <w:spacing w:after="0" w:line="264" w:lineRule="auto"/>
        <w:rPr>
          <w:sz w:val="20"/>
          <w:szCs w:val="20"/>
          <w:color w:val="auto"/>
        </w:rPr>
      </w:pPr>
      <w:r>
        <w:rPr>
          <w:rFonts w:ascii="Arial" w:cs="Arial" w:eastAsia="Arial" w:hAnsi="Arial"/>
          <w:sz w:val="14"/>
          <w:szCs w:val="14"/>
          <w:color w:val="auto"/>
        </w:rPr>
        <w:t>Stockholders and other interested parties may send communications to the Board of Directors (or to one or more individual directors, such as the non-management directors or the Chair). Any such communication should be addressed to the Board (or individual director) in care of the Secretary of PVH Corp., 285 Madison Avenue, New York, New York 10017.</w:t>
      </w:r>
    </w:p>
    <w:p>
      <w:pPr>
        <w:spacing w:after="0" w:line="116" w:lineRule="exact"/>
        <w:rPr>
          <w:sz w:val="20"/>
          <w:szCs w:val="20"/>
          <w:color w:val="auto"/>
        </w:rPr>
      </w:pPr>
    </w:p>
    <w:p>
      <w:pPr>
        <w:ind w:right="3100"/>
        <w:spacing w:after="0" w:line="294" w:lineRule="auto"/>
        <w:rPr>
          <w:sz w:val="20"/>
          <w:szCs w:val="20"/>
          <w:color w:val="auto"/>
        </w:rPr>
      </w:pPr>
      <w:r>
        <w:rPr>
          <w:rFonts w:ascii="Arial" w:cs="Arial" w:eastAsia="Arial" w:hAnsi="Arial"/>
          <w:sz w:val="28"/>
          <w:szCs w:val="28"/>
          <w:b w:val="1"/>
          <w:bCs w:val="1"/>
          <w:color w:val="6D98AD"/>
        </w:rPr>
        <w:t>Values, Governance, Human Capital Resources, Corporate Responsibility, and Political and Lobbying Activities</w:t>
      </w:r>
    </w:p>
    <w:p>
      <w:pPr>
        <w:spacing w:after="0" w:line="13" w:lineRule="exact"/>
        <w:rPr>
          <w:sz w:val="20"/>
          <w:szCs w:val="20"/>
          <w:color w:val="auto"/>
        </w:rPr>
      </w:pPr>
    </w:p>
    <w:p>
      <w:pPr>
        <w:ind w:right="20"/>
        <w:spacing w:after="0" w:line="249" w:lineRule="auto"/>
        <w:rPr>
          <w:sz w:val="20"/>
          <w:szCs w:val="20"/>
          <w:color w:val="auto"/>
        </w:rPr>
      </w:pPr>
      <w:r>
        <w:rPr>
          <w:rFonts w:ascii="Arial" w:cs="Arial" w:eastAsia="Arial" w:hAnsi="Arial"/>
          <w:sz w:val="19"/>
          <w:szCs w:val="19"/>
          <w:color w:val="auto"/>
        </w:rPr>
        <w:t>Throughout our 140-year plus history, we have been passionate about doing the right thing. Our values — individuality, partnership, passion, integrity and accountability — define who we are as a company, and we encourage our associates to embody them every day.</w:t>
      </w:r>
    </w:p>
    <w:p>
      <w:pPr>
        <w:sectPr>
          <w:pgSz w:w="11900" w:h="16838" w:orient="portrait"/>
          <w:cols w:equalWidth="0" w:num="1">
            <w:col w:w="10940"/>
          </w:cols>
          <w:pgMar w:left="480" w:top="362" w:right="479" w:bottom="1440" w:gutter="0" w:footer="0" w:header="0"/>
        </w:sectPr>
      </w:pP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Upholding Our Values</w:t>
      </w:r>
    </w:p>
    <w:p>
      <w:pPr>
        <w:spacing w:after="0" w:line="62"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auto"/>
        </w:rPr>
        <w:t xml:space="preserve">Our commitment to our stockholders goes beyond taking responsible actions to increase stockholder value and includes our commitments to ethical business conduct, creating an inclusive work environment, and ensuring the resilience of our supply chain. In 2025, we were proud to be named as one of the </w:t>
      </w:r>
      <w:r>
        <w:rPr>
          <w:rFonts w:ascii="Arial" w:cs="Arial" w:eastAsia="Arial" w:hAnsi="Arial"/>
          <w:sz w:val="14"/>
          <w:szCs w:val="14"/>
          <w:i w:val="1"/>
          <w:iCs w:val="1"/>
          <w:color w:val="auto"/>
        </w:rPr>
        <w:t>Forbes</w:t>
      </w:r>
      <w:r>
        <w:rPr>
          <w:rFonts w:ascii="Arial" w:cs="Arial" w:eastAsia="Arial" w:hAnsi="Arial"/>
          <w:sz w:val="14"/>
          <w:szCs w:val="14"/>
          <w:color w:val="auto"/>
        </w:rPr>
        <w:t xml:space="preserve">’ America’s Best Employers for Women and as one of </w:t>
      </w:r>
      <w:r>
        <w:rPr>
          <w:rFonts w:ascii="Arial" w:cs="Arial" w:eastAsia="Arial" w:hAnsi="Arial"/>
          <w:sz w:val="14"/>
          <w:szCs w:val="14"/>
          <w:i w:val="1"/>
          <w:iCs w:val="1"/>
          <w:color w:val="auto"/>
        </w:rPr>
        <w:t>TIME</w:t>
      </w:r>
      <w:r>
        <w:rPr>
          <w:rFonts w:ascii="Arial" w:cs="Arial" w:eastAsia="Arial" w:hAnsi="Arial"/>
          <w:sz w:val="14"/>
          <w:szCs w:val="14"/>
          <w:color w:val="auto"/>
        </w:rPr>
        <w:t>’s World’s Most Sustainable Companies.</w:t>
      </w:r>
    </w:p>
    <w:p>
      <w:pPr>
        <w:spacing w:after="0" w:line="77" w:lineRule="exact"/>
        <w:rPr>
          <w:sz w:val="20"/>
          <w:szCs w:val="20"/>
          <w:color w:val="auto"/>
        </w:rPr>
      </w:pPr>
    </w:p>
    <w:p>
      <w:pPr>
        <w:ind w:right="120"/>
        <w:spacing w:after="0" w:line="249" w:lineRule="auto"/>
        <w:rPr>
          <w:sz w:val="20"/>
          <w:szCs w:val="20"/>
          <w:color w:val="auto"/>
        </w:rPr>
      </w:pPr>
      <w:r>
        <w:rPr>
          <w:rFonts w:ascii="Arial" w:cs="Arial" w:eastAsia="Arial" w:hAnsi="Arial"/>
          <w:sz w:val="14"/>
          <w:szCs w:val="14"/>
          <w:color w:val="auto"/>
        </w:rPr>
        <w:t>Integrity and accountability are at the heart of all of PVH’s business activities. We maintain a global hotline and online reporting service, operated by an independent third party, that offers confidential online and telephone reporting options for our associates, workers at our suppliers’ factories, third party business partners, talent used in our marketing shoots, and employees of our joint ventures. The global hotline, which supplements internal reporting options, is available in 21 languages and allows for reporting on an anonymous basis (except when prohibited by law). We maintain a strict non-retaliation policy against any person who reports a possible violation in good faith, or against any person who cooperates in an investigation.</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Governance</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are committed to excellence in corporate governance. To that end, we regularly review our practices and consider adopting new, and changing existing, governance practices as best practices evolve.</w:t>
      </w:r>
    </w:p>
    <w:p>
      <w:pPr>
        <w:spacing w:after="0" w:line="69"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We moved from a classified Board to annual elections well before it was a common practice, and our Audit &amp; Risk Management Committee has had a decades-long commitment to independence and meticulous oversight.</w:t>
      </w:r>
    </w:p>
    <w:p>
      <w:pPr>
        <w:spacing w:after="0" w:line="69"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In 2021, we completed a CEO transition that was part of a rigorous, multi-year succession planning process in which we considered both internal and external candidates. This transition also led us to reconsider separating the Board Chair and CEO roles and prompted the Board to appoint an independent, non-executive Chair at the end of 2021. A new independent, non-executive Chair was appointed upon the retirement of the prior Chair in 2022.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Other relatively recent governance improvements included reducing the threshold required for stockholders to call a special meeting, updating our ownership guidelines to cover additional senior executives in addition to our active executive officers, and increasing the ownership requirement in some cases; eliminating (with overwhelming stockholder support) the supermajority voting provisions in our Certificate of Incorporation and other antitakeover defenses; and amending our Stock Incentive Plan (again, with strong stockholder support) to add certain restrictions, such as a cap on annual director awards, not paying dividend equivalents on unvested time-vesting awards unless they vest, not accruing dividend equivalents on performance-based awards, and making awards subject to recoupment (“clawbacks”).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Human Capital Resources</w:t>
      </w:r>
    </w:p>
    <w:p>
      <w:pPr>
        <w:spacing w:after="0" w:line="62"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auto"/>
        </w:rPr>
        <w:t>To help us attract, develop and retain a well-rounded workforce that is critical to our long-term success, we strive to create a strong associate experience and an inclusive workplace. Our associates have opportunities to grow and develop in their careers, supported by competitive compensation, benefits and rewards programs, health and wellness programs and by programs that help them build connections with their communities.</w:t>
      </w:r>
    </w:p>
    <w:p>
      <w:pPr>
        <w:spacing w:after="0" w:line="89"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color w:val="auto"/>
        </w:rPr>
        <w:t xml:space="preserve">As a global company serving consumers worldwide with operations in over 40 countries, inclusion and diversity is integral to building </w:t>
      </w:r>
      <w:r>
        <w:rPr>
          <w:rFonts w:ascii="Arial" w:cs="Arial" w:eastAsia="Arial" w:hAnsi="Arial"/>
          <w:sz w:val="14"/>
          <w:szCs w:val="14"/>
          <w:i w:val="1"/>
          <w:iCs w:val="1"/>
          <w:color w:val="auto"/>
        </w:rPr>
        <w:t>Calvin Klein</w:t>
      </w:r>
      <w:r>
        <w:rPr>
          <w:rFonts w:ascii="Arial" w:cs="Arial" w:eastAsia="Arial" w:hAnsi="Arial"/>
          <w:sz w:val="14"/>
          <w:szCs w:val="14"/>
          <w:color w:val="auto"/>
        </w:rPr>
        <w:t xml:space="preserve"> and </w:t>
      </w:r>
      <w:r>
        <w:rPr>
          <w:rFonts w:ascii="Arial" w:cs="Arial" w:eastAsia="Arial" w:hAnsi="Arial"/>
          <w:sz w:val="14"/>
          <w:szCs w:val="14"/>
          <w:i w:val="1"/>
          <w:iCs w:val="1"/>
          <w:color w:val="auto"/>
        </w:rPr>
        <w:t>TOMMY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HILFIGER </w:t>
      </w:r>
      <w:r>
        <w:rPr>
          <w:rFonts w:ascii="Arial" w:cs="Arial" w:eastAsia="Arial" w:hAnsi="Arial"/>
          <w:sz w:val="14"/>
          <w:szCs w:val="14"/>
          <w:color w:val="auto"/>
        </w:rPr>
        <w:t>into their full potential and making PVH one of the highest performing</w:t>
      </w:r>
      <w:r>
        <w:rPr>
          <w:rFonts w:ascii="Arial" w:cs="Arial" w:eastAsia="Arial" w:hAnsi="Arial"/>
          <w:sz w:val="14"/>
          <w:szCs w:val="14"/>
          <w:i w:val="1"/>
          <w:iCs w:val="1"/>
          <w:color w:val="auto"/>
        </w:rPr>
        <w:t xml:space="preserve"> </w:t>
      </w:r>
      <w:r>
        <w:rPr>
          <w:rFonts w:ascii="Arial" w:cs="Arial" w:eastAsia="Arial" w:hAnsi="Arial"/>
          <w:sz w:val="14"/>
          <w:szCs w:val="14"/>
          <w:color w:val="auto"/>
        </w:rPr>
        <w:t>global brand groups in our sector. Our people and their unique lived experiences and perspectives are essential to our strategy to accelerate growth and build business value.</w:t>
      </w:r>
    </w:p>
    <w:p>
      <w:pPr>
        <w:spacing w:after="0" w:line="65"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Our Global Talent Program covers associate performance and development, as well as succession planning to evaluate and discuss performance and potential with senior leadership. We review succession plans and conduct assessments to identify talent needs and development opportunities across the organization on a bi-annual basis. We have designated a global talent strategy that links our talent management initiatives directly to our development efforts and we continually measure the impact of these efforts to ensure both the business leaders and talent community are effectively aligned. Our approach to</w:t>
      </w:r>
    </w:p>
    <w:p>
      <w:pPr>
        <w:spacing w:after="0" w:line="200" w:lineRule="exact"/>
        <w:rPr>
          <w:sz w:val="20"/>
          <w:szCs w:val="20"/>
          <w:color w:val="auto"/>
        </w:rPr>
      </w:pPr>
    </w:p>
    <w:p>
      <w:pPr>
        <w:sectPr>
          <w:pgSz w:w="11900" w:h="16838" w:orient="portrait"/>
          <w:cols w:equalWidth="0" w:num="2">
            <w:col w:w="5240" w:space="440"/>
            <w:col w:w="5260"/>
          </w:cols>
          <w:pgMar w:left="480" w:top="362" w:right="479" w:bottom="1440" w:gutter="0" w:footer="0" w:header="0"/>
          <w:type w:val="continuous"/>
        </w:sectPr>
      </w:pPr>
    </w:p>
    <w:p>
      <w:pPr>
        <w:spacing w:after="0" w:line="64" w:lineRule="exact"/>
        <w:rPr>
          <w:sz w:val="20"/>
          <w:szCs w:val="20"/>
          <w:color w:val="auto"/>
        </w:rPr>
      </w:pPr>
    </w:p>
    <w:p>
      <w:pPr>
        <w:ind w:left="7160"/>
        <w:spacing w:after="0"/>
        <w:rPr>
          <w:sz w:val="20"/>
          <w:szCs w:val="20"/>
          <w:color w:val="auto"/>
        </w:rPr>
      </w:pPr>
      <w:r>
        <w:rPr>
          <w:rFonts w:ascii="Arial" w:cs="Arial" w:eastAsia="Arial" w:hAnsi="Arial"/>
          <w:sz w:val="10"/>
          <w:szCs w:val="10"/>
          <w:b w:val="1"/>
          <w:bCs w:val="1"/>
          <w:color w:val="749CAB"/>
        </w:rPr>
        <w:t xml:space="preserve">CORPORATE GOVERNANCE </w:t>
      </w:r>
      <w:r>
        <w:rPr>
          <w:rFonts w:ascii="Arial" w:cs="Arial" w:eastAsia="Arial" w:hAnsi="Arial"/>
          <w:sz w:val="10"/>
          <w:szCs w:val="10"/>
          <w:color w:val="000000"/>
        </w:rPr>
        <w:t>/ PVH CORP. 2026 PROXY STATEMENT /</w:t>
      </w:r>
      <w:r>
        <w:rPr>
          <w:rFonts w:ascii="Arial" w:cs="Arial" w:eastAsia="Arial" w:hAnsi="Arial"/>
          <w:sz w:val="10"/>
          <w:szCs w:val="10"/>
          <w:b w:val="1"/>
          <w:bCs w:val="1"/>
          <w:color w:val="749CAB"/>
        </w:rPr>
        <w:t xml:space="preserve"> </w:t>
      </w:r>
      <w:r>
        <w:rPr>
          <w:rFonts w:ascii="Arial" w:cs="Arial" w:eastAsia="Arial" w:hAnsi="Arial"/>
          <w:sz w:val="10"/>
          <w:szCs w:val="10"/>
          <w:b w:val="1"/>
          <w:bCs w:val="1"/>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695515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362" w:right="479" w:bottom="1440" w:gutter="0" w:footer="0" w:header="0"/>
          <w:type w:val="continuous"/>
        </w:sectPr>
      </w:pPr>
    </w:p>
    <w:bookmarkStart w:id="36" w:name="page37"/>
    <w:bookmarkEnd w:id="36"/>
    <w:p>
      <w:pPr>
        <w:jc w:val="both"/>
        <w:ind w:right="140"/>
        <w:spacing w:after="0" w:line="258" w:lineRule="auto"/>
        <w:rPr>
          <w:sz w:val="20"/>
          <w:szCs w:val="20"/>
          <w:color w:val="auto"/>
        </w:rPr>
      </w:pPr>
      <w:r>
        <w:rPr>
          <w:rFonts w:ascii="Arial" w:cs="Arial" w:eastAsia="Arial" w:hAnsi="Arial"/>
          <w:sz w:val="14"/>
          <w:szCs w:val="14"/>
          <w:color w:val="auto"/>
        </w:rPr>
        <w:t>performance and development is designed to encourage clear priority setting and shared goals aligned to our PVH+ Plan, motivate associates to grow and expand their skill sets, leverage individual strengths, and foster a culture of coaching and continuous feedback.</w:t>
      </w:r>
    </w:p>
    <w:p>
      <w:pPr>
        <w:spacing w:after="0" w:line="73"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We also support internal mobility and promotion by holding leaders accountable for talent development and succession outcomes. To reinforce transparency and inclusivity, we host quarterly “Leadership Live” town halls and bi-weekly Global Leadership Forums to share business progress and performance updates.</w:t>
      </w:r>
    </w:p>
    <w:p>
      <w:pPr>
        <w:spacing w:after="0" w:line="85"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Developing our associates and strengthening leadership capabilities remains a strategic priority at PVH. We provide global learning and development opportunities across all levels through a combination of instructor-led and self-directed digital learning offerings, as well as external partnerships such as LinkedIn Learning. In 2025, we expanded Manager Studio into Learning Studio, a global digital platform accessible to all associates, supporting development through formal learning, mentoring, and on-the-job experiences. Our primary focus for 2026 is igniting our internal talent engine by advancing careers and growth opportunities for all associates, inclusive of retail.</w:t>
      </w:r>
    </w:p>
    <w:p>
      <w:pPr>
        <w:spacing w:after="0" w:line="81"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We continue to invest in leadership development at key career stages, including Leadership Fundamentals to strengthen people manager effectiveness, Transforming Leadership to support senior leaders in leading through change and building inclusive teams, and our award-winning Leadership Accelerator program to prepare VP+ talent to lead strategically in support of our PVH+ Plan/Next Chapter and accelerate succession readiness. We also expanded our global mentoring program and introduced additional business capability development opportunities available worldwide.</w:t>
      </w:r>
    </w:p>
    <w:p>
      <w:pPr>
        <w:spacing w:after="0" w:line="2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34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749CAB"/>
        </w:rPr>
        <w:t>CORPORATE GOVERNANCE</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4"/>
          <w:szCs w:val="14"/>
          <w:color w:val="auto"/>
        </w:rPr>
        <w:t>These efforts are supported by our Global Talent Center of Excellence, which partners across brands, regions, and functions to deliver consistent and scalable development solutions designed to strengthen leadership pipelines and support associate performance and growth. These are all of the underpinning levers that will enable us to accelerate internal mobility and inspire innovation as we continue to transform, execute the strategy and evolve.</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Responsibility</w:t>
      </w:r>
    </w:p>
    <w:p>
      <w:pPr>
        <w:spacing w:after="0" w:line="62" w:lineRule="exact"/>
        <w:rPr>
          <w:sz w:val="20"/>
          <w:szCs w:val="20"/>
          <w:color w:val="auto"/>
        </w:rPr>
      </w:pPr>
    </w:p>
    <w:p>
      <w:pPr>
        <w:ind w:right="160"/>
        <w:spacing w:after="0" w:line="255" w:lineRule="auto"/>
        <w:rPr>
          <w:sz w:val="20"/>
          <w:szCs w:val="20"/>
          <w:color w:val="auto"/>
        </w:rPr>
      </w:pPr>
      <w:r>
        <w:rPr>
          <w:rFonts w:ascii="Arial" w:cs="Arial" w:eastAsia="Arial" w:hAnsi="Arial"/>
          <w:sz w:val="14"/>
          <w:szCs w:val="14"/>
          <w:color w:val="auto"/>
        </w:rPr>
        <w:t>We are committed to the environment, with a goal of reaching net zero while preserving resources and nature, and to human rights by promoting fundamental principles and rights for the workers in our supply chain. By leveraging the power of our iconic brands and partnering with human rights and environmental experts, we will continue to deliver on our corporate responsibility commitments.</w:t>
      </w:r>
    </w:p>
    <w:p>
      <w:pPr>
        <w:spacing w:after="0" w:line="87" w:lineRule="exact"/>
        <w:rPr>
          <w:sz w:val="20"/>
          <w:szCs w:val="20"/>
          <w:color w:val="auto"/>
        </w:rPr>
      </w:pPr>
    </w:p>
    <w:p>
      <w:pPr>
        <w:ind w:right="140"/>
        <w:spacing w:after="0" w:line="255" w:lineRule="auto"/>
        <w:rPr>
          <w:sz w:val="20"/>
          <w:szCs w:val="20"/>
          <w:color w:val="auto"/>
        </w:rPr>
      </w:pPr>
      <w:r>
        <w:rPr>
          <w:rFonts w:ascii="Arial" w:cs="Arial" w:eastAsia="Arial" w:hAnsi="Arial"/>
          <w:sz w:val="14"/>
          <w:szCs w:val="14"/>
          <w:color w:val="auto"/>
        </w:rPr>
        <w:t>We also are committed to promoting inclusion, belonging and opportunity for the advancement of our associates and communities. Further, we work to ensure that our products, stores, marketing and advertising best represent our global consumer. As part of our commitment to inclusion, we also aim to create positive impacts in the communities in which we operate.</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Political and Lobbying Activities</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PVH does not contribute to political candidates, parties or causes. We do occasionally participate in lobbying activities, principally through our membership in industry associations.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702310</wp:posOffset>
            </wp:positionV>
            <wp:extent cx="695515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2">
            <w:col w:w="5200" w:space="480"/>
            <w:col w:w="5240"/>
          </w:cols>
          <w:pgMar w:left="480" w:top="127" w:right="499" w:bottom="1440" w:gutter="0" w:footer="0" w:header="0"/>
        </w:sectPr>
      </w:pPr>
    </w:p>
    <w:bookmarkStart w:id="37" w:name="page38"/>
    <w:bookmarkEnd w:id="37"/>
    <w:p>
      <w:pPr>
        <w:ind w:left="20"/>
        <w:spacing w:after="0"/>
        <w:rPr>
          <w:sz w:val="20"/>
          <w:szCs w:val="20"/>
          <w:color w:val="auto"/>
        </w:rPr>
      </w:pPr>
      <w:r>
        <w:rPr>
          <w:rFonts w:ascii="Arial" w:cs="Arial" w:eastAsia="Arial" w:hAnsi="Arial"/>
          <w:sz w:val="41"/>
          <w:szCs w:val="41"/>
          <w:b w:val="1"/>
          <w:bCs w:val="1"/>
          <w:color w:val="auto"/>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6D98AD"/>
        </w:rPr>
        <w:t>Annual Retainers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Non-employee directors are paid annually in a combination of cash and RSUs, as shown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000" w:type="dxa"/>
            <w:vAlign w:val="bottom"/>
            <w:shd w:val="clear" w:color="auto" w:fill="99B7C6"/>
          </w:tcPr>
          <w:p>
            <w:pPr>
              <w:ind w:left="60"/>
              <w:spacing w:after="0"/>
              <w:rPr>
                <w:sz w:val="20"/>
                <w:szCs w:val="20"/>
                <w:color w:val="auto"/>
              </w:rPr>
            </w:pPr>
            <w:r>
              <w:rPr>
                <w:rFonts w:ascii="Arial" w:cs="Arial" w:eastAsia="Arial" w:hAnsi="Arial"/>
                <w:sz w:val="14"/>
                <w:szCs w:val="14"/>
                <w:b w:val="1"/>
                <w:bCs w:val="1"/>
                <w:color w:val="FFFFFF"/>
              </w:rPr>
              <w:t>Recipient</w:t>
            </w:r>
          </w:p>
        </w:tc>
        <w:tc>
          <w:tcPr>
            <w:tcW w:w="3940" w:type="dxa"/>
            <w:vAlign w:val="bottom"/>
            <w:shd w:val="clear" w:color="auto" w:fill="99B7C6"/>
          </w:tcPr>
          <w:p>
            <w:pPr>
              <w:ind w:left="200"/>
              <w:spacing w:after="0"/>
              <w:rPr>
                <w:sz w:val="20"/>
                <w:szCs w:val="20"/>
                <w:color w:val="auto"/>
              </w:rPr>
            </w:pPr>
            <w:r>
              <w:rPr>
                <w:rFonts w:ascii="Arial" w:cs="Arial" w:eastAsia="Arial" w:hAnsi="Arial"/>
                <w:sz w:val="14"/>
                <w:szCs w:val="14"/>
                <w:b w:val="1"/>
                <w:bCs w:val="1"/>
                <w:color w:val="FFFFFF"/>
              </w:rPr>
              <w:t>Value and Form of Payment</w:t>
            </w:r>
          </w:p>
        </w:tc>
      </w:tr>
      <w:tr>
        <w:trPr>
          <w:trHeight w:val="227"/>
        </w:trPr>
        <w:tc>
          <w:tcPr>
            <w:tcW w:w="700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Each Non-Employee Director</w:t>
            </w:r>
          </w:p>
        </w:tc>
        <w:tc>
          <w:tcPr>
            <w:tcW w:w="3940" w:type="dxa"/>
            <w:vAlign w:val="bottom"/>
            <w:tcBorders>
              <w:bottom w:val="single" w:sz="8" w:color="E9F0F3"/>
            </w:tcBorders>
            <w:shd w:val="clear" w:color="auto" w:fill="E9F0F3"/>
          </w:tcPr>
          <w:p>
            <w:pPr>
              <w:ind w:left="200"/>
              <w:spacing w:after="0"/>
              <w:rPr>
                <w:sz w:val="20"/>
                <w:szCs w:val="20"/>
                <w:color w:val="auto"/>
              </w:rPr>
            </w:pPr>
            <w:r>
              <w:rPr>
                <w:rFonts w:ascii="Arial" w:cs="Arial" w:eastAsia="Arial" w:hAnsi="Arial"/>
                <w:sz w:val="14"/>
                <w:szCs w:val="14"/>
                <w:color w:val="auto"/>
              </w:rPr>
              <w:t>$100,000, in cash</w:t>
            </w:r>
          </w:p>
        </w:tc>
      </w:tr>
      <w:tr>
        <w:trPr>
          <w:trHeight w:val="200"/>
        </w:trPr>
        <w:tc>
          <w:tcPr>
            <w:tcW w:w="7000" w:type="dxa"/>
            <w:vAlign w:val="bottom"/>
          </w:tcPr>
          <w:p>
            <w:pPr>
              <w:ind w:left="60"/>
              <w:spacing w:after="0"/>
              <w:rPr>
                <w:sz w:val="20"/>
                <w:szCs w:val="20"/>
                <w:color w:val="auto"/>
              </w:rPr>
            </w:pPr>
            <w:r>
              <w:rPr>
                <w:rFonts w:ascii="Arial" w:cs="Arial" w:eastAsia="Arial" w:hAnsi="Arial"/>
                <w:sz w:val="14"/>
                <w:szCs w:val="14"/>
                <w:color w:val="auto"/>
              </w:rPr>
              <w:t>Each Non-Employee Director</w:t>
            </w:r>
          </w:p>
        </w:tc>
        <w:tc>
          <w:tcPr>
            <w:tcW w:w="3940" w:type="dxa"/>
            <w:vAlign w:val="bottom"/>
          </w:tcPr>
          <w:p>
            <w:pPr>
              <w:ind w:left="200"/>
              <w:spacing w:after="0"/>
              <w:rPr>
                <w:sz w:val="20"/>
                <w:szCs w:val="20"/>
                <w:color w:val="auto"/>
              </w:rPr>
            </w:pPr>
            <w:r>
              <w:rPr>
                <w:rFonts w:ascii="Arial" w:cs="Arial" w:eastAsia="Arial" w:hAnsi="Arial"/>
                <w:sz w:val="14"/>
                <w:szCs w:val="14"/>
                <w:color w:val="auto"/>
              </w:rPr>
              <w:t>RSUs, settled in shares of our common stock with a value</w:t>
            </w:r>
          </w:p>
        </w:tc>
      </w:tr>
      <w:tr>
        <w:trPr>
          <w:trHeight w:val="186"/>
        </w:trPr>
        <w:tc>
          <w:tcPr>
            <w:tcW w:w="7000" w:type="dxa"/>
            <w:vAlign w:val="bottom"/>
          </w:tcPr>
          <w:p>
            <w:pPr>
              <w:spacing w:after="0"/>
              <w:rPr>
                <w:sz w:val="16"/>
                <w:szCs w:val="16"/>
                <w:color w:val="auto"/>
              </w:rPr>
            </w:pPr>
          </w:p>
        </w:tc>
        <w:tc>
          <w:tcPr>
            <w:tcW w:w="3940" w:type="dxa"/>
            <w:vAlign w:val="bottom"/>
          </w:tcPr>
          <w:p>
            <w:pPr>
              <w:ind w:left="200"/>
              <w:spacing w:after="0"/>
              <w:rPr>
                <w:sz w:val="20"/>
                <w:szCs w:val="20"/>
                <w:color w:val="auto"/>
              </w:rPr>
            </w:pPr>
            <w:r>
              <w:rPr>
                <w:rFonts w:ascii="Arial" w:cs="Arial" w:eastAsia="Arial" w:hAnsi="Arial"/>
                <w:sz w:val="14"/>
                <w:szCs w:val="14"/>
                <w:color w:val="auto"/>
              </w:rPr>
              <w:t>of approximately $180,000 on the grant date</w:t>
            </w:r>
          </w:p>
        </w:tc>
      </w:tr>
      <w:tr>
        <w:trPr>
          <w:trHeight w:val="27"/>
        </w:trPr>
        <w:tc>
          <w:tcPr>
            <w:tcW w:w="7000" w:type="dxa"/>
            <w:vAlign w:val="bottom"/>
          </w:tcPr>
          <w:p>
            <w:pPr>
              <w:spacing w:after="0"/>
              <w:rPr>
                <w:sz w:val="2"/>
                <w:szCs w:val="2"/>
                <w:color w:val="auto"/>
              </w:rPr>
            </w:pPr>
          </w:p>
        </w:tc>
        <w:tc>
          <w:tcPr>
            <w:tcW w:w="3940" w:type="dxa"/>
            <w:vAlign w:val="bottom"/>
          </w:tcPr>
          <w:p>
            <w:pPr>
              <w:spacing w:after="0"/>
              <w:rPr>
                <w:sz w:val="2"/>
                <w:szCs w:val="2"/>
                <w:color w:val="auto"/>
              </w:rPr>
            </w:pPr>
          </w:p>
        </w:tc>
      </w:tr>
      <w:tr>
        <w:trPr>
          <w:trHeight w:val="200"/>
        </w:trPr>
        <w:tc>
          <w:tcPr>
            <w:tcW w:w="7000" w:type="dxa"/>
            <w:vAlign w:val="bottom"/>
            <w:shd w:val="clear" w:color="auto" w:fill="E9F0F3"/>
          </w:tcPr>
          <w:p>
            <w:pPr>
              <w:ind w:left="60"/>
              <w:spacing w:after="0"/>
              <w:rPr>
                <w:sz w:val="20"/>
                <w:szCs w:val="20"/>
                <w:color w:val="auto"/>
              </w:rPr>
            </w:pPr>
            <w:r>
              <w:rPr>
                <w:rFonts w:ascii="Arial" w:cs="Arial" w:eastAsia="Arial" w:hAnsi="Arial"/>
                <w:sz w:val="14"/>
                <w:szCs w:val="14"/>
                <w:color w:val="auto"/>
              </w:rPr>
              <w:t>Non-Executive Chair</w:t>
            </w:r>
          </w:p>
        </w:tc>
        <w:tc>
          <w:tcPr>
            <w:tcW w:w="3940" w:type="dxa"/>
            <w:vAlign w:val="bottom"/>
            <w:shd w:val="clear" w:color="auto" w:fill="E9F0F3"/>
          </w:tcPr>
          <w:p>
            <w:pPr>
              <w:ind w:left="200"/>
              <w:spacing w:after="0"/>
              <w:rPr>
                <w:sz w:val="20"/>
                <w:szCs w:val="20"/>
                <w:color w:val="auto"/>
              </w:rPr>
            </w:pPr>
            <w:r>
              <w:rPr>
                <w:rFonts w:ascii="Arial" w:cs="Arial" w:eastAsia="Arial" w:hAnsi="Arial"/>
                <w:sz w:val="14"/>
                <w:szCs w:val="14"/>
                <w:color w:val="auto"/>
              </w:rPr>
              <w:t>Additional RSUs, settled in shares of our common stock,</w:t>
            </w:r>
          </w:p>
        </w:tc>
      </w:tr>
      <w:tr>
        <w:trPr>
          <w:trHeight w:val="193"/>
        </w:trPr>
        <w:tc>
          <w:tcPr>
            <w:tcW w:w="7000" w:type="dxa"/>
            <w:vAlign w:val="bottom"/>
            <w:tcBorders>
              <w:bottom w:val="single" w:sz="8" w:color="E9F0F3"/>
            </w:tcBorders>
            <w:shd w:val="clear" w:color="auto" w:fill="E9F0F3"/>
          </w:tcPr>
          <w:p>
            <w:pPr>
              <w:spacing w:after="0"/>
              <w:rPr>
                <w:sz w:val="16"/>
                <w:szCs w:val="16"/>
                <w:color w:val="auto"/>
              </w:rPr>
            </w:pPr>
          </w:p>
        </w:tc>
        <w:tc>
          <w:tcPr>
            <w:tcW w:w="3940" w:type="dxa"/>
            <w:vAlign w:val="bottom"/>
            <w:tcBorders>
              <w:bottom w:val="single" w:sz="8" w:color="E9F0F3"/>
            </w:tcBorders>
            <w:shd w:val="clear" w:color="auto" w:fill="E9F0F3"/>
          </w:tcPr>
          <w:p>
            <w:pPr>
              <w:ind w:left="200"/>
              <w:spacing w:after="0"/>
              <w:rPr>
                <w:sz w:val="20"/>
                <w:szCs w:val="20"/>
                <w:color w:val="auto"/>
              </w:rPr>
            </w:pPr>
            <w:r>
              <w:rPr>
                <w:rFonts w:ascii="Arial" w:cs="Arial" w:eastAsia="Arial" w:hAnsi="Arial"/>
                <w:sz w:val="14"/>
                <w:szCs w:val="14"/>
                <w:color w:val="auto"/>
              </w:rPr>
              <w:t>with a value of approximately $200,000 on the grant date</w:t>
            </w:r>
          </w:p>
        </w:tc>
      </w:tr>
      <w:tr>
        <w:trPr>
          <w:trHeight w:val="221"/>
        </w:trPr>
        <w:tc>
          <w:tcPr>
            <w:tcW w:w="7000" w:type="dxa"/>
            <w:vAlign w:val="bottom"/>
          </w:tcPr>
          <w:p>
            <w:pPr>
              <w:ind w:left="60"/>
              <w:spacing w:after="0"/>
              <w:rPr>
                <w:sz w:val="20"/>
                <w:szCs w:val="20"/>
                <w:color w:val="auto"/>
              </w:rPr>
            </w:pPr>
            <w:r>
              <w:rPr>
                <w:rFonts w:ascii="Arial" w:cs="Arial" w:eastAsia="Arial" w:hAnsi="Arial"/>
                <w:sz w:val="14"/>
                <w:szCs w:val="14"/>
                <w:color w:val="auto"/>
              </w:rPr>
              <w:t>Chair of the Audit &amp; Risk Management Committee</w:t>
            </w:r>
          </w:p>
        </w:tc>
        <w:tc>
          <w:tcPr>
            <w:tcW w:w="3940" w:type="dxa"/>
            <w:vAlign w:val="bottom"/>
          </w:tcPr>
          <w:p>
            <w:pPr>
              <w:ind w:left="200"/>
              <w:spacing w:after="0"/>
              <w:rPr>
                <w:sz w:val="20"/>
                <w:szCs w:val="20"/>
                <w:color w:val="auto"/>
              </w:rPr>
            </w:pPr>
            <w:r>
              <w:rPr>
                <w:rFonts w:ascii="Arial" w:cs="Arial" w:eastAsia="Arial" w:hAnsi="Arial"/>
                <w:sz w:val="14"/>
                <w:szCs w:val="14"/>
                <w:color w:val="auto"/>
              </w:rPr>
              <w:t>$45,000, in cash</w:t>
            </w:r>
          </w:p>
        </w:tc>
      </w:tr>
      <w:tr>
        <w:trPr>
          <w:trHeight w:val="27"/>
        </w:trPr>
        <w:tc>
          <w:tcPr>
            <w:tcW w:w="7000" w:type="dxa"/>
            <w:vAlign w:val="bottom"/>
          </w:tcPr>
          <w:p>
            <w:pPr>
              <w:spacing w:after="0"/>
              <w:rPr>
                <w:sz w:val="2"/>
                <w:szCs w:val="2"/>
                <w:color w:val="auto"/>
              </w:rPr>
            </w:pPr>
          </w:p>
        </w:tc>
        <w:tc>
          <w:tcPr>
            <w:tcW w:w="3940" w:type="dxa"/>
            <w:vAlign w:val="bottom"/>
          </w:tcPr>
          <w:p>
            <w:pPr>
              <w:spacing w:after="0"/>
              <w:rPr>
                <w:sz w:val="2"/>
                <w:szCs w:val="2"/>
                <w:color w:val="auto"/>
              </w:rPr>
            </w:pPr>
          </w:p>
        </w:tc>
      </w:tr>
      <w:tr>
        <w:trPr>
          <w:trHeight w:val="227"/>
        </w:trPr>
        <w:tc>
          <w:tcPr>
            <w:tcW w:w="700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Other Members of the Audit &amp; Risk Management Committee</w:t>
            </w:r>
          </w:p>
        </w:tc>
        <w:tc>
          <w:tcPr>
            <w:tcW w:w="3940" w:type="dxa"/>
            <w:vAlign w:val="bottom"/>
            <w:tcBorders>
              <w:bottom w:val="single" w:sz="8" w:color="E9F0F3"/>
            </w:tcBorders>
            <w:shd w:val="clear" w:color="auto" w:fill="E9F0F3"/>
          </w:tcPr>
          <w:p>
            <w:pPr>
              <w:ind w:left="200"/>
              <w:spacing w:after="0"/>
              <w:rPr>
                <w:sz w:val="20"/>
                <w:szCs w:val="20"/>
                <w:color w:val="auto"/>
              </w:rPr>
            </w:pPr>
            <w:r>
              <w:rPr>
                <w:rFonts w:ascii="Arial" w:cs="Arial" w:eastAsia="Arial" w:hAnsi="Arial"/>
                <w:sz w:val="14"/>
                <w:szCs w:val="14"/>
                <w:color w:val="auto"/>
              </w:rPr>
              <w:t>$20,000, in cash</w:t>
            </w:r>
          </w:p>
        </w:tc>
      </w:tr>
      <w:tr>
        <w:trPr>
          <w:trHeight w:val="221"/>
        </w:trPr>
        <w:tc>
          <w:tcPr>
            <w:tcW w:w="7000" w:type="dxa"/>
            <w:vAlign w:val="bottom"/>
          </w:tcPr>
          <w:p>
            <w:pPr>
              <w:ind w:left="60"/>
              <w:spacing w:after="0"/>
              <w:rPr>
                <w:sz w:val="20"/>
                <w:szCs w:val="20"/>
                <w:color w:val="auto"/>
              </w:rPr>
            </w:pPr>
            <w:r>
              <w:rPr>
                <w:rFonts w:ascii="Arial" w:cs="Arial" w:eastAsia="Arial" w:hAnsi="Arial"/>
                <w:sz w:val="14"/>
                <w:szCs w:val="14"/>
                <w:color w:val="auto"/>
              </w:rPr>
              <w:t>Chair of the Compensation Committee</w:t>
            </w:r>
          </w:p>
        </w:tc>
        <w:tc>
          <w:tcPr>
            <w:tcW w:w="3940" w:type="dxa"/>
            <w:vAlign w:val="bottom"/>
          </w:tcPr>
          <w:p>
            <w:pPr>
              <w:ind w:left="200"/>
              <w:spacing w:after="0"/>
              <w:rPr>
                <w:sz w:val="20"/>
                <w:szCs w:val="20"/>
                <w:color w:val="auto"/>
              </w:rPr>
            </w:pPr>
            <w:r>
              <w:rPr>
                <w:rFonts w:ascii="Arial" w:cs="Arial" w:eastAsia="Arial" w:hAnsi="Arial"/>
                <w:sz w:val="14"/>
                <w:szCs w:val="14"/>
                <w:color w:val="auto"/>
              </w:rPr>
              <w:t>$35,000, in cash</w:t>
            </w:r>
          </w:p>
        </w:tc>
      </w:tr>
      <w:tr>
        <w:trPr>
          <w:trHeight w:val="27"/>
        </w:trPr>
        <w:tc>
          <w:tcPr>
            <w:tcW w:w="7000" w:type="dxa"/>
            <w:vAlign w:val="bottom"/>
          </w:tcPr>
          <w:p>
            <w:pPr>
              <w:spacing w:after="0"/>
              <w:rPr>
                <w:sz w:val="2"/>
                <w:szCs w:val="2"/>
                <w:color w:val="auto"/>
              </w:rPr>
            </w:pPr>
          </w:p>
        </w:tc>
        <w:tc>
          <w:tcPr>
            <w:tcW w:w="3940" w:type="dxa"/>
            <w:vAlign w:val="bottom"/>
          </w:tcPr>
          <w:p>
            <w:pPr>
              <w:spacing w:after="0"/>
              <w:rPr>
                <w:sz w:val="2"/>
                <w:szCs w:val="2"/>
                <w:color w:val="auto"/>
              </w:rPr>
            </w:pPr>
          </w:p>
        </w:tc>
      </w:tr>
      <w:tr>
        <w:trPr>
          <w:trHeight w:val="227"/>
        </w:trPr>
        <w:tc>
          <w:tcPr>
            <w:tcW w:w="700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Other Members of the Compensation Committee</w:t>
            </w:r>
          </w:p>
        </w:tc>
        <w:tc>
          <w:tcPr>
            <w:tcW w:w="3940" w:type="dxa"/>
            <w:vAlign w:val="bottom"/>
            <w:tcBorders>
              <w:bottom w:val="single" w:sz="8" w:color="E9F0F3"/>
            </w:tcBorders>
            <w:shd w:val="clear" w:color="auto" w:fill="E9F0F3"/>
          </w:tcPr>
          <w:p>
            <w:pPr>
              <w:ind w:left="200"/>
              <w:spacing w:after="0"/>
              <w:rPr>
                <w:sz w:val="20"/>
                <w:szCs w:val="20"/>
                <w:color w:val="auto"/>
              </w:rPr>
            </w:pPr>
            <w:r>
              <w:rPr>
                <w:rFonts w:ascii="Arial" w:cs="Arial" w:eastAsia="Arial" w:hAnsi="Arial"/>
                <w:sz w:val="14"/>
                <w:szCs w:val="14"/>
                <w:color w:val="auto"/>
              </w:rPr>
              <w:t>$15,000, in cash</w:t>
            </w:r>
          </w:p>
        </w:tc>
      </w:tr>
      <w:tr>
        <w:trPr>
          <w:trHeight w:val="200"/>
        </w:trPr>
        <w:tc>
          <w:tcPr>
            <w:tcW w:w="7000" w:type="dxa"/>
            <w:vAlign w:val="bottom"/>
          </w:tcPr>
          <w:p>
            <w:pPr>
              <w:ind w:left="60"/>
              <w:spacing w:after="0"/>
              <w:rPr>
                <w:sz w:val="20"/>
                <w:szCs w:val="20"/>
                <w:color w:val="auto"/>
              </w:rPr>
            </w:pPr>
            <w:r>
              <w:rPr>
                <w:rFonts w:ascii="Arial" w:cs="Arial" w:eastAsia="Arial" w:hAnsi="Arial"/>
                <w:sz w:val="14"/>
                <w:szCs w:val="14"/>
                <w:color w:val="auto"/>
              </w:rPr>
              <w:t>Chairs of the Nominating, Governance &amp; Management Development Committee and the Corporate</w:t>
            </w:r>
          </w:p>
        </w:tc>
        <w:tc>
          <w:tcPr>
            <w:tcW w:w="3940" w:type="dxa"/>
            <w:vAlign w:val="bottom"/>
          </w:tcPr>
          <w:p>
            <w:pPr>
              <w:ind w:left="200"/>
              <w:spacing w:after="0"/>
              <w:rPr>
                <w:sz w:val="20"/>
                <w:szCs w:val="20"/>
                <w:color w:val="auto"/>
              </w:rPr>
            </w:pPr>
            <w:r>
              <w:rPr>
                <w:rFonts w:ascii="Arial" w:cs="Arial" w:eastAsia="Arial" w:hAnsi="Arial"/>
                <w:sz w:val="14"/>
                <w:szCs w:val="14"/>
                <w:color w:val="auto"/>
              </w:rPr>
              <w:t>$25,000, in cash</w:t>
            </w:r>
          </w:p>
        </w:tc>
      </w:tr>
      <w:tr>
        <w:trPr>
          <w:trHeight w:val="186"/>
        </w:trPr>
        <w:tc>
          <w:tcPr>
            <w:tcW w:w="7000" w:type="dxa"/>
            <w:vAlign w:val="bottom"/>
          </w:tcPr>
          <w:p>
            <w:pPr>
              <w:ind w:left="60"/>
              <w:spacing w:after="0"/>
              <w:rPr>
                <w:sz w:val="20"/>
                <w:szCs w:val="20"/>
                <w:color w:val="auto"/>
              </w:rPr>
            </w:pPr>
            <w:r>
              <w:rPr>
                <w:rFonts w:ascii="Arial" w:cs="Arial" w:eastAsia="Arial" w:hAnsi="Arial"/>
                <w:sz w:val="14"/>
                <w:szCs w:val="14"/>
                <w:color w:val="auto"/>
              </w:rPr>
              <w:t>Responsibility Committee</w:t>
            </w:r>
          </w:p>
        </w:tc>
        <w:tc>
          <w:tcPr>
            <w:tcW w:w="3940" w:type="dxa"/>
            <w:vAlign w:val="bottom"/>
          </w:tcPr>
          <w:p>
            <w:pPr>
              <w:spacing w:after="0"/>
              <w:rPr>
                <w:sz w:val="16"/>
                <w:szCs w:val="16"/>
                <w:color w:val="auto"/>
              </w:rPr>
            </w:pPr>
          </w:p>
        </w:tc>
      </w:tr>
      <w:tr>
        <w:trPr>
          <w:trHeight w:val="27"/>
        </w:trPr>
        <w:tc>
          <w:tcPr>
            <w:tcW w:w="7000" w:type="dxa"/>
            <w:vAlign w:val="bottom"/>
          </w:tcPr>
          <w:p>
            <w:pPr>
              <w:spacing w:after="0"/>
              <w:rPr>
                <w:sz w:val="2"/>
                <w:szCs w:val="2"/>
                <w:color w:val="auto"/>
              </w:rPr>
            </w:pPr>
          </w:p>
        </w:tc>
        <w:tc>
          <w:tcPr>
            <w:tcW w:w="3940" w:type="dxa"/>
            <w:vAlign w:val="bottom"/>
          </w:tcPr>
          <w:p>
            <w:pPr>
              <w:spacing w:after="0"/>
              <w:rPr>
                <w:sz w:val="2"/>
                <w:szCs w:val="2"/>
                <w:color w:val="auto"/>
              </w:rPr>
            </w:pPr>
          </w:p>
        </w:tc>
      </w:tr>
      <w:tr>
        <w:trPr>
          <w:trHeight w:val="200"/>
        </w:trPr>
        <w:tc>
          <w:tcPr>
            <w:tcW w:w="7000" w:type="dxa"/>
            <w:vAlign w:val="bottom"/>
            <w:shd w:val="clear" w:color="auto" w:fill="E9F0F3"/>
          </w:tcPr>
          <w:p>
            <w:pPr>
              <w:ind w:left="60"/>
              <w:spacing w:after="0"/>
              <w:rPr>
                <w:sz w:val="20"/>
                <w:szCs w:val="20"/>
                <w:color w:val="auto"/>
              </w:rPr>
            </w:pPr>
            <w:r>
              <w:rPr>
                <w:rFonts w:ascii="Arial" w:cs="Arial" w:eastAsia="Arial" w:hAnsi="Arial"/>
                <w:sz w:val="14"/>
                <w:szCs w:val="14"/>
                <w:color w:val="auto"/>
              </w:rPr>
              <w:t>Other Members of the Nominating, Governance &amp; Management Development Committee and the Corporate</w:t>
            </w:r>
          </w:p>
        </w:tc>
        <w:tc>
          <w:tcPr>
            <w:tcW w:w="3940" w:type="dxa"/>
            <w:vAlign w:val="bottom"/>
            <w:shd w:val="clear" w:color="auto" w:fill="E9F0F3"/>
          </w:tcPr>
          <w:p>
            <w:pPr>
              <w:ind w:left="200"/>
              <w:spacing w:after="0"/>
              <w:rPr>
                <w:sz w:val="20"/>
                <w:szCs w:val="20"/>
                <w:color w:val="auto"/>
              </w:rPr>
            </w:pPr>
            <w:r>
              <w:rPr>
                <w:rFonts w:ascii="Arial" w:cs="Arial" w:eastAsia="Arial" w:hAnsi="Arial"/>
                <w:sz w:val="14"/>
                <w:szCs w:val="14"/>
                <w:color w:val="auto"/>
              </w:rPr>
              <w:t>$10,000, in cash</w:t>
            </w:r>
          </w:p>
        </w:tc>
      </w:tr>
      <w:tr>
        <w:trPr>
          <w:trHeight w:val="186"/>
        </w:trPr>
        <w:tc>
          <w:tcPr>
            <w:tcW w:w="7000" w:type="dxa"/>
            <w:vAlign w:val="bottom"/>
            <w:shd w:val="clear" w:color="auto" w:fill="E9F0F3"/>
          </w:tcPr>
          <w:p>
            <w:pPr>
              <w:ind w:left="60"/>
              <w:spacing w:after="0"/>
              <w:rPr>
                <w:sz w:val="20"/>
                <w:szCs w:val="20"/>
                <w:color w:val="auto"/>
              </w:rPr>
            </w:pPr>
            <w:r>
              <w:rPr>
                <w:rFonts w:ascii="Arial" w:cs="Arial" w:eastAsia="Arial" w:hAnsi="Arial"/>
                <w:sz w:val="14"/>
                <w:szCs w:val="14"/>
                <w:color w:val="auto"/>
              </w:rPr>
              <w:t>Responsibility Committee</w:t>
            </w:r>
          </w:p>
        </w:tc>
        <w:tc>
          <w:tcPr>
            <w:tcW w:w="3940" w:type="dxa"/>
            <w:vAlign w:val="bottom"/>
            <w:shd w:val="clear" w:color="auto" w:fill="E9F0F3"/>
          </w:tcPr>
          <w:p>
            <w:pPr>
              <w:spacing w:after="0"/>
              <w:rPr>
                <w:sz w:val="16"/>
                <w:szCs w:val="16"/>
                <w:color w:val="auto"/>
              </w:rPr>
            </w:pPr>
          </w:p>
        </w:tc>
      </w:tr>
      <w:tr>
        <w:trPr>
          <w:trHeight w:val="27"/>
        </w:trPr>
        <w:tc>
          <w:tcPr>
            <w:tcW w:w="7000" w:type="dxa"/>
            <w:vAlign w:val="bottom"/>
            <w:shd w:val="clear" w:color="auto" w:fill="E9F0F3"/>
          </w:tcPr>
          <w:p>
            <w:pPr>
              <w:spacing w:after="0"/>
              <w:rPr>
                <w:sz w:val="2"/>
                <w:szCs w:val="2"/>
                <w:color w:val="auto"/>
              </w:rPr>
            </w:pPr>
          </w:p>
        </w:tc>
        <w:tc>
          <w:tcPr>
            <w:tcW w:w="3940" w:type="dxa"/>
            <w:vAlign w:val="bottom"/>
            <w:shd w:val="clear" w:color="auto" w:fill="E9F0F3"/>
          </w:tcPr>
          <w:p>
            <w:pPr>
              <w:spacing w:after="0"/>
              <w:rPr>
                <w:sz w:val="2"/>
                <w:szCs w:val="2"/>
                <w:color w:val="auto"/>
              </w:rPr>
            </w:pP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Non-employee directors are reimbursed for their meeting-related expenses in addition to receiving the compensation disclosed above.</w:t>
      </w:r>
    </w:p>
    <w:p>
      <w:pPr>
        <w:spacing w:after="0" w:line="122" w:lineRule="exact"/>
        <w:rPr>
          <w:sz w:val="20"/>
          <w:szCs w:val="20"/>
          <w:color w:val="auto"/>
        </w:rPr>
      </w:pPr>
    </w:p>
    <w:p>
      <w:pPr>
        <w:ind w:left="20" w:right="60"/>
        <w:spacing w:after="0" w:line="282" w:lineRule="auto"/>
        <w:rPr>
          <w:sz w:val="20"/>
          <w:szCs w:val="20"/>
          <w:color w:val="auto"/>
        </w:rPr>
      </w:pPr>
      <w:r>
        <w:rPr>
          <w:rFonts w:ascii="Arial" w:cs="Arial" w:eastAsia="Arial" w:hAnsi="Arial"/>
          <w:sz w:val="14"/>
          <w:szCs w:val="14"/>
          <w:color w:val="auto"/>
        </w:rPr>
        <w:t>Non-employee directors who join the Board after our annual meeting are paid a pro rata portion of the applicable fees for the year but do not receive an RSU award. We would not pay fees or make equity grants to non-employee directors who are designated for election by a stockholder having director nomination rights.</w:t>
      </w:r>
    </w:p>
    <w:p>
      <w:pPr>
        <w:spacing w:after="0" w:line="57" w:lineRule="exact"/>
        <w:rPr>
          <w:sz w:val="20"/>
          <w:szCs w:val="20"/>
          <w:color w:val="auto"/>
        </w:rPr>
      </w:pPr>
    </w:p>
    <w:p>
      <w:pPr>
        <w:ind w:left="20" w:right="60"/>
        <w:spacing w:after="0" w:line="258" w:lineRule="auto"/>
        <w:rPr>
          <w:sz w:val="20"/>
          <w:szCs w:val="20"/>
          <w:color w:val="auto"/>
        </w:rPr>
      </w:pPr>
      <w:r>
        <w:rPr>
          <w:rFonts w:ascii="Arial" w:cs="Arial" w:eastAsia="Arial" w:hAnsi="Arial"/>
          <w:sz w:val="14"/>
          <w:szCs w:val="14"/>
          <w:color w:val="auto"/>
        </w:rPr>
        <w:t>Our non-employee directors receive nominal benefits and perquisites. They are entitled to the same discounts at our retail stores as are available to all associates. In addition, we provide business accident travel insurance for directors and their spouses, which is at no additional cost to us because we maintain coverage for our associates globally. Finally, non-employee directors are eligible to participate at their own cost in our group umbrella insurance program, which may offer more favorable rates than they can obtain on their own.</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6D98AD"/>
        </w:rPr>
        <w:t>Stock Ownership Guidelines</w:t>
      </w:r>
    </w:p>
    <w:p>
      <w:pPr>
        <w:spacing w:after="0" w:line="114" w:lineRule="exact"/>
        <w:rPr>
          <w:sz w:val="20"/>
          <w:szCs w:val="20"/>
          <w:color w:val="auto"/>
        </w:rPr>
      </w:pPr>
    </w:p>
    <w:p>
      <w:pPr>
        <w:ind w:left="20" w:right="280"/>
        <w:spacing w:after="0" w:line="258" w:lineRule="auto"/>
        <w:rPr>
          <w:sz w:val="20"/>
          <w:szCs w:val="20"/>
          <w:color w:val="auto"/>
        </w:rPr>
      </w:pPr>
      <w:r>
        <w:rPr>
          <w:rFonts w:ascii="Arial" w:cs="Arial" w:eastAsia="Arial" w:hAnsi="Arial"/>
          <w:sz w:val="14"/>
          <w:szCs w:val="14"/>
          <w:color w:val="auto"/>
        </w:rPr>
        <w:t>Our non-employee directors are required to own shares of our common stock with an aggregate value equal to five times the standard annual cash retainer payable to directors. New directors have five years from the date they are elected to attain this ownership level. All of our non-employee directors, other than Mr. Andersen and Ms. Gulliver, are in compliance with this requirement as of the date of this Proxy Statement. Mr. Andersen and Ms. Gulliver have until calendar year 2029 to meet the guideline. Directors must hold 50% of the shares received upon the vesting of their equity awards (after payment of taxes) until they satisfy the guideline.</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PVH CORP. 2026 PROXY STATEMENT / </w:t>
      </w:r>
      <w:r>
        <w:rPr>
          <w:rFonts w:ascii="Arial" w:cs="Arial" w:eastAsia="Arial" w:hAnsi="Arial"/>
          <w:sz w:val="11"/>
          <w:szCs w:val="11"/>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695515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94" w:right="479" w:bottom="1440" w:gutter="0" w:footer="0" w:header="0"/>
        </w:sectPr>
      </w:pPr>
    </w:p>
    <w:bookmarkStart w:id="38" w:name="page39"/>
    <w:bookmarkEnd w:id="38"/>
    <w:p>
      <w:pPr>
        <w:ind w:left="20"/>
        <w:spacing w:after="0"/>
        <w:rPr>
          <w:sz w:val="20"/>
          <w:szCs w:val="20"/>
          <w:color w:val="auto"/>
        </w:rPr>
      </w:pPr>
      <w:r>
        <w:rPr>
          <w:rFonts w:ascii="Arial" w:cs="Arial" w:eastAsia="Arial" w:hAnsi="Arial"/>
          <w:sz w:val="28"/>
          <w:szCs w:val="28"/>
          <w:b w:val="1"/>
          <w:bCs w:val="1"/>
          <w:color w:val="6D98AD"/>
        </w:rPr>
        <w:t>2025 Compensation</w:t>
      </w:r>
    </w:p>
    <w:p>
      <w:pPr>
        <w:spacing w:after="0" w:line="114" w:lineRule="exact"/>
        <w:rPr>
          <w:sz w:val="20"/>
          <w:szCs w:val="20"/>
          <w:color w:val="auto"/>
        </w:rPr>
      </w:pPr>
    </w:p>
    <w:p>
      <w:pPr>
        <w:jc w:val="both"/>
        <w:ind w:left="20" w:right="40"/>
        <w:spacing w:after="0" w:line="264" w:lineRule="auto"/>
        <w:rPr>
          <w:sz w:val="20"/>
          <w:szCs w:val="20"/>
          <w:color w:val="auto"/>
        </w:rPr>
      </w:pPr>
      <w:r>
        <w:rPr>
          <w:rFonts w:ascii="Arial" w:cs="Arial" w:eastAsia="Arial" w:hAnsi="Arial"/>
          <w:sz w:val="14"/>
          <w:szCs w:val="14"/>
          <w:color w:val="auto"/>
        </w:rPr>
        <w:t>The following table sets forth the information concerning the compensation of all individuals who served as directors during any portion of 2025, other than Mr. Larsson, whose compensation as an executive is set forth on the Summary Compensation Table on page 60. Directors who are employees of the company receive no additional compensation for serving on the Board.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 w:type="dxa"/>
            <w:vAlign w:val="bottom"/>
            <w:shd w:val="clear" w:color="auto" w:fill="99B7C6"/>
          </w:tcPr>
          <w:p>
            <w:pPr>
              <w:spacing w:after="0"/>
              <w:rPr>
                <w:sz w:val="15"/>
                <w:szCs w:val="15"/>
                <w:color w:val="auto"/>
              </w:rPr>
            </w:pPr>
          </w:p>
        </w:tc>
        <w:tc>
          <w:tcPr>
            <w:tcW w:w="4040" w:type="dxa"/>
            <w:vAlign w:val="bottom"/>
            <w:shd w:val="clear" w:color="auto" w:fill="99B7C6"/>
          </w:tcPr>
          <w:p>
            <w:pPr>
              <w:spacing w:after="0"/>
              <w:rPr>
                <w:sz w:val="15"/>
                <w:szCs w:val="15"/>
                <w:color w:val="auto"/>
              </w:rPr>
            </w:pPr>
          </w:p>
        </w:tc>
        <w:tc>
          <w:tcPr>
            <w:tcW w:w="1400" w:type="dxa"/>
            <w:vAlign w:val="bottom"/>
            <w:shd w:val="clear" w:color="auto" w:fill="99B7C6"/>
          </w:tcPr>
          <w:p>
            <w:pPr>
              <w:spacing w:after="0"/>
              <w:rPr>
                <w:sz w:val="15"/>
                <w:szCs w:val="15"/>
                <w:color w:val="auto"/>
              </w:rPr>
            </w:pPr>
          </w:p>
        </w:tc>
        <w:tc>
          <w:tcPr>
            <w:tcW w:w="1960" w:type="dxa"/>
            <w:vAlign w:val="bottom"/>
            <w:shd w:val="clear" w:color="auto" w:fill="99B7C6"/>
          </w:tcPr>
          <w:p>
            <w:pPr>
              <w:jc w:val="right"/>
              <w:ind w:right="175"/>
              <w:spacing w:after="0"/>
              <w:rPr>
                <w:sz w:val="20"/>
                <w:szCs w:val="20"/>
                <w:color w:val="auto"/>
              </w:rPr>
            </w:pPr>
            <w:r>
              <w:rPr>
                <w:rFonts w:ascii="Arial" w:cs="Arial" w:eastAsia="Arial" w:hAnsi="Arial"/>
                <w:sz w:val="11"/>
                <w:szCs w:val="11"/>
                <w:b w:val="1"/>
                <w:bCs w:val="1"/>
                <w:color w:val="FFFFFF"/>
              </w:rPr>
              <w:t>Fees Earned or Paid in Cash</w:t>
            </w:r>
          </w:p>
        </w:tc>
        <w:tc>
          <w:tcPr>
            <w:tcW w:w="2140" w:type="dxa"/>
            <w:vAlign w:val="bottom"/>
            <w:shd w:val="clear" w:color="auto" w:fill="99B7C6"/>
          </w:tcPr>
          <w:p>
            <w:pPr>
              <w:jc w:val="right"/>
              <w:ind w:right="555"/>
              <w:spacing w:after="0"/>
              <w:rPr>
                <w:sz w:val="20"/>
                <w:szCs w:val="20"/>
                <w:color w:val="auto"/>
              </w:rPr>
            </w:pPr>
            <w:r>
              <w:rPr>
                <w:rFonts w:ascii="Arial" w:cs="Arial" w:eastAsia="Arial" w:hAnsi="Arial"/>
                <w:sz w:val="11"/>
                <w:szCs w:val="11"/>
                <w:b w:val="1"/>
                <w:bCs w:val="1"/>
                <w:color w:val="FFFFFF"/>
              </w:rPr>
              <w:t>Stock Awards</w:t>
            </w:r>
          </w:p>
        </w:tc>
        <w:tc>
          <w:tcPr>
            <w:tcW w:w="1160" w:type="dxa"/>
            <w:vAlign w:val="bottom"/>
            <w:shd w:val="clear" w:color="auto" w:fill="99B7C6"/>
          </w:tcPr>
          <w:p>
            <w:pPr>
              <w:jc w:val="right"/>
              <w:spacing w:after="0"/>
              <w:rPr>
                <w:sz w:val="20"/>
                <w:szCs w:val="20"/>
                <w:color w:val="auto"/>
              </w:rPr>
            </w:pPr>
            <w:r>
              <w:rPr>
                <w:rFonts w:ascii="Arial" w:cs="Arial" w:eastAsia="Arial" w:hAnsi="Arial"/>
                <w:sz w:val="11"/>
                <w:szCs w:val="11"/>
                <w:b w:val="1"/>
                <w:bCs w:val="1"/>
                <w:color w:val="FFFFFF"/>
              </w:rPr>
              <w:t>Total</w:t>
            </w:r>
          </w:p>
        </w:tc>
      </w:tr>
      <w:tr>
        <w:trPr>
          <w:trHeight w:val="158"/>
        </w:trPr>
        <w:tc>
          <w:tcPr>
            <w:tcW w:w="240" w:type="dxa"/>
            <w:vAlign w:val="bottom"/>
            <w:shd w:val="clear" w:color="auto" w:fill="99B7C6"/>
          </w:tcPr>
          <w:p>
            <w:pPr>
              <w:spacing w:after="0"/>
              <w:rPr>
                <w:sz w:val="13"/>
                <w:szCs w:val="13"/>
                <w:color w:val="auto"/>
              </w:rPr>
            </w:pPr>
          </w:p>
        </w:tc>
        <w:tc>
          <w:tcPr>
            <w:tcW w:w="4040" w:type="dxa"/>
            <w:vAlign w:val="bottom"/>
            <w:shd w:val="clear" w:color="auto" w:fill="99B7C6"/>
          </w:tcPr>
          <w:p>
            <w:pPr>
              <w:spacing w:after="0"/>
              <w:rPr>
                <w:sz w:val="13"/>
                <w:szCs w:val="13"/>
                <w:color w:val="auto"/>
              </w:rPr>
            </w:pPr>
          </w:p>
        </w:tc>
        <w:tc>
          <w:tcPr>
            <w:tcW w:w="1400" w:type="dxa"/>
            <w:vAlign w:val="bottom"/>
            <w:shd w:val="clear" w:color="auto" w:fill="99B7C6"/>
          </w:tcPr>
          <w:p>
            <w:pPr>
              <w:spacing w:after="0"/>
              <w:rPr>
                <w:sz w:val="13"/>
                <w:szCs w:val="13"/>
                <w:color w:val="auto"/>
              </w:rPr>
            </w:pPr>
          </w:p>
        </w:tc>
        <w:tc>
          <w:tcPr>
            <w:tcW w:w="1960" w:type="dxa"/>
            <w:vAlign w:val="bottom"/>
            <w:shd w:val="clear" w:color="auto" w:fill="99B7C6"/>
          </w:tcPr>
          <w:p>
            <w:pPr>
              <w:jc w:val="right"/>
              <w:ind w:right="135"/>
              <w:spacing w:after="0"/>
              <w:rPr>
                <w:sz w:val="20"/>
                <w:szCs w:val="20"/>
                <w:color w:val="auto"/>
              </w:rPr>
            </w:pPr>
            <w:r>
              <w:rPr>
                <w:rFonts w:ascii="Arial" w:cs="Arial" w:eastAsia="Arial" w:hAnsi="Arial"/>
                <w:sz w:val="11"/>
                <w:szCs w:val="11"/>
                <w:b w:val="1"/>
                <w:bCs w:val="1"/>
                <w:color w:val="FFFFFF"/>
              </w:rPr>
              <w:t>($)</w:t>
            </w:r>
            <w:r>
              <w:rPr>
                <w:rFonts w:ascii="Arial" w:cs="Arial" w:eastAsia="Arial" w:hAnsi="Arial"/>
                <w:sz w:val="12"/>
                <w:szCs w:val="12"/>
                <w:b w:val="1"/>
                <w:bCs w:val="1"/>
                <w:color w:val="FFFFFF"/>
                <w:vertAlign w:val="superscript"/>
              </w:rPr>
              <w:t>1</w:t>
            </w:r>
          </w:p>
        </w:tc>
        <w:tc>
          <w:tcPr>
            <w:tcW w:w="2140" w:type="dxa"/>
            <w:vAlign w:val="bottom"/>
            <w:shd w:val="clear" w:color="auto" w:fill="99B7C6"/>
          </w:tcPr>
          <w:p>
            <w:pPr>
              <w:jc w:val="right"/>
              <w:ind w:right="515"/>
              <w:spacing w:after="0"/>
              <w:rPr>
                <w:sz w:val="20"/>
                <w:szCs w:val="20"/>
                <w:color w:val="auto"/>
              </w:rPr>
            </w:pPr>
            <w:r>
              <w:rPr>
                <w:rFonts w:ascii="Arial" w:cs="Arial" w:eastAsia="Arial" w:hAnsi="Arial"/>
                <w:sz w:val="11"/>
                <w:szCs w:val="11"/>
                <w:b w:val="1"/>
                <w:bCs w:val="1"/>
                <w:color w:val="FFFFFF"/>
              </w:rPr>
              <w:t>($)</w:t>
            </w:r>
            <w:r>
              <w:rPr>
                <w:rFonts w:ascii="Arial" w:cs="Arial" w:eastAsia="Arial" w:hAnsi="Arial"/>
                <w:sz w:val="12"/>
                <w:szCs w:val="12"/>
                <w:b w:val="1"/>
                <w:bCs w:val="1"/>
                <w:color w:val="FFFFFF"/>
                <w:vertAlign w:val="superscript"/>
              </w:rPr>
              <w:t>2</w:t>
            </w:r>
          </w:p>
        </w:tc>
        <w:tc>
          <w:tcPr>
            <w:tcW w:w="1160" w:type="dxa"/>
            <w:vAlign w:val="bottom"/>
            <w:shd w:val="clear" w:color="auto" w:fill="99B7C6"/>
          </w:tcPr>
          <w:p>
            <w:pPr>
              <w:jc w:val="right"/>
              <w:spacing w:after="0"/>
              <w:rPr>
                <w:sz w:val="20"/>
                <w:szCs w:val="20"/>
                <w:color w:val="auto"/>
              </w:rPr>
            </w:pPr>
            <w:r>
              <w:rPr>
                <w:rFonts w:ascii="Arial" w:cs="Arial" w:eastAsia="Arial" w:hAnsi="Arial"/>
                <w:sz w:val="11"/>
                <w:szCs w:val="11"/>
                <w:b w:val="1"/>
                <w:bCs w:val="1"/>
                <w:color w:val="FFFFFF"/>
              </w:rPr>
              <w:t>($)</w:t>
            </w:r>
          </w:p>
        </w:tc>
      </w:tr>
      <w:tr>
        <w:trPr>
          <w:trHeight w:val="247"/>
        </w:trPr>
        <w:tc>
          <w:tcPr>
            <w:tcW w:w="4280" w:type="dxa"/>
            <w:vAlign w:val="bottom"/>
            <w:gridSpan w:val="2"/>
            <w:shd w:val="clear" w:color="auto" w:fill="E9F0F3"/>
          </w:tcPr>
          <w:p>
            <w:pPr>
              <w:ind w:left="60"/>
              <w:spacing w:after="0"/>
              <w:rPr>
                <w:sz w:val="20"/>
                <w:szCs w:val="20"/>
                <w:color w:val="auto"/>
              </w:rPr>
            </w:pPr>
            <w:r>
              <w:rPr>
                <w:rFonts w:ascii="Arial" w:cs="Arial" w:eastAsia="Arial" w:hAnsi="Arial"/>
                <w:sz w:val="14"/>
                <w:szCs w:val="14"/>
                <w:b w:val="1"/>
                <w:bCs w:val="1"/>
                <w:color w:val="auto"/>
              </w:rPr>
              <w:t>Jesper Andersen</w:t>
            </w:r>
          </w:p>
        </w:tc>
        <w:tc>
          <w:tcPr>
            <w:tcW w:w="1400" w:type="dxa"/>
            <w:vAlign w:val="bottom"/>
            <w:shd w:val="clear" w:color="auto" w:fill="E9F0F3"/>
          </w:tcPr>
          <w:p>
            <w:pPr>
              <w:spacing w:after="0"/>
              <w:rPr>
                <w:sz w:val="21"/>
                <w:szCs w:val="21"/>
                <w:color w:val="auto"/>
              </w:rPr>
            </w:pPr>
          </w:p>
        </w:tc>
        <w:tc>
          <w:tcPr>
            <w:tcW w:w="1960" w:type="dxa"/>
            <w:vAlign w:val="bottom"/>
            <w:shd w:val="clear" w:color="auto" w:fill="E9F0F3"/>
          </w:tcPr>
          <w:p>
            <w:pPr>
              <w:jc w:val="right"/>
              <w:ind w:right="135"/>
              <w:spacing w:after="0"/>
              <w:rPr>
                <w:sz w:val="20"/>
                <w:szCs w:val="20"/>
                <w:color w:val="auto"/>
              </w:rPr>
            </w:pPr>
            <w:r>
              <w:rPr>
                <w:rFonts w:ascii="Arial" w:cs="Arial" w:eastAsia="Arial" w:hAnsi="Arial"/>
                <w:sz w:val="14"/>
                <w:szCs w:val="14"/>
                <w:color w:val="auto"/>
              </w:rPr>
              <w:t>120,000</w:t>
            </w:r>
          </w:p>
        </w:tc>
        <w:tc>
          <w:tcPr>
            <w:tcW w:w="2140" w:type="dxa"/>
            <w:vAlign w:val="bottom"/>
            <w:shd w:val="clear" w:color="auto" w:fill="E9F0F3"/>
          </w:tcPr>
          <w:p>
            <w:pPr>
              <w:jc w:val="right"/>
              <w:ind w:right="515"/>
              <w:spacing w:after="0"/>
              <w:rPr>
                <w:sz w:val="20"/>
                <w:szCs w:val="20"/>
                <w:color w:val="auto"/>
              </w:rPr>
            </w:pPr>
            <w:r>
              <w:rPr>
                <w:rFonts w:ascii="Arial" w:cs="Arial" w:eastAsia="Arial" w:hAnsi="Arial"/>
                <w:sz w:val="14"/>
                <w:szCs w:val="14"/>
                <w:color w:val="auto"/>
              </w:rPr>
              <w:t>180,024</w:t>
            </w:r>
          </w:p>
        </w:tc>
        <w:tc>
          <w:tcPr>
            <w:tcW w:w="1160" w:type="dxa"/>
            <w:vAlign w:val="bottom"/>
            <w:shd w:val="clear" w:color="auto" w:fill="E9F0F3"/>
          </w:tcPr>
          <w:p>
            <w:pPr>
              <w:jc w:val="center"/>
              <w:ind w:left="455"/>
              <w:spacing w:after="0"/>
              <w:rPr>
                <w:sz w:val="20"/>
                <w:szCs w:val="20"/>
                <w:color w:val="auto"/>
              </w:rPr>
            </w:pPr>
            <w:r>
              <w:rPr>
                <w:rFonts w:ascii="Arial" w:cs="Arial" w:eastAsia="Arial" w:hAnsi="Arial"/>
                <w:sz w:val="14"/>
                <w:szCs w:val="14"/>
                <w:color w:val="auto"/>
              </w:rPr>
              <w:t>300,024</w:t>
            </w:r>
          </w:p>
        </w:tc>
      </w:tr>
      <w:tr>
        <w:trPr>
          <w:trHeight w:val="238"/>
        </w:trPr>
        <w:tc>
          <w:tcPr>
            <w:tcW w:w="4280" w:type="dxa"/>
            <w:vAlign w:val="bottom"/>
            <w:gridSpan w:val="2"/>
          </w:tcPr>
          <w:p>
            <w:pPr>
              <w:ind w:left="60"/>
              <w:spacing w:after="0"/>
              <w:rPr>
                <w:sz w:val="20"/>
                <w:szCs w:val="20"/>
                <w:color w:val="auto"/>
              </w:rPr>
            </w:pPr>
            <w:r>
              <w:rPr>
                <w:rFonts w:ascii="Arial" w:cs="Arial" w:eastAsia="Arial" w:hAnsi="Arial"/>
                <w:sz w:val="14"/>
                <w:szCs w:val="14"/>
                <w:b w:val="1"/>
                <w:bCs w:val="1"/>
                <w:color w:val="auto"/>
              </w:rPr>
              <w:t>Ajay Bhalla</w:t>
            </w:r>
          </w:p>
        </w:tc>
        <w:tc>
          <w:tcPr>
            <w:tcW w:w="1400" w:type="dxa"/>
            <w:vAlign w:val="bottom"/>
          </w:tcPr>
          <w:p>
            <w:pPr>
              <w:spacing w:after="0"/>
              <w:rPr>
                <w:sz w:val="20"/>
                <w:szCs w:val="20"/>
                <w:color w:val="auto"/>
              </w:rPr>
            </w:pPr>
          </w:p>
        </w:tc>
        <w:tc>
          <w:tcPr>
            <w:tcW w:w="1960" w:type="dxa"/>
            <w:vAlign w:val="bottom"/>
          </w:tcPr>
          <w:p>
            <w:pPr>
              <w:jc w:val="right"/>
              <w:ind w:right="135"/>
              <w:spacing w:after="0"/>
              <w:rPr>
                <w:sz w:val="20"/>
                <w:szCs w:val="20"/>
                <w:color w:val="auto"/>
              </w:rPr>
            </w:pPr>
            <w:r>
              <w:rPr>
                <w:rFonts w:ascii="Arial" w:cs="Arial" w:eastAsia="Arial" w:hAnsi="Arial"/>
                <w:sz w:val="14"/>
                <w:szCs w:val="14"/>
                <w:color w:val="auto"/>
              </w:rPr>
              <w:t>120,000</w:t>
            </w:r>
          </w:p>
        </w:tc>
        <w:tc>
          <w:tcPr>
            <w:tcW w:w="2140" w:type="dxa"/>
            <w:vAlign w:val="bottom"/>
          </w:tcPr>
          <w:p>
            <w:pPr>
              <w:jc w:val="right"/>
              <w:ind w:right="515"/>
              <w:spacing w:after="0"/>
              <w:rPr>
                <w:sz w:val="20"/>
                <w:szCs w:val="20"/>
                <w:color w:val="auto"/>
              </w:rPr>
            </w:pPr>
            <w:r>
              <w:rPr>
                <w:rFonts w:ascii="Arial" w:cs="Arial" w:eastAsia="Arial" w:hAnsi="Arial"/>
                <w:sz w:val="14"/>
                <w:szCs w:val="14"/>
                <w:color w:val="auto"/>
              </w:rPr>
              <w:t>180,024</w:t>
            </w:r>
          </w:p>
        </w:tc>
        <w:tc>
          <w:tcPr>
            <w:tcW w:w="1160" w:type="dxa"/>
            <w:vAlign w:val="bottom"/>
          </w:tcPr>
          <w:p>
            <w:pPr>
              <w:jc w:val="center"/>
              <w:ind w:left="455"/>
              <w:spacing w:after="0"/>
              <w:rPr>
                <w:sz w:val="20"/>
                <w:szCs w:val="20"/>
                <w:color w:val="auto"/>
              </w:rPr>
            </w:pPr>
            <w:r>
              <w:rPr>
                <w:rFonts w:ascii="Arial" w:cs="Arial" w:eastAsia="Arial" w:hAnsi="Arial"/>
                <w:sz w:val="14"/>
                <w:szCs w:val="14"/>
                <w:color w:val="auto"/>
              </w:rPr>
              <w:t>300,024</w:t>
            </w:r>
          </w:p>
        </w:tc>
      </w:tr>
      <w:tr>
        <w:trPr>
          <w:trHeight w:val="257"/>
        </w:trPr>
        <w:tc>
          <w:tcPr>
            <w:tcW w:w="4280" w:type="dxa"/>
            <w:vAlign w:val="bottom"/>
            <w:gridSpan w:val="2"/>
            <w:shd w:val="clear" w:color="auto" w:fill="E9F0F3"/>
          </w:tcPr>
          <w:p>
            <w:pPr>
              <w:ind w:left="60"/>
              <w:spacing w:after="0"/>
              <w:rPr>
                <w:sz w:val="20"/>
                <w:szCs w:val="20"/>
                <w:color w:val="auto"/>
              </w:rPr>
            </w:pPr>
            <w:r>
              <w:rPr>
                <w:rFonts w:ascii="Arial" w:cs="Arial" w:eastAsia="Arial" w:hAnsi="Arial"/>
                <w:sz w:val="14"/>
                <w:szCs w:val="14"/>
                <w:b w:val="1"/>
                <w:bCs w:val="1"/>
                <w:color w:val="auto"/>
              </w:rPr>
              <w:t>Michael M. Calbert</w:t>
            </w:r>
          </w:p>
        </w:tc>
        <w:tc>
          <w:tcPr>
            <w:tcW w:w="1400" w:type="dxa"/>
            <w:vAlign w:val="bottom"/>
            <w:shd w:val="clear" w:color="auto" w:fill="E9F0F3"/>
          </w:tcPr>
          <w:p>
            <w:pPr>
              <w:spacing w:after="0"/>
              <w:rPr>
                <w:sz w:val="22"/>
                <w:szCs w:val="22"/>
                <w:color w:val="auto"/>
              </w:rPr>
            </w:pPr>
          </w:p>
        </w:tc>
        <w:tc>
          <w:tcPr>
            <w:tcW w:w="1960" w:type="dxa"/>
            <w:vAlign w:val="bottom"/>
            <w:shd w:val="clear" w:color="auto" w:fill="E9F0F3"/>
          </w:tcPr>
          <w:p>
            <w:pPr>
              <w:jc w:val="right"/>
              <w:ind w:right="135"/>
              <w:spacing w:after="0"/>
              <w:rPr>
                <w:sz w:val="20"/>
                <w:szCs w:val="20"/>
                <w:color w:val="auto"/>
              </w:rPr>
            </w:pPr>
            <w:r>
              <w:rPr>
                <w:rFonts w:ascii="Arial" w:cs="Arial" w:eastAsia="Arial" w:hAnsi="Arial"/>
                <w:sz w:val="14"/>
                <w:szCs w:val="14"/>
                <w:color w:val="auto"/>
              </w:rPr>
              <w:t>125,000</w:t>
            </w:r>
          </w:p>
        </w:tc>
        <w:tc>
          <w:tcPr>
            <w:tcW w:w="2140" w:type="dxa"/>
            <w:vAlign w:val="bottom"/>
            <w:shd w:val="clear" w:color="auto" w:fill="E9F0F3"/>
          </w:tcPr>
          <w:p>
            <w:pPr>
              <w:jc w:val="right"/>
              <w:ind w:right="515"/>
              <w:spacing w:after="0"/>
              <w:rPr>
                <w:sz w:val="20"/>
                <w:szCs w:val="20"/>
                <w:color w:val="auto"/>
              </w:rPr>
            </w:pPr>
            <w:r>
              <w:rPr>
                <w:rFonts w:ascii="Arial" w:cs="Arial" w:eastAsia="Arial" w:hAnsi="Arial"/>
                <w:sz w:val="14"/>
                <w:szCs w:val="14"/>
                <w:color w:val="auto"/>
              </w:rPr>
              <w:t>380,086</w:t>
            </w:r>
          </w:p>
        </w:tc>
        <w:tc>
          <w:tcPr>
            <w:tcW w:w="1160" w:type="dxa"/>
            <w:vAlign w:val="bottom"/>
            <w:shd w:val="clear" w:color="auto" w:fill="E9F0F3"/>
          </w:tcPr>
          <w:p>
            <w:pPr>
              <w:jc w:val="center"/>
              <w:ind w:left="455"/>
              <w:spacing w:after="0"/>
              <w:rPr>
                <w:sz w:val="20"/>
                <w:szCs w:val="20"/>
                <w:color w:val="auto"/>
              </w:rPr>
            </w:pPr>
            <w:r>
              <w:rPr>
                <w:rFonts w:ascii="Arial" w:cs="Arial" w:eastAsia="Arial" w:hAnsi="Arial"/>
                <w:sz w:val="14"/>
                <w:szCs w:val="14"/>
                <w:color w:val="auto"/>
              </w:rPr>
              <w:t>505,086</w:t>
            </w:r>
          </w:p>
        </w:tc>
      </w:tr>
      <w:tr>
        <w:trPr>
          <w:trHeight w:val="238"/>
        </w:trPr>
        <w:tc>
          <w:tcPr>
            <w:tcW w:w="4280" w:type="dxa"/>
            <w:vAlign w:val="bottom"/>
            <w:gridSpan w:val="2"/>
          </w:tcPr>
          <w:p>
            <w:pPr>
              <w:ind w:left="60"/>
              <w:spacing w:after="0"/>
              <w:rPr>
                <w:sz w:val="20"/>
                <w:szCs w:val="20"/>
                <w:color w:val="auto"/>
              </w:rPr>
            </w:pPr>
            <w:r>
              <w:rPr>
                <w:rFonts w:ascii="Arial" w:cs="Arial" w:eastAsia="Arial" w:hAnsi="Arial"/>
                <w:sz w:val="14"/>
                <w:szCs w:val="14"/>
                <w:b w:val="1"/>
                <w:bCs w:val="1"/>
                <w:color w:val="auto"/>
              </w:rPr>
              <w:t>Brent Callinicos</w:t>
            </w:r>
          </w:p>
        </w:tc>
        <w:tc>
          <w:tcPr>
            <w:tcW w:w="1400" w:type="dxa"/>
            <w:vAlign w:val="bottom"/>
          </w:tcPr>
          <w:p>
            <w:pPr>
              <w:spacing w:after="0"/>
              <w:rPr>
                <w:sz w:val="20"/>
                <w:szCs w:val="20"/>
                <w:color w:val="auto"/>
              </w:rPr>
            </w:pPr>
          </w:p>
        </w:tc>
        <w:tc>
          <w:tcPr>
            <w:tcW w:w="1960" w:type="dxa"/>
            <w:vAlign w:val="bottom"/>
          </w:tcPr>
          <w:p>
            <w:pPr>
              <w:jc w:val="right"/>
              <w:ind w:right="135"/>
              <w:spacing w:after="0"/>
              <w:rPr>
                <w:sz w:val="20"/>
                <w:szCs w:val="20"/>
                <w:color w:val="auto"/>
              </w:rPr>
            </w:pPr>
            <w:r>
              <w:rPr>
                <w:rFonts w:ascii="Arial" w:cs="Arial" w:eastAsia="Arial" w:hAnsi="Arial"/>
                <w:sz w:val="14"/>
                <w:szCs w:val="14"/>
                <w:color w:val="auto"/>
              </w:rPr>
              <w:t>155,000</w:t>
            </w:r>
          </w:p>
        </w:tc>
        <w:tc>
          <w:tcPr>
            <w:tcW w:w="2140" w:type="dxa"/>
            <w:vAlign w:val="bottom"/>
          </w:tcPr>
          <w:p>
            <w:pPr>
              <w:jc w:val="right"/>
              <w:ind w:right="515"/>
              <w:spacing w:after="0"/>
              <w:rPr>
                <w:sz w:val="20"/>
                <w:szCs w:val="20"/>
                <w:color w:val="auto"/>
              </w:rPr>
            </w:pPr>
            <w:r>
              <w:rPr>
                <w:rFonts w:ascii="Arial" w:cs="Arial" w:eastAsia="Arial" w:hAnsi="Arial"/>
                <w:sz w:val="14"/>
                <w:szCs w:val="14"/>
                <w:color w:val="auto"/>
              </w:rPr>
              <w:t>180,024</w:t>
            </w:r>
          </w:p>
        </w:tc>
        <w:tc>
          <w:tcPr>
            <w:tcW w:w="1160" w:type="dxa"/>
            <w:vAlign w:val="bottom"/>
          </w:tcPr>
          <w:p>
            <w:pPr>
              <w:jc w:val="center"/>
              <w:ind w:left="455"/>
              <w:spacing w:after="0"/>
              <w:rPr>
                <w:sz w:val="20"/>
                <w:szCs w:val="20"/>
                <w:color w:val="auto"/>
              </w:rPr>
            </w:pPr>
            <w:r>
              <w:rPr>
                <w:rFonts w:ascii="Arial" w:cs="Arial" w:eastAsia="Arial" w:hAnsi="Arial"/>
                <w:sz w:val="14"/>
                <w:szCs w:val="14"/>
                <w:color w:val="auto"/>
              </w:rPr>
              <w:t>335,024</w:t>
            </w:r>
          </w:p>
        </w:tc>
      </w:tr>
      <w:tr>
        <w:trPr>
          <w:trHeight w:val="257"/>
        </w:trPr>
        <w:tc>
          <w:tcPr>
            <w:tcW w:w="4280" w:type="dxa"/>
            <w:vAlign w:val="bottom"/>
            <w:gridSpan w:val="2"/>
            <w:shd w:val="clear" w:color="auto" w:fill="E9F0F3"/>
          </w:tcPr>
          <w:p>
            <w:pPr>
              <w:ind w:left="60"/>
              <w:spacing w:after="0"/>
              <w:rPr>
                <w:sz w:val="20"/>
                <w:szCs w:val="20"/>
                <w:color w:val="auto"/>
              </w:rPr>
            </w:pPr>
            <w:r>
              <w:rPr>
                <w:rFonts w:ascii="Arial" w:cs="Arial" w:eastAsia="Arial" w:hAnsi="Arial"/>
                <w:sz w:val="14"/>
                <w:szCs w:val="14"/>
                <w:b w:val="1"/>
                <w:bCs w:val="1"/>
                <w:color w:val="auto"/>
              </w:rPr>
              <w:t>George Cheeks</w:t>
            </w:r>
          </w:p>
        </w:tc>
        <w:tc>
          <w:tcPr>
            <w:tcW w:w="1400" w:type="dxa"/>
            <w:vAlign w:val="bottom"/>
            <w:shd w:val="clear" w:color="auto" w:fill="E9F0F3"/>
          </w:tcPr>
          <w:p>
            <w:pPr>
              <w:spacing w:after="0"/>
              <w:rPr>
                <w:sz w:val="22"/>
                <w:szCs w:val="22"/>
                <w:color w:val="auto"/>
              </w:rPr>
            </w:pPr>
          </w:p>
        </w:tc>
        <w:tc>
          <w:tcPr>
            <w:tcW w:w="1960" w:type="dxa"/>
            <w:vAlign w:val="bottom"/>
            <w:shd w:val="clear" w:color="auto" w:fill="E9F0F3"/>
          </w:tcPr>
          <w:p>
            <w:pPr>
              <w:jc w:val="right"/>
              <w:ind w:right="135"/>
              <w:spacing w:after="0"/>
              <w:rPr>
                <w:sz w:val="20"/>
                <w:szCs w:val="20"/>
                <w:color w:val="auto"/>
              </w:rPr>
            </w:pPr>
            <w:r>
              <w:rPr>
                <w:rFonts w:ascii="Arial" w:cs="Arial" w:eastAsia="Arial" w:hAnsi="Arial"/>
                <w:sz w:val="14"/>
                <w:szCs w:val="14"/>
                <w:color w:val="auto"/>
              </w:rPr>
              <w:t>125,000</w:t>
            </w:r>
          </w:p>
        </w:tc>
        <w:tc>
          <w:tcPr>
            <w:tcW w:w="2140" w:type="dxa"/>
            <w:vAlign w:val="bottom"/>
            <w:shd w:val="clear" w:color="auto" w:fill="E9F0F3"/>
          </w:tcPr>
          <w:p>
            <w:pPr>
              <w:jc w:val="right"/>
              <w:ind w:right="515"/>
              <w:spacing w:after="0"/>
              <w:rPr>
                <w:sz w:val="20"/>
                <w:szCs w:val="20"/>
                <w:color w:val="auto"/>
              </w:rPr>
            </w:pPr>
            <w:r>
              <w:rPr>
                <w:rFonts w:ascii="Arial" w:cs="Arial" w:eastAsia="Arial" w:hAnsi="Arial"/>
                <w:sz w:val="14"/>
                <w:szCs w:val="14"/>
                <w:color w:val="auto"/>
              </w:rPr>
              <w:t>180,024</w:t>
            </w:r>
          </w:p>
        </w:tc>
        <w:tc>
          <w:tcPr>
            <w:tcW w:w="1160" w:type="dxa"/>
            <w:vAlign w:val="bottom"/>
            <w:shd w:val="clear" w:color="auto" w:fill="E9F0F3"/>
          </w:tcPr>
          <w:p>
            <w:pPr>
              <w:jc w:val="center"/>
              <w:ind w:left="455"/>
              <w:spacing w:after="0"/>
              <w:rPr>
                <w:sz w:val="20"/>
                <w:szCs w:val="20"/>
                <w:color w:val="auto"/>
              </w:rPr>
            </w:pPr>
            <w:r>
              <w:rPr>
                <w:rFonts w:ascii="Arial" w:cs="Arial" w:eastAsia="Arial" w:hAnsi="Arial"/>
                <w:sz w:val="14"/>
                <w:szCs w:val="14"/>
                <w:color w:val="auto"/>
              </w:rPr>
              <w:t>305,024</w:t>
            </w:r>
          </w:p>
        </w:tc>
      </w:tr>
      <w:tr>
        <w:trPr>
          <w:trHeight w:val="238"/>
        </w:trPr>
        <w:tc>
          <w:tcPr>
            <w:tcW w:w="4280" w:type="dxa"/>
            <w:vAlign w:val="bottom"/>
            <w:gridSpan w:val="2"/>
          </w:tcPr>
          <w:p>
            <w:pPr>
              <w:ind w:left="60"/>
              <w:spacing w:after="0"/>
              <w:rPr>
                <w:sz w:val="20"/>
                <w:szCs w:val="20"/>
                <w:color w:val="auto"/>
              </w:rPr>
            </w:pPr>
            <w:r>
              <w:rPr>
                <w:rFonts w:ascii="Arial" w:cs="Arial" w:eastAsia="Arial" w:hAnsi="Arial"/>
                <w:sz w:val="14"/>
                <w:szCs w:val="14"/>
                <w:b w:val="1"/>
                <w:bCs w:val="1"/>
                <w:color w:val="auto"/>
              </w:rPr>
              <w:t>Kate Gulliver</w:t>
            </w:r>
          </w:p>
        </w:tc>
        <w:tc>
          <w:tcPr>
            <w:tcW w:w="1400" w:type="dxa"/>
            <w:vAlign w:val="bottom"/>
          </w:tcPr>
          <w:p>
            <w:pPr>
              <w:spacing w:after="0"/>
              <w:rPr>
                <w:sz w:val="20"/>
                <w:szCs w:val="20"/>
                <w:color w:val="auto"/>
              </w:rPr>
            </w:pPr>
          </w:p>
        </w:tc>
        <w:tc>
          <w:tcPr>
            <w:tcW w:w="1960" w:type="dxa"/>
            <w:vAlign w:val="bottom"/>
          </w:tcPr>
          <w:p>
            <w:pPr>
              <w:jc w:val="right"/>
              <w:ind w:right="135"/>
              <w:spacing w:after="0"/>
              <w:rPr>
                <w:sz w:val="20"/>
                <w:szCs w:val="20"/>
                <w:color w:val="auto"/>
              </w:rPr>
            </w:pPr>
            <w:r>
              <w:rPr>
                <w:rFonts w:ascii="Arial" w:cs="Arial" w:eastAsia="Arial" w:hAnsi="Arial"/>
                <w:sz w:val="14"/>
                <w:szCs w:val="14"/>
                <w:color w:val="auto"/>
              </w:rPr>
              <w:t>120,000</w:t>
            </w:r>
          </w:p>
        </w:tc>
        <w:tc>
          <w:tcPr>
            <w:tcW w:w="2140" w:type="dxa"/>
            <w:vAlign w:val="bottom"/>
          </w:tcPr>
          <w:p>
            <w:pPr>
              <w:jc w:val="right"/>
              <w:ind w:right="515"/>
              <w:spacing w:after="0"/>
              <w:rPr>
                <w:sz w:val="20"/>
                <w:szCs w:val="20"/>
                <w:color w:val="auto"/>
              </w:rPr>
            </w:pPr>
            <w:r>
              <w:rPr>
                <w:rFonts w:ascii="Arial" w:cs="Arial" w:eastAsia="Arial" w:hAnsi="Arial"/>
                <w:sz w:val="14"/>
                <w:szCs w:val="14"/>
                <w:color w:val="auto"/>
              </w:rPr>
              <w:t>180,024</w:t>
            </w:r>
          </w:p>
        </w:tc>
        <w:tc>
          <w:tcPr>
            <w:tcW w:w="1160" w:type="dxa"/>
            <w:vAlign w:val="bottom"/>
          </w:tcPr>
          <w:p>
            <w:pPr>
              <w:jc w:val="center"/>
              <w:ind w:left="455"/>
              <w:spacing w:after="0"/>
              <w:rPr>
                <w:sz w:val="20"/>
                <w:szCs w:val="20"/>
                <w:color w:val="auto"/>
              </w:rPr>
            </w:pPr>
            <w:r>
              <w:rPr>
                <w:rFonts w:ascii="Arial" w:cs="Arial" w:eastAsia="Arial" w:hAnsi="Arial"/>
                <w:sz w:val="14"/>
                <w:szCs w:val="14"/>
                <w:color w:val="auto"/>
              </w:rPr>
              <w:t>300,024</w:t>
            </w:r>
          </w:p>
        </w:tc>
      </w:tr>
      <w:tr>
        <w:trPr>
          <w:trHeight w:val="257"/>
        </w:trPr>
        <w:tc>
          <w:tcPr>
            <w:tcW w:w="4280" w:type="dxa"/>
            <w:vAlign w:val="bottom"/>
            <w:gridSpan w:val="2"/>
            <w:shd w:val="clear" w:color="auto" w:fill="E9F0F3"/>
          </w:tcPr>
          <w:p>
            <w:pPr>
              <w:ind w:left="60"/>
              <w:spacing w:after="0"/>
              <w:rPr>
                <w:sz w:val="20"/>
                <w:szCs w:val="20"/>
                <w:color w:val="auto"/>
              </w:rPr>
            </w:pPr>
            <w:r>
              <w:rPr>
                <w:rFonts w:ascii="Arial" w:cs="Arial" w:eastAsia="Arial" w:hAnsi="Arial"/>
                <w:sz w:val="14"/>
                <w:szCs w:val="14"/>
                <w:b w:val="1"/>
                <w:bCs w:val="1"/>
                <w:color w:val="auto"/>
              </w:rPr>
              <w:t>G. Penny McIntyre</w:t>
            </w:r>
          </w:p>
        </w:tc>
        <w:tc>
          <w:tcPr>
            <w:tcW w:w="1400" w:type="dxa"/>
            <w:vAlign w:val="bottom"/>
            <w:shd w:val="clear" w:color="auto" w:fill="E9F0F3"/>
          </w:tcPr>
          <w:p>
            <w:pPr>
              <w:spacing w:after="0"/>
              <w:rPr>
                <w:sz w:val="22"/>
                <w:szCs w:val="22"/>
                <w:color w:val="auto"/>
              </w:rPr>
            </w:pPr>
          </w:p>
        </w:tc>
        <w:tc>
          <w:tcPr>
            <w:tcW w:w="1960" w:type="dxa"/>
            <w:vAlign w:val="bottom"/>
            <w:shd w:val="clear" w:color="auto" w:fill="E9F0F3"/>
          </w:tcPr>
          <w:p>
            <w:pPr>
              <w:jc w:val="right"/>
              <w:ind w:right="135"/>
              <w:spacing w:after="0"/>
              <w:rPr>
                <w:sz w:val="20"/>
                <w:szCs w:val="20"/>
                <w:color w:val="auto"/>
              </w:rPr>
            </w:pPr>
            <w:r>
              <w:rPr>
                <w:rFonts w:ascii="Arial" w:cs="Arial" w:eastAsia="Arial" w:hAnsi="Arial"/>
                <w:sz w:val="14"/>
                <w:szCs w:val="14"/>
                <w:color w:val="auto"/>
              </w:rPr>
              <w:t>125,000</w:t>
            </w:r>
          </w:p>
        </w:tc>
        <w:tc>
          <w:tcPr>
            <w:tcW w:w="2140" w:type="dxa"/>
            <w:vAlign w:val="bottom"/>
            <w:shd w:val="clear" w:color="auto" w:fill="E9F0F3"/>
          </w:tcPr>
          <w:p>
            <w:pPr>
              <w:jc w:val="right"/>
              <w:ind w:right="515"/>
              <w:spacing w:after="0"/>
              <w:rPr>
                <w:sz w:val="20"/>
                <w:szCs w:val="20"/>
                <w:color w:val="auto"/>
              </w:rPr>
            </w:pPr>
            <w:r>
              <w:rPr>
                <w:rFonts w:ascii="Arial" w:cs="Arial" w:eastAsia="Arial" w:hAnsi="Arial"/>
                <w:sz w:val="14"/>
                <w:szCs w:val="14"/>
                <w:color w:val="auto"/>
              </w:rPr>
              <w:t>180,024</w:t>
            </w:r>
          </w:p>
        </w:tc>
        <w:tc>
          <w:tcPr>
            <w:tcW w:w="1160" w:type="dxa"/>
            <w:vAlign w:val="bottom"/>
            <w:shd w:val="clear" w:color="auto" w:fill="E9F0F3"/>
          </w:tcPr>
          <w:p>
            <w:pPr>
              <w:jc w:val="center"/>
              <w:ind w:left="455"/>
              <w:spacing w:after="0"/>
              <w:rPr>
                <w:sz w:val="20"/>
                <w:szCs w:val="20"/>
                <w:color w:val="auto"/>
              </w:rPr>
            </w:pPr>
            <w:r>
              <w:rPr>
                <w:rFonts w:ascii="Arial" w:cs="Arial" w:eastAsia="Arial" w:hAnsi="Arial"/>
                <w:sz w:val="14"/>
                <w:szCs w:val="14"/>
                <w:color w:val="auto"/>
              </w:rPr>
              <w:t>305,024</w:t>
            </w:r>
          </w:p>
        </w:tc>
      </w:tr>
      <w:tr>
        <w:trPr>
          <w:trHeight w:val="238"/>
        </w:trPr>
        <w:tc>
          <w:tcPr>
            <w:tcW w:w="4280" w:type="dxa"/>
            <w:vAlign w:val="bottom"/>
            <w:gridSpan w:val="2"/>
          </w:tcPr>
          <w:p>
            <w:pPr>
              <w:ind w:left="60"/>
              <w:spacing w:after="0"/>
              <w:rPr>
                <w:sz w:val="20"/>
                <w:szCs w:val="20"/>
                <w:color w:val="auto"/>
              </w:rPr>
            </w:pPr>
            <w:r>
              <w:rPr>
                <w:rFonts w:ascii="Arial" w:cs="Arial" w:eastAsia="Arial" w:hAnsi="Arial"/>
                <w:sz w:val="14"/>
                <w:szCs w:val="14"/>
                <w:b w:val="1"/>
                <w:bCs w:val="1"/>
                <w:color w:val="auto"/>
              </w:rPr>
              <w:t>Amy McPherson</w:t>
            </w:r>
          </w:p>
        </w:tc>
        <w:tc>
          <w:tcPr>
            <w:tcW w:w="1400" w:type="dxa"/>
            <w:vAlign w:val="bottom"/>
          </w:tcPr>
          <w:p>
            <w:pPr>
              <w:spacing w:after="0"/>
              <w:rPr>
                <w:sz w:val="20"/>
                <w:szCs w:val="20"/>
                <w:color w:val="auto"/>
              </w:rPr>
            </w:pPr>
          </w:p>
        </w:tc>
        <w:tc>
          <w:tcPr>
            <w:tcW w:w="1960" w:type="dxa"/>
            <w:vAlign w:val="bottom"/>
          </w:tcPr>
          <w:p>
            <w:pPr>
              <w:jc w:val="right"/>
              <w:ind w:right="135"/>
              <w:spacing w:after="0"/>
              <w:rPr>
                <w:sz w:val="20"/>
                <w:szCs w:val="20"/>
                <w:color w:val="auto"/>
              </w:rPr>
            </w:pPr>
            <w:r>
              <w:rPr>
                <w:rFonts w:ascii="Arial" w:cs="Arial" w:eastAsia="Arial" w:hAnsi="Arial"/>
                <w:sz w:val="14"/>
                <w:szCs w:val="14"/>
                <w:color w:val="auto"/>
              </w:rPr>
              <w:t>145,000</w:t>
            </w:r>
          </w:p>
        </w:tc>
        <w:tc>
          <w:tcPr>
            <w:tcW w:w="2140" w:type="dxa"/>
            <w:vAlign w:val="bottom"/>
          </w:tcPr>
          <w:p>
            <w:pPr>
              <w:jc w:val="right"/>
              <w:ind w:right="515"/>
              <w:spacing w:after="0"/>
              <w:rPr>
                <w:sz w:val="20"/>
                <w:szCs w:val="20"/>
                <w:color w:val="auto"/>
              </w:rPr>
            </w:pPr>
            <w:r>
              <w:rPr>
                <w:rFonts w:ascii="Arial" w:cs="Arial" w:eastAsia="Arial" w:hAnsi="Arial"/>
                <w:sz w:val="14"/>
                <w:szCs w:val="14"/>
                <w:color w:val="auto"/>
              </w:rPr>
              <w:t>180,024</w:t>
            </w:r>
          </w:p>
        </w:tc>
        <w:tc>
          <w:tcPr>
            <w:tcW w:w="1160" w:type="dxa"/>
            <w:vAlign w:val="bottom"/>
          </w:tcPr>
          <w:p>
            <w:pPr>
              <w:jc w:val="center"/>
              <w:ind w:left="455"/>
              <w:spacing w:after="0"/>
              <w:rPr>
                <w:sz w:val="20"/>
                <w:szCs w:val="20"/>
                <w:color w:val="auto"/>
              </w:rPr>
            </w:pPr>
            <w:r>
              <w:rPr>
                <w:rFonts w:ascii="Arial" w:cs="Arial" w:eastAsia="Arial" w:hAnsi="Arial"/>
                <w:sz w:val="14"/>
                <w:szCs w:val="14"/>
                <w:color w:val="auto"/>
              </w:rPr>
              <w:t>325,024</w:t>
            </w:r>
          </w:p>
        </w:tc>
      </w:tr>
      <w:tr>
        <w:trPr>
          <w:trHeight w:val="257"/>
        </w:trPr>
        <w:tc>
          <w:tcPr>
            <w:tcW w:w="4280" w:type="dxa"/>
            <w:vAlign w:val="bottom"/>
            <w:gridSpan w:val="2"/>
            <w:shd w:val="clear" w:color="auto" w:fill="E9F0F3"/>
          </w:tcPr>
          <w:p>
            <w:pPr>
              <w:ind w:left="60"/>
              <w:spacing w:after="0"/>
              <w:rPr>
                <w:sz w:val="20"/>
                <w:szCs w:val="20"/>
                <w:color w:val="auto"/>
              </w:rPr>
            </w:pPr>
            <w:r>
              <w:rPr>
                <w:rFonts w:ascii="Arial" w:cs="Arial" w:eastAsia="Arial" w:hAnsi="Arial"/>
                <w:sz w:val="14"/>
                <w:szCs w:val="14"/>
                <w:b w:val="1"/>
                <w:bCs w:val="1"/>
                <w:color w:val="auto"/>
              </w:rPr>
              <w:t>Amanda Sourry</w:t>
            </w:r>
          </w:p>
        </w:tc>
        <w:tc>
          <w:tcPr>
            <w:tcW w:w="1400" w:type="dxa"/>
            <w:vAlign w:val="bottom"/>
            <w:shd w:val="clear" w:color="auto" w:fill="E9F0F3"/>
          </w:tcPr>
          <w:p>
            <w:pPr>
              <w:spacing w:after="0"/>
              <w:rPr>
                <w:sz w:val="22"/>
                <w:szCs w:val="22"/>
                <w:color w:val="auto"/>
              </w:rPr>
            </w:pPr>
          </w:p>
        </w:tc>
        <w:tc>
          <w:tcPr>
            <w:tcW w:w="1960" w:type="dxa"/>
            <w:vAlign w:val="bottom"/>
            <w:shd w:val="clear" w:color="auto" w:fill="E9F0F3"/>
          </w:tcPr>
          <w:p>
            <w:pPr>
              <w:jc w:val="right"/>
              <w:ind w:right="135"/>
              <w:spacing w:after="0"/>
              <w:rPr>
                <w:sz w:val="20"/>
                <w:szCs w:val="20"/>
                <w:color w:val="auto"/>
              </w:rPr>
            </w:pPr>
            <w:r>
              <w:rPr>
                <w:rFonts w:ascii="Arial" w:cs="Arial" w:eastAsia="Arial" w:hAnsi="Arial"/>
                <w:sz w:val="14"/>
                <w:szCs w:val="14"/>
                <w:color w:val="auto"/>
              </w:rPr>
              <w:t>145,000</w:t>
            </w:r>
          </w:p>
        </w:tc>
        <w:tc>
          <w:tcPr>
            <w:tcW w:w="2140" w:type="dxa"/>
            <w:vAlign w:val="bottom"/>
            <w:shd w:val="clear" w:color="auto" w:fill="E9F0F3"/>
          </w:tcPr>
          <w:p>
            <w:pPr>
              <w:jc w:val="right"/>
              <w:ind w:right="515"/>
              <w:spacing w:after="0"/>
              <w:rPr>
                <w:sz w:val="20"/>
                <w:szCs w:val="20"/>
                <w:color w:val="auto"/>
              </w:rPr>
            </w:pPr>
            <w:r>
              <w:rPr>
                <w:rFonts w:ascii="Arial" w:cs="Arial" w:eastAsia="Arial" w:hAnsi="Arial"/>
                <w:sz w:val="14"/>
                <w:szCs w:val="14"/>
                <w:color w:val="auto"/>
              </w:rPr>
              <w:t>180,024</w:t>
            </w:r>
          </w:p>
        </w:tc>
        <w:tc>
          <w:tcPr>
            <w:tcW w:w="1160" w:type="dxa"/>
            <w:vAlign w:val="bottom"/>
            <w:shd w:val="clear" w:color="auto" w:fill="E9F0F3"/>
          </w:tcPr>
          <w:p>
            <w:pPr>
              <w:jc w:val="center"/>
              <w:ind w:left="455"/>
              <w:spacing w:after="0"/>
              <w:rPr>
                <w:sz w:val="20"/>
                <w:szCs w:val="20"/>
                <w:color w:val="auto"/>
              </w:rPr>
            </w:pPr>
            <w:r>
              <w:rPr>
                <w:rFonts w:ascii="Arial" w:cs="Arial" w:eastAsia="Arial" w:hAnsi="Arial"/>
                <w:sz w:val="14"/>
                <w:szCs w:val="14"/>
                <w:color w:val="auto"/>
              </w:rPr>
              <w:t>325,024</w:t>
            </w:r>
          </w:p>
        </w:tc>
      </w:tr>
      <w:tr>
        <w:trPr>
          <w:trHeight w:val="323"/>
        </w:trPr>
        <w:tc>
          <w:tcPr>
            <w:tcW w:w="4280" w:type="dxa"/>
            <w:vAlign w:val="bottom"/>
            <w:gridSpan w:val="2"/>
          </w:tcPr>
          <w:p>
            <w:pPr>
              <w:ind w:left="20"/>
              <w:spacing w:after="0"/>
              <w:rPr>
                <w:sz w:val="20"/>
                <w:szCs w:val="20"/>
                <w:color w:val="auto"/>
              </w:rPr>
            </w:pPr>
            <w:r>
              <w:rPr>
                <w:rFonts w:ascii="Arial" w:cs="Arial" w:eastAsia="Arial" w:hAnsi="Arial"/>
                <w:sz w:val="13"/>
                <w:szCs w:val="13"/>
                <w:color w:val="auto"/>
                <w:w w:val="99"/>
              </w:rPr>
              <w:t>1  The fees earned or paid in cash to the directors consist of the following:</w:t>
            </w:r>
          </w:p>
        </w:tc>
        <w:tc>
          <w:tcPr>
            <w:tcW w:w="1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37"/>
        </w:trPr>
        <w:tc>
          <w:tcPr>
            <w:tcW w:w="24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50"/>
        </w:trPr>
        <w:tc>
          <w:tcPr>
            <w:tcW w:w="240" w:type="dxa"/>
            <w:vAlign w:val="bottom"/>
          </w:tcPr>
          <w:p>
            <w:pPr>
              <w:spacing w:after="0"/>
              <w:rPr>
                <w:sz w:val="13"/>
                <w:szCs w:val="13"/>
                <w:color w:val="auto"/>
              </w:rPr>
            </w:pPr>
          </w:p>
        </w:tc>
        <w:tc>
          <w:tcPr>
            <w:tcW w:w="4040" w:type="dxa"/>
            <w:vAlign w:val="bottom"/>
            <w:shd w:val="clear" w:color="auto" w:fill="D1D3D4"/>
          </w:tcPr>
          <w:p>
            <w:pPr>
              <w:spacing w:after="0"/>
              <w:rPr>
                <w:sz w:val="13"/>
                <w:szCs w:val="13"/>
                <w:color w:val="auto"/>
              </w:rPr>
            </w:pPr>
          </w:p>
        </w:tc>
        <w:tc>
          <w:tcPr>
            <w:tcW w:w="1400" w:type="dxa"/>
            <w:vAlign w:val="bottom"/>
            <w:shd w:val="clear" w:color="auto" w:fill="D1D3D4"/>
          </w:tcPr>
          <w:p>
            <w:pPr>
              <w:jc w:val="right"/>
              <w:ind w:right="219"/>
              <w:spacing w:after="0"/>
              <w:rPr>
                <w:sz w:val="20"/>
                <w:szCs w:val="20"/>
                <w:color w:val="auto"/>
              </w:rPr>
            </w:pPr>
            <w:r>
              <w:rPr>
                <w:rFonts w:ascii="Arial" w:cs="Arial" w:eastAsia="Arial" w:hAnsi="Arial"/>
                <w:sz w:val="11"/>
                <w:szCs w:val="11"/>
                <w:color w:val="auto"/>
              </w:rPr>
              <w:t>Annual Director Fee</w:t>
            </w:r>
          </w:p>
        </w:tc>
        <w:tc>
          <w:tcPr>
            <w:tcW w:w="1960" w:type="dxa"/>
            <w:vAlign w:val="bottom"/>
            <w:shd w:val="clear" w:color="auto" w:fill="D1D3D4"/>
          </w:tcPr>
          <w:p>
            <w:pPr>
              <w:jc w:val="right"/>
              <w:ind w:right="335"/>
              <w:spacing w:after="0"/>
              <w:rPr>
                <w:sz w:val="20"/>
                <w:szCs w:val="20"/>
                <w:color w:val="auto"/>
              </w:rPr>
            </w:pPr>
            <w:r>
              <w:rPr>
                <w:rFonts w:ascii="Arial" w:cs="Arial" w:eastAsia="Arial" w:hAnsi="Arial"/>
                <w:sz w:val="11"/>
                <w:szCs w:val="11"/>
                <w:color w:val="auto"/>
              </w:rPr>
              <w:t>Committee Chair Fees</w:t>
            </w:r>
          </w:p>
        </w:tc>
        <w:tc>
          <w:tcPr>
            <w:tcW w:w="2140" w:type="dxa"/>
            <w:vAlign w:val="bottom"/>
            <w:shd w:val="clear" w:color="auto" w:fill="D1D3D4"/>
          </w:tcPr>
          <w:p>
            <w:pPr>
              <w:jc w:val="right"/>
              <w:ind w:right="635"/>
              <w:spacing w:after="0"/>
              <w:rPr>
                <w:sz w:val="20"/>
                <w:szCs w:val="20"/>
                <w:color w:val="auto"/>
              </w:rPr>
            </w:pPr>
            <w:r>
              <w:rPr>
                <w:rFonts w:ascii="Arial" w:cs="Arial" w:eastAsia="Arial" w:hAnsi="Arial"/>
                <w:sz w:val="11"/>
                <w:szCs w:val="11"/>
                <w:color w:val="auto"/>
              </w:rPr>
              <w:t>Committee Member Fees</w:t>
            </w:r>
          </w:p>
        </w:tc>
        <w:tc>
          <w:tcPr>
            <w:tcW w:w="1160" w:type="dxa"/>
            <w:vAlign w:val="bottom"/>
            <w:shd w:val="clear" w:color="auto" w:fill="D1D3D4"/>
          </w:tcPr>
          <w:p>
            <w:pPr>
              <w:jc w:val="right"/>
              <w:ind w:right="15"/>
              <w:spacing w:after="0"/>
              <w:rPr>
                <w:sz w:val="20"/>
                <w:szCs w:val="20"/>
                <w:color w:val="auto"/>
              </w:rPr>
            </w:pPr>
            <w:r>
              <w:rPr>
                <w:rFonts w:ascii="Arial" w:cs="Arial" w:eastAsia="Arial" w:hAnsi="Arial"/>
                <w:sz w:val="11"/>
                <w:szCs w:val="11"/>
                <w:color w:val="auto"/>
              </w:rPr>
              <w:t>Total</w:t>
            </w:r>
          </w:p>
        </w:tc>
      </w:tr>
      <w:tr>
        <w:trPr>
          <w:trHeight w:val="148"/>
        </w:trPr>
        <w:tc>
          <w:tcPr>
            <w:tcW w:w="240" w:type="dxa"/>
            <w:vAlign w:val="bottom"/>
          </w:tcPr>
          <w:p>
            <w:pPr>
              <w:spacing w:after="0"/>
              <w:rPr>
                <w:sz w:val="12"/>
                <w:szCs w:val="12"/>
                <w:color w:val="auto"/>
              </w:rPr>
            </w:pPr>
          </w:p>
        </w:tc>
        <w:tc>
          <w:tcPr>
            <w:tcW w:w="4040" w:type="dxa"/>
            <w:vAlign w:val="bottom"/>
            <w:tcBorders>
              <w:bottom w:val="single" w:sz="8" w:color="D1D3D4"/>
            </w:tcBorders>
            <w:shd w:val="clear" w:color="auto" w:fill="D1D3D4"/>
          </w:tcPr>
          <w:p>
            <w:pPr>
              <w:spacing w:after="0"/>
              <w:rPr>
                <w:sz w:val="12"/>
                <w:szCs w:val="12"/>
                <w:color w:val="auto"/>
              </w:rPr>
            </w:pPr>
          </w:p>
        </w:tc>
        <w:tc>
          <w:tcPr>
            <w:tcW w:w="1400" w:type="dxa"/>
            <w:vAlign w:val="bottom"/>
            <w:tcBorders>
              <w:bottom w:val="single" w:sz="8" w:color="D1D3D4"/>
            </w:tcBorders>
            <w:shd w:val="clear" w:color="auto" w:fill="D1D3D4"/>
          </w:tcPr>
          <w:p>
            <w:pPr>
              <w:jc w:val="right"/>
              <w:ind w:right="199"/>
              <w:spacing w:after="0"/>
              <w:rPr>
                <w:sz w:val="20"/>
                <w:szCs w:val="20"/>
                <w:color w:val="auto"/>
              </w:rPr>
            </w:pPr>
            <w:r>
              <w:rPr>
                <w:rFonts w:ascii="Arial" w:cs="Arial" w:eastAsia="Arial" w:hAnsi="Arial"/>
                <w:sz w:val="11"/>
                <w:szCs w:val="11"/>
                <w:color w:val="auto"/>
              </w:rPr>
              <w:t>($)</w:t>
            </w:r>
          </w:p>
        </w:tc>
        <w:tc>
          <w:tcPr>
            <w:tcW w:w="1960" w:type="dxa"/>
            <w:vAlign w:val="bottom"/>
            <w:tcBorders>
              <w:bottom w:val="single" w:sz="8" w:color="D1D3D4"/>
            </w:tcBorders>
            <w:shd w:val="clear" w:color="auto" w:fill="D1D3D4"/>
          </w:tcPr>
          <w:p>
            <w:pPr>
              <w:jc w:val="right"/>
              <w:ind w:right="295"/>
              <w:spacing w:after="0"/>
              <w:rPr>
                <w:sz w:val="20"/>
                <w:szCs w:val="20"/>
                <w:color w:val="auto"/>
              </w:rPr>
            </w:pPr>
            <w:r>
              <w:rPr>
                <w:rFonts w:ascii="Arial" w:cs="Arial" w:eastAsia="Arial" w:hAnsi="Arial"/>
                <w:sz w:val="11"/>
                <w:szCs w:val="11"/>
                <w:color w:val="auto"/>
              </w:rPr>
              <w:t>($)</w:t>
            </w:r>
          </w:p>
        </w:tc>
        <w:tc>
          <w:tcPr>
            <w:tcW w:w="2140" w:type="dxa"/>
            <w:vAlign w:val="bottom"/>
            <w:tcBorders>
              <w:bottom w:val="single" w:sz="8" w:color="D1D3D4"/>
            </w:tcBorders>
            <w:shd w:val="clear" w:color="auto" w:fill="D1D3D4"/>
          </w:tcPr>
          <w:p>
            <w:pPr>
              <w:jc w:val="right"/>
              <w:ind w:right="595"/>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D1D3D4"/>
            </w:tcBorders>
            <w:shd w:val="clear" w:color="auto" w:fill="D1D3D4"/>
          </w:tcPr>
          <w:p>
            <w:pPr>
              <w:jc w:val="right"/>
              <w:ind w:right="15"/>
              <w:spacing w:after="0"/>
              <w:rPr>
                <w:sz w:val="20"/>
                <w:szCs w:val="20"/>
                <w:color w:val="auto"/>
              </w:rPr>
            </w:pPr>
            <w:r>
              <w:rPr>
                <w:rFonts w:ascii="Arial" w:cs="Arial" w:eastAsia="Arial" w:hAnsi="Arial"/>
                <w:sz w:val="11"/>
                <w:szCs w:val="11"/>
                <w:color w:val="auto"/>
              </w:rPr>
              <w:t>($)</w:t>
            </w:r>
          </w:p>
        </w:tc>
      </w:tr>
      <w:tr>
        <w:trPr>
          <w:trHeight w:val="224"/>
        </w:trPr>
        <w:tc>
          <w:tcPr>
            <w:tcW w:w="240" w:type="dxa"/>
            <w:vAlign w:val="bottom"/>
          </w:tcPr>
          <w:p>
            <w:pPr>
              <w:spacing w:after="0"/>
              <w:rPr>
                <w:sz w:val="19"/>
                <w:szCs w:val="19"/>
                <w:color w:val="auto"/>
              </w:rPr>
            </w:pPr>
          </w:p>
        </w:tc>
        <w:tc>
          <w:tcPr>
            <w:tcW w:w="4040" w:type="dxa"/>
            <w:vAlign w:val="bottom"/>
            <w:shd w:val="clear" w:color="auto" w:fill="F1F2F2"/>
          </w:tcPr>
          <w:p>
            <w:pPr>
              <w:ind w:left="40"/>
              <w:spacing w:after="0"/>
              <w:rPr>
                <w:sz w:val="20"/>
                <w:szCs w:val="20"/>
                <w:color w:val="auto"/>
              </w:rPr>
            </w:pPr>
            <w:r>
              <w:rPr>
                <w:rFonts w:ascii="Arial" w:cs="Arial" w:eastAsia="Arial" w:hAnsi="Arial"/>
                <w:sz w:val="13"/>
                <w:szCs w:val="13"/>
                <w:b w:val="1"/>
                <w:bCs w:val="1"/>
                <w:color w:val="auto"/>
              </w:rPr>
              <w:t>Jesper Andersen</w:t>
            </w:r>
          </w:p>
        </w:tc>
        <w:tc>
          <w:tcPr>
            <w:tcW w:w="1400" w:type="dxa"/>
            <w:vAlign w:val="bottom"/>
            <w:shd w:val="clear" w:color="auto" w:fill="F1F2F2"/>
          </w:tcPr>
          <w:p>
            <w:pPr>
              <w:jc w:val="right"/>
              <w:ind w:right="199"/>
              <w:spacing w:after="0"/>
              <w:rPr>
                <w:sz w:val="20"/>
                <w:szCs w:val="20"/>
                <w:color w:val="auto"/>
              </w:rPr>
            </w:pPr>
            <w:r>
              <w:rPr>
                <w:rFonts w:ascii="Arial" w:cs="Arial" w:eastAsia="Arial" w:hAnsi="Arial"/>
                <w:sz w:val="13"/>
                <w:szCs w:val="13"/>
                <w:color w:val="auto"/>
              </w:rPr>
              <w:t>100,000</w:t>
            </w:r>
          </w:p>
        </w:tc>
        <w:tc>
          <w:tcPr>
            <w:tcW w:w="1960" w:type="dxa"/>
            <w:vAlign w:val="bottom"/>
            <w:shd w:val="clear" w:color="auto" w:fill="F1F2F2"/>
          </w:tcPr>
          <w:p>
            <w:pPr>
              <w:jc w:val="right"/>
              <w:ind w:right="295"/>
              <w:spacing w:after="0"/>
              <w:rPr>
                <w:sz w:val="20"/>
                <w:szCs w:val="20"/>
                <w:color w:val="auto"/>
              </w:rPr>
            </w:pPr>
            <w:r>
              <w:rPr>
                <w:rFonts w:ascii="Arial" w:cs="Arial" w:eastAsia="Arial" w:hAnsi="Arial"/>
                <w:sz w:val="13"/>
                <w:szCs w:val="13"/>
                <w:color w:val="auto"/>
              </w:rPr>
              <w:t>N/A</w:t>
            </w:r>
          </w:p>
        </w:tc>
        <w:tc>
          <w:tcPr>
            <w:tcW w:w="2140" w:type="dxa"/>
            <w:vAlign w:val="bottom"/>
            <w:shd w:val="clear" w:color="auto" w:fill="F1F2F2"/>
          </w:tcPr>
          <w:p>
            <w:pPr>
              <w:jc w:val="right"/>
              <w:ind w:right="595"/>
              <w:spacing w:after="0"/>
              <w:rPr>
                <w:sz w:val="20"/>
                <w:szCs w:val="20"/>
                <w:color w:val="auto"/>
              </w:rPr>
            </w:pPr>
            <w:r>
              <w:rPr>
                <w:rFonts w:ascii="Arial" w:cs="Arial" w:eastAsia="Arial" w:hAnsi="Arial"/>
                <w:sz w:val="13"/>
                <w:szCs w:val="13"/>
                <w:color w:val="auto"/>
              </w:rPr>
              <w:t>20,000</w:t>
            </w:r>
          </w:p>
        </w:tc>
        <w:tc>
          <w:tcPr>
            <w:tcW w:w="1160" w:type="dxa"/>
            <w:vAlign w:val="bottom"/>
            <w:shd w:val="clear" w:color="auto" w:fill="F1F2F2"/>
          </w:tcPr>
          <w:p>
            <w:pPr>
              <w:jc w:val="center"/>
              <w:ind w:left="455"/>
              <w:spacing w:after="0"/>
              <w:rPr>
                <w:sz w:val="20"/>
                <w:szCs w:val="20"/>
                <w:color w:val="auto"/>
              </w:rPr>
            </w:pPr>
            <w:r>
              <w:rPr>
                <w:rFonts w:ascii="Arial" w:cs="Arial" w:eastAsia="Arial" w:hAnsi="Arial"/>
                <w:sz w:val="13"/>
                <w:szCs w:val="13"/>
                <w:color w:val="auto"/>
                <w:w w:val="93"/>
              </w:rPr>
              <w:t>120,000</w:t>
            </w:r>
          </w:p>
        </w:tc>
      </w:tr>
      <w:tr>
        <w:trPr>
          <w:trHeight w:val="217"/>
        </w:trPr>
        <w:tc>
          <w:tcPr>
            <w:tcW w:w="240" w:type="dxa"/>
            <w:vAlign w:val="bottom"/>
          </w:tcPr>
          <w:p>
            <w:pPr>
              <w:spacing w:after="0"/>
              <w:rPr>
                <w:sz w:val="18"/>
                <w:szCs w:val="18"/>
                <w:color w:val="auto"/>
              </w:rPr>
            </w:pPr>
          </w:p>
        </w:tc>
        <w:tc>
          <w:tcPr>
            <w:tcW w:w="4040" w:type="dxa"/>
            <w:vAlign w:val="bottom"/>
          </w:tcPr>
          <w:p>
            <w:pPr>
              <w:ind w:left="40"/>
              <w:spacing w:after="0"/>
              <w:rPr>
                <w:sz w:val="20"/>
                <w:szCs w:val="20"/>
                <w:color w:val="auto"/>
              </w:rPr>
            </w:pPr>
            <w:r>
              <w:rPr>
                <w:rFonts w:ascii="Arial" w:cs="Arial" w:eastAsia="Arial" w:hAnsi="Arial"/>
                <w:sz w:val="13"/>
                <w:szCs w:val="13"/>
                <w:b w:val="1"/>
                <w:bCs w:val="1"/>
                <w:color w:val="auto"/>
              </w:rPr>
              <w:t>Ajay Bhalla</w:t>
            </w:r>
          </w:p>
        </w:tc>
        <w:tc>
          <w:tcPr>
            <w:tcW w:w="1400" w:type="dxa"/>
            <w:vAlign w:val="bottom"/>
          </w:tcPr>
          <w:p>
            <w:pPr>
              <w:jc w:val="right"/>
              <w:ind w:right="199"/>
              <w:spacing w:after="0"/>
              <w:rPr>
                <w:sz w:val="20"/>
                <w:szCs w:val="20"/>
                <w:color w:val="auto"/>
              </w:rPr>
            </w:pPr>
            <w:r>
              <w:rPr>
                <w:rFonts w:ascii="Arial" w:cs="Arial" w:eastAsia="Arial" w:hAnsi="Arial"/>
                <w:sz w:val="13"/>
                <w:szCs w:val="13"/>
                <w:color w:val="auto"/>
              </w:rPr>
              <w:t>100,000</w:t>
            </w:r>
          </w:p>
        </w:tc>
        <w:tc>
          <w:tcPr>
            <w:tcW w:w="1960" w:type="dxa"/>
            <w:vAlign w:val="bottom"/>
          </w:tcPr>
          <w:p>
            <w:pPr>
              <w:jc w:val="right"/>
              <w:ind w:right="295"/>
              <w:spacing w:after="0"/>
              <w:rPr>
                <w:sz w:val="20"/>
                <w:szCs w:val="20"/>
                <w:color w:val="auto"/>
              </w:rPr>
            </w:pPr>
            <w:r>
              <w:rPr>
                <w:rFonts w:ascii="Arial" w:cs="Arial" w:eastAsia="Arial" w:hAnsi="Arial"/>
                <w:sz w:val="13"/>
                <w:szCs w:val="13"/>
                <w:color w:val="auto"/>
              </w:rPr>
              <w:t>N/A</w:t>
            </w:r>
          </w:p>
        </w:tc>
        <w:tc>
          <w:tcPr>
            <w:tcW w:w="2140" w:type="dxa"/>
            <w:vAlign w:val="bottom"/>
          </w:tcPr>
          <w:p>
            <w:pPr>
              <w:jc w:val="right"/>
              <w:ind w:right="595"/>
              <w:spacing w:after="0"/>
              <w:rPr>
                <w:sz w:val="20"/>
                <w:szCs w:val="20"/>
                <w:color w:val="auto"/>
              </w:rPr>
            </w:pPr>
            <w:r>
              <w:rPr>
                <w:rFonts w:ascii="Arial" w:cs="Arial" w:eastAsia="Arial" w:hAnsi="Arial"/>
                <w:sz w:val="13"/>
                <w:szCs w:val="13"/>
                <w:color w:val="auto"/>
              </w:rPr>
              <w:t>20,000</w:t>
            </w:r>
          </w:p>
        </w:tc>
        <w:tc>
          <w:tcPr>
            <w:tcW w:w="1160" w:type="dxa"/>
            <w:vAlign w:val="bottom"/>
          </w:tcPr>
          <w:p>
            <w:pPr>
              <w:jc w:val="center"/>
              <w:ind w:left="455"/>
              <w:spacing w:after="0"/>
              <w:rPr>
                <w:sz w:val="20"/>
                <w:szCs w:val="20"/>
                <w:color w:val="auto"/>
              </w:rPr>
            </w:pPr>
            <w:r>
              <w:rPr>
                <w:rFonts w:ascii="Arial" w:cs="Arial" w:eastAsia="Arial" w:hAnsi="Arial"/>
                <w:sz w:val="13"/>
                <w:szCs w:val="13"/>
                <w:color w:val="auto"/>
                <w:w w:val="93"/>
              </w:rPr>
              <w:t>120,000</w:t>
            </w:r>
          </w:p>
        </w:tc>
      </w:tr>
      <w:tr>
        <w:trPr>
          <w:trHeight w:val="230"/>
        </w:trPr>
        <w:tc>
          <w:tcPr>
            <w:tcW w:w="240" w:type="dxa"/>
            <w:vAlign w:val="bottom"/>
          </w:tcPr>
          <w:p>
            <w:pPr>
              <w:spacing w:after="0"/>
              <w:rPr>
                <w:sz w:val="20"/>
                <w:szCs w:val="20"/>
                <w:color w:val="auto"/>
              </w:rPr>
            </w:pPr>
          </w:p>
        </w:tc>
        <w:tc>
          <w:tcPr>
            <w:tcW w:w="4040" w:type="dxa"/>
            <w:vAlign w:val="bottom"/>
            <w:shd w:val="clear" w:color="auto" w:fill="F1F2F2"/>
          </w:tcPr>
          <w:p>
            <w:pPr>
              <w:ind w:left="40"/>
              <w:spacing w:after="0"/>
              <w:rPr>
                <w:sz w:val="20"/>
                <w:szCs w:val="20"/>
                <w:color w:val="auto"/>
              </w:rPr>
            </w:pPr>
            <w:r>
              <w:rPr>
                <w:rFonts w:ascii="Arial" w:cs="Arial" w:eastAsia="Arial" w:hAnsi="Arial"/>
                <w:sz w:val="13"/>
                <w:szCs w:val="13"/>
                <w:b w:val="1"/>
                <w:bCs w:val="1"/>
                <w:color w:val="auto"/>
              </w:rPr>
              <w:t>Michael M. Calbert</w:t>
            </w:r>
          </w:p>
        </w:tc>
        <w:tc>
          <w:tcPr>
            <w:tcW w:w="1400" w:type="dxa"/>
            <w:vAlign w:val="bottom"/>
            <w:shd w:val="clear" w:color="auto" w:fill="F1F2F2"/>
          </w:tcPr>
          <w:p>
            <w:pPr>
              <w:jc w:val="right"/>
              <w:ind w:right="199"/>
              <w:spacing w:after="0"/>
              <w:rPr>
                <w:sz w:val="20"/>
                <w:szCs w:val="20"/>
                <w:color w:val="auto"/>
              </w:rPr>
            </w:pPr>
            <w:r>
              <w:rPr>
                <w:rFonts w:ascii="Arial" w:cs="Arial" w:eastAsia="Arial" w:hAnsi="Arial"/>
                <w:sz w:val="13"/>
                <w:szCs w:val="13"/>
                <w:color w:val="auto"/>
              </w:rPr>
              <w:t>100,000</w:t>
            </w:r>
          </w:p>
        </w:tc>
        <w:tc>
          <w:tcPr>
            <w:tcW w:w="1960" w:type="dxa"/>
            <w:vAlign w:val="bottom"/>
            <w:shd w:val="clear" w:color="auto" w:fill="F1F2F2"/>
          </w:tcPr>
          <w:p>
            <w:pPr>
              <w:jc w:val="right"/>
              <w:ind w:right="295"/>
              <w:spacing w:after="0"/>
              <w:rPr>
                <w:sz w:val="20"/>
                <w:szCs w:val="20"/>
                <w:color w:val="auto"/>
              </w:rPr>
            </w:pPr>
            <w:r>
              <w:rPr>
                <w:rFonts w:ascii="Arial" w:cs="Arial" w:eastAsia="Arial" w:hAnsi="Arial"/>
                <w:sz w:val="13"/>
                <w:szCs w:val="13"/>
                <w:color w:val="auto"/>
              </w:rPr>
              <w:t>N/A</w:t>
            </w:r>
          </w:p>
        </w:tc>
        <w:tc>
          <w:tcPr>
            <w:tcW w:w="2140" w:type="dxa"/>
            <w:vAlign w:val="bottom"/>
            <w:shd w:val="clear" w:color="auto" w:fill="F1F2F2"/>
          </w:tcPr>
          <w:p>
            <w:pPr>
              <w:jc w:val="right"/>
              <w:ind w:right="595"/>
              <w:spacing w:after="0"/>
              <w:rPr>
                <w:sz w:val="20"/>
                <w:szCs w:val="20"/>
                <w:color w:val="auto"/>
              </w:rPr>
            </w:pPr>
            <w:r>
              <w:rPr>
                <w:rFonts w:ascii="Arial" w:cs="Arial" w:eastAsia="Arial" w:hAnsi="Arial"/>
                <w:sz w:val="13"/>
                <w:szCs w:val="13"/>
                <w:color w:val="auto"/>
              </w:rPr>
              <w:t>25,000</w:t>
            </w:r>
          </w:p>
        </w:tc>
        <w:tc>
          <w:tcPr>
            <w:tcW w:w="1160" w:type="dxa"/>
            <w:vAlign w:val="bottom"/>
            <w:shd w:val="clear" w:color="auto" w:fill="F1F2F2"/>
          </w:tcPr>
          <w:p>
            <w:pPr>
              <w:jc w:val="center"/>
              <w:ind w:left="455"/>
              <w:spacing w:after="0"/>
              <w:rPr>
                <w:sz w:val="20"/>
                <w:szCs w:val="20"/>
                <w:color w:val="auto"/>
              </w:rPr>
            </w:pPr>
            <w:r>
              <w:rPr>
                <w:rFonts w:ascii="Arial" w:cs="Arial" w:eastAsia="Arial" w:hAnsi="Arial"/>
                <w:sz w:val="13"/>
                <w:szCs w:val="13"/>
                <w:color w:val="auto"/>
                <w:w w:val="93"/>
              </w:rPr>
              <w:t>125,000</w:t>
            </w:r>
          </w:p>
        </w:tc>
      </w:tr>
      <w:tr>
        <w:trPr>
          <w:trHeight w:val="217"/>
        </w:trPr>
        <w:tc>
          <w:tcPr>
            <w:tcW w:w="240" w:type="dxa"/>
            <w:vAlign w:val="bottom"/>
          </w:tcPr>
          <w:p>
            <w:pPr>
              <w:spacing w:after="0"/>
              <w:rPr>
                <w:sz w:val="18"/>
                <w:szCs w:val="18"/>
                <w:color w:val="auto"/>
              </w:rPr>
            </w:pPr>
          </w:p>
        </w:tc>
        <w:tc>
          <w:tcPr>
            <w:tcW w:w="4040" w:type="dxa"/>
            <w:vAlign w:val="bottom"/>
          </w:tcPr>
          <w:p>
            <w:pPr>
              <w:ind w:left="40"/>
              <w:spacing w:after="0"/>
              <w:rPr>
                <w:sz w:val="20"/>
                <w:szCs w:val="20"/>
                <w:color w:val="auto"/>
              </w:rPr>
            </w:pPr>
            <w:r>
              <w:rPr>
                <w:rFonts w:ascii="Arial" w:cs="Arial" w:eastAsia="Arial" w:hAnsi="Arial"/>
                <w:sz w:val="13"/>
                <w:szCs w:val="13"/>
                <w:b w:val="1"/>
                <w:bCs w:val="1"/>
                <w:color w:val="auto"/>
              </w:rPr>
              <w:t>Brent Callinicos</w:t>
            </w:r>
          </w:p>
        </w:tc>
        <w:tc>
          <w:tcPr>
            <w:tcW w:w="1400" w:type="dxa"/>
            <w:vAlign w:val="bottom"/>
          </w:tcPr>
          <w:p>
            <w:pPr>
              <w:jc w:val="right"/>
              <w:ind w:right="199"/>
              <w:spacing w:after="0"/>
              <w:rPr>
                <w:sz w:val="20"/>
                <w:szCs w:val="20"/>
                <w:color w:val="auto"/>
              </w:rPr>
            </w:pPr>
            <w:r>
              <w:rPr>
                <w:rFonts w:ascii="Arial" w:cs="Arial" w:eastAsia="Arial" w:hAnsi="Arial"/>
                <w:sz w:val="13"/>
                <w:szCs w:val="13"/>
                <w:color w:val="auto"/>
              </w:rPr>
              <w:t>100,000</w:t>
            </w:r>
          </w:p>
        </w:tc>
        <w:tc>
          <w:tcPr>
            <w:tcW w:w="1960" w:type="dxa"/>
            <w:vAlign w:val="bottom"/>
          </w:tcPr>
          <w:p>
            <w:pPr>
              <w:jc w:val="right"/>
              <w:ind w:right="295"/>
              <w:spacing w:after="0"/>
              <w:rPr>
                <w:sz w:val="20"/>
                <w:szCs w:val="20"/>
                <w:color w:val="auto"/>
              </w:rPr>
            </w:pPr>
            <w:r>
              <w:rPr>
                <w:rFonts w:ascii="Arial" w:cs="Arial" w:eastAsia="Arial" w:hAnsi="Arial"/>
                <w:sz w:val="13"/>
                <w:szCs w:val="13"/>
                <w:color w:val="auto"/>
              </w:rPr>
              <w:t>45,000</w:t>
            </w:r>
          </w:p>
        </w:tc>
        <w:tc>
          <w:tcPr>
            <w:tcW w:w="2140" w:type="dxa"/>
            <w:vAlign w:val="bottom"/>
          </w:tcPr>
          <w:p>
            <w:pPr>
              <w:jc w:val="right"/>
              <w:ind w:right="595"/>
              <w:spacing w:after="0"/>
              <w:rPr>
                <w:sz w:val="20"/>
                <w:szCs w:val="20"/>
                <w:color w:val="auto"/>
              </w:rPr>
            </w:pPr>
            <w:r>
              <w:rPr>
                <w:rFonts w:ascii="Arial" w:cs="Arial" w:eastAsia="Arial" w:hAnsi="Arial"/>
                <w:sz w:val="13"/>
                <w:szCs w:val="13"/>
                <w:color w:val="auto"/>
              </w:rPr>
              <w:t>10,000</w:t>
            </w:r>
          </w:p>
        </w:tc>
        <w:tc>
          <w:tcPr>
            <w:tcW w:w="1160" w:type="dxa"/>
            <w:vAlign w:val="bottom"/>
          </w:tcPr>
          <w:p>
            <w:pPr>
              <w:jc w:val="center"/>
              <w:ind w:left="455"/>
              <w:spacing w:after="0"/>
              <w:rPr>
                <w:sz w:val="20"/>
                <w:szCs w:val="20"/>
                <w:color w:val="auto"/>
              </w:rPr>
            </w:pPr>
            <w:r>
              <w:rPr>
                <w:rFonts w:ascii="Arial" w:cs="Arial" w:eastAsia="Arial" w:hAnsi="Arial"/>
                <w:sz w:val="13"/>
                <w:szCs w:val="13"/>
                <w:color w:val="auto"/>
                <w:w w:val="93"/>
              </w:rPr>
              <w:t>155,000</w:t>
            </w:r>
          </w:p>
        </w:tc>
      </w:tr>
      <w:tr>
        <w:trPr>
          <w:trHeight w:val="230"/>
        </w:trPr>
        <w:tc>
          <w:tcPr>
            <w:tcW w:w="240" w:type="dxa"/>
            <w:vAlign w:val="bottom"/>
          </w:tcPr>
          <w:p>
            <w:pPr>
              <w:spacing w:after="0"/>
              <w:rPr>
                <w:sz w:val="20"/>
                <w:szCs w:val="20"/>
                <w:color w:val="auto"/>
              </w:rPr>
            </w:pPr>
          </w:p>
        </w:tc>
        <w:tc>
          <w:tcPr>
            <w:tcW w:w="4040" w:type="dxa"/>
            <w:vAlign w:val="bottom"/>
            <w:shd w:val="clear" w:color="auto" w:fill="F1F2F2"/>
          </w:tcPr>
          <w:p>
            <w:pPr>
              <w:ind w:left="40"/>
              <w:spacing w:after="0"/>
              <w:rPr>
                <w:sz w:val="20"/>
                <w:szCs w:val="20"/>
                <w:color w:val="auto"/>
              </w:rPr>
            </w:pPr>
            <w:r>
              <w:rPr>
                <w:rFonts w:ascii="Arial" w:cs="Arial" w:eastAsia="Arial" w:hAnsi="Arial"/>
                <w:sz w:val="13"/>
                <w:szCs w:val="13"/>
                <w:b w:val="1"/>
                <w:bCs w:val="1"/>
                <w:color w:val="auto"/>
              </w:rPr>
              <w:t>George Cheeks</w:t>
            </w:r>
          </w:p>
        </w:tc>
        <w:tc>
          <w:tcPr>
            <w:tcW w:w="1400" w:type="dxa"/>
            <w:vAlign w:val="bottom"/>
            <w:shd w:val="clear" w:color="auto" w:fill="F1F2F2"/>
          </w:tcPr>
          <w:p>
            <w:pPr>
              <w:jc w:val="right"/>
              <w:ind w:right="199"/>
              <w:spacing w:after="0"/>
              <w:rPr>
                <w:sz w:val="20"/>
                <w:szCs w:val="20"/>
                <w:color w:val="auto"/>
              </w:rPr>
            </w:pPr>
            <w:r>
              <w:rPr>
                <w:rFonts w:ascii="Arial" w:cs="Arial" w:eastAsia="Arial" w:hAnsi="Arial"/>
                <w:sz w:val="13"/>
                <w:szCs w:val="13"/>
                <w:color w:val="auto"/>
              </w:rPr>
              <w:t>100,000</w:t>
            </w:r>
          </w:p>
        </w:tc>
        <w:tc>
          <w:tcPr>
            <w:tcW w:w="1960" w:type="dxa"/>
            <w:vAlign w:val="bottom"/>
            <w:shd w:val="clear" w:color="auto" w:fill="F1F2F2"/>
          </w:tcPr>
          <w:p>
            <w:pPr>
              <w:jc w:val="right"/>
              <w:ind w:right="295"/>
              <w:spacing w:after="0"/>
              <w:rPr>
                <w:sz w:val="20"/>
                <w:szCs w:val="20"/>
                <w:color w:val="auto"/>
              </w:rPr>
            </w:pPr>
            <w:r>
              <w:rPr>
                <w:rFonts w:ascii="Arial" w:cs="Arial" w:eastAsia="Arial" w:hAnsi="Arial"/>
                <w:sz w:val="13"/>
                <w:szCs w:val="13"/>
                <w:color w:val="auto"/>
              </w:rPr>
              <w:t>N/A</w:t>
            </w:r>
          </w:p>
        </w:tc>
        <w:tc>
          <w:tcPr>
            <w:tcW w:w="2140" w:type="dxa"/>
            <w:vAlign w:val="bottom"/>
            <w:shd w:val="clear" w:color="auto" w:fill="F1F2F2"/>
          </w:tcPr>
          <w:p>
            <w:pPr>
              <w:jc w:val="right"/>
              <w:ind w:right="595"/>
              <w:spacing w:after="0"/>
              <w:rPr>
                <w:sz w:val="20"/>
                <w:szCs w:val="20"/>
                <w:color w:val="auto"/>
              </w:rPr>
            </w:pPr>
            <w:r>
              <w:rPr>
                <w:rFonts w:ascii="Arial" w:cs="Arial" w:eastAsia="Arial" w:hAnsi="Arial"/>
                <w:sz w:val="13"/>
                <w:szCs w:val="13"/>
                <w:color w:val="auto"/>
              </w:rPr>
              <w:t>25,000</w:t>
            </w:r>
          </w:p>
        </w:tc>
        <w:tc>
          <w:tcPr>
            <w:tcW w:w="1160" w:type="dxa"/>
            <w:vAlign w:val="bottom"/>
            <w:shd w:val="clear" w:color="auto" w:fill="F1F2F2"/>
          </w:tcPr>
          <w:p>
            <w:pPr>
              <w:jc w:val="center"/>
              <w:ind w:left="455"/>
              <w:spacing w:after="0"/>
              <w:rPr>
                <w:sz w:val="20"/>
                <w:szCs w:val="20"/>
                <w:color w:val="auto"/>
              </w:rPr>
            </w:pPr>
            <w:r>
              <w:rPr>
                <w:rFonts w:ascii="Arial" w:cs="Arial" w:eastAsia="Arial" w:hAnsi="Arial"/>
                <w:sz w:val="13"/>
                <w:szCs w:val="13"/>
                <w:color w:val="auto"/>
                <w:w w:val="93"/>
              </w:rPr>
              <w:t>125,000</w:t>
            </w:r>
          </w:p>
        </w:tc>
      </w:tr>
      <w:tr>
        <w:trPr>
          <w:trHeight w:val="217"/>
        </w:trPr>
        <w:tc>
          <w:tcPr>
            <w:tcW w:w="240" w:type="dxa"/>
            <w:vAlign w:val="bottom"/>
          </w:tcPr>
          <w:p>
            <w:pPr>
              <w:spacing w:after="0"/>
              <w:rPr>
                <w:sz w:val="18"/>
                <w:szCs w:val="18"/>
                <w:color w:val="auto"/>
              </w:rPr>
            </w:pPr>
          </w:p>
        </w:tc>
        <w:tc>
          <w:tcPr>
            <w:tcW w:w="4040" w:type="dxa"/>
            <w:vAlign w:val="bottom"/>
          </w:tcPr>
          <w:p>
            <w:pPr>
              <w:ind w:left="40"/>
              <w:spacing w:after="0"/>
              <w:rPr>
                <w:sz w:val="20"/>
                <w:szCs w:val="20"/>
                <w:color w:val="auto"/>
              </w:rPr>
            </w:pPr>
            <w:r>
              <w:rPr>
                <w:rFonts w:ascii="Arial" w:cs="Arial" w:eastAsia="Arial" w:hAnsi="Arial"/>
                <w:sz w:val="13"/>
                <w:szCs w:val="13"/>
                <w:b w:val="1"/>
                <w:bCs w:val="1"/>
                <w:color w:val="auto"/>
              </w:rPr>
              <w:t>Kate Gulliver</w:t>
            </w:r>
          </w:p>
        </w:tc>
        <w:tc>
          <w:tcPr>
            <w:tcW w:w="1400" w:type="dxa"/>
            <w:vAlign w:val="bottom"/>
          </w:tcPr>
          <w:p>
            <w:pPr>
              <w:jc w:val="right"/>
              <w:ind w:right="199"/>
              <w:spacing w:after="0"/>
              <w:rPr>
                <w:sz w:val="20"/>
                <w:szCs w:val="20"/>
                <w:color w:val="auto"/>
              </w:rPr>
            </w:pPr>
            <w:r>
              <w:rPr>
                <w:rFonts w:ascii="Arial" w:cs="Arial" w:eastAsia="Arial" w:hAnsi="Arial"/>
                <w:sz w:val="13"/>
                <w:szCs w:val="13"/>
                <w:color w:val="auto"/>
              </w:rPr>
              <w:t>100,000</w:t>
            </w:r>
          </w:p>
        </w:tc>
        <w:tc>
          <w:tcPr>
            <w:tcW w:w="1960" w:type="dxa"/>
            <w:vAlign w:val="bottom"/>
          </w:tcPr>
          <w:p>
            <w:pPr>
              <w:jc w:val="right"/>
              <w:ind w:right="295"/>
              <w:spacing w:after="0"/>
              <w:rPr>
                <w:sz w:val="20"/>
                <w:szCs w:val="20"/>
                <w:color w:val="auto"/>
              </w:rPr>
            </w:pPr>
            <w:r>
              <w:rPr>
                <w:rFonts w:ascii="Arial" w:cs="Arial" w:eastAsia="Arial" w:hAnsi="Arial"/>
                <w:sz w:val="13"/>
                <w:szCs w:val="13"/>
                <w:color w:val="auto"/>
              </w:rPr>
              <w:t>N/A</w:t>
            </w:r>
          </w:p>
        </w:tc>
        <w:tc>
          <w:tcPr>
            <w:tcW w:w="2140" w:type="dxa"/>
            <w:vAlign w:val="bottom"/>
          </w:tcPr>
          <w:p>
            <w:pPr>
              <w:jc w:val="right"/>
              <w:ind w:right="595"/>
              <w:spacing w:after="0"/>
              <w:rPr>
                <w:sz w:val="20"/>
                <w:szCs w:val="20"/>
                <w:color w:val="auto"/>
              </w:rPr>
            </w:pPr>
            <w:r>
              <w:rPr>
                <w:rFonts w:ascii="Arial" w:cs="Arial" w:eastAsia="Arial" w:hAnsi="Arial"/>
                <w:sz w:val="13"/>
                <w:szCs w:val="13"/>
                <w:color w:val="auto"/>
              </w:rPr>
              <w:t>20,000</w:t>
            </w:r>
          </w:p>
        </w:tc>
        <w:tc>
          <w:tcPr>
            <w:tcW w:w="1160" w:type="dxa"/>
            <w:vAlign w:val="bottom"/>
          </w:tcPr>
          <w:p>
            <w:pPr>
              <w:jc w:val="center"/>
              <w:ind w:left="455"/>
              <w:spacing w:after="0"/>
              <w:rPr>
                <w:sz w:val="20"/>
                <w:szCs w:val="20"/>
                <w:color w:val="auto"/>
              </w:rPr>
            </w:pPr>
            <w:r>
              <w:rPr>
                <w:rFonts w:ascii="Arial" w:cs="Arial" w:eastAsia="Arial" w:hAnsi="Arial"/>
                <w:sz w:val="13"/>
                <w:szCs w:val="13"/>
                <w:color w:val="auto"/>
                <w:w w:val="93"/>
              </w:rPr>
              <w:t>120,000</w:t>
            </w:r>
          </w:p>
        </w:tc>
      </w:tr>
      <w:tr>
        <w:trPr>
          <w:trHeight w:val="230"/>
        </w:trPr>
        <w:tc>
          <w:tcPr>
            <w:tcW w:w="240" w:type="dxa"/>
            <w:vAlign w:val="bottom"/>
          </w:tcPr>
          <w:p>
            <w:pPr>
              <w:spacing w:after="0"/>
              <w:rPr>
                <w:sz w:val="20"/>
                <w:szCs w:val="20"/>
                <w:color w:val="auto"/>
              </w:rPr>
            </w:pPr>
          </w:p>
        </w:tc>
        <w:tc>
          <w:tcPr>
            <w:tcW w:w="4040" w:type="dxa"/>
            <w:vAlign w:val="bottom"/>
            <w:shd w:val="clear" w:color="auto" w:fill="F1F2F2"/>
          </w:tcPr>
          <w:p>
            <w:pPr>
              <w:ind w:left="40"/>
              <w:spacing w:after="0"/>
              <w:rPr>
                <w:sz w:val="20"/>
                <w:szCs w:val="20"/>
                <w:color w:val="auto"/>
              </w:rPr>
            </w:pPr>
            <w:r>
              <w:rPr>
                <w:rFonts w:ascii="Arial" w:cs="Arial" w:eastAsia="Arial" w:hAnsi="Arial"/>
                <w:sz w:val="13"/>
                <w:szCs w:val="13"/>
                <w:b w:val="1"/>
                <w:bCs w:val="1"/>
                <w:color w:val="auto"/>
              </w:rPr>
              <w:t>G. Penny McIntyre</w:t>
            </w:r>
          </w:p>
        </w:tc>
        <w:tc>
          <w:tcPr>
            <w:tcW w:w="1400" w:type="dxa"/>
            <w:vAlign w:val="bottom"/>
            <w:shd w:val="clear" w:color="auto" w:fill="F1F2F2"/>
          </w:tcPr>
          <w:p>
            <w:pPr>
              <w:jc w:val="right"/>
              <w:ind w:right="199"/>
              <w:spacing w:after="0"/>
              <w:rPr>
                <w:sz w:val="20"/>
                <w:szCs w:val="20"/>
                <w:color w:val="auto"/>
              </w:rPr>
            </w:pPr>
            <w:r>
              <w:rPr>
                <w:rFonts w:ascii="Arial" w:cs="Arial" w:eastAsia="Arial" w:hAnsi="Arial"/>
                <w:sz w:val="13"/>
                <w:szCs w:val="13"/>
                <w:color w:val="auto"/>
              </w:rPr>
              <w:t>100,000</w:t>
            </w:r>
          </w:p>
        </w:tc>
        <w:tc>
          <w:tcPr>
            <w:tcW w:w="1960" w:type="dxa"/>
            <w:vAlign w:val="bottom"/>
            <w:shd w:val="clear" w:color="auto" w:fill="F1F2F2"/>
          </w:tcPr>
          <w:p>
            <w:pPr>
              <w:jc w:val="right"/>
              <w:ind w:right="295"/>
              <w:spacing w:after="0"/>
              <w:rPr>
                <w:sz w:val="20"/>
                <w:szCs w:val="20"/>
                <w:color w:val="auto"/>
              </w:rPr>
            </w:pPr>
            <w:r>
              <w:rPr>
                <w:rFonts w:ascii="Arial" w:cs="Arial" w:eastAsia="Arial" w:hAnsi="Arial"/>
                <w:sz w:val="13"/>
                <w:szCs w:val="13"/>
                <w:color w:val="auto"/>
              </w:rPr>
              <w:t>25,000</w:t>
            </w:r>
          </w:p>
        </w:tc>
        <w:tc>
          <w:tcPr>
            <w:tcW w:w="2140" w:type="dxa"/>
            <w:vAlign w:val="bottom"/>
            <w:shd w:val="clear" w:color="auto" w:fill="F1F2F2"/>
          </w:tcPr>
          <w:p>
            <w:pPr>
              <w:jc w:val="right"/>
              <w:ind w:right="595"/>
              <w:spacing w:after="0"/>
              <w:rPr>
                <w:sz w:val="20"/>
                <w:szCs w:val="20"/>
                <w:color w:val="auto"/>
              </w:rPr>
            </w:pPr>
            <w:r>
              <w:rPr>
                <w:rFonts w:ascii="Arial" w:cs="Arial" w:eastAsia="Arial" w:hAnsi="Arial"/>
                <w:sz w:val="13"/>
                <w:szCs w:val="13"/>
                <w:color w:val="auto"/>
              </w:rPr>
              <w:t>N/A</w:t>
            </w:r>
          </w:p>
        </w:tc>
        <w:tc>
          <w:tcPr>
            <w:tcW w:w="1160" w:type="dxa"/>
            <w:vAlign w:val="bottom"/>
            <w:shd w:val="clear" w:color="auto" w:fill="F1F2F2"/>
          </w:tcPr>
          <w:p>
            <w:pPr>
              <w:jc w:val="center"/>
              <w:ind w:left="455"/>
              <w:spacing w:after="0"/>
              <w:rPr>
                <w:sz w:val="20"/>
                <w:szCs w:val="20"/>
                <w:color w:val="auto"/>
              </w:rPr>
            </w:pPr>
            <w:r>
              <w:rPr>
                <w:rFonts w:ascii="Arial" w:cs="Arial" w:eastAsia="Arial" w:hAnsi="Arial"/>
                <w:sz w:val="13"/>
                <w:szCs w:val="13"/>
                <w:color w:val="auto"/>
                <w:w w:val="93"/>
              </w:rPr>
              <w:t>125,000</w:t>
            </w:r>
          </w:p>
        </w:tc>
      </w:tr>
      <w:tr>
        <w:trPr>
          <w:trHeight w:val="217"/>
        </w:trPr>
        <w:tc>
          <w:tcPr>
            <w:tcW w:w="240" w:type="dxa"/>
            <w:vAlign w:val="bottom"/>
          </w:tcPr>
          <w:p>
            <w:pPr>
              <w:spacing w:after="0"/>
              <w:rPr>
                <w:sz w:val="18"/>
                <w:szCs w:val="18"/>
                <w:color w:val="auto"/>
              </w:rPr>
            </w:pPr>
          </w:p>
        </w:tc>
        <w:tc>
          <w:tcPr>
            <w:tcW w:w="4040" w:type="dxa"/>
            <w:vAlign w:val="bottom"/>
          </w:tcPr>
          <w:p>
            <w:pPr>
              <w:ind w:left="40"/>
              <w:spacing w:after="0"/>
              <w:rPr>
                <w:sz w:val="20"/>
                <w:szCs w:val="20"/>
                <w:color w:val="auto"/>
              </w:rPr>
            </w:pPr>
            <w:r>
              <w:rPr>
                <w:rFonts w:ascii="Arial" w:cs="Arial" w:eastAsia="Arial" w:hAnsi="Arial"/>
                <w:sz w:val="13"/>
                <w:szCs w:val="13"/>
                <w:b w:val="1"/>
                <w:bCs w:val="1"/>
                <w:color w:val="auto"/>
              </w:rPr>
              <w:t>Amy McPherson</w:t>
            </w:r>
          </w:p>
        </w:tc>
        <w:tc>
          <w:tcPr>
            <w:tcW w:w="1400" w:type="dxa"/>
            <w:vAlign w:val="bottom"/>
          </w:tcPr>
          <w:p>
            <w:pPr>
              <w:jc w:val="right"/>
              <w:ind w:right="199"/>
              <w:spacing w:after="0"/>
              <w:rPr>
                <w:sz w:val="20"/>
                <w:szCs w:val="20"/>
                <w:color w:val="auto"/>
              </w:rPr>
            </w:pPr>
            <w:r>
              <w:rPr>
                <w:rFonts w:ascii="Arial" w:cs="Arial" w:eastAsia="Arial" w:hAnsi="Arial"/>
                <w:sz w:val="13"/>
                <w:szCs w:val="13"/>
                <w:color w:val="auto"/>
              </w:rPr>
              <w:t>100,000</w:t>
            </w:r>
          </w:p>
        </w:tc>
        <w:tc>
          <w:tcPr>
            <w:tcW w:w="1960" w:type="dxa"/>
            <w:vAlign w:val="bottom"/>
          </w:tcPr>
          <w:p>
            <w:pPr>
              <w:jc w:val="right"/>
              <w:ind w:right="295"/>
              <w:spacing w:after="0"/>
              <w:rPr>
                <w:sz w:val="20"/>
                <w:szCs w:val="20"/>
                <w:color w:val="auto"/>
              </w:rPr>
            </w:pPr>
            <w:r>
              <w:rPr>
                <w:rFonts w:ascii="Arial" w:cs="Arial" w:eastAsia="Arial" w:hAnsi="Arial"/>
                <w:sz w:val="13"/>
                <w:szCs w:val="13"/>
                <w:color w:val="auto"/>
              </w:rPr>
              <w:t>25,000</w:t>
            </w:r>
          </w:p>
        </w:tc>
        <w:tc>
          <w:tcPr>
            <w:tcW w:w="2140" w:type="dxa"/>
            <w:vAlign w:val="bottom"/>
          </w:tcPr>
          <w:p>
            <w:pPr>
              <w:jc w:val="right"/>
              <w:ind w:right="595"/>
              <w:spacing w:after="0"/>
              <w:rPr>
                <w:sz w:val="20"/>
                <w:szCs w:val="20"/>
                <w:color w:val="auto"/>
              </w:rPr>
            </w:pPr>
            <w:r>
              <w:rPr>
                <w:rFonts w:ascii="Arial" w:cs="Arial" w:eastAsia="Arial" w:hAnsi="Arial"/>
                <w:sz w:val="13"/>
                <w:szCs w:val="13"/>
                <w:color w:val="auto"/>
              </w:rPr>
              <w:t>20,000</w:t>
            </w:r>
          </w:p>
        </w:tc>
        <w:tc>
          <w:tcPr>
            <w:tcW w:w="1160" w:type="dxa"/>
            <w:vAlign w:val="bottom"/>
          </w:tcPr>
          <w:p>
            <w:pPr>
              <w:jc w:val="center"/>
              <w:ind w:left="455"/>
              <w:spacing w:after="0"/>
              <w:rPr>
                <w:sz w:val="20"/>
                <w:szCs w:val="20"/>
                <w:color w:val="auto"/>
              </w:rPr>
            </w:pPr>
            <w:r>
              <w:rPr>
                <w:rFonts w:ascii="Arial" w:cs="Arial" w:eastAsia="Arial" w:hAnsi="Arial"/>
                <w:sz w:val="13"/>
                <w:szCs w:val="13"/>
                <w:color w:val="auto"/>
                <w:w w:val="93"/>
              </w:rPr>
              <w:t>145,000</w:t>
            </w:r>
          </w:p>
        </w:tc>
      </w:tr>
      <w:tr>
        <w:trPr>
          <w:trHeight w:val="230"/>
        </w:trPr>
        <w:tc>
          <w:tcPr>
            <w:tcW w:w="240" w:type="dxa"/>
            <w:vAlign w:val="bottom"/>
          </w:tcPr>
          <w:p>
            <w:pPr>
              <w:spacing w:after="0"/>
              <w:rPr>
                <w:sz w:val="20"/>
                <w:szCs w:val="20"/>
                <w:color w:val="auto"/>
              </w:rPr>
            </w:pPr>
          </w:p>
        </w:tc>
        <w:tc>
          <w:tcPr>
            <w:tcW w:w="4040" w:type="dxa"/>
            <w:vAlign w:val="bottom"/>
            <w:shd w:val="clear" w:color="auto" w:fill="F1F2F2"/>
          </w:tcPr>
          <w:p>
            <w:pPr>
              <w:ind w:left="40"/>
              <w:spacing w:after="0"/>
              <w:rPr>
                <w:sz w:val="20"/>
                <w:szCs w:val="20"/>
                <w:color w:val="auto"/>
              </w:rPr>
            </w:pPr>
            <w:r>
              <w:rPr>
                <w:rFonts w:ascii="Arial" w:cs="Arial" w:eastAsia="Arial" w:hAnsi="Arial"/>
                <w:sz w:val="13"/>
                <w:szCs w:val="13"/>
                <w:b w:val="1"/>
                <w:bCs w:val="1"/>
                <w:color w:val="auto"/>
              </w:rPr>
              <w:t>Amanda Sourry</w:t>
            </w:r>
          </w:p>
        </w:tc>
        <w:tc>
          <w:tcPr>
            <w:tcW w:w="1400" w:type="dxa"/>
            <w:vAlign w:val="bottom"/>
            <w:shd w:val="clear" w:color="auto" w:fill="F1F2F2"/>
          </w:tcPr>
          <w:p>
            <w:pPr>
              <w:jc w:val="right"/>
              <w:ind w:right="199"/>
              <w:spacing w:after="0"/>
              <w:rPr>
                <w:sz w:val="20"/>
                <w:szCs w:val="20"/>
                <w:color w:val="auto"/>
              </w:rPr>
            </w:pPr>
            <w:r>
              <w:rPr>
                <w:rFonts w:ascii="Arial" w:cs="Arial" w:eastAsia="Arial" w:hAnsi="Arial"/>
                <w:sz w:val="13"/>
                <w:szCs w:val="13"/>
                <w:color w:val="auto"/>
              </w:rPr>
              <w:t>100,000</w:t>
            </w:r>
          </w:p>
        </w:tc>
        <w:tc>
          <w:tcPr>
            <w:tcW w:w="1960" w:type="dxa"/>
            <w:vAlign w:val="bottom"/>
            <w:shd w:val="clear" w:color="auto" w:fill="F1F2F2"/>
          </w:tcPr>
          <w:p>
            <w:pPr>
              <w:jc w:val="right"/>
              <w:ind w:right="295"/>
              <w:spacing w:after="0"/>
              <w:rPr>
                <w:sz w:val="20"/>
                <w:szCs w:val="20"/>
                <w:color w:val="auto"/>
              </w:rPr>
            </w:pPr>
            <w:r>
              <w:rPr>
                <w:rFonts w:ascii="Arial" w:cs="Arial" w:eastAsia="Arial" w:hAnsi="Arial"/>
                <w:sz w:val="13"/>
                <w:szCs w:val="13"/>
                <w:color w:val="auto"/>
              </w:rPr>
              <w:t>35,000</w:t>
            </w:r>
          </w:p>
        </w:tc>
        <w:tc>
          <w:tcPr>
            <w:tcW w:w="2140" w:type="dxa"/>
            <w:vAlign w:val="bottom"/>
            <w:shd w:val="clear" w:color="auto" w:fill="F1F2F2"/>
          </w:tcPr>
          <w:p>
            <w:pPr>
              <w:jc w:val="right"/>
              <w:ind w:right="595"/>
              <w:spacing w:after="0"/>
              <w:rPr>
                <w:sz w:val="20"/>
                <w:szCs w:val="20"/>
                <w:color w:val="auto"/>
              </w:rPr>
            </w:pPr>
            <w:r>
              <w:rPr>
                <w:rFonts w:ascii="Arial" w:cs="Arial" w:eastAsia="Arial" w:hAnsi="Arial"/>
                <w:sz w:val="13"/>
                <w:szCs w:val="13"/>
                <w:color w:val="auto"/>
              </w:rPr>
              <w:t>10,000</w:t>
            </w:r>
          </w:p>
        </w:tc>
        <w:tc>
          <w:tcPr>
            <w:tcW w:w="1160" w:type="dxa"/>
            <w:vAlign w:val="bottom"/>
            <w:shd w:val="clear" w:color="auto" w:fill="F1F2F2"/>
          </w:tcPr>
          <w:p>
            <w:pPr>
              <w:jc w:val="center"/>
              <w:ind w:left="455"/>
              <w:spacing w:after="0"/>
              <w:rPr>
                <w:sz w:val="20"/>
                <w:szCs w:val="20"/>
                <w:color w:val="auto"/>
              </w:rPr>
            </w:pPr>
            <w:r>
              <w:rPr>
                <w:rFonts w:ascii="Arial" w:cs="Arial" w:eastAsia="Arial" w:hAnsi="Arial"/>
                <w:sz w:val="13"/>
                <w:szCs w:val="13"/>
                <w:color w:val="auto"/>
                <w:w w:val="93"/>
              </w:rPr>
              <w:t>145,000</w:t>
            </w:r>
          </w:p>
        </w:tc>
      </w:tr>
    </w:tbl>
    <w:p>
      <w:pPr>
        <w:spacing w:after="0" w:line="145" w:lineRule="exact"/>
        <w:rPr>
          <w:sz w:val="20"/>
          <w:szCs w:val="20"/>
          <w:color w:val="auto"/>
        </w:rPr>
      </w:pPr>
    </w:p>
    <w:p>
      <w:pPr>
        <w:ind w:left="160" w:hanging="149"/>
        <w:spacing w:after="0" w:line="239" w:lineRule="auto"/>
        <w:tabs>
          <w:tab w:leader="none" w:pos="167"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amounts are the aggregate fair value of RSUs granted to our independent directors in 2025. All grants to these directors were made on the same date in June and in accordance with the compensation package described in this section under the heading “Annual Retainers.” The fair value is equal to $64.85, the closing price of our common stock on the grant date, multiplied by the number of RSUs granted.</w:t>
      </w:r>
    </w:p>
    <w:p>
      <w:pPr>
        <w:spacing w:after="0" w:line="71" w:lineRule="exact"/>
        <w:rPr>
          <w:rFonts w:ascii="Arial" w:cs="Arial" w:eastAsia="Arial" w:hAnsi="Arial"/>
          <w:sz w:val="13"/>
          <w:szCs w:val="13"/>
          <w:color w:val="auto"/>
        </w:rPr>
      </w:pPr>
    </w:p>
    <w:p>
      <w:pPr>
        <w:ind w:left="180"/>
        <w:spacing w:after="0"/>
        <w:rPr>
          <w:rFonts w:ascii="Arial" w:cs="Arial" w:eastAsia="Arial" w:hAnsi="Arial"/>
          <w:sz w:val="13"/>
          <w:szCs w:val="13"/>
          <w:color w:val="auto"/>
        </w:rPr>
      </w:pPr>
      <w:r>
        <w:rPr>
          <w:rFonts w:ascii="Arial" w:cs="Arial" w:eastAsia="Arial" w:hAnsi="Arial"/>
          <w:sz w:val="13"/>
          <w:szCs w:val="13"/>
          <w:color w:val="auto"/>
        </w:rPr>
        <w:t>The number of outstanding RSUs for each of our directors as of February 1, 2026, was as follows:</w:t>
      </w:r>
    </w:p>
    <w:p>
      <w:pPr>
        <w:spacing w:after="0" w:line="165" w:lineRule="exact"/>
        <w:rPr>
          <w:sz w:val="20"/>
          <w:szCs w:val="20"/>
          <w:color w:val="auto"/>
        </w:rPr>
      </w:pPr>
    </w:p>
    <w:tbl>
      <w:tblPr>
        <w:tblLayout w:type="fixed"/>
        <w:tblInd w:w="220" w:type="dxa"/>
        <w:tblCellMar>
          <w:top w:w="0" w:type="dxa"/>
          <w:left w:w="0" w:type="dxa"/>
          <w:bottom w:w="0" w:type="dxa"/>
          <w:right w:w="0" w:type="dxa"/>
        </w:tblCellMar>
      </w:tblPr>
      <w:tr>
        <w:trPr>
          <w:trHeight w:val="154"/>
        </w:trPr>
        <w:tc>
          <w:tcPr>
            <w:tcW w:w="5560" w:type="dxa"/>
            <w:vAlign w:val="bottom"/>
            <w:shd w:val="clear" w:color="auto" w:fill="D1D3D4"/>
          </w:tcPr>
          <w:p>
            <w:pPr>
              <w:spacing w:after="0"/>
              <w:rPr>
                <w:sz w:val="13"/>
                <w:szCs w:val="13"/>
                <w:color w:val="auto"/>
              </w:rPr>
            </w:pPr>
          </w:p>
        </w:tc>
        <w:tc>
          <w:tcPr>
            <w:tcW w:w="5160" w:type="dxa"/>
            <w:vAlign w:val="bottom"/>
            <w:shd w:val="clear" w:color="auto" w:fill="D1D3D4"/>
          </w:tcPr>
          <w:p>
            <w:pPr>
              <w:jc w:val="right"/>
              <w:ind w:right="19"/>
              <w:spacing w:after="0"/>
              <w:rPr>
                <w:sz w:val="20"/>
                <w:szCs w:val="20"/>
                <w:color w:val="auto"/>
              </w:rPr>
            </w:pPr>
            <w:r>
              <w:rPr>
                <w:rFonts w:ascii="Arial" w:cs="Arial" w:eastAsia="Arial" w:hAnsi="Arial"/>
                <w:sz w:val="11"/>
                <w:szCs w:val="11"/>
                <w:color w:val="auto"/>
              </w:rPr>
              <w:t>Stock Awards</w:t>
            </w:r>
          </w:p>
        </w:tc>
      </w:tr>
      <w:tr>
        <w:trPr>
          <w:trHeight w:val="199"/>
        </w:trPr>
        <w:tc>
          <w:tcPr>
            <w:tcW w:w="5560" w:type="dxa"/>
            <w:vAlign w:val="bottom"/>
            <w:shd w:val="clear" w:color="auto" w:fill="D1D3D4"/>
          </w:tcPr>
          <w:p>
            <w:pPr>
              <w:spacing w:after="0"/>
              <w:rPr>
                <w:sz w:val="17"/>
                <w:szCs w:val="17"/>
                <w:color w:val="auto"/>
              </w:rPr>
            </w:pPr>
          </w:p>
        </w:tc>
        <w:tc>
          <w:tcPr>
            <w:tcW w:w="5160" w:type="dxa"/>
            <w:vAlign w:val="bottom"/>
            <w:shd w:val="clear" w:color="auto" w:fill="D1D3D4"/>
          </w:tcPr>
          <w:p>
            <w:pPr>
              <w:jc w:val="right"/>
              <w:ind w:right="19"/>
              <w:spacing w:after="0" w:line="200"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a</w:t>
            </w:r>
          </w:p>
        </w:tc>
      </w:tr>
      <w:tr>
        <w:trPr>
          <w:trHeight w:val="224"/>
        </w:trPr>
        <w:tc>
          <w:tcPr>
            <w:tcW w:w="5560" w:type="dxa"/>
            <w:vAlign w:val="bottom"/>
            <w:shd w:val="clear" w:color="auto" w:fill="F1F2F2"/>
          </w:tcPr>
          <w:p>
            <w:pPr>
              <w:ind w:left="60"/>
              <w:spacing w:after="0"/>
              <w:rPr>
                <w:sz w:val="20"/>
                <w:szCs w:val="20"/>
                <w:color w:val="auto"/>
              </w:rPr>
            </w:pPr>
            <w:r>
              <w:rPr>
                <w:rFonts w:ascii="Arial" w:cs="Arial" w:eastAsia="Arial" w:hAnsi="Arial"/>
                <w:sz w:val="13"/>
                <w:szCs w:val="13"/>
                <w:b w:val="1"/>
                <w:bCs w:val="1"/>
                <w:color w:val="auto"/>
              </w:rPr>
              <w:t>Jesper Andersen</w:t>
            </w:r>
          </w:p>
        </w:tc>
        <w:tc>
          <w:tcPr>
            <w:tcW w:w="5160" w:type="dxa"/>
            <w:vAlign w:val="bottom"/>
            <w:shd w:val="clear" w:color="auto" w:fill="F1F2F2"/>
          </w:tcPr>
          <w:p>
            <w:pPr>
              <w:jc w:val="center"/>
              <w:ind w:left="4599"/>
              <w:spacing w:after="0"/>
              <w:rPr>
                <w:sz w:val="20"/>
                <w:szCs w:val="20"/>
                <w:color w:val="auto"/>
              </w:rPr>
            </w:pPr>
            <w:r>
              <w:rPr>
                <w:rFonts w:ascii="Arial" w:cs="Arial" w:eastAsia="Arial" w:hAnsi="Arial"/>
                <w:sz w:val="13"/>
                <w:szCs w:val="13"/>
                <w:color w:val="auto"/>
                <w:w w:val="92"/>
              </w:rPr>
              <w:t>2,776</w:t>
            </w:r>
          </w:p>
        </w:tc>
      </w:tr>
      <w:tr>
        <w:trPr>
          <w:trHeight w:val="217"/>
        </w:trPr>
        <w:tc>
          <w:tcPr>
            <w:tcW w:w="5560" w:type="dxa"/>
            <w:vAlign w:val="bottom"/>
          </w:tcPr>
          <w:p>
            <w:pPr>
              <w:ind w:left="60"/>
              <w:spacing w:after="0"/>
              <w:rPr>
                <w:sz w:val="20"/>
                <w:szCs w:val="20"/>
                <w:color w:val="auto"/>
              </w:rPr>
            </w:pPr>
            <w:r>
              <w:rPr>
                <w:rFonts w:ascii="Arial" w:cs="Arial" w:eastAsia="Arial" w:hAnsi="Arial"/>
                <w:sz w:val="13"/>
                <w:szCs w:val="13"/>
                <w:b w:val="1"/>
                <w:bCs w:val="1"/>
                <w:color w:val="auto"/>
              </w:rPr>
              <w:t>Ajay Bhalla</w:t>
            </w:r>
          </w:p>
        </w:tc>
        <w:tc>
          <w:tcPr>
            <w:tcW w:w="5160" w:type="dxa"/>
            <w:vAlign w:val="bottom"/>
          </w:tcPr>
          <w:p>
            <w:pPr>
              <w:jc w:val="center"/>
              <w:ind w:left="4599"/>
              <w:spacing w:after="0"/>
              <w:rPr>
                <w:sz w:val="20"/>
                <w:szCs w:val="20"/>
                <w:color w:val="auto"/>
              </w:rPr>
            </w:pPr>
            <w:r>
              <w:rPr>
                <w:rFonts w:ascii="Arial" w:cs="Arial" w:eastAsia="Arial" w:hAnsi="Arial"/>
                <w:sz w:val="13"/>
                <w:szCs w:val="13"/>
                <w:color w:val="auto"/>
                <w:w w:val="92"/>
              </w:rPr>
              <w:t>2,776</w:t>
            </w:r>
          </w:p>
        </w:tc>
      </w:tr>
      <w:tr>
        <w:trPr>
          <w:trHeight w:val="230"/>
        </w:trPr>
        <w:tc>
          <w:tcPr>
            <w:tcW w:w="5560" w:type="dxa"/>
            <w:vAlign w:val="bottom"/>
            <w:shd w:val="clear" w:color="auto" w:fill="F1F2F2"/>
          </w:tcPr>
          <w:p>
            <w:pPr>
              <w:ind w:left="60"/>
              <w:spacing w:after="0"/>
              <w:rPr>
                <w:sz w:val="20"/>
                <w:szCs w:val="20"/>
                <w:color w:val="auto"/>
              </w:rPr>
            </w:pPr>
            <w:r>
              <w:rPr>
                <w:rFonts w:ascii="Arial" w:cs="Arial" w:eastAsia="Arial" w:hAnsi="Arial"/>
                <w:sz w:val="13"/>
                <w:szCs w:val="13"/>
                <w:b w:val="1"/>
                <w:bCs w:val="1"/>
                <w:color w:val="auto"/>
              </w:rPr>
              <w:t>Michael M. Calbert</w:t>
            </w:r>
          </w:p>
        </w:tc>
        <w:tc>
          <w:tcPr>
            <w:tcW w:w="51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13,874</w:t>
            </w:r>
            <w:r>
              <w:rPr>
                <w:rFonts w:ascii="Arial" w:cs="Arial" w:eastAsia="Arial" w:hAnsi="Arial"/>
                <w:sz w:val="14"/>
                <w:szCs w:val="14"/>
                <w:color w:val="auto"/>
                <w:vertAlign w:val="superscript"/>
              </w:rPr>
              <w:t>b</w:t>
            </w:r>
          </w:p>
        </w:tc>
      </w:tr>
      <w:tr>
        <w:trPr>
          <w:trHeight w:val="217"/>
        </w:trPr>
        <w:tc>
          <w:tcPr>
            <w:tcW w:w="5560" w:type="dxa"/>
            <w:vAlign w:val="bottom"/>
          </w:tcPr>
          <w:p>
            <w:pPr>
              <w:ind w:left="60"/>
              <w:spacing w:after="0"/>
              <w:rPr>
                <w:sz w:val="20"/>
                <w:szCs w:val="20"/>
                <w:color w:val="auto"/>
              </w:rPr>
            </w:pPr>
            <w:r>
              <w:rPr>
                <w:rFonts w:ascii="Arial" w:cs="Arial" w:eastAsia="Arial" w:hAnsi="Arial"/>
                <w:sz w:val="13"/>
                <w:szCs w:val="13"/>
                <w:b w:val="1"/>
                <w:bCs w:val="1"/>
                <w:color w:val="auto"/>
              </w:rPr>
              <w:t>Brent Callinicos</w:t>
            </w:r>
          </w:p>
        </w:tc>
        <w:tc>
          <w:tcPr>
            <w:tcW w:w="5160" w:type="dxa"/>
            <w:vAlign w:val="bottom"/>
          </w:tcPr>
          <w:p>
            <w:pPr>
              <w:jc w:val="center"/>
              <w:ind w:left="4599"/>
              <w:spacing w:after="0"/>
              <w:rPr>
                <w:sz w:val="20"/>
                <w:szCs w:val="20"/>
                <w:color w:val="auto"/>
              </w:rPr>
            </w:pPr>
            <w:r>
              <w:rPr>
                <w:rFonts w:ascii="Arial" w:cs="Arial" w:eastAsia="Arial" w:hAnsi="Arial"/>
                <w:sz w:val="13"/>
                <w:szCs w:val="13"/>
                <w:color w:val="auto"/>
                <w:w w:val="92"/>
              </w:rPr>
              <w:t>2,776</w:t>
            </w:r>
          </w:p>
        </w:tc>
      </w:tr>
      <w:tr>
        <w:trPr>
          <w:trHeight w:val="230"/>
        </w:trPr>
        <w:tc>
          <w:tcPr>
            <w:tcW w:w="5560" w:type="dxa"/>
            <w:vAlign w:val="bottom"/>
            <w:shd w:val="clear" w:color="auto" w:fill="F1F2F2"/>
          </w:tcPr>
          <w:p>
            <w:pPr>
              <w:ind w:left="60"/>
              <w:spacing w:after="0"/>
              <w:rPr>
                <w:sz w:val="20"/>
                <w:szCs w:val="20"/>
                <w:color w:val="auto"/>
              </w:rPr>
            </w:pPr>
            <w:r>
              <w:rPr>
                <w:rFonts w:ascii="Arial" w:cs="Arial" w:eastAsia="Arial" w:hAnsi="Arial"/>
                <w:sz w:val="13"/>
                <w:szCs w:val="13"/>
                <w:b w:val="1"/>
                <w:bCs w:val="1"/>
                <w:color w:val="auto"/>
              </w:rPr>
              <w:t>George Cheeks</w:t>
            </w:r>
          </w:p>
        </w:tc>
        <w:tc>
          <w:tcPr>
            <w:tcW w:w="5160" w:type="dxa"/>
            <w:vAlign w:val="bottom"/>
            <w:shd w:val="clear" w:color="auto" w:fill="F1F2F2"/>
          </w:tcPr>
          <w:p>
            <w:pPr>
              <w:jc w:val="center"/>
              <w:ind w:left="4599"/>
              <w:spacing w:after="0"/>
              <w:rPr>
                <w:sz w:val="20"/>
                <w:szCs w:val="20"/>
                <w:color w:val="auto"/>
              </w:rPr>
            </w:pPr>
            <w:r>
              <w:rPr>
                <w:rFonts w:ascii="Arial" w:cs="Arial" w:eastAsia="Arial" w:hAnsi="Arial"/>
                <w:sz w:val="13"/>
                <w:szCs w:val="13"/>
                <w:color w:val="auto"/>
                <w:w w:val="92"/>
              </w:rPr>
              <w:t>2,776</w:t>
            </w:r>
          </w:p>
        </w:tc>
      </w:tr>
      <w:tr>
        <w:trPr>
          <w:trHeight w:val="217"/>
        </w:trPr>
        <w:tc>
          <w:tcPr>
            <w:tcW w:w="5560" w:type="dxa"/>
            <w:vAlign w:val="bottom"/>
          </w:tcPr>
          <w:p>
            <w:pPr>
              <w:ind w:left="60"/>
              <w:spacing w:after="0"/>
              <w:rPr>
                <w:sz w:val="20"/>
                <w:szCs w:val="20"/>
                <w:color w:val="auto"/>
              </w:rPr>
            </w:pPr>
            <w:r>
              <w:rPr>
                <w:rFonts w:ascii="Arial" w:cs="Arial" w:eastAsia="Arial" w:hAnsi="Arial"/>
                <w:sz w:val="13"/>
                <w:szCs w:val="13"/>
                <w:b w:val="1"/>
                <w:bCs w:val="1"/>
                <w:color w:val="auto"/>
              </w:rPr>
              <w:t>Kate Gulliver</w:t>
            </w:r>
          </w:p>
        </w:tc>
        <w:tc>
          <w:tcPr>
            <w:tcW w:w="5160" w:type="dxa"/>
            <w:vAlign w:val="bottom"/>
          </w:tcPr>
          <w:p>
            <w:pPr>
              <w:jc w:val="center"/>
              <w:ind w:left="4599"/>
              <w:spacing w:after="0"/>
              <w:rPr>
                <w:sz w:val="20"/>
                <w:szCs w:val="20"/>
                <w:color w:val="auto"/>
              </w:rPr>
            </w:pPr>
            <w:r>
              <w:rPr>
                <w:rFonts w:ascii="Arial" w:cs="Arial" w:eastAsia="Arial" w:hAnsi="Arial"/>
                <w:sz w:val="13"/>
                <w:szCs w:val="13"/>
                <w:color w:val="auto"/>
                <w:w w:val="92"/>
              </w:rPr>
              <w:t>2,776</w:t>
            </w:r>
          </w:p>
        </w:tc>
      </w:tr>
      <w:tr>
        <w:trPr>
          <w:trHeight w:val="230"/>
        </w:trPr>
        <w:tc>
          <w:tcPr>
            <w:tcW w:w="5560" w:type="dxa"/>
            <w:vAlign w:val="bottom"/>
            <w:shd w:val="clear" w:color="auto" w:fill="F1F2F2"/>
          </w:tcPr>
          <w:p>
            <w:pPr>
              <w:ind w:left="60"/>
              <w:spacing w:after="0"/>
              <w:rPr>
                <w:sz w:val="20"/>
                <w:szCs w:val="20"/>
                <w:color w:val="auto"/>
              </w:rPr>
            </w:pPr>
            <w:r>
              <w:rPr>
                <w:rFonts w:ascii="Arial" w:cs="Arial" w:eastAsia="Arial" w:hAnsi="Arial"/>
                <w:sz w:val="13"/>
                <w:szCs w:val="13"/>
                <w:b w:val="1"/>
                <w:bCs w:val="1"/>
                <w:color w:val="auto"/>
              </w:rPr>
              <w:t>G. Penny McIntyre</w:t>
            </w:r>
          </w:p>
        </w:tc>
        <w:tc>
          <w:tcPr>
            <w:tcW w:w="5160" w:type="dxa"/>
            <w:vAlign w:val="bottom"/>
            <w:shd w:val="clear" w:color="auto" w:fill="F1F2F2"/>
          </w:tcPr>
          <w:p>
            <w:pPr>
              <w:jc w:val="center"/>
              <w:ind w:left="4559"/>
              <w:spacing w:after="0"/>
              <w:rPr>
                <w:sz w:val="20"/>
                <w:szCs w:val="20"/>
                <w:color w:val="auto"/>
              </w:rPr>
            </w:pPr>
            <w:r>
              <w:rPr>
                <w:rFonts w:ascii="Arial" w:cs="Arial" w:eastAsia="Arial" w:hAnsi="Arial"/>
                <w:sz w:val="13"/>
                <w:szCs w:val="13"/>
                <w:color w:val="auto"/>
                <w:w w:val="94"/>
              </w:rPr>
              <w:t>20,776</w:t>
            </w:r>
            <w:r>
              <w:rPr>
                <w:rFonts w:ascii="Arial" w:cs="Arial" w:eastAsia="Arial" w:hAnsi="Arial"/>
                <w:sz w:val="14"/>
                <w:szCs w:val="14"/>
                <w:color w:val="auto"/>
                <w:w w:val="94"/>
                <w:vertAlign w:val="superscript"/>
              </w:rPr>
              <w:t>c</w:t>
            </w:r>
          </w:p>
        </w:tc>
      </w:tr>
      <w:tr>
        <w:trPr>
          <w:trHeight w:val="217"/>
        </w:trPr>
        <w:tc>
          <w:tcPr>
            <w:tcW w:w="5560" w:type="dxa"/>
            <w:vAlign w:val="bottom"/>
          </w:tcPr>
          <w:p>
            <w:pPr>
              <w:ind w:left="60"/>
              <w:spacing w:after="0"/>
              <w:rPr>
                <w:sz w:val="20"/>
                <w:szCs w:val="20"/>
                <w:color w:val="auto"/>
              </w:rPr>
            </w:pPr>
            <w:r>
              <w:rPr>
                <w:rFonts w:ascii="Arial" w:cs="Arial" w:eastAsia="Arial" w:hAnsi="Arial"/>
                <w:sz w:val="13"/>
                <w:szCs w:val="13"/>
                <w:b w:val="1"/>
                <w:bCs w:val="1"/>
                <w:color w:val="auto"/>
              </w:rPr>
              <w:t>Amy McPherson</w:t>
            </w:r>
          </w:p>
        </w:tc>
        <w:tc>
          <w:tcPr>
            <w:tcW w:w="5160" w:type="dxa"/>
            <w:vAlign w:val="bottom"/>
          </w:tcPr>
          <w:p>
            <w:pPr>
              <w:jc w:val="center"/>
              <w:ind w:left="4599"/>
              <w:spacing w:after="0"/>
              <w:rPr>
                <w:sz w:val="20"/>
                <w:szCs w:val="20"/>
                <w:color w:val="auto"/>
              </w:rPr>
            </w:pPr>
            <w:r>
              <w:rPr>
                <w:rFonts w:ascii="Arial" w:cs="Arial" w:eastAsia="Arial" w:hAnsi="Arial"/>
                <w:sz w:val="13"/>
                <w:szCs w:val="13"/>
                <w:color w:val="auto"/>
                <w:w w:val="92"/>
              </w:rPr>
              <w:t>2,776</w:t>
            </w:r>
          </w:p>
        </w:tc>
      </w:tr>
      <w:tr>
        <w:trPr>
          <w:trHeight w:val="230"/>
        </w:trPr>
        <w:tc>
          <w:tcPr>
            <w:tcW w:w="5560" w:type="dxa"/>
            <w:vAlign w:val="bottom"/>
            <w:shd w:val="clear" w:color="auto" w:fill="F1F2F2"/>
          </w:tcPr>
          <w:p>
            <w:pPr>
              <w:ind w:left="60"/>
              <w:spacing w:after="0"/>
              <w:rPr>
                <w:sz w:val="20"/>
                <w:szCs w:val="20"/>
                <w:color w:val="auto"/>
              </w:rPr>
            </w:pPr>
            <w:r>
              <w:rPr>
                <w:rFonts w:ascii="Arial" w:cs="Arial" w:eastAsia="Arial" w:hAnsi="Arial"/>
                <w:sz w:val="13"/>
                <w:szCs w:val="13"/>
                <w:b w:val="1"/>
                <w:bCs w:val="1"/>
                <w:color w:val="auto"/>
              </w:rPr>
              <w:t>Amanda Sourry</w:t>
            </w:r>
          </w:p>
        </w:tc>
        <w:tc>
          <w:tcPr>
            <w:tcW w:w="5160" w:type="dxa"/>
            <w:vAlign w:val="bottom"/>
            <w:shd w:val="clear" w:color="auto" w:fill="F1F2F2"/>
          </w:tcPr>
          <w:p>
            <w:pPr>
              <w:jc w:val="center"/>
              <w:ind w:left="4599"/>
              <w:spacing w:after="0"/>
              <w:rPr>
                <w:sz w:val="20"/>
                <w:szCs w:val="20"/>
                <w:color w:val="auto"/>
              </w:rPr>
            </w:pPr>
            <w:r>
              <w:rPr>
                <w:rFonts w:ascii="Arial" w:cs="Arial" w:eastAsia="Arial" w:hAnsi="Arial"/>
                <w:sz w:val="13"/>
                <w:szCs w:val="13"/>
                <w:color w:val="auto"/>
                <w:w w:val="92"/>
              </w:rPr>
              <w:t>2,776</w:t>
            </w:r>
          </w:p>
        </w:tc>
      </w:tr>
    </w:tbl>
    <w:p>
      <w:pPr>
        <w:spacing w:after="0" w:line="145" w:lineRule="exact"/>
        <w:rPr>
          <w:sz w:val="20"/>
          <w:szCs w:val="20"/>
          <w:color w:val="auto"/>
        </w:rPr>
      </w:pPr>
    </w:p>
    <w:p>
      <w:pPr>
        <w:ind w:left="320" w:right="40" w:hanging="152"/>
        <w:spacing w:after="0" w:line="252" w:lineRule="auto"/>
        <w:tabs>
          <w:tab w:leader="none" w:pos="327" w:val="left"/>
        </w:tabs>
        <w:numPr>
          <w:ilvl w:val="0"/>
          <w:numId w:val="63"/>
        </w:numPr>
        <w:rPr>
          <w:rFonts w:ascii="Arial" w:cs="Arial" w:eastAsia="Arial" w:hAnsi="Arial"/>
          <w:sz w:val="13"/>
          <w:szCs w:val="13"/>
          <w:color w:val="auto"/>
        </w:rPr>
      </w:pPr>
      <w:r>
        <w:rPr>
          <w:rFonts w:ascii="Arial" w:cs="Arial" w:eastAsia="Arial" w:hAnsi="Arial"/>
          <w:sz w:val="13"/>
          <w:szCs w:val="13"/>
          <w:color w:val="auto"/>
        </w:rPr>
        <w:t>Stock awards for each of our current directors consist of RSUs that vest on the earlier of one year after the date of grant or the date of the Annual Meeting of Stockholders following the year of grant.</w:t>
      </w:r>
    </w:p>
    <w:p>
      <w:pPr>
        <w:spacing w:after="0" w:line="16" w:lineRule="exact"/>
        <w:rPr>
          <w:sz w:val="20"/>
          <w:szCs w:val="20"/>
          <w:color w:val="auto"/>
        </w:rPr>
      </w:pPr>
    </w:p>
    <w:p>
      <w:pPr>
        <w:ind w:left="160" w:right="2400" w:firstLine="8"/>
        <w:spacing w:after="0" w:line="375" w:lineRule="auto"/>
        <w:tabs>
          <w:tab w:leader="none" w:pos="324" w:val="left"/>
        </w:tabs>
        <w:numPr>
          <w:ilvl w:val="0"/>
          <w:numId w:val="64"/>
        </w:numPr>
        <w:rPr>
          <w:rFonts w:ascii="Arial" w:cs="Arial" w:eastAsia="Arial" w:hAnsi="Arial"/>
          <w:sz w:val="12"/>
          <w:szCs w:val="12"/>
          <w:color w:val="auto"/>
        </w:rPr>
      </w:pPr>
      <w:r>
        <w:rPr>
          <w:rFonts w:ascii="Arial" w:cs="Arial" w:eastAsia="Arial" w:hAnsi="Arial"/>
          <w:sz w:val="12"/>
          <w:szCs w:val="12"/>
          <w:color w:val="auto"/>
        </w:rPr>
        <w:t>Settlement of 8,013 of these outstanding awards has been deferred pursuant to the director’s election, as permitted under our Stock Incentive Plan. c Settlement of 18,000 of these outstanding awards has been deferred pursuant to the director’s election, as permitted under our Stock Incentive Plan.</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 xml:space="preserve">36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749CAB"/>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256" w:right="479" w:bottom="1440" w:gutter="0" w:footer="0" w:header="0"/>
        </w:sectPr>
      </w:pPr>
    </w:p>
    <w:bookmarkStart w:id="39" w:name="page40"/>
    <w:bookmarkEnd w:id="39"/>
    <w:p>
      <w:pPr>
        <w:ind w:left="9"/>
        <w:spacing w:after="0"/>
        <w:rPr>
          <w:sz w:val="20"/>
          <w:szCs w:val="20"/>
          <w:color w:val="auto"/>
        </w:rPr>
      </w:pPr>
      <w:r>
        <w:rPr>
          <w:rFonts w:ascii="Arial" w:cs="Arial" w:eastAsia="Arial" w:hAnsi="Arial"/>
          <w:sz w:val="41"/>
          <w:szCs w:val="41"/>
          <w:b w:val="1"/>
          <w:bCs w:val="1"/>
          <w:color w:val="6D98AD"/>
        </w:rPr>
        <w:t>Proposal 2</w:t>
      </w:r>
    </w:p>
    <w:p>
      <w:pPr>
        <w:spacing w:after="0" w:line="30" w:lineRule="exact"/>
        <w:rPr>
          <w:sz w:val="20"/>
          <w:szCs w:val="20"/>
          <w:color w:val="auto"/>
        </w:rPr>
      </w:pPr>
    </w:p>
    <w:p>
      <w:pPr>
        <w:ind w:left="9"/>
        <w:spacing w:after="0"/>
        <w:rPr>
          <w:sz w:val="20"/>
          <w:szCs w:val="20"/>
          <w:color w:val="auto"/>
        </w:rPr>
      </w:pPr>
      <w:r>
        <w:rPr>
          <w:rFonts w:ascii="Arial" w:cs="Arial" w:eastAsia="Arial" w:hAnsi="Arial"/>
          <w:sz w:val="40"/>
          <w:szCs w:val="40"/>
          <w:b w:val="1"/>
          <w:bCs w:val="1"/>
          <w:color w:val="auto"/>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5404485</wp:posOffset>
            </wp:positionH>
            <wp:positionV relativeFrom="paragraph">
              <wp:posOffset>548005</wp:posOffset>
            </wp:positionV>
            <wp:extent cx="7620" cy="12490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20" cy="1249045"/>
                    </a:xfrm>
                    <a:prstGeom prst="rect">
                      <a:avLst/>
                    </a:prstGeom>
                    <a:noFill/>
                  </pic:spPr>
                </pic:pic>
              </a:graphicData>
            </a:graphic>
          </wp:anchor>
        </w:drawing>
      </w:r>
    </w:p>
    <w:p>
      <w:pPr>
        <w:sectPr>
          <w:pgSz w:w="11900" w:h="16838" w:orient="portrait"/>
          <w:cols w:equalWidth="0" w:num="1">
            <w:col w:w="10949"/>
          </w:cols>
          <w:pgMar w:left="471" w:top="9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 w:right="300"/>
        <w:spacing w:after="0" w:line="264" w:lineRule="auto"/>
        <w:rPr>
          <w:sz w:val="20"/>
          <w:szCs w:val="20"/>
          <w:color w:val="auto"/>
        </w:rPr>
      </w:pPr>
      <w:r>
        <w:rPr>
          <w:rFonts w:ascii="Arial" w:cs="Arial" w:eastAsia="Arial" w:hAnsi="Arial"/>
          <w:sz w:val="14"/>
          <w:szCs w:val="14"/>
          <w:color w:val="auto"/>
        </w:rPr>
        <w:t>We are asking stockholders to provide advisory approval of the compensation of our NEOs, as described in the Compensation Discussion &amp; Analysis and Executive Compensation Tables sections that follow. While the results of this vote are non-binding, the Compensation Committee intends to consider carefully those results when making future compensation decisions.</w:t>
      </w:r>
    </w:p>
    <w:p>
      <w:pPr>
        <w:spacing w:after="0" w:line="93" w:lineRule="exact"/>
        <w:rPr>
          <w:sz w:val="20"/>
          <w:szCs w:val="20"/>
          <w:color w:val="auto"/>
        </w:rPr>
      </w:pPr>
    </w:p>
    <w:p>
      <w:pPr>
        <w:ind w:left="9" w:right="120"/>
        <w:spacing w:after="0" w:line="282" w:lineRule="auto"/>
        <w:rPr>
          <w:sz w:val="20"/>
          <w:szCs w:val="20"/>
          <w:color w:val="auto"/>
        </w:rPr>
      </w:pPr>
      <w:r>
        <w:rPr>
          <w:rFonts w:ascii="Arial" w:cs="Arial" w:eastAsia="Arial" w:hAnsi="Arial"/>
          <w:sz w:val="14"/>
          <w:szCs w:val="14"/>
          <w:color w:val="auto"/>
        </w:rPr>
        <w:t>The following is a summary of key points that stockholders may wish to consider as they make their voting decisions. We encourage you to review the entire Compensation Discussion and Analysis for detailed information on our executive compensation program.</w:t>
      </w:r>
    </w:p>
    <w:p>
      <w:pPr>
        <w:spacing w:after="0" w:line="69" w:lineRule="exact"/>
        <w:rPr>
          <w:sz w:val="20"/>
          <w:szCs w:val="20"/>
          <w:color w:val="auto"/>
        </w:rPr>
      </w:pPr>
    </w:p>
    <w:p>
      <w:pPr>
        <w:ind w:left="9"/>
        <w:spacing w:after="0" w:line="255" w:lineRule="auto"/>
        <w:rPr>
          <w:sz w:val="20"/>
          <w:szCs w:val="20"/>
          <w:color w:val="auto"/>
        </w:rPr>
      </w:pPr>
      <w:r>
        <w:rPr>
          <w:rFonts w:ascii="Arial" w:cs="Arial" w:eastAsia="Arial" w:hAnsi="Arial"/>
          <w:sz w:val="14"/>
          <w:szCs w:val="14"/>
          <w:color w:val="auto"/>
        </w:rPr>
        <w:t>Our compensation program emphasizes performance-based short- and long-term pay, including PVH stock awards (equity), to ensure a rigorous pay-for-performance approach aligned to company performance. In excess of 90% of the Chief Executive Officer’s compensation package and 77% of the non-interim NEO compensation packages consist of short-term and long-term awards that pay out only upon the achievement of specific financial targets, and realized values of equity awards are linked to increases in stock price and stockholder value over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The Board of Directors recommends a vote FOR approval of the compensation paid to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-635635</wp:posOffset>
            </wp:positionV>
            <wp:extent cx="314325" cy="284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4325" cy="284480"/>
                    </a:xfrm>
                    <a:prstGeom prst="rect">
                      <a:avLst/>
                    </a:prstGeom>
                    <a:noFill/>
                  </pic:spPr>
                </pic:pic>
              </a:graphicData>
            </a:graphic>
          </wp:anchor>
        </w:drawing>
      </w:r>
    </w:p>
    <w:p>
      <w:pPr>
        <w:spacing w:after="0" w:line="49"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Proxies received in response to this solicitation will be voted FOR this proposal unless the stockholder specifies otherwise.</w:t>
      </w:r>
    </w:p>
    <w:p>
      <w:pPr>
        <w:spacing w:after="0" w:line="273" w:lineRule="exact"/>
        <w:rPr>
          <w:sz w:val="20"/>
          <w:szCs w:val="20"/>
          <w:color w:val="auto"/>
        </w:rPr>
      </w:pPr>
    </w:p>
    <w:p>
      <w:pPr>
        <w:sectPr>
          <w:pgSz w:w="11900" w:h="16838" w:orient="portrait"/>
          <w:cols w:equalWidth="0" w:num="2">
            <w:col w:w="8369" w:space="280"/>
            <w:col w:w="2300"/>
          </w:cols>
          <w:pgMar w:left="471" w:top="94" w:right="479" w:bottom="1440" w:gutter="0" w:footer="0" w:header="0"/>
          <w:type w:val="continuous"/>
        </w:sectPr>
      </w:pPr>
    </w:p>
    <w:p>
      <w:pPr>
        <w:ind w:left="9" w:right="160"/>
        <w:spacing w:after="0" w:line="264" w:lineRule="auto"/>
        <w:rPr>
          <w:sz w:val="20"/>
          <w:szCs w:val="20"/>
          <w:color w:val="auto"/>
        </w:rPr>
      </w:pPr>
      <w:r>
        <w:rPr>
          <w:rFonts w:ascii="Arial" w:cs="Arial" w:eastAsia="Arial" w:hAnsi="Arial"/>
          <w:sz w:val="14"/>
          <w:szCs w:val="14"/>
          <w:color w:val="auto"/>
        </w:rPr>
        <w:t>Our performance targets are meaningful and are designed to encourage executives to perform at high levels. For bonuses to pay out at target percentages, we must achieve financial goals generally based on the annual budget reviewed and approved by the Board of Directors. Business unit performance goals are based on business plans reviewed with the Board.</w:t>
      </w:r>
    </w:p>
    <w:p>
      <w:pPr>
        <w:spacing w:after="0" w:line="69" w:lineRule="exact"/>
        <w:rPr>
          <w:sz w:val="20"/>
          <w:szCs w:val="20"/>
          <w:color w:val="auto"/>
        </w:rPr>
      </w:pPr>
    </w:p>
    <w:p>
      <w:pPr>
        <w:ind w:left="9"/>
        <w:spacing w:after="0"/>
        <w:rPr>
          <w:sz w:val="20"/>
          <w:szCs w:val="20"/>
          <w:color w:val="auto"/>
        </w:rPr>
      </w:pPr>
      <w:r>
        <w:rPr>
          <w:rFonts w:ascii="Arial" w:cs="Arial" w:eastAsia="Arial" w:hAnsi="Arial"/>
          <w:sz w:val="14"/>
          <w:szCs w:val="14"/>
          <w:color w:val="auto"/>
        </w:rPr>
        <w:t>PSUs will pay out at the target level only if we achieve a meaningful ROIC over a three-year period and outperform a group of industry peers.</w:t>
      </w:r>
    </w:p>
    <w:p>
      <w:pPr>
        <w:spacing w:after="0" w:line="110" w:lineRule="exact"/>
        <w:rPr>
          <w:sz w:val="20"/>
          <w:szCs w:val="20"/>
          <w:color w:val="auto"/>
        </w:rPr>
      </w:pPr>
    </w:p>
    <w:p>
      <w:pPr>
        <w:ind w:left="9"/>
        <w:spacing w:after="0"/>
        <w:rPr>
          <w:sz w:val="20"/>
          <w:szCs w:val="20"/>
          <w:color w:val="auto"/>
        </w:rPr>
      </w:pPr>
      <w:r>
        <w:rPr>
          <w:rFonts w:ascii="Arial" w:cs="Arial" w:eastAsia="Arial" w:hAnsi="Arial"/>
          <w:sz w:val="14"/>
          <w:szCs w:val="14"/>
          <w:color w:val="auto"/>
        </w:rPr>
        <w:t>Our compensation program reflects sound pay practices.</w:t>
      </w:r>
    </w:p>
    <w:p>
      <w:pPr>
        <w:spacing w:after="0" w:line="122" w:lineRule="exact"/>
        <w:rPr>
          <w:sz w:val="20"/>
          <w:szCs w:val="20"/>
          <w:color w:val="auto"/>
        </w:rPr>
      </w:pPr>
    </w:p>
    <w:p>
      <w:pPr>
        <w:ind w:left="149" w:hanging="149"/>
        <w:spacing w:after="0"/>
        <w:tabs>
          <w:tab w:leader="none" w:pos="149" w:val="left"/>
        </w:tabs>
        <w:numPr>
          <w:ilvl w:val="0"/>
          <w:numId w:val="65"/>
        </w:numPr>
        <w:rPr>
          <w:rFonts w:ascii="Arial" w:cs="Arial" w:eastAsia="Arial" w:hAnsi="Arial"/>
          <w:sz w:val="14"/>
          <w:szCs w:val="14"/>
          <w:color w:val="auto"/>
        </w:rPr>
      </w:pPr>
      <w:r>
        <w:rPr>
          <w:rFonts w:ascii="Arial" w:cs="Arial" w:eastAsia="Arial" w:hAnsi="Arial"/>
          <w:sz w:val="14"/>
          <w:szCs w:val="14"/>
          <w:color w:val="auto"/>
        </w:rPr>
        <w:t>We generally do not provide our NEOs with any guarantees as to salary increases, bonuses, incentive plan awards or equity compensation.</w:t>
      </w:r>
    </w:p>
    <w:p>
      <w:pPr>
        <w:spacing w:after="0" w:line="51" w:lineRule="exact"/>
        <w:rPr>
          <w:rFonts w:ascii="Arial" w:cs="Arial" w:eastAsia="Arial" w:hAnsi="Arial"/>
          <w:sz w:val="14"/>
          <w:szCs w:val="14"/>
          <w:color w:val="auto"/>
        </w:rPr>
      </w:pPr>
    </w:p>
    <w:p>
      <w:pPr>
        <w:ind w:left="149" w:hanging="149"/>
        <w:spacing w:after="0"/>
        <w:tabs>
          <w:tab w:leader="none" w:pos="149" w:val="left"/>
        </w:tabs>
        <w:numPr>
          <w:ilvl w:val="0"/>
          <w:numId w:val="65"/>
        </w:numPr>
        <w:rPr>
          <w:rFonts w:ascii="Arial" w:cs="Arial" w:eastAsia="Arial" w:hAnsi="Arial"/>
          <w:sz w:val="14"/>
          <w:szCs w:val="14"/>
          <w:color w:val="auto"/>
        </w:rPr>
      </w:pPr>
      <w:r>
        <w:rPr>
          <w:rFonts w:ascii="Arial" w:cs="Arial" w:eastAsia="Arial" w:hAnsi="Arial"/>
          <w:sz w:val="14"/>
          <w:szCs w:val="14"/>
          <w:color w:val="auto"/>
        </w:rPr>
        <w:t>Our perquisites are modest.</w:t>
      </w:r>
    </w:p>
    <w:p>
      <w:pPr>
        <w:spacing w:after="0" w:line="51" w:lineRule="exact"/>
        <w:rPr>
          <w:rFonts w:ascii="Arial" w:cs="Arial" w:eastAsia="Arial" w:hAnsi="Arial"/>
          <w:sz w:val="14"/>
          <w:szCs w:val="14"/>
          <w:color w:val="auto"/>
        </w:rPr>
      </w:pPr>
    </w:p>
    <w:p>
      <w:pPr>
        <w:ind w:left="149" w:right="200" w:hanging="149"/>
        <w:spacing w:after="0" w:line="282" w:lineRule="auto"/>
        <w:tabs>
          <w:tab w:leader="none" w:pos="151" w:val="left"/>
        </w:tabs>
        <w:numPr>
          <w:ilvl w:val="0"/>
          <w:numId w:val="65"/>
        </w:numPr>
        <w:rPr>
          <w:rFonts w:ascii="Arial" w:cs="Arial" w:eastAsia="Arial" w:hAnsi="Arial"/>
          <w:sz w:val="14"/>
          <w:szCs w:val="14"/>
          <w:color w:val="auto"/>
        </w:rPr>
      </w:pPr>
      <w:r>
        <w:rPr>
          <w:rFonts w:ascii="Arial" w:cs="Arial" w:eastAsia="Arial" w:hAnsi="Arial"/>
          <w:sz w:val="14"/>
          <w:szCs w:val="14"/>
          <w:color w:val="auto"/>
        </w:rPr>
        <w:t>We have adopted stock ownership guidelines (including holding requirements until ownership levels are achieved) for our executive officers that are intended to align their long-term interests with those of our stockholders and to encourage a long-term focus.</w:t>
      </w:r>
    </w:p>
    <w:p>
      <w:pPr>
        <w:spacing w:after="0" w:line="57" w:lineRule="exact"/>
        <w:rPr>
          <w:sz w:val="20"/>
          <w:szCs w:val="20"/>
          <w:color w:val="auto"/>
        </w:rPr>
      </w:pPr>
    </w:p>
    <w:p>
      <w:pPr>
        <w:ind w:left="9" w:right="80"/>
        <w:spacing w:after="0" w:line="255" w:lineRule="auto"/>
        <w:rPr>
          <w:sz w:val="20"/>
          <w:szCs w:val="20"/>
          <w:color w:val="auto"/>
        </w:rPr>
      </w:pPr>
      <w:r>
        <w:rPr>
          <w:rFonts w:ascii="Arial" w:cs="Arial" w:eastAsia="Arial" w:hAnsi="Arial"/>
          <w:sz w:val="14"/>
          <w:szCs w:val="14"/>
          <w:color w:val="auto"/>
        </w:rPr>
        <w:t>Our total compensation packages are comparable to those awarded by our peers. When we establish compensation packages each year, we compare the total compensation that each NEO can earn to compensation for the most comparable executives at the companies in our compensation peer group. We confirm the accuracy of such comparisons by reviewing actual amounts paid or expected to be paid at the end of each year. Consistent with our emphasis on pay for performance, target compensation for our Chief Executive Officer and for our other NEOs is heavily weighted on long-term and performance-based elements. In all cases, the weighting is consistent with the weighting in pay packages for the NEOs’ counterparts at our peers.</w:t>
      </w:r>
    </w:p>
    <w:p>
      <w:pPr>
        <w:spacing w:after="0" w:line="75" w:lineRule="exact"/>
        <w:rPr>
          <w:sz w:val="20"/>
          <w:szCs w:val="20"/>
          <w:color w:val="auto"/>
        </w:rPr>
      </w:pPr>
    </w:p>
    <w:p>
      <w:pPr>
        <w:ind w:left="9" w:right="160"/>
        <w:spacing w:after="0" w:line="264" w:lineRule="auto"/>
        <w:rPr>
          <w:sz w:val="20"/>
          <w:szCs w:val="20"/>
          <w:color w:val="auto"/>
        </w:rPr>
      </w:pPr>
      <w:r>
        <w:rPr>
          <w:rFonts w:ascii="Arial" w:cs="Arial" w:eastAsia="Arial" w:hAnsi="Arial"/>
          <w:sz w:val="14"/>
          <w:szCs w:val="14"/>
          <w:color w:val="auto"/>
        </w:rPr>
        <w:t>We believe the information disclosed in the Compensation Discussion &amp; Analysis and Executive Compensation Tables sections that follow demonstrates that our executive compensation program is well-designed, is working as intended, emphasizes pay for performance without encouraging undue risk, incorporates sound corporate governance and compensation practices, and foregoes elements that are considered poor pay practices.</w:t>
      </w:r>
    </w:p>
    <w:p>
      <w:pPr>
        <w:spacing w:after="0" w:line="81" w:lineRule="exact"/>
        <w:rPr>
          <w:sz w:val="20"/>
          <w:szCs w:val="20"/>
          <w:color w:val="auto"/>
        </w:rPr>
      </w:pPr>
    </w:p>
    <w:p>
      <w:pPr>
        <w:ind w:left="9"/>
        <w:spacing w:after="0"/>
        <w:rPr>
          <w:sz w:val="20"/>
          <w:szCs w:val="20"/>
          <w:color w:val="auto"/>
        </w:rPr>
      </w:pPr>
      <w:r>
        <w:rPr>
          <w:rFonts w:ascii="Arial" w:cs="Arial" w:eastAsia="Arial" w:hAnsi="Arial"/>
          <w:sz w:val="14"/>
          <w:szCs w:val="14"/>
          <w:color w:val="auto"/>
        </w:rPr>
        <w:t>The Board submits the following resolution to stockholders to indicate their non-binding advisory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694817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9" w:right="460"/>
        <w:spacing w:after="0" w:line="294" w:lineRule="auto"/>
        <w:rPr>
          <w:sz w:val="20"/>
          <w:szCs w:val="20"/>
          <w:color w:val="auto"/>
        </w:rPr>
      </w:pPr>
      <w:r>
        <w:rPr>
          <w:rFonts w:ascii="Arial" w:cs="Arial" w:eastAsia="Arial" w:hAnsi="Arial"/>
          <w:sz w:val="14"/>
          <w:szCs w:val="14"/>
          <w:b w:val="1"/>
          <w:bCs w:val="1"/>
          <w:color w:val="auto"/>
        </w:rPr>
        <w:t>Resolved</w:t>
      </w:r>
      <w:r>
        <w:rPr>
          <w:rFonts w:ascii="Arial" w:cs="Arial" w:eastAsia="Arial" w:hAnsi="Arial"/>
          <w:sz w:val="14"/>
          <w:szCs w:val="14"/>
          <w:color w:val="auto"/>
        </w:rPr>
        <w:t>, that the compensation paid to PVH’s NEOs, as disclosed in this Proxy Statement pursuant to the rules of the SEC, including the Compensation Discussion &amp;</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Analysis, compensation tables, and any related narrative discussion, is hereby </w:t>
      </w:r>
      <w:r>
        <w:rPr>
          <w:rFonts w:ascii="Arial" w:cs="Arial" w:eastAsia="Arial" w:hAnsi="Arial"/>
          <w:sz w:val="14"/>
          <w:szCs w:val="14"/>
          <w:b w:val="1"/>
          <w:bCs w:val="1"/>
          <w:color w:val="auto"/>
        </w:rPr>
        <w:t>approved</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694817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PROPOSAL 2: ADVISORY VOTE ON EXECUTIVE COMPENSATION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94" w:right="479" w:bottom="1440" w:gutter="0" w:footer="0" w:header="0"/>
          <w:type w:val="continuous"/>
        </w:sectPr>
      </w:pPr>
    </w:p>
    <w:bookmarkStart w:id="40" w:name="page41"/>
    <w:bookmarkEnd w:id="40"/>
    <w:p>
      <w:pPr>
        <w:spacing w:after="0" w:line="293" w:lineRule="auto"/>
        <w:rPr>
          <w:sz w:val="20"/>
          <w:szCs w:val="20"/>
          <w:color w:val="auto"/>
        </w:rPr>
      </w:pPr>
      <w:r>
        <w:rPr>
          <w:rFonts w:ascii="Arial" w:cs="Arial" w:eastAsia="Arial" w:hAnsi="Arial"/>
          <w:sz w:val="40"/>
          <w:szCs w:val="40"/>
          <w:b w:val="1"/>
          <w:bCs w:val="1"/>
          <w:color w:val="auto"/>
        </w:rPr>
        <w:t>Compensation Discussion &amp; Analysis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8"/>
          <w:szCs w:val="28"/>
          <w:b w:val="1"/>
          <w:bCs w:val="1"/>
          <w:color w:val="6D98AD"/>
        </w:rPr>
        <w:t>Contents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Executive Summary</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2025 Executive Compensation Program</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Executive Compensation Overview</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Compensation Decisions for 2025</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EE"/>
        </w:rPr>
        <w:t>Other Benefits</w:t>
      </w:r>
    </w:p>
    <w:p>
      <w:pPr>
        <w:spacing w:after="0" w:line="86" w:lineRule="exact"/>
        <w:rPr>
          <w:sz w:val="20"/>
          <w:szCs w:val="20"/>
          <w:color w:val="auto"/>
        </w:rPr>
      </w:pPr>
    </w:p>
    <w:p>
      <w:pPr>
        <w:ind w:right="1360"/>
        <w:spacing w:after="0" w:line="405" w:lineRule="auto"/>
        <w:rPr>
          <w:sz w:val="20"/>
          <w:szCs w:val="20"/>
          <w:color w:val="auto"/>
        </w:rPr>
      </w:pPr>
      <w:r>
        <w:rPr>
          <w:rFonts w:ascii="Arial" w:cs="Arial" w:eastAsia="Arial" w:hAnsi="Arial"/>
          <w:sz w:val="14"/>
          <w:szCs w:val="14"/>
          <w:u w:val="single" w:color="auto"/>
          <w:color w:val="0000EE"/>
        </w:rPr>
        <w:t>Administration of our Compensation Programs Risk Considerations in Compensation Programs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0"/>
        <w:spacing w:after="0"/>
        <w:rPr>
          <w:sz w:val="20"/>
          <w:szCs w:val="20"/>
          <w:color w:val="auto"/>
        </w:rPr>
      </w:pPr>
      <w:r>
        <w:rPr>
          <w:rFonts w:ascii="Arial" w:cs="Arial" w:eastAsia="Arial" w:hAnsi="Arial"/>
          <w:sz w:val="31"/>
          <w:szCs w:val="31"/>
          <w:b w:val="1"/>
          <w:bCs w:val="1"/>
          <w:color w:val="749CAB"/>
        </w:rPr>
        <w:t>Executive Summary</w:t>
      </w:r>
    </w:p>
    <w:p>
      <w:pPr>
        <w:spacing w:after="0" w:line="124" w:lineRule="exact"/>
        <w:rPr>
          <w:sz w:val="20"/>
          <w:szCs w:val="20"/>
          <w:color w:val="auto"/>
        </w:rPr>
      </w:pPr>
    </w:p>
    <w:p>
      <w:pPr>
        <w:ind w:left="600" w:right="480" w:hanging="593"/>
        <w:spacing w:after="0" w:line="182" w:lineRule="auto"/>
        <w:tabs>
          <w:tab w:leader="none" w:pos="600" w:val="left"/>
        </w:tabs>
        <w:numPr>
          <w:ilvl w:val="0"/>
          <w:numId w:val="66"/>
        </w:numPr>
        <w:rPr>
          <w:rFonts w:ascii="Arial" w:cs="Arial" w:eastAsia="Arial" w:hAnsi="Arial"/>
          <w:sz w:val="25"/>
          <w:szCs w:val="25"/>
          <w:color w:val="auto"/>
          <w:vertAlign w:val="subscript"/>
        </w:rPr>
      </w:pPr>
      <w:r>
        <w:rPr>
          <w:rFonts w:ascii="Arial" w:cs="Arial" w:eastAsia="Arial" w:hAnsi="Arial"/>
          <w:sz w:val="13"/>
          <w:szCs w:val="13"/>
          <w:color w:val="auto"/>
        </w:rPr>
        <w:t>This Compensation Discussion &amp; Analysis (“CD&amp;A”) describes our executive compensation program and the compensation decisions for our NEOs: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43</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00" w:type="dxa"/>
            <w:vAlign w:val="bottom"/>
          </w:tcPr>
          <w:p>
            <w:pPr>
              <w:jc w:val="right"/>
              <w:ind w:right="369"/>
              <w:spacing w:after="0"/>
              <w:rPr>
                <w:sz w:val="20"/>
                <w:szCs w:val="20"/>
                <w:color w:val="auto"/>
              </w:rPr>
            </w:pPr>
            <w:r>
              <w:rPr>
                <w:rFonts w:ascii="Arial" w:cs="Arial" w:eastAsia="Arial" w:hAnsi="Arial"/>
                <w:sz w:val="14"/>
                <w:szCs w:val="14"/>
                <w:color w:val="auto"/>
                <w:w w:val="89"/>
              </w:rPr>
              <w:t>44</w:t>
            </w:r>
          </w:p>
        </w:tc>
        <w:tc>
          <w:tcPr>
            <w:tcW w:w="1500" w:type="dxa"/>
            <w:vAlign w:val="bottom"/>
            <w:tcBorders>
              <w:bottom w:val="single" w:sz="8" w:color="99B7C6"/>
            </w:tcBorders>
            <w:shd w:val="clear" w:color="auto" w:fill="99B7C6"/>
          </w:tcPr>
          <w:p>
            <w:pPr>
              <w:ind w:left="60"/>
              <w:spacing w:after="0"/>
              <w:rPr>
                <w:sz w:val="20"/>
                <w:szCs w:val="20"/>
                <w:color w:val="auto"/>
              </w:rPr>
            </w:pPr>
            <w:r>
              <w:rPr>
                <w:rFonts w:ascii="Arial" w:cs="Arial" w:eastAsia="Arial" w:hAnsi="Arial"/>
                <w:sz w:val="14"/>
                <w:szCs w:val="14"/>
                <w:color w:val="FFFFFF"/>
              </w:rPr>
              <w:t>NEO</w:t>
            </w:r>
          </w:p>
        </w:tc>
        <w:tc>
          <w:tcPr>
            <w:tcW w:w="3760" w:type="dxa"/>
            <w:vAlign w:val="bottom"/>
            <w:tcBorders>
              <w:bottom w:val="single" w:sz="8" w:color="99B7C6"/>
            </w:tcBorders>
            <w:shd w:val="clear" w:color="auto" w:fill="99B7C6"/>
          </w:tcPr>
          <w:p>
            <w:pPr>
              <w:ind w:left="40"/>
              <w:spacing w:after="0"/>
              <w:rPr>
                <w:sz w:val="20"/>
                <w:szCs w:val="20"/>
                <w:color w:val="auto"/>
              </w:rPr>
            </w:pPr>
            <w:r>
              <w:rPr>
                <w:rFonts w:ascii="Arial" w:cs="Arial" w:eastAsia="Arial" w:hAnsi="Arial"/>
                <w:sz w:val="14"/>
                <w:szCs w:val="14"/>
                <w:color w:val="FFFFFF"/>
              </w:rPr>
              <w:t>Title</w:t>
            </w:r>
          </w:p>
        </w:tc>
        <w:tc>
          <w:tcPr>
            <w:tcW w:w="0" w:type="dxa"/>
            <w:vAlign w:val="bottom"/>
          </w:tcPr>
          <w:p>
            <w:pPr>
              <w:spacing w:after="0"/>
              <w:rPr>
                <w:sz w:val="1"/>
                <w:szCs w:val="1"/>
                <w:color w:val="auto"/>
              </w:rPr>
            </w:pPr>
          </w:p>
        </w:tc>
      </w:tr>
      <w:tr>
        <w:trPr>
          <w:trHeight w:val="229"/>
        </w:trPr>
        <w:tc>
          <w:tcPr>
            <w:tcW w:w="600" w:type="dxa"/>
            <w:vAlign w:val="bottom"/>
          </w:tcPr>
          <w:p>
            <w:pPr>
              <w:jc w:val="right"/>
              <w:ind w:right="369"/>
              <w:spacing w:after="0"/>
              <w:rPr>
                <w:sz w:val="20"/>
                <w:szCs w:val="20"/>
                <w:color w:val="auto"/>
              </w:rPr>
            </w:pPr>
            <w:r>
              <w:rPr>
                <w:rFonts w:ascii="Arial" w:cs="Arial" w:eastAsia="Arial" w:hAnsi="Arial"/>
                <w:sz w:val="14"/>
                <w:szCs w:val="14"/>
                <w:color w:val="auto"/>
                <w:w w:val="89"/>
              </w:rPr>
              <w:t>46</w:t>
            </w:r>
          </w:p>
        </w:tc>
        <w:tc>
          <w:tcPr>
            <w:tcW w:w="15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Stefan Larsson</w:t>
            </w:r>
          </w:p>
        </w:tc>
        <w:tc>
          <w:tcPr>
            <w:tcW w:w="3760" w:type="dxa"/>
            <w:vAlign w:val="bottom"/>
            <w:shd w:val="clear" w:color="auto" w:fill="E9F0F3"/>
          </w:tcPr>
          <w:p>
            <w:pPr>
              <w:ind w:left="40"/>
              <w:spacing w:after="0"/>
              <w:rPr>
                <w:sz w:val="20"/>
                <w:szCs w:val="20"/>
                <w:color w:val="auto"/>
              </w:rPr>
            </w:pPr>
            <w:r>
              <w:rPr>
                <w:rFonts w:ascii="Arial" w:cs="Arial" w:eastAsia="Arial" w:hAnsi="Arial"/>
                <w:sz w:val="14"/>
                <w:szCs w:val="14"/>
                <w:color w:val="auto"/>
              </w:rPr>
              <w:t>Chief Executive Officer</w:t>
            </w:r>
          </w:p>
        </w:tc>
        <w:tc>
          <w:tcPr>
            <w:tcW w:w="0" w:type="dxa"/>
            <w:vAlign w:val="bottom"/>
          </w:tcPr>
          <w:p>
            <w:pPr>
              <w:spacing w:after="0"/>
              <w:rPr>
                <w:sz w:val="1"/>
                <w:szCs w:val="1"/>
                <w:color w:val="auto"/>
              </w:rPr>
            </w:pPr>
          </w:p>
        </w:tc>
      </w:tr>
      <w:tr>
        <w:trPr>
          <w:trHeight w:val="66"/>
        </w:trPr>
        <w:tc>
          <w:tcPr>
            <w:tcW w:w="600" w:type="dxa"/>
            <w:vAlign w:val="bottom"/>
            <w:vMerge w:val="restart"/>
          </w:tcPr>
          <w:p>
            <w:pPr>
              <w:jc w:val="right"/>
              <w:ind w:right="369"/>
              <w:spacing w:after="0"/>
              <w:rPr>
                <w:sz w:val="20"/>
                <w:szCs w:val="20"/>
                <w:color w:val="auto"/>
              </w:rPr>
            </w:pPr>
            <w:r>
              <w:rPr>
                <w:rFonts w:ascii="Arial" w:cs="Arial" w:eastAsia="Arial" w:hAnsi="Arial"/>
                <w:sz w:val="14"/>
                <w:szCs w:val="14"/>
                <w:color w:val="auto"/>
                <w:w w:val="89"/>
              </w:rPr>
              <w:t>54</w:t>
            </w:r>
          </w:p>
        </w:tc>
        <w:tc>
          <w:tcPr>
            <w:tcW w:w="1500" w:type="dxa"/>
            <w:vAlign w:val="bottom"/>
            <w:shd w:val="clear" w:color="auto" w:fill="E9F0F3"/>
          </w:tcPr>
          <w:p>
            <w:pPr>
              <w:spacing w:after="0"/>
              <w:rPr>
                <w:sz w:val="5"/>
                <w:szCs w:val="5"/>
                <w:color w:val="auto"/>
              </w:rPr>
            </w:pPr>
          </w:p>
        </w:tc>
        <w:tc>
          <w:tcPr>
            <w:tcW w:w="376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600" w:type="dxa"/>
            <w:vAlign w:val="bottom"/>
            <w:vMerge w:val="continue"/>
          </w:tcPr>
          <w:p>
            <w:pPr>
              <w:spacing w:after="0"/>
              <w:rPr>
                <w:sz w:val="17"/>
                <w:szCs w:val="17"/>
                <w:color w:val="auto"/>
              </w:rPr>
            </w:pPr>
          </w:p>
        </w:tc>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Melissa Stone</w:t>
            </w:r>
            <w:r>
              <w:rPr>
                <w:rFonts w:ascii="Arial" w:cs="Arial" w:eastAsia="Arial" w:hAnsi="Arial"/>
                <w:sz w:val="16"/>
                <w:szCs w:val="16"/>
                <w:b w:val="1"/>
                <w:bCs w:val="1"/>
                <w:color w:val="auto"/>
                <w:vertAlign w:val="superscript"/>
              </w:rPr>
              <w:t>1</w:t>
            </w:r>
          </w:p>
        </w:tc>
        <w:tc>
          <w:tcPr>
            <w:tcW w:w="3760" w:type="dxa"/>
            <w:vAlign w:val="bottom"/>
          </w:tcPr>
          <w:p>
            <w:pPr>
              <w:ind w:left="40"/>
              <w:spacing w:after="0"/>
              <w:rPr>
                <w:sz w:val="20"/>
                <w:szCs w:val="20"/>
                <w:color w:val="auto"/>
              </w:rPr>
            </w:pPr>
            <w:r>
              <w:rPr>
                <w:rFonts w:ascii="Arial" w:cs="Arial" w:eastAsia="Arial" w:hAnsi="Arial"/>
                <w:sz w:val="14"/>
                <w:szCs w:val="14"/>
                <w:color w:val="auto"/>
              </w:rPr>
              <w:t>Interim Chief Financial Officer and Executive Vice</w:t>
            </w:r>
          </w:p>
        </w:tc>
        <w:tc>
          <w:tcPr>
            <w:tcW w:w="0" w:type="dxa"/>
            <w:vAlign w:val="bottom"/>
          </w:tcPr>
          <w:p>
            <w:pPr>
              <w:spacing w:after="0"/>
              <w:rPr>
                <w:sz w:val="1"/>
                <w:szCs w:val="1"/>
                <w:color w:val="auto"/>
              </w:rPr>
            </w:pPr>
          </w:p>
        </w:tc>
      </w:tr>
      <w:tr>
        <w:trPr>
          <w:trHeight w:val="209"/>
        </w:trPr>
        <w:tc>
          <w:tcPr>
            <w:tcW w:w="600" w:type="dxa"/>
            <w:vAlign w:val="bottom"/>
          </w:tcPr>
          <w:p>
            <w:pPr>
              <w:jc w:val="right"/>
              <w:ind w:right="369"/>
              <w:spacing w:after="0"/>
              <w:rPr>
                <w:sz w:val="20"/>
                <w:szCs w:val="20"/>
                <w:color w:val="auto"/>
              </w:rPr>
            </w:pPr>
            <w:r>
              <w:rPr>
                <w:rFonts w:ascii="Arial" w:cs="Arial" w:eastAsia="Arial" w:hAnsi="Arial"/>
                <w:sz w:val="14"/>
                <w:szCs w:val="14"/>
                <w:color w:val="auto"/>
                <w:w w:val="89"/>
              </w:rPr>
              <w:t>55</w:t>
            </w:r>
          </w:p>
        </w:tc>
        <w:tc>
          <w:tcPr>
            <w:tcW w:w="150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President, Global Financial Planning and Analysis</w:t>
            </w:r>
          </w:p>
        </w:tc>
        <w:tc>
          <w:tcPr>
            <w:tcW w:w="0" w:type="dxa"/>
            <w:vAlign w:val="bottom"/>
          </w:tcPr>
          <w:p>
            <w:pPr>
              <w:spacing w:after="0"/>
              <w:rPr>
                <w:sz w:val="1"/>
                <w:szCs w:val="1"/>
                <w:color w:val="auto"/>
              </w:rPr>
            </w:pPr>
          </w:p>
        </w:tc>
      </w:tr>
      <w:tr>
        <w:trPr>
          <w:trHeight w:val="50"/>
        </w:trPr>
        <w:tc>
          <w:tcPr>
            <w:tcW w:w="600" w:type="dxa"/>
            <w:vAlign w:val="bottom"/>
            <w:vMerge w:val="restart"/>
          </w:tcPr>
          <w:p>
            <w:pPr>
              <w:jc w:val="right"/>
              <w:ind w:right="369"/>
              <w:spacing w:after="0"/>
              <w:rPr>
                <w:sz w:val="20"/>
                <w:szCs w:val="20"/>
                <w:color w:val="auto"/>
              </w:rPr>
            </w:pPr>
            <w:r>
              <w:rPr>
                <w:rFonts w:ascii="Arial" w:cs="Arial" w:eastAsia="Arial" w:hAnsi="Arial"/>
                <w:sz w:val="14"/>
                <w:szCs w:val="14"/>
                <w:color w:val="auto"/>
                <w:w w:val="89"/>
              </w:rPr>
              <w:t>57</w:t>
            </w:r>
          </w:p>
        </w:tc>
        <w:tc>
          <w:tcPr>
            <w:tcW w:w="15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00" w:type="dxa"/>
            <w:vAlign w:val="bottom"/>
            <w:vMerge w:val="continue"/>
          </w:tcPr>
          <w:p>
            <w:pPr>
              <w:spacing w:after="0"/>
              <w:rPr>
                <w:sz w:val="19"/>
                <w:szCs w:val="19"/>
                <w:color w:val="auto"/>
              </w:rPr>
            </w:pPr>
          </w:p>
        </w:tc>
        <w:tc>
          <w:tcPr>
            <w:tcW w:w="15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Lea Rytz Goldman</w:t>
            </w:r>
          </w:p>
        </w:tc>
        <w:tc>
          <w:tcPr>
            <w:tcW w:w="3760" w:type="dxa"/>
            <w:vAlign w:val="bottom"/>
            <w:shd w:val="clear" w:color="auto" w:fill="E9F0F3"/>
          </w:tcPr>
          <w:p>
            <w:pPr>
              <w:ind w:left="40"/>
              <w:spacing w:after="0"/>
              <w:rPr>
                <w:sz w:val="20"/>
                <w:szCs w:val="20"/>
                <w:color w:val="auto"/>
              </w:rPr>
            </w:pPr>
            <w:r>
              <w:rPr>
                <w:rFonts w:ascii="Arial" w:cs="Arial" w:eastAsia="Arial" w:hAnsi="Arial"/>
                <w:sz w:val="14"/>
                <w:szCs w:val="14"/>
                <w:color w:val="auto"/>
              </w:rPr>
              <w:t>Global Brand President, Tommy Hilfiger</w:t>
            </w:r>
          </w:p>
        </w:tc>
        <w:tc>
          <w:tcPr>
            <w:tcW w:w="0" w:type="dxa"/>
            <w:vAlign w:val="bottom"/>
          </w:tcPr>
          <w:p>
            <w:pPr>
              <w:spacing w:after="0"/>
              <w:rPr>
                <w:sz w:val="1"/>
                <w:szCs w:val="1"/>
                <w:color w:val="auto"/>
              </w:rPr>
            </w:pPr>
          </w:p>
        </w:tc>
      </w:tr>
      <w:tr>
        <w:trPr>
          <w:trHeight w:val="66"/>
        </w:trPr>
        <w:tc>
          <w:tcPr>
            <w:tcW w:w="600" w:type="dxa"/>
            <w:vAlign w:val="bottom"/>
          </w:tcPr>
          <w:p>
            <w:pPr>
              <w:spacing w:after="0"/>
              <w:rPr>
                <w:sz w:val="5"/>
                <w:szCs w:val="5"/>
                <w:color w:val="auto"/>
              </w:rPr>
            </w:pPr>
          </w:p>
        </w:tc>
        <w:tc>
          <w:tcPr>
            <w:tcW w:w="1500" w:type="dxa"/>
            <w:vAlign w:val="bottom"/>
            <w:shd w:val="clear" w:color="auto" w:fill="E9F0F3"/>
          </w:tcPr>
          <w:p>
            <w:pPr>
              <w:spacing w:after="0"/>
              <w:rPr>
                <w:sz w:val="5"/>
                <w:szCs w:val="5"/>
                <w:color w:val="auto"/>
              </w:rPr>
            </w:pPr>
          </w:p>
        </w:tc>
        <w:tc>
          <w:tcPr>
            <w:tcW w:w="376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00" w:type="dxa"/>
            <w:vAlign w:val="bottom"/>
          </w:tcPr>
          <w:p>
            <w:pPr>
              <w:spacing w:after="0"/>
              <w:rPr>
                <w:sz w:val="19"/>
                <w:szCs w:val="19"/>
                <w:color w:val="auto"/>
              </w:rPr>
            </w:pPr>
          </w:p>
        </w:tc>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Fredrik Olsson</w:t>
            </w:r>
          </w:p>
        </w:tc>
        <w:tc>
          <w:tcPr>
            <w:tcW w:w="3760" w:type="dxa"/>
            <w:vAlign w:val="bottom"/>
          </w:tcPr>
          <w:p>
            <w:pPr>
              <w:ind w:left="40"/>
              <w:spacing w:after="0"/>
              <w:rPr>
                <w:sz w:val="20"/>
                <w:szCs w:val="20"/>
                <w:color w:val="auto"/>
              </w:rPr>
            </w:pPr>
            <w:r>
              <w:rPr>
                <w:rFonts w:ascii="Arial" w:cs="Arial" w:eastAsia="Arial" w:hAnsi="Arial"/>
                <w:sz w:val="14"/>
                <w:szCs w:val="14"/>
                <w:color w:val="auto"/>
              </w:rPr>
              <w:t>Chief Executive Officer, PVH EMEA</w:t>
            </w:r>
          </w:p>
        </w:tc>
        <w:tc>
          <w:tcPr>
            <w:tcW w:w="0" w:type="dxa"/>
            <w:vAlign w:val="bottom"/>
          </w:tcPr>
          <w:p>
            <w:pPr>
              <w:spacing w:after="0"/>
              <w:rPr>
                <w:sz w:val="1"/>
                <w:szCs w:val="1"/>
                <w:color w:val="auto"/>
              </w:rPr>
            </w:pPr>
          </w:p>
        </w:tc>
      </w:tr>
      <w:tr>
        <w:trPr>
          <w:trHeight w:val="66"/>
        </w:trPr>
        <w:tc>
          <w:tcPr>
            <w:tcW w:w="6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600" w:type="dxa"/>
            <w:vAlign w:val="bottom"/>
          </w:tcPr>
          <w:p>
            <w:pPr>
              <w:spacing w:after="0"/>
              <w:rPr>
                <w:sz w:val="23"/>
                <w:szCs w:val="23"/>
                <w:color w:val="auto"/>
              </w:rPr>
            </w:pPr>
          </w:p>
        </w:tc>
        <w:tc>
          <w:tcPr>
            <w:tcW w:w="150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b w:val="1"/>
                <w:bCs w:val="1"/>
                <w:color w:val="auto"/>
              </w:rPr>
              <w:t>David Savman</w:t>
            </w:r>
            <w:r>
              <w:rPr>
                <w:rFonts w:ascii="Arial" w:cs="Arial" w:eastAsia="Arial" w:hAnsi="Arial"/>
                <w:sz w:val="16"/>
                <w:szCs w:val="16"/>
                <w:b w:val="1"/>
                <w:bCs w:val="1"/>
                <w:color w:val="auto"/>
                <w:vertAlign w:val="superscript"/>
              </w:rPr>
              <w:t>2</w:t>
            </w:r>
          </w:p>
        </w:tc>
        <w:tc>
          <w:tcPr>
            <w:tcW w:w="3760" w:type="dxa"/>
            <w:vAlign w:val="bottom"/>
            <w:tcBorders>
              <w:bottom w:val="single" w:sz="8" w:color="E9F0F3"/>
            </w:tcBorders>
            <w:shd w:val="clear" w:color="auto" w:fill="E9F0F3"/>
          </w:tcPr>
          <w:p>
            <w:pPr>
              <w:ind w:left="40"/>
              <w:spacing w:after="0"/>
              <w:rPr>
                <w:sz w:val="20"/>
                <w:szCs w:val="20"/>
                <w:color w:val="auto"/>
              </w:rPr>
            </w:pPr>
            <w:r>
              <w:rPr>
                <w:rFonts w:ascii="Arial" w:cs="Arial" w:eastAsia="Arial" w:hAnsi="Arial"/>
                <w:sz w:val="14"/>
                <w:szCs w:val="14"/>
                <w:color w:val="auto"/>
              </w:rPr>
              <w:t>Global Brand President, Calvin Klein</w:t>
            </w:r>
          </w:p>
        </w:tc>
        <w:tc>
          <w:tcPr>
            <w:tcW w:w="0" w:type="dxa"/>
            <w:vAlign w:val="bottom"/>
          </w:tcPr>
          <w:p>
            <w:pPr>
              <w:spacing w:after="0"/>
              <w:rPr>
                <w:sz w:val="1"/>
                <w:szCs w:val="1"/>
                <w:color w:val="auto"/>
              </w:rPr>
            </w:pPr>
          </w:p>
        </w:tc>
      </w:tr>
      <w:tr>
        <w:trPr>
          <w:trHeight w:val="200"/>
        </w:trPr>
        <w:tc>
          <w:tcPr>
            <w:tcW w:w="600" w:type="dxa"/>
            <w:vAlign w:val="bottom"/>
          </w:tcPr>
          <w:p>
            <w:pPr>
              <w:spacing w:after="0"/>
              <w:rPr>
                <w:sz w:val="17"/>
                <w:szCs w:val="17"/>
                <w:color w:val="auto"/>
              </w:rPr>
            </w:pPr>
          </w:p>
        </w:tc>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Zachary J. Coughlin</w:t>
            </w:r>
            <w:r>
              <w:rPr>
                <w:rFonts w:ascii="Arial" w:cs="Arial" w:eastAsia="Arial" w:hAnsi="Arial"/>
                <w:sz w:val="16"/>
                <w:szCs w:val="16"/>
                <w:b w:val="1"/>
                <w:bCs w:val="1"/>
                <w:color w:val="auto"/>
                <w:vertAlign w:val="superscript"/>
              </w:rPr>
              <w:t>3</w:t>
            </w:r>
          </w:p>
        </w:tc>
        <w:tc>
          <w:tcPr>
            <w:tcW w:w="3760" w:type="dxa"/>
            <w:vAlign w:val="bottom"/>
          </w:tcPr>
          <w:p>
            <w:pPr>
              <w:ind w:left="40"/>
              <w:spacing w:after="0"/>
              <w:rPr>
                <w:sz w:val="20"/>
                <w:szCs w:val="20"/>
                <w:color w:val="auto"/>
              </w:rPr>
            </w:pPr>
            <w:r>
              <w:rPr>
                <w:rFonts w:ascii="Arial" w:cs="Arial" w:eastAsia="Arial" w:hAnsi="Arial"/>
                <w:sz w:val="14"/>
                <w:szCs w:val="14"/>
                <w:color w:val="auto"/>
              </w:rPr>
              <w:t>Former Executive Vice President and Chief Financial</w:t>
            </w:r>
          </w:p>
        </w:tc>
        <w:tc>
          <w:tcPr>
            <w:tcW w:w="0" w:type="dxa"/>
            <w:vAlign w:val="bottom"/>
          </w:tcPr>
          <w:p>
            <w:pPr>
              <w:spacing w:after="0"/>
              <w:rPr>
                <w:sz w:val="1"/>
                <w:szCs w:val="1"/>
                <w:color w:val="auto"/>
              </w:rPr>
            </w:pPr>
          </w:p>
        </w:tc>
      </w:tr>
      <w:tr>
        <w:trPr>
          <w:trHeight w:val="186"/>
        </w:trPr>
        <w:tc>
          <w:tcPr>
            <w:tcW w:w="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Officer</w:t>
            </w:r>
          </w:p>
        </w:tc>
        <w:tc>
          <w:tcPr>
            <w:tcW w:w="0" w:type="dxa"/>
            <w:vAlign w:val="bottom"/>
          </w:tcPr>
          <w:p>
            <w:pPr>
              <w:spacing w:after="0"/>
              <w:rPr>
                <w:sz w:val="1"/>
                <w:szCs w:val="1"/>
                <w:color w:val="auto"/>
              </w:rPr>
            </w:pPr>
          </w:p>
        </w:tc>
      </w:tr>
      <w:tr>
        <w:trPr>
          <w:trHeight w:val="74"/>
        </w:trPr>
        <w:tc>
          <w:tcPr>
            <w:tcW w:w="6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600" w:type="dxa"/>
            <w:vAlign w:val="bottom"/>
          </w:tcPr>
          <w:p>
            <w:pPr>
              <w:spacing w:after="0"/>
              <w:rPr>
                <w:sz w:val="22"/>
                <w:szCs w:val="22"/>
                <w:color w:val="auto"/>
              </w:rPr>
            </w:pPr>
          </w:p>
        </w:tc>
        <w:tc>
          <w:tcPr>
            <w:tcW w:w="15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Eva Serrano</w:t>
            </w:r>
            <w:r>
              <w:rPr>
                <w:rFonts w:ascii="Arial" w:cs="Arial" w:eastAsia="Arial" w:hAnsi="Arial"/>
                <w:sz w:val="16"/>
                <w:szCs w:val="16"/>
                <w:b w:val="1"/>
                <w:bCs w:val="1"/>
                <w:color w:val="auto"/>
                <w:vertAlign w:val="superscript"/>
              </w:rPr>
              <w:t>4</w:t>
            </w:r>
          </w:p>
        </w:tc>
        <w:tc>
          <w:tcPr>
            <w:tcW w:w="3760" w:type="dxa"/>
            <w:vAlign w:val="bottom"/>
            <w:shd w:val="clear" w:color="auto" w:fill="E9F0F3"/>
          </w:tcPr>
          <w:p>
            <w:pPr>
              <w:ind w:left="40"/>
              <w:spacing w:after="0"/>
              <w:rPr>
                <w:sz w:val="20"/>
                <w:szCs w:val="20"/>
                <w:color w:val="auto"/>
              </w:rPr>
            </w:pPr>
            <w:r>
              <w:rPr>
                <w:rFonts w:ascii="Arial" w:cs="Arial" w:eastAsia="Arial" w:hAnsi="Arial"/>
                <w:sz w:val="14"/>
                <w:szCs w:val="14"/>
                <w:color w:val="auto"/>
              </w:rPr>
              <w:t>Former Global Brand President, Calvin Klein</w:t>
            </w:r>
          </w:p>
        </w:tc>
        <w:tc>
          <w:tcPr>
            <w:tcW w:w="0" w:type="dxa"/>
            <w:vAlign w:val="bottom"/>
          </w:tcPr>
          <w:p>
            <w:pPr>
              <w:spacing w:after="0"/>
              <w:rPr>
                <w:sz w:val="1"/>
                <w:szCs w:val="1"/>
                <w:color w:val="auto"/>
              </w:rPr>
            </w:pPr>
          </w:p>
        </w:tc>
      </w:tr>
      <w:tr>
        <w:trPr>
          <w:trHeight w:val="35"/>
        </w:trPr>
        <w:tc>
          <w:tcPr>
            <w:tcW w:w="600" w:type="dxa"/>
            <w:vAlign w:val="bottom"/>
          </w:tcPr>
          <w:p>
            <w:pPr>
              <w:spacing w:after="0"/>
              <w:rPr>
                <w:sz w:val="3"/>
                <w:szCs w:val="3"/>
                <w:color w:val="auto"/>
              </w:rPr>
            </w:pPr>
          </w:p>
        </w:tc>
        <w:tc>
          <w:tcPr>
            <w:tcW w:w="1500" w:type="dxa"/>
            <w:vAlign w:val="bottom"/>
            <w:shd w:val="clear" w:color="auto" w:fill="E9F0F3"/>
          </w:tcPr>
          <w:p>
            <w:pPr>
              <w:spacing w:after="0"/>
              <w:rPr>
                <w:sz w:val="3"/>
                <w:szCs w:val="3"/>
                <w:color w:val="auto"/>
              </w:rPr>
            </w:pPr>
          </w:p>
        </w:tc>
        <w:tc>
          <w:tcPr>
            <w:tcW w:w="3760" w:type="dxa"/>
            <w:vAlign w:val="bottom"/>
            <w:shd w:val="clear" w:color="auto" w:fill="E9F0F3"/>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ectPr>
          <w:pgSz w:w="11900" w:h="16838" w:orient="portrait"/>
          <w:cols w:equalWidth="0" w:num="2">
            <w:col w:w="4360" w:space="720"/>
            <w:col w:w="5860"/>
          </w:cols>
          <w:pgMar w:left="480" w:top="94" w:right="479" w:bottom="1440" w:gutter="0" w:footer="0" w:header="0"/>
        </w:sectPr>
      </w:pPr>
    </w:p>
    <w:p>
      <w:pPr>
        <w:ind w:left="5680"/>
        <w:spacing w:after="0"/>
        <w:rPr>
          <w:sz w:val="20"/>
          <w:szCs w:val="20"/>
          <w:color w:val="auto"/>
        </w:rPr>
      </w:pPr>
      <w:r>
        <w:rPr>
          <w:rFonts w:ascii="Arial" w:cs="Arial" w:eastAsia="Arial" w:hAnsi="Arial"/>
          <w:sz w:val="12"/>
          <w:szCs w:val="12"/>
          <w:color w:val="auto"/>
        </w:rPr>
        <w:t>1  Ms. Stone, our Executive Vice President of Global Financial Planning and Analysis, took on</w:t>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3"/>
          <w:szCs w:val="13"/>
          <w:color w:val="auto"/>
        </w:rPr>
        <w:t>the additional role of Interim Chief Financial Officer on January 1, 2026 following Mr.</w:t>
      </w:r>
    </w:p>
    <w:p>
      <w:pPr>
        <w:ind w:left="5840"/>
        <w:spacing w:after="0" w:line="226" w:lineRule="auto"/>
        <w:rPr>
          <w:sz w:val="20"/>
          <w:szCs w:val="20"/>
          <w:color w:val="auto"/>
        </w:rPr>
      </w:pPr>
      <w:r>
        <w:rPr>
          <w:rFonts w:ascii="Arial" w:cs="Arial" w:eastAsia="Arial" w:hAnsi="Arial"/>
          <w:sz w:val="13"/>
          <w:szCs w:val="13"/>
          <w:color w:val="auto"/>
        </w:rPr>
        <w:t>Coughlin’s departure. See footnote 3. Please also see the discussion on p.43 under the</w:t>
      </w:r>
    </w:p>
    <w:p>
      <w:pPr>
        <w:ind w:left="5840"/>
        <w:spacing w:after="0" w:line="227" w:lineRule="auto"/>
        <w:rPr>
          <w:sz w:val="20"/>
          <w:szCs w:val="20"/>
          <w:color w:val="auto"/>
        </w:rPr>
      </w:pPr>
      <w:r>
        <w:rPr>
          <w:rFonts w:ascii="Arial" w:cs="Arial" w:eastAsia="Arial" w:hAnsi="Arial"/>
          <w:sz w:val="13"/>
          <w:szCs w:val="13"/>
          <w:color w:val="auto"/>
        </w:rPr>
        <w:t>heading “Special Note” regarding Ms. Stone’s compensation package and its difference</w:t>
      </w:r>
    </w:p>
    <w:p>
      <w:pPr>
        <w:ind w:left="5840"/>
        <w:spacing w:after="0"/>
        <w:rPr>
          <w:sz w:val="20"/>
          <w:szCs w:val="20"/>
          <w:color w:val="auto"/>
        </w:rPr>
      </w:pPr>
      <w:r>
        <w:rPr>
          <w:rFonts w:ascii="Arial" w:cs="Arial" w:eastAsia="Arial" w:hAnsi="Arial"/>
          <w:sz w:val="13"/>
          <w:szCs w:val="13"/>
          <w:color w:val="auto"/>
        </w:rPr>
        <w:t>from other NEOs.</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2  Mr. Savman was appointed to the role of Global Brand President, Calvin Klein on May 8,</w:t>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3"/>
          <w:szCs w:val="13"/>
          <w:color w:val="auto"/>
        </w:rPr>
        <w:t>2025. He relinquished his duties as Chief Supply Chain Officer and Global Head of</w:t>
      </w:r>
    </w:p>
    <w:p>
      <w:pPr>
        <w:ind w:left="5840"/>
        <w:spacing w:after="0"/>
        <w:rPr>
          <w:sz w:val="20"/>
          <w:szCs w:val="20"/>
          <w:color w:val="auto"/>
        </w:rPr>
      </w:pPr>
      <w:r>
        <w:rPr>
          <w:rFonts w:ascii="Arial" w:cs="Arial" w:eastAsia="Arial" w:hAnsi="Arial"/>
          <w:sz w:val="12"/>
          <w:szCs w:val="12"/>
          <w:color w:val="auto"/>
        </w:rPr>
        <w:t>Operations when his successor in that role commenced employment in November 2025.</w:t>
      </w:r>
    </w:p>
    <w:p>
      <w:pPr>
        <w:spacing w:after="0" w:line="38"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3  Mr. Coughlin voluntarily resigned without good reason and left the Company effective</w:t>
      </w:r>
    </w:p>
    <w:p>
      <w:pPr>
        <w:ind w:left="5840"/>
        <w:spacing w:after="0" w:line="233" w:lineRule="auto"/>
        <w:rPr>
          <w:sz w:val="20"/>
          <w:szCs w:val="20"/>
          <w:color w:val="auto"/>
        </w:rPr>
      </w:pPr>
      <w:r>
        <w:rPr>
          <w:rFonts w:ascii="Arial" w:cs="Arial" w:eastAsia="Arial" w:hAnsi="Arial"/>
          <w:sz w:val="13"/>
          <w:szCs w:val="13"/>
          <w:color w:val="auto"/>
        </w:rPr>
        <w:t>December 31, 2025 to take a role at another company outside of the retail and apparel</w:t>
      </w:r>
    </w:p>
    <w:p>
      <w:pPr>
        <w:ind w:left="5840"/>
        <w:spacing w:after="0"/>
        <w:rPr>
          <w:sz w:val="20"/>
          <w:szCs w:val="20"/>
          <w:color w:val="auto"/>
        </w:rPr>
      </w:pPr>
      <w:r>
        <w:rPr>
          <w:rFonts w:ascii="Arial" w:cs="Arial" w:eastAsia="Arial" w:hAnsi="Arial"/>
          <w:sz w:val="13"/>
          <w:szCs w:val="13"/>
          <w:color w:val="auto"/>
        </w:rPr>
        <w:t>industry.</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4  Ms. Serrano was separated from her role effective May 8, 2025, and left the Company</w:t>
      </w:r>
    </w:p>
    <w:p>
      <w:pPr>
        <w:spacing w:after="0" w:line="4" w:lineRule="exact"/>
        <w:rPr>
          <w:sz w:val="20"/>
          <w:szCs w:val="20"/>
          <w:color w:val="auto"/>
        </w:rPr>
      </w:pPr>
    </w:p>
    <w:p>
      <w:pPr>
        <w:ind w:left="5840"/>
        <w:spacing w:after="0"/>
        <w:rPr>
          <w:sz w:val="20"/>
          <w:szCs w:val="20"/>
          <w:color w:val="auto"/>
        </w:rPr>
      </w:pPr>
      <w:r>
        <w:rPr>
          <w:rFonts w:ascii="Arial" w:cs="Arial" w:eastAsia="Arial" w:hAnsi="Arial"/>
          <w:sz w:val="13"/>
          <w:szCs w:val="13"/>
          <w:color w:val="auto"/>
        </w:rPr>
        <w:t>effective December 31, 2025.</w:t>
      </w:r>
    </w:p>
    <w:p>
      <w:pPr>
        <w:spacing w:after="0" w:line="104" w:lineRule="exact"/>
        <w:rPr>
          <w:sz w:val="20"/>
          <w:szCs w:val="20"/>
          <w:color w:val="auto"/>
        </w:rPr>
      </w:pPr>
    </w:p>
    <w:p>
      <w:pPr>
        <w:spacing w:after="0"/>
        <w:rPr>
          <w:sz w:val="20"/>
          <w:szCs w:val="20"/>
          <w:color w:val="auto"/>
        </w:rPr>
      </w:pPr>
      <w:r>
        <w:rPr>
          <w:rFonts w:ascii="Arial" w:cs="Arial" w:eastAsia="Arial" w:hAnsi="Arial"/>
          <w:sz w:val="28"/>
          <w:szCs w:val="28"/>
          <w:b w:val="1"/>
          <w:bCs w:val="1"/>
          <w:color w:val="6D98AD"/>
        </w:rPr>
        <w:t>2025 Performance Highlights</w:t>
      </w:r>
    </w:p>
    <w:p>
      <w:pPr>
        <w:spacing w:after="0" w:line="138"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 xml:space="preserve">In 2025, we made important progress on PVH’s multi-year journey to build </w:t>
      </w:r>
      <w:r>
        <w:rPr>
          <w:rFonts w:ascii="Arial" w:cs="Arial" w:eastAsia="Arial" w:hAnsi="Arial"/>
          <w:sz w:val="14"/>
          <w:szCs w:val="14"/>
          <w:i w:val="1"/>
          <w:iCs w:val="1"/>
          <w:color w:val="auto"/>
        </w:rPr>
        <w:t>Calvin Klein</w:t>
      </w:r>
      <w:r>
        <w:rPr>
          <w:rFonts w:ascii="Arial" w:cs="Arial" w:eastAsia="Arial" w:hAnsi="Arial"/>
          <w:sz w:val="14"/>
          <w:szCs w:val="14"/>
          <w:color w:val="auto"/>
        </w:rPr>
        <w:t xml:space="preserve"> and </w:t>
      </w:r>
      <w:r>
        <w:rPr>
          <w:rFonts w:ascii="Arial" w:cs="Arial" w:eastAsia="Arial" w:hAnsi="Arial"/>
          <w:sz w:val="14"/>
          <w:szCs w:val="14"/>
          <w:i w:val="1"/>
          <w:iCs w:val="1"/>
          <w:color w:val="auto"/>
        </w:rPr>
        <w:t>TOMMY HILFIGER</w:t>
      </w:r>
      <w:r>
        <w:rPr>
          <w:rFonts w:ascii="Arial" w:cs="Arial" w:eastAsia="Arial" w:hAnsi="Arial"/>
          <w:sz w:val="14"/>
          <w:szCs w:val="14"/>
          <w:color w:val="auto"/>
        </w:rPr>
        <w:t xml:space="preserve"> into their full potential. In the context of an uneven consumer and macro-economic environment, we remained focused on what was within our control, and delivered on our revenue commitment, returning to revenue growth for the year.</w:t>
      </w:r>
    </w:p>
    <w:p>
      <w:pPr>
        <w:spacing w:after="0" w:line="57"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 xml:space="preserve">We strategically leaned into product innovation and drove powerful consumer engagement for both </w:t>
      </w:r>
      <w:r>
        <w:rPr>
          <w:rFonts w:ascii="Arial" w:cs="Arial" w:eastAsia="Arial" w:hAnsi="Arial"/>
          <w:sz w:val="14"/>
          <w:szCs w:val="14"/>
          <w:i w:val="1"/>
          <w:iCs w:val="1"/>
          <w:color w:val="auto"/>
        </w:rPr>
        <w:t>Calvin Klein</w:t>
      </w:r>
      <w:r>
        <w:rPr>
          <w:rFonts w:ascii="Arial" w:cs="Arial" w:eastAsia="Arial" w:hAnsi="Arial"/>
          <w:sz w:val="14"/>
          <w:szCs w:val="14"/>
          <w:color w:val="auto"/>
        </w:rPr>
        <w:t xml:space="preserve"> and </w:t>
      </w:r>
      <w:r>
        <w:rPr>
          <w:rFonts w:ascii="Arial" w:cs="Arial" w:eastAsia="Arial" w:hAnsi="Arial"/>
          <w:sz w:val="14"/>
          <w:szCs w:val="14"/>
          <w:i w:val="1"/>
          <w:iCs w:val="1"/>
          <w:color w:val="auto"/>
        </w:rPr>
        <w:t>TOMMY HILFIGER</w:t>
      </w:r>
      <w:r>
        <w:rPr>
          <w:rFonts w:ascii="Arial" w:cs="Arial" w:eastAsia="Arial" w:hAnsi="Arial"/>
          <w:sz w:val="14"/>
          <w:szCs w:val="14"/>
          <w:color w:val="auto"/>
        </w:rPr>
        <w:t>, bringing our two global iconic brands to life by focusing on each brand’s iconic DNA and making it current for today. We launched cut-through marketing campaigns that connect with culture and our consumers globally and have established partnerships with marquee sports teams, music superstars, actors and influencers that strengthen our brand expression and engage our consumers.</w:t>
      </w:r>
    </w:p>
    <w:p>
      <w:pPr>
        <w:spacing w:after="0" w:line="73" w:lineRule="exact"/>
        <w:rPr>
          <w:sz w:val="20"/>
          <w:szCs w:val="20"/>
          <w:color w:val="auto"/>
        </w:rPr>
      </w:pPr>
    </w:p>
    <w:p>
      <w:pPr>
        <w:ind w:right="200"/>
        <w:spacing w:after="0" w:line="264" w:lineRule="auto"/>
        <w:rPr>
          <w:sz w:val="20"/>
          <w:szCs w:val="20"/>
          <w:color w:val="auto"/>
        </w:rPr>
      </w:pPr>
      <w:r>
        <w:rPr>
          <w:rFonts w:ascii="Arial" w:cs="Arial" w:eastAsia="Arial" w:hAnsi="Arial"/>
          <w:sz w:val="14"/>
          <w:szCs w:val="14"/>
          <w:color w:val="auto"/>
        </w:rPr>
        <w:t>Our performance in 2025 was driven by our team’s relentless execution of the PVH+ Plan across regions. In Europe, we delivered sequentially improving wholesale order books each season, returning to growth beginning with our Fall 2025 season. In the Americas, we continued to outperform in our digital channels throughout the year, and in APAC, our performance improved each quarter.</w:t>
      </w:r>
    </w:p>
    <w:p>
      <w:pPr>
        <w:spacing w:after="0" w:line="81" w:lineRule="exact"/>
        <w:rPr>
          <w:sz w:val="20"/>
          <w:szCs w:val="20"/>
          <w:color w:val="auto"/>
        </w:rPr>
      </w:pPr>
    </w:p>
    <w:p>
      <w:pPr>
        <w:ind w:right="380"/>
        <w:spacing w:after="0" w:line="282" w:lineRule="auto"/>
        <w:rPr>
          <w:sz w:val="20"/>
          <w:szCs w:val="20"/>
          <w:color w:val="auto"/>
        </w:rPr>
      </w:pPr>
      <w:r>
        <w:rPr>
          <w:rFonts w:ascii="Arial" w:cs="Arial" w:eastAsia="Arial" w:hAnsi="Arial"/>
          <w:sz w:val="14"/>
          <w:szCs w:val="14"/>
          <w:color w:val="auto"/>
        </w:rPr>
        <w:t>Our achievements on each of the five key growth drivers of the PVH+ Plan in 2025 power our brand-building consumer flywheel, where strong products lead to consumer engagement and brand desirability, which in turn leads to strong marketplace execution.</w:t>
      </w:r>
    </w:p>
    <w:p>
      <w:pPr>
        <w:spacing w:after="0" w:line="13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38 </w:t>
      </w:r>
      <w:r>
        <w:rPr>
          <w:rFonts w:ascii="Arial" w:cs="Arial" w:eastAsia="Arial" w:hAnsi="Arial"/>
          <w:sz w:val="11"/>
          <w:szCs w:val="11"/>
          <w:color w:val="auto"/>
        </w:rPr>
        <w:t>/ PVH CORP.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695515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94" w:right="479" w:bottom="1440" w:gutter="0" w:footer="0" w:header="0"/>
          <w:type w:val="continuous"/>
        </w:sectPr>
      </w:pPr>
    </w:p>
    <w:bookmarkStart w:id="41" w:name="page42"/>
    <w:bookmarkEnd w:id="41"/>
    <w:p>
      <w:pPr>
        <w:ind w:left="9"/>
        <w:spacing w:after="0"/>
        <w:rPr>
          <w:sz w:val="20"/>
          <w:szCs w:val="20"/>
          <w:color w:val="auto"/>
        </w:rPr>
      </w:pPr>
      <w:r>
        <w:rPr>
          <w:rFonts w:ascii="Arial" w:cs="Arial" w:eastAsia="Arial" w:hAnsi="Arial"/>
          <w:sz w:val="14"/>
          <w:szCs w:val="14"/>
          <w:color w:val="auto"/>
        </w:rPr>
        <w:t>Key highlights include:</w:t>
      </w:r>
    </w:p>
    <w:p>
      <w:pPr>
        <w:spacing w:after="0" w:line="122" w:lineRule="exact"/>
        <w:rPr>
          <w:sz w:val="20"/>
          <w:szCs w:val="20"/>
          <w:color w:val="auto"/>
        </w:rPr>
      </w:pPr>
    </w:p>
    <w:p>
      <w:pPr>
        <w:ind w:left="149" w:right="420" w:hanging="149"/>
        <w:spacing w:after="0" w:line="280" w:lineRule="auto"/>
        <w:tabs>
          <w:tab w:leader="none" w:pos="151" w:val="left"/>
        </w:tabs>
        <w:numPr>
          <w:ilvl w:val="0"/>
          <w:numId w:val="67"/>
        </w:numPr>
        <w:rPr>
          <w:rFonts w:ascii="Arial" w:cs="Arial" w:eastAsia="Arial" w:hAnsi="Arial"/>
          <w:sz w:val="14"/>
          <w:szCs w:val="14"/>
          <w:color w:val="auto"/>
        </w:rPr>
      </w:pPr>
      <w:r>
        <w:rPr>
          <w:rFonts w:ascii="Arial" w:cs="Arial" w:eastAsia="Arial" w:hAnsi="Arial"/>
          <w:sz w:val="14"/>
          <w:szCs w:val="14"/>
          <w:b w:val="1"/>
          <w:bCs w:val="1"/>
          <w:color w:val="6D98AD"/>
        </w:rPr>
        <w:t xml:space="preserve">Win with the best product </w:t>
      </w:r>
      <w:r>
        <w:rPr>
          <w:rFonts w:ascii="Arial" w:cs="Arial" w:eastAsia="Arial" w:hAnsi="Arial"/>
          <w:sz w:val="14"/>
          <w:szCs w:val="14"/>
          <w:color w:val="000000"/>
        </w:rPr>
        <w:t>— We continued to bring newness to the biggest product categories, including</w:t>
      </w:r>
      <w:r>
        <w:rPr>
          <w:rFonts w:ascii="Arial" w:cs="Arial" w:eastAsia="Arial" w:hAnsi="Arial"/>
          <w:sz w:val="14"/>
          <w:szCs w:val="14"/>
          <w:b w:val="1"/>
          <w:bCs w:val="1"/>
          <w:color w:val="6D98AD"/>
        </w:rPr>
        <w:t xml:space="preserve"> </w:t>
      </w:r>
      <w:r>
        <w:rPr>
          <w:rFonts w:ascii="Arial" w:cs="Arial" w:eastAsia="Arial" w:hAnsi="Arial"/>
          <w:sz w:val="14"/>
          <w:szCs w:val="14"/>
          <w:i w:val="1"/>
          <w:iCs w:val="1"/>
          <w:color w:val="000000"/>
        </w:rPr>
        <w:t>Calvin Klein</w:t>
      </w:r>
      <w:r>
        <w:rPr>
          <w:rFonts w:ascii="Arial" w:cs="Arial" w:eastAsia="Arial" w:hAnsi="Arial"/>
          <w:sz w:val="14"/>
          <w:szCs w:val="14"/>
          <w:b w:val="1"/>
          <w:bCs w:val="1"/>
          <w:color w:val="6D98AD"/>
        </w:rPr>
        <w:t xml:space="preserve"> </w:t>
      </w:r>
      <w:r>
        <w:rPr>
          <w:rFonts w:ascii="Arial" w:cs="Arial" w:eastAsia="Arial" w:hAnsi="Arial"/>
          <w:sz w:val="14"/>
          <w:szCs w:val="14"/>
          <w:color w:val="000000"/>
        </w:rPr>
        <w:t>underwear (with our innovations in Icon Cotton</w:t>
      </w:r>
      <w:r>
        <w:rPr>
          <w:rFonts w:ascii="Arial" w:cs="Arial" w:eastAsia="Arial" w:hAnsi="Arial"/>
          <w:sz w:val="14"/>
          <w:szCs w:val="14"/>
          <w:b w:val="1"/>
          <w:bCs w:val="1"/>
          <w:color w:val="6D98AD"/>
        </w:rPr>
        <w:t xml:space="preserve"> </w:t>
      </w:r>
      <w:r>
        <w:rPr>
          <w:rFonts w:ascii="Arial" w:cs="Arial" w:eastAsia="Arial" w:hAnsi="Arial"/>
          <w:sz w:val="14"/>
          <w:szCs w:val="14"/>
          <w:color w:val="000000"/>
        </w:rPr>
        <w:t xml:space="preserve">Stretch &amp; Icon Cotton Modal) and denim and </w:t>
      </w:r>
      <w:r>
        <w:rPr>
          <w:rFonts w:ascii="Arial" w:cs="Arial" w:eastAsia="Arial" w:hAnsi="Arial"/>
          <w:sz w:val="14"/>
          <w:szCs w:val="14"/>
          <w:i w:val="1"/>
          <w:iCs w:val="1"/>
          <w:color w:val="000000"/>
        </w:rPr>
        <w:t>TOMMY HILFIGER</w:t>
      </w:r>
      <w:r>
        <w:rPr>
          <w:rFonts w:ascii="Arial" w:cs="Arial" w:eastAsia="Arial" w:hAnsi="Arial"/>
          <w:sz w:val="14"/>
          <w:szCs w:val="14"/>
          <w:color w:val="000000"/>
        </w:rPr>
        <w:t xml:space="preserve"> sweaters and polos.</w:t>
      </w:r>
    </w:p>
    <w:p>
      <w:pPr>
        <w:spacing w:after="0" w:line="1" w:lineRule="exact"/>
        <w:rPr>
          <w:rFonts w:ascii="Arial" w:cs="Arial" w:eastAsia="Arial" w:hAnsi="Arial"/>
          <w:sz w:val="14"/>
          <w:szCs w:val="14"/>
          <w:color w:val="auto"/>
        </w:rPr>
      </w:pPr>
    </w:p>
    <w:p>
      <w:pPr>
        <w:ind w:left="149" w:right="280" w:hanging="149"/>
        <w:spacing w:after="0" w:line="264" w:lineRule="auto"/>
        <w:tabs>
          <w:tab w:leader="none" w:pos="151" w:val="left"/>
        </w:tabs>
        <w:numPr>
          <w:ilvl w:val="0"/>
          <w:numId w:val="67"/>
        </w:numPr>
        <w:rPr>
          <w:rFonts w:ascii="Arial" w:cs="Arial" w:eastAsia="Arial" w:hAnsi="Arial"/>
          <w:sz w:val="14"/>
          <w:szCs w:val="14"/>
          <w:color w:val="auto"/>
        </w:rPr>
      </w:pPr>
      <w:r>
        <w:rPr>
          <w:rFonts w:ascii="Arial" w:cs="Arial" w:eastAsia="Arial" w:hAnsi="Arial"/>
          <w:sz w:val="14"/>
          <w:szCs w:val="14"/>
          <w:b w:val="1"/>
          <w:bCs w:val="1"/>
          <w:color w:val="6D98AD"/>
        </w:rPr>
        <w:t xml:space="preserve">Win with the best consumer engagement </w:t>
      </w:r>
      <w:r>
        <w:rPr>
          <w:rFonts w:ascii="Arial" w:cs="Arial" w:eastAsia="Arial" w:hAnsi="Arial"/>
          <w:sz w:val="14"/>
          <w:szCs w:val="14"/>
          <w:color w:val="000000"/>
        </w:rPr>
        <w:t>— Our brands came to life through full-funnel marketing that connects culture with our consumers, amplified by mega talent,</w:t>
      </w:r>
      <w:r>
        <w:rPr>
          <w:rFonts w:ascii="Arial" w:cs="Arial" w:eastAsia="Arial" w:hAnsi="Arial"/>
          <w:sz w:val="14"/>
          <w:szCs w:val="14"/>
          <w:b w:val="1"/>
          <w:bCs w:val="1"/>
          <w:color w:val="6D98AD"/>
        </w:rPr>
        <w:t xml:space="preserve"> </w:t>
      </w:r>
      <w:r>
        <w:rPr>
          <w:rFonts w:ascii="Arial" w:cs="Arial" w:eastAsia="Arial" w:hAnsi="Arial"/>
          <w:sz w:val="14"/>
          <w:szCs w:val="14"/>
          <w:color w:val="000000"/>
        </w:rPr>
        <w:t xml:space="preserve">across culturally relevant moments, including: </w:t>
      </w:r>
      <w:r>
        <w:rPr>
          <w:rFonts w:ascii="Arial" w:cs="Arial" w:eastAsia="Arial" w:hAnsi="Arial"/>
          <w:sz w:val="14"/>
          <w:szCs w:val="14"/>
          <w:i w:val="1"/>
          <w:iCs w:val="1"/>
          <w:color w:val="000000"/>
        </w:rPr>
        <w:t>Calvin Klein</w:t>
      </w:r>
      <w:r>
        <w:rPr>
          <w:rFonts w:ascii="Arial" w:cs="Arial" w:eastAsia="Arial" w:hAnsi="Arial"/>
          <w:sz w:val="14"/>
          <w:szCs w:val="14"/>
          <w:color w:val="000000"/>
        </w:rPr>
        <w:t xml:space="preserve">’s partnership with music superstars Bad Bunny and ROSALÍA, to </w:t>
      </w:r>
      <w:r>
        <w:rPr>
          <w:rFonts w:ascii="Arial" w:cs="Arial" w:eastAsia="Arial" w:hAnsi="Arial"/>
          <w:sz w:val="14"/>
          <w:szCs w:val="14"/>
          <w:i w:val="1"/>
          <w:iCs w:val="1"/>
          <w:color w:val="000000"/>
        </w:rPr>
        <w:t>Tommy Hilfiger</w:t>
      </w:r>
      <w:r>
        <w:rPr>
          <w:rFonts w:ascii="Arial" w:cs="Arial" w:eastAsia="Arial" w:hAnsi="Arial"/>
          <w:sz w:val="14"/>
          <w:szCs w:val="14"/>
          <w:color w:val="000000"/>
        </w:rPr>
        <w:t>’s global partnerships with Liverpool Football Club and the Cadillac Formula 1® team.</w:t>
      </w:r>
    </w:p>
    <w:p>
      <w:pPr>
        <w:spacing w:after="0" w:line="10" w:lineRule="exact"/>
        <w:rPr>
          <w:rFonts w:ascii="Arial" w:cs="Arial" w:eastAsia="Arial" w:hAnsi="Arial"/>
          <w:sz w:val="14"/>
          <w:szCs w:val="14"/>
          <w:color w:val="auto"/>
        </w:rPr>
      </w:pPr>
    </w:p>
    <w:p>
      <w:pPr>
        <w:ind w:left="149" w:right="660" w:hanging="149"/>
        <w:spacing w:after="0" w:line="280" w:lineRule="auto"/>
        <w:tabs>
          <w:tab w:leader="none" w:pos="151" w:val="left"/>
        </w:tabs>
        <w:numPr>
          <w:ilvl w:val="0"/>
          <w:numId w:val="67"/>
        </w:numPr>
        <w:rPr>
          <w:rFonts w:ascii="Arial" w:cs="Arial" w:eastAsia="Arial" w:hAnsi="Arial"/>
          <w:sz w:val="14"/>
          <w:szCs w:val="14"/>
          <w:color w:val="auto"/>
        </w:rPr>
      </w:pPr>
      <w:r>
        <w:rPr>
          <w:rFonts w:ascii="Arial" w:cs="Arial" w:eastAsia="Arial" w:hAnsi="Arial"/>
          <w:sz w:val="14"/>
          <w:szCs w:val="14"/>
          <w:b w:val="1"/>
          <w:bCs w:val="1"/>
          <w:color w:val="6D98AD"/>
        </w:rPr>
        <w:t xml:space="preserve">Win in the digitally-led marketplace </w:t>
      </w:r>
      <w:r>
        <w:rPr>
          <w:rFonts w:ascii="Arial" w:cs="Arial" w:eastAsia="Arial" w:hAnsi="Arial"/>
          <w:sz w:val="14"/>
          <w:szCs w:val="14"/>
          <w:color w:val="000000"/>
        </w:rPr>
        <w:t>— We strengthened and elevated the brand experience across social platforms, e-commerce and stores, and deepened our</w:t>
      </w:r>
      <w:r>
        <w:rPr>
          <w:rFonts w:ascii="Arial" w:cs="Arial" w:eastAsia="Arial" w:hAnsi="Arial"/>
          <w:sz w:val="14"/>
          <w:szCs w:val="14"/>
          <w:b w:val="1"/>
          <w:bCs w:val="1"/>
          <w:color w:val="6D98AD"/>
        </w:rPr>
        <w:t xml:space="preserve"> </w:t>
      </w:r>
      <w:r>
        <w:rPr>
          <w:rFonts w:ascii="Arial" w:cs="Arial" w:eastAsia="Arial" w:hAnsi="Arial"/>
          <w:sz w:val="14"/>
          <w:szCs w:val="14"/>
          <w:color w:val="000000"/>
        </w:rPr>
        <w:t>relationships with our key wholesale partners.</w:t>
      </w:r>
    </w:p>
    <w:p>
      <w:pPr>
        <w:spacing w:after="0" w:line="1" w:lineRule="exact"/>
        <w:rPr>
          <w:rFonts w:ascii="Arial" w:cs="Arial" w:eastAsia="Arial" w:hAnsi="Arial"/>
          <w:sz w:val="14"/>
          <w:szCs w:val="14"/>
          <w:color w:val="auto"/>
        </w:rPr>
      </w:pPr>
    </w:p>
    <w:p>
      <w:pPr>
        <w:ind w:left="149" w:right="80" w:hanging="149"/>
        <w:spacing w:after="0" w:line="280" w:lineRule="auto"/>
        <w:tabs>
          <w:tab w:leader="none" w:pos="151" w:val="left"/>
        </w:tabs>
        <w:numPr>
          <w:ilvl w:val="0"/>
          <w:numId w:val="67"/>
        </w:numPr>
        <w:rPr>
          <w:rFonts w:ascii="Arial" w:cs="Arial" w:eastAsia="Arial" w:hAnsi="Arial"/>
          <w:sz w:val="14"/>
          <w:szCs w:val="14"/>
          <w:color w:val="auto"/>
        </w:rPr>
      </w:pPr>
      <w:r>
        <w:rPr>
          <w:rFonts w:ascii="Arial" w:cs="Arial" w:eastAsia="Arial" w:hAnsi="Arial"/>
          <w:sz w:val="14"/>
          <w:szCs w:val="14"/>
          <w:b w:val="1"/>
          <w:bCs w:val="1"/>
          <w:color w:val="6D98AD"/>
        </w:rPr>
        <w:t xml:space="preserve">Develop a demand- and data-driven operating model </w:t>
      </w:r>
      <w:r>
        <w:rPr>
          <w:rFonts w:ascii="Arial" w:cs="Arial" w:eastAsia="Arial" w:hAnsi="Arial"/>
          <w:sz w:val="14"/>
          <w:szCs w:val="14"/>
          <w:color w:val="000000"/>
        </w:rPr>
        <w:t>— We continued to build out our demand- and data-driven supply chain, focusing on higher availability of important</w:t>
      </w:r>
      <w:r>
        <w:rPr>
          <w:rFonts w:ascii="Arial" w:cs="Arial" w:eastAsia="Arial" w:hAnsi="Arial"/>
          <w:sz w:val="14"/>
          <w:szCs w:val="14"/>
          <w:b w:val="1"/>
          <w:bCs w:val="1"/>
          <w:color w:val="6D98AD"/>
        </w:rPr>
        <w:t xml:space="preserve"> </w:t>
      </w:r>
      <w:r>
        <w:rPr>
          <w:rFonts w:ascii="Arial" w:cs="Arial" w:eastAsia="Arial" w:hAnsi="Arial"/>
          <w:sz w:val="14"/>
          <w:szCs w:val="14"/>
          <w:color w:val="000000"/>
        </w:rPr>
        <w:t>core products and increased stock freshness.</w:t>
      </w:r>
    </w:p>
    <w:p>
      <w:pPr>
        <w:spacing w:after="0" w:line="1" w:lineRule="exact"/>
        <w:rPr>
          <w:rFonts w:ascii="Arial" w:cs="Arial" w:eastAsia="Arial" w:hAnsi="Arial"/>
          <w:sz w:val="14"/>
          <w:szCs w:val="14"/>
          <w:color w:val="auto"/>
        </w:rPr>
      </w:pPr>
    </w:p>
    <w:p>
      <w:pPr>
        <w:ind w:left="149" w:right="460" w:hanging="149"/>
        <w:spacing w:after="0" w:line="282" w:lineRule="auto"/>
        <w:tabs>
          <w:tab w:leader="none" w:pos="151" w:val="left"/>
        </w:tabs>
        <w:numPr>
          <w:ilvl w:val="0"/>
          <w:numId w:val="67"/>
        </w:numPr>
        <w:rPr>
          <w:rFonts w:ascii="Arial" w:cs="Arial" w:eastAsia="Arial" w:hAnsi="Arial"/>
          <w:sz w:val="14"/>
          <w:szCs w:val="14"/>
          <w:color w:val="auto"/>
        </w:rPr>
      </w:pPr>
      <w:r>
        <w:rPr>
          <w:rFonts w:ascii="Arial" w:cs="Arial" w:eastAsia="Arial" w:hAnsi="Arial"/>
          <w:sz w:val="14"/>
          <w:szCs w:val="14"/>
          <w:b w:val="1"/>
          <w:bCs w:val="1"/>
          <w:color w:val="6D98AD"/>
        </w:rPr>
        <w:t xml:space="preserve">Drive efficiencies and invest in growth </w:t>
      </w:r>
      <w:r>
        <w:rPr>
          <w:rFonts w:ascii="Arial" w:cs="Arial" w:eastAsia="Arial" w:hAnsi="Arial"/>
          <w:sz w:val="14"/>
          <w:szCs w:val="14"/>
          <w:color w:val="000000"/>
        </w:rPr>
        <w:t>— We relentlessly focused on driving efficiencies, maintaining cost discipline and simplifying how we work globally to unlock</w:t>
      </w:r>
      <w:r>
        <w:rPr>
          <w:rFonts w:ascii="Arial" w:cs="Arial" w:eastAsia="Arial" w:hAnsi="Arial"/>
          <w:sz w:val="14"/>
          <w:szCs w:val="14"/>
          <w:b w:val="1"/>
          <w:bCs w:val="1"/>
          <w:color w:val="6D98AD"/>
        </w:rPr>
        <w:t xml:space="preserve"> </w:t>
      </w:r>
      <w:r>
        <w:rPr>
          <w:rFonts w:ascii="Arial" w:cs="Arial" w:eastAsia="Arial" w:hAnsi="Arial"/>
          <w:sz w:val="14"/>
          <w:szCs w:val="14"/>
          <w:color w:val="000000"/>
        </w:rPr>
        <w:t>savings, while continuing to invest in growth initiatives and marketing campaigns.</w:t>
      </w:r>
    </w:p>
    <w:p>
      <w:pPr>
        <w:spacing w:after="0" w:line="57" w:lineRule="exact"/>
        <w:rPr>
          <w:sz w:val="20"/>
          <w:szCs w:val="20"/>
          <w:color w:val="auto"/>
        </w:rPr>
      </w:pPr>
    </w:p>
    <w:p>
      <w:pPr>
        <w:ind w:left="9" w:right="420"/>
        <w:spacing w:after="0" w:line="264" w:lineRule="auto"/>
        <w:rPr>
          <w:sz w:val="20"/>
          <w:szCs w:val="20"/>
          <w:color w:val="auto"/>
        </w:rPr>
      </w:pPr>
      <w:r>
        <w:rPr>
          <w:rFonts w:ascii="Arial" w:cs="Arial" w:eastAsia="Arial" w:hAnsi="Arial"/>
          <w:sz w:val="14"/>
          <w:szCs w:val="14"/>
          <w:color w:val="auto"/>
        </w:rPr>
        <w:t>In 2025, we achieved revenue growth across both brands, drove sequential quarter to quarter improvements in gross margin comparisons despite the negative impact of increased tariffs, and ended the year with healthy inventory levels. We also delivered on our commitment under the PVH+ Plan to return excess cash to stockholders, repurchasing 7.7 million shares for $561 million.</w:t>
      </w:r>
    </w:p>
    <w:p>
      <w:pPr>
        <w:sectPr>
          <w:pgSz w:w="11900" w:h="16838" w:orient="portrait"/>
          <w:cols w:equalWidth="0" w:num="1">
            <w:col w:w="10949"/>
          </w:cols>
          <w:pgMar w:left="471" w:top="233" w:right="479" w:bottom="1440" w:gutter="0" w:footer="0" w:header="0"/>
        </w:sectPr>
      </w:pPr>
    </w:p>
    <w:p>
      <w:pPr>
        <w:spacing w:after="0" w:line="273"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Revenue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The revenue results by segment were:</w:t>
      </w:r>
    </w:p>
    <w:p>
      <w:pPr>
        <w:spacing w:after="0" w:line="51" w:lineRule="exact"/>
        <w:rPr>
          <w:sz w:val="20"/>
          <w:szCs w:val="20"/>
          <w:color w:val="auto"/>
        </w:rPr>
      </w:pPr>
    </w:p>
    <w:p>
      <w:pPr>
        <w:sectPr>
          <w:pgSz w:w="11900" w:h="16838" w:orient="portrait"/>
          <w:cols w:equalWidth="0" w:num="2">
            <w:col w:w="5109" w:space="720"/>
            <w:col w:w="5120"/>
          </w:cols>
          <w:pgMar w:left="471" w:top="233" w:right="479" w:bottom="1440" w:gutter="0" w:footer="0" w:header="0"/>
          <w:type w:val="continuous"/>
        </w:sectPr>
      </w:pPr>
    </w:p>
    <w:p>
      <w:pPr>
        <w:ind w:left="9"/>
        <w:spacing w:after="0"/>
        <w:rPr>
          <w:sz w:val="20"/>
          <w:szCs w:val="20"/>
          <w:color w:val="auto"/>
        </w:rPr>
      </w:pPr>
      <w:r>
        <w:rPr>
          <w:rFonts w:ascii="Arial" w:cs="Arial" w:eastAsia="Arial" w:hAnsi="Arial"/>
          <w:sz w:val="60"/>
          <w:szCs w:val="60"/>
          <w:color w:val="auto"/>
        </w:rPr>
        <w:t>$9.0B</w:t>
      </w:r>
    </w:p>
    <w:p>
      <w:pPr>
        <w:spacing w:after="0" w:line="111" w:lineRule="exact"/>
        <w:rPr>
          <w:sz w:val="20"/>
          <w:szCs w:val="20"/>
          <w:color w:val="auto"/>
        </w:rPr>
      </w:pPr>
    </w:p>
    <w:p>
      <w:pPr>
        <w:ind w:left="9" w:right="480"/>
        <w:spacing w:after="0" w:line="282" w:lineRule="auto"/>
        <w:rPr>
          <w:sz w:val="20"/>
          <w:szCs w:val="20"/>
          <w:color w:val="auto"/>
        </w:rPr>
      </w:pPr>
      <w:r>
        <w:rPr>
          <w:rFonts w:ascii="Arial" w:cs="Arial" w:eastAsia="Arial" w:hAnsi="Arial"/>
          <w:sz w:val="14"/>
          <w:szCs w:val="14"/>
          <w:color w:val="auto"/>
        </w:rPr>
        <w:t>compared to $8.7 billion in 2024, a 3% increase. The revenue results reflect:</w:t>
      </w:r>
    </w:p>
    <w:p>
      <w:pPr>
        <w:spacing w:after="0" w:line="46" w:lineRule="exact"/>
        <w:rPr>
          <w:sz w:val="20"/>
          <w:szCs w:val="20"/>
          <w:color w:val="auto"/>
        </w:rPr>
      </w:pPr>
    </w:p>
    <w:p>
      <w:pPr>
        <w:ind w:left="149" w:hanging="149"/>
        <w:spacing w:after="0" w:line="264" w:lineRule="auto"/>
        <w:tabs>
          <w:tab w:leader="none" w:pos="151" w:val="left"/>
        </w:tabs>
        <w:numPr>
          <w:ilvl w:val="0"/>
          <w:numId w:val="68"/>
        </w:numPr>
        <w:rPr>
          <w:rFonts w:ascii="Arial" w:cs="Arial" w:eastAsia="Arial" w:hAnsi="Arial"/>
          <w:sz w:val="14"/>
          <w:szCs w:val="14"/>
          <w:color w:val="auto"/>
        </w:rPr>
      </w:pPr>
      <w:r>
        <w:rPr>
          <w:rFonts w:ascii="Arial" w:cs="Arial" w:eastAsia="Arial" w:hAnsi="Arial"/>
          <w:sz w:val="14"/>
          <w:szCs w:val="14"/>
          <w:b w:val="1"/>
          <w:bCs w:val="1"/>
          <w:color w:val="auto"/>
        </w:rPr>
        <w:t xml:space="preserve">Tommy Hilfiger </w:t>
      </w:r>
      <w:r>
        <w:rPr>
          <w:rFonts w:ascii="Arial" w:cs="Arial" w:eastAsia="Arial" w:hAnsi="Arial"/>
          <w:sz w:val="14"/>
          <w:szCs w:val="14"/>
          <w:color w:val="auto"/>
        </w:rPr>
        <w:t>revenue increased 4%</w:t>
      </w:r>
      <w:r>
        <w:rPr>
          <w:rFonts w:ascii="Arial" w:cs="Arial" w:eastAsia="Arial" w:hAnsi="Arial"/>
          <w:sz w:val="14"/>
          <w:szCs w:val="14"/>
          <w:b w:val="1"/>
          <w:bCs w:val="1"/>
          <w:color w:val="auto"/>
        </w:rPr>
        <w:t xml:space="preserve"> </w:t>
      </w:r>
      <w:r>
        <w:rPr>
          <w:rFonts w:ascii="Arial" w:cs="Arial" w:eastAsia="Arial" w:hAnsi="Arial"/>
          <w:sz w:val="14"/>
          <w:szCs w:val="14"/>
          <w:color w:val="auto"/>
        </w:rPr>
        <w:t>compared to 2024 (increased less than 1%* on a constant currency basis)</w:t>
      </w:r>
    </w:p>
    <w:p>
      <w:pPr>
        <w:spacing w:after="0" w:line="57" w:lineRule="exact"/>
        <w:rPr>
          <w:rFonts w:ascii="Arial" w:cs="Arial" w:eastAsia="Arial" w:hAnsi="Arial"/>
          <w:sz w:val="14"/>
          <w:szCs w:val="14"/>
          <w:color w:val="auto"/>
        </w:rPr>
      </w:pPr>
    </w:p>
    <w:p>
      <w:pPr>
        <w:ind w:left="149" w:hanging="149"/>
        <w:spacing w:after="0" w:line="264" w:lineRule="auto"/>
        <w:tabs>
          <w:tab w:leader="none" w:pos="151" w:val="left"/>
        </w:tabs>
        <w:numPr>
          <w:ilvl w:val="0"/>
          <w:numId w:val="68"/>
        </w:numPr>
        <w:rPr>
          <w:rFonts w:ascii="Arial" w:cs="Arial" w:eastAsia="Arial" w:hAnsi="Arial"/>
          <w:sz w:val="14"/>
          <w:szCs w:val="14"/>
          <w:color w:val="auto"/>
        </w:rPr>
      </w:pPr>
      <w:r>
        <w:rPr>
          <w:rFonts w:ascii="Arial" w:cs="Arial" w:eastAsia="Arial" w:hAnsi="Arial"/>
          <w:sz w:val="14"/>
          <w:szCs w:val="14"/>
          <w:b w:val="1"/>
          <w:bCs w:val="1"/>
          <w:color w:val="auto"/>
        </w:rPr>
        <w:t xml:space="preserve">Calvin Klein </w:t>
      </w:r>
      <w:r>
        <w:rPr>
          <w:rFonts w:ascii="Arial" w:cs="Arial" w:eastAsia="Arial" w:hAnsi="Arial"/>
          <w:sz w:val="14"/>
          <w:szCs w:val="14"/>
          <w:color w:val="auto"/>
        </w:rPr>
        <w:t>revenue increased 3%</w:t>
      </w:r>
      <w:r>
        <w:rPr>
          <w:rFonts w:ascii="Arial" w:cs="Arial" w:eastAsia="Arial" w:hAnsi="Arial"/>
          <w:sz w:val="14"/>
          <w:szCs w:val="14"/>
          <w:b w:val="1"/>
          <w:bCs w:val="1"/>
          <w:color w:val="auto"/>
        </w:rPr>
        <w:t xml:space="preserve"> </w:t>
      </w:r>
      <w:r>
        <w:rPr>
          <w:rFonts w:ascii="Arial" w:cs="Arial" w:eastAsia="Arial" w:hAnsi="Arial"/>
          <w:sz w:val="14"/>
          <w:szCs w:val="14"/>
          <w:color w:val="auto"/>
        </w:rPr>
        <w:t>compared to 2024 (increased less than 1%* on a constant currency basis)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22"/>
        </w:trPr>
        <w:tc>
          <w:tcPr>
            <w:tcW w:w="190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b w:val="1"/>
                <w:bCs w:val="1"/>
                <w:color w:val="749CAB"/>
              </w:rPr>
              <w:t>EMEA</w:t>
            </w:r>
          </w:p>
        </w:tc>
        <w:tc>
          <w:tcPr>
            <w:tcW w:w="20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color w:val="749CAB"/>
              </w:rPr>
              <w:t>Americas</w:t>
            </w:r>
          </w:p>
        </w:tc>
        <w:tc>
          <w:tcPr>
            <w:tcW w:w="20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749CAB"/>
              </w:rPr>
              <w:t>APAC</w:t>
            </w:r>
          </w:p>
        </w:tc>
        <w:tc>
          <w:tcPr>
            <w:tcW w:w="1900" w:type="dxa"/>
            <w:vAlign w:val="bottom"/>
            <w:tcBorders>
              <w:top w:val="single" w:sz="8" w:color="auto"/>
            </w:tcBorders>
          </w:tcPr>
          <w:p>
            <w:pPr>
              <w:ind w:left="80"/>
              <w:spacing w:after="0"/>
              <w:rPr>
                <w:sz w:val="20"/>
                <w:szCs w:val="20"/>
                <w:color w:val="auto"/>
              </w:rPr>
            </w:pPr>
            <w:r>
              <w:rPr>
                <w:rFonts w:ascii="Arial" w:cs="Arial" w:eastAsia="Arial" w:hAnsi="Arial"/>
                <w:sz w:val="17"/>
                <w:szCs w:val="17"/>
                <w:b w:val="1"/>
                <w:bCs w:val="1"/>
                <w:color w:val="749CAB"/>
              </w:rPr>
              <w:t>Licensing</w:t>
            </w:r>
          </w:p>
        </w:tc>
      </w:tr>
      <w:tr>
        <w:trPr>
          <w:trHeight w:val="211"/>
        </w:trPr>
        <w:tc>
          <w:tcPr>
            <w:tcW w:w="19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b w:val="1"/>
                <w:bCs w:val="1"/>
                <w:color w:val="auto"/>
              </w:rPr>
              <w:t>EMEA</w:t>
            </w:r>
            <w:r>
              <w:rPr>
                <w:rFonts w:ascii="Arial" w:cs="Arial" w:eastAsia="Arial" w:hAnsi="Arial"/>
                <w:sz w:val="14"/>
                <w:szCs w:val="14"/>
                <w:color w:val="auto"/>
              </w:rPr>
              <w:t xml:space="preserve"> </w:t>
            </w:r>
            <w:r>
              <w:rPr>
                <w:rFonts w:ascii="Arial" w:cs="Arial" w:eastAsia="Arial" w:hAnsi="Arial"/>
                <w:sz w:val="12"/>
                <w:szCs w:val="12"/>
                <w:color w:val="auto"/>
              </w:rPr>
              <w:t>revenue increased</w:t>
            </w:r>
          </w:p>
        </w:tc>
        <w:tc>
          <w:tcPr>
            <w:tcW w:w="20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b w:val="1"/>
                <w:bCs w:val="1"/>
                <w:color w:val="auto"/>
              </w:rPr>
              <w:t>Americas</w:t>
            </w:r>
            <w:r>
              <w:rPr>
                <w:rFonts w:ascii="Arial" w:cs="Arial" w:eastAsia="Arial" w:hAnsi="Arial"/>
                <w:sz w:val="14"/>
                <w:szCs w:val="14"/>
                <w:color w:val="auto"/>
              </w:rPr>
              <w:t xml:space="preserve"> </w:t>
            </w:r>
            <w:r>
              <w:rPr>
                <w:rFonts w:ascii="Arial" w:cs="Arial" w:eastAsia="Arial" w:hAnsi="Arial"/>
                <w:sz w:val="12"/>
                <w:szCs w:val="12"/>
                <w:color w:val="auto"/>
              </w:rPr>
              <w:t>revenue increased</w:t>
            </w:r>
          </w:p>
        </w:tc>
        <w:tc>
          <w:tcPr>
            <w:tcW w:w="20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b w:val="1"/>
                <w:bCs w:val="1"/>
                <w:color w:val="auto"/>
              </w:rPr>
              <w:t>APAC</w:t>
            </w:r>
            <w:r>
              <w:rPr>
                <w:rFonts w:ascii="Arial" w:cs="Arial" w:eastAsia="Arial" w:hAnsi="Arial"/>
                <w:sz w:val="14"/>
                <w:szCs w:val="14"/>
                <w:color w:val="auto"/>
              </w:rPr>
              <w:t xml:space="preserve"> </w:t>
            </w:r>
            <w:r>
              <w:rPr>
                <w:rFonts w:ascii="Arial" w:cs="Arial" w:eastAsia="Arial" w:hAnsi="Arial"/>
                <w:sz w:val="12"/>
                <w:szCs w:val="12"/>
                <w:color w:val="auto"/>
              </w:rPr>
              <w:t>revenue decreased 4%</w:t>
            </w:r>
          </w:p>
        </w:tc>
        <w:tc>
          <w:tcPr>
            <w:tcW w:w="1900" w:type="dxa"/>
            <w:vAlign w:val="bottom"/>
          </w:tcPr>
          <w:p>
            <w:pPr>
              <w:ind w:left="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b w:val="1"/>
                <w:bCs w:val="1"/>
                <w:color w:val="auto"/>
              </w:rPr>
              <w:t>Licensing</w:t>
            </w:r>
            <w:r>
              <w:rPr>
                <w:rFonts w:ascii="Arial" w:cs="Arial" w:eastAsia="Arial" w:hAnsi="Arial"/>
                <w:sz w:val="14"/>
                <w:szCs w:val="14"/>
                <w:color w:val="auto"/>
              </w:rPr>
              <w:t xml:space="preserve"> </w:t>
            </w:r>
            <w:r>
              <w:rPr>
                <w:rFonts w:ascii="Arial" w:cs="Arial" w:eastAsia="Arial" w:hAnsi="Arial"/>
                <w:sz w:val="12"/>
                <w:szCs w:val="12"/>
                <w:color w:val="auto"/>
              </w:rPr>
              <w:t>revenue</w:t>
            </w:r>
          </w:p>
        </w:tc>
      </w:tr>
      <w:tr>
        <w:trPr>
          <w:trHeight w:val="141"/>
        </w:trPr>
        <w:tc>
          <w:tcPr>
            <w:tcW w:w="1900" w:type="dxa"/>
            <w:vAlign w:val="bottom"/>
            <w:tcBorders>
              <w:right w:val="single" w:sz="8" w:color="auto"/>
            </w:tcBorders>
          </w:tcPr>
          <w:p>
            <w:pPr>
              <w:ind w:left="140"/>
              <w:spacing w:after="0" w:line="141" w:lineRule="exact"/>
              <w:rPr>
                <w:sz w:val="20"/>
                <w:szCs w:val="20"/>
                <w:color w:val="auto"/>
              </w:rPr>
            </w:pPr>
            <w:r>
              <w:rPr>
                <w:rFonts w:ascii="Arial" w:cs="Arial" w:eastAsia="Arial" w:hAnsi="Arial"/>
                <w:sz w:val="13"/>
                <w:szCs w:val="13"/>
                <w:color w:val="auto"/>
              </w:rPr>
              <w:t>5% compared to 2024</w:t>
            </w:r>
          </w:p>
        </w:tc>
        <w:tc>
          <w:tcPr>
            <w:tcW w:w="2040" w:type="dxa"/>
            <w:vAlign w:val="bottom"/>
            <w:tcBorders>
              <w:right w:val="single" w:sz="8" w:color="auto"/>
            </w:tcBorders>
          </w:tcPr>
          <w:p>
            <w:pPr>
              <w:ind w:left="200"/>
              <w:spacing w:after="0" w:line="141" w:lineRule="exact"/>
              <w:rPr>
                <w:sz w:val="20"/>
                <w:szCs w:val="20"/>
                <w:color w:val="auto"/>
              </w:rPr>
            </w:pPr>
            <w:r>
              <w:rPr>
                <w:rFonts w:ascii="Arial" w:cs="Arial" w:eastAsia="Arial" w:hAnsi="Arial"/>
                <w:sz w:val="13"/>
                <w:szCs w:val="13"/>
                <w:color w:val="auto"/>
              </w:rPr>
              <w:t>6% compared to 2024</w:t>
            </w:r>
          </w:p>
        </w:tc>
        <w:tc>
          <w:tcPr>
            <w:tcW w:w="2040" w:type="dxa"/>
            <w:vAlign w:val="bottom"/>
            <w:tcBorders>
              <w:right w:val="single" w:sz="8" w:color="auto"/>
            </w:tcBorders>
          </w:tcPr>
          <w:p>
            <w:pPr>
              <w:ind w:left="220"/>
              <w:spacing w:after="0" w:line="141" w:lineRule="exact"/>
              <w:rPr>
                <w:sz w:val="20"/>
                <w:szCs w:val="20"/>
                <w:color w:val="auto"/>
              </w:rPr>
            </w:pPr>
            <w:r>
              <w:rPr>
                <w:rFonts w:ascii="Arial" w:cs="Arial" w:eastAsia="Arial" w:hAnsi="Arial"/>
                <w:sz w:val="13"/>
                <w:szCs w:val="13"/>
                <w:color w:val="auto"/>
              </w:rPr>
              <w:t>compared to 2024 (decreased</w:t>
            </w:r>
          </w:p>
        </w:tc>
        <w:tc>
          <w:tcPr>
            <w:tcW w:w="1900" w:type="dxa"/>
            <w:vAlign w:val="bottom"/>
          </w:tcPr>
          <w:p>
            <w:pPr>
              <w:ind w:left="220"/>
              <w:spacing w:after="0" w:line="141" w:lineRule="exact"/>
              <w:rPr>
                <w:sz w:val="20"/>
                <w:szCs w:val="20"/>
                <w:color w:val="auto"/>
              </w:rPr>
            </w:pPr>
            <w:r>
              <w:rPr>
                <w:rFonts w:ascii="Arial" w:cs="Arial" w:eastAsia="Arial" w:hAnsi="Arial"/>
                <w:sz w:val="13"/>
                <w:szCs w:val="13"/>
                <w:color w:val="auto"/>
              </w:rPr>
              <w:t>decreased 2% compared to</w:t>
            </w:r>
          </w:p>
        </w:tc>
      </w:tr>
      <w:tr>
        <w:trPr>
          <w:trHeight w:val="141"/>
        </w:trPr>
        <w:tc>
          <w:tcPr>
            <w:tcW w:w="1900" w:type="dxa"/>
            <w:vAlign w:val="bottom"/>
            <w:tcBorders>
              <w:right w:val="single" w:sz="8" w:color="auto"/>
            </w:tcBorders>
          </w:tcPr>
          <w:p>
            <w:pPr>
              <w:ind w:left="140"/>
              <w:spacing w:after="0" w:line="141" w:lineRule="exact"/>
              <w:rPr>
                <w:sz w:val="20"/>
                <w:szCs w:val="20"/>
                <w:color w:val="auto"/>
              </w:rPr>
            </w:pPr>
            <w:r>
              <w:rPr>
                <w:rFonts w:ascii="Arial" w:cs="Arial" w:eastAsia="Arial" w:hAnsi="Arial"/>
                <w:sz w:val="13"/>
                <w:szCs w:val="13"/>
                <w:color w:val="auto"/>
              </w:rPr>
              <w:t>(decreased 1%* on a</w:t>
            </w:r>
          </w:p>
        </w:tc>
        <w:tc>
          <w:tcPr>
            <w:tcW w:w="204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tcPr>
          <w:p>
            <w:pPr>
              <w:ind w:left="220"/>
              <w:spacing w:after="0" w:line="141" w:lineRule="exact"/>
              <w:rPr>
                <w:sz w:val="20"/>
                <w:szCs w:val="20"/>
                <w:color w:val="auto"/>
              </w:rPr>
            </w:pPr>
            <w:r>
              <w:rPr>
                <w:rFonts w:ascii="Arial" w:cs="Arial" w:eastAsia="Arial" w:hAnsi="Arial"/>
                <w:sz w:val="13"/>
                <w:szCs w:val="13"/>
                <w:color w:val="auto"/>
              </w:rPr>
              <w:t>4%* on a constant currency</w:t>
            </w:r>
          </w:p>
        </w:tc>
        <w:tc>
          <w:tcPr>
            <w:tcW w:w="1900" w:type="dxa"/>
            <w:vAlign w:val="bottom"/>
          </w:tcPr>
          <w:p>
            <w:pPr>
              <w:ind w:left="220"/>
              <w:spacing w:after="0" w:line="141" w:lineRule="exact"/>
              <w:rPr>
                <w:sz w:val="20"/>
                <w:szCs w:val="20"/>
                <w:color w:val="auto"/>
              </w:rPr>
            </w:pPr>
            <w:r>
              <w:rPr>
                <w:rFonts w:ascii="Arial" w:cs="Arial" w:eastAsia="Arial" w:hAnsi="Arial"/>
                <w:sz w:val="13"/>
                <w:szCs w:val="13"/>
                <w:color w:val="auto"/>
              </w:rPr>
              <w:t>2024</w:t>
            </w:r>
          </w:p>
        </w:tc>
      </w:tr>
      <w:tr>
        <w:trPr>
          <w:trHeight w:val="166"/>
        </w:trPr>
        <w:tc>
          <w:tcPr>
            <w:tcW w:w="190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constant currency basis)</w:t>
            </w:r>
          </w:p>
        </w:tc>
        <w:tc>
          <w:tcPr>
            <w:tcW w:w="204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basis)</w:t>
            </w:r>
          </w:p>
        </w:tc>
        <w:tc>
          <w:tcPr>
            <w:tcW w:w="1900" w:type="dxa"/>
            <w:vAlign w:val="bottom"/>
          </w:tcPr>
          <w:p>
            <w:pPr>
              <w:spacing w:after="0"/>
              <w:rPr>
                <w:sz w:val="14"/>
                <w:szCs w:val="14"/>
                <w:color w:val="auto"/>
              </w:rPr>
            </w:pPr>
          </w:p>
        </w:tc>
      </w:tr>
      <w:tr>
        <w:trPr>
          <w:trHeight w:val="1044"/>
        </w:trPr>
        <w:tc>
          <w:tcPr>
            <w:tcW w:w="190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bl>
    <w:p>
      <w:pPr>
        <w:spacing w:after="0" w:line="191" w:lineRule="exact"/>
        <w:rPr>
          <w:sz w:val="20"/>
          <w:szCs w:val="20"/>
          <w:color w:val="auto"/>
        </w:rPr>
      </w:pPr>
    </w:p>
    <w:p>
      <w:pPr>
        <w:sectPr>
          <w:pgSz w:w="11900" w:h="16838" w:orient="portrait"/>
          <w:cols w:equalWidth="0" w:num="2">
            <w:col w:w="2889" w:space="160"/>
            <w:col w:w="7900"/>
          </w:cols>
          <w:pgMar w:left="471" w:top="233" w:right="479" w:bottom="1440" w:gutter="0" w:footer="0" w:header="0"/>
          <w:type w:val="continuous"/>
        </w:sectPr>
      </w:pPr>
    </w:p>
    <w:p>
      <w:pPr>
        <w:ind w:left="9"/>
        <w:spacing w:after="0"/>
        <w:tabs>
          <w:tab w:leader="none" w:pos="5448" w:val="left"/>
        </w:tabs>
        <w:rPr>
          <w:sz w:val="20"/>
          <w:szCs w:val="20"/>
          <w:color w:val="auto"/>
        </w:rPr>
      </w:pPr>
      <w:r>
        <w:rPr>
          <w:rFonts w:ascii="Arial" w:cs="Arial" w:eastAsia="Arial" w:hAnsi="Arial"/>
          <w:sz w:val="22"/>
          <w:szCs w:val="22"/>
          <w:b w:val="1"/>
          <w:bCs w:val="1"/>
          <w:color w:val="auto"/>
        </w:rPr>
        <w:t>EPS</w:t>
      </w:r>
      <w:r>
        <w:rPr>
          <w:sz w:val="20"/>
          <w:szCs w:val="20"/>
          <w:color w:val="auto"/>
        </w:rPr>
        <w:tab/>
      </w:r>
      <w:r>
        <w:rPr>
          <w:rFonts w:ascii="Arial" w:cs="Arial" w:eastAsia="Arial" w:hAnsi="Arial"/>
          <w:sz w:val="22"/>
          <w:szCs w:val="22"/>
          <w:b w:val="1"/>
          <w:bCs w:val="1"/>
          <w:color w:val="auto"/>
        </w:rPr>
        <w:t>EBIT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5631815" cy="770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31815" cy="77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
        <w:spacing w:after="0"/>
        <w:rPr>
          <w:sz w:val="20"/>
          <w:szCs w:val="20"/>
          <w:color w:val="auto"/>
        </w:rPr>
      </w:pPr>
      <w:r>
        <w:rPr>
          <w:rFonts w:ascii="Arial" w:cs="Arial" w:eastAsia="Arial" w:hAnsi="Arial"/>
          <w:sz w:val="13"/>
          <w:szCs w:val="13"/>
          <w:color w:val="auto"/>
        </w:rPr>
        <w:t>*  Reconciliations to GAAP amounts appear on Exhibit A.</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49CAB"/>
        </w:rPr>
        <w:t xml:space="preserve">COMPENSATION DISCUSSION &amp; ANALYSIS </w:t>
      </w:r>
      <w:r>
        <w:rPr>
          <w:rFonts w:ascii="Arial" w:cs="Arial" w:eastAsia="Arial" w:hAnsi="Arial"/>
          <w:sz w:val="11"/>
          <w:szCs w:val="11"/>
          <w:color w:val="000000"/>
        </w:rPr>
        <w:t>/ PVH CORP. 2026 PROXY STATEMENT /</w:t>
      </w:r>
      <w:r>
        <w:rPr>
          <w:rFonts w:ascii="Arial" w:cs="Arial" w:eastAsia="Arial" w:hAnsi="Arial"/>
          <w:sz w:val="11"/>
          <w:szCs w:val="11"/>
          <w:b w:val="1"/>
          <w:bCs w:val="1"/>
          <w:color w:val="749CAB"/>
        </w:rPr>
        <w:t xml:space="preserve"> </w:t>
      </w:r>
      <w:r>
        <w:rPr>
          <w:rFonts w:ascii="Arial" w:cs="Arial" w:eastAsia="Arial" w:hAnsi="Arial"/>
          <w:sz w:val="11"/>
          <w:szCs w:val="11"/>
          <w:b w:val="1"/>
          <w:bCs w:val="1"/>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233" w:right="479" w:bottom="1440" w:gutter="0" w:footer="0" w:header="0"/>
          <w:type w:val="continuous"/>
        </w:sectPr>
      </w:pPr>
    </w:p>
    <w:bookmarkStart w:id="42" w:name="page43"/>
    <w:bookmarkEnd w:id="42"/>
    <w:p>
      <w:pPr>
        <w:ind w:left="9"/>
        <w:spacing w:after="0"/>
        <w:rPr>
          <w:sz w:val="20"/>
          <w:szCs w:val="20"/>
          <w:color w:val="auto"/>
        </w:rPr>
      </w:pPr>
      <w:r>
        <w:rPr>
          <w:rFonts w:ascii="Arial" w:cs="Arial" w:eastAsia="Arial" w:hAnsi="Arial"/>
          <w:sz w:val="28"/>
          <w:szCs w:val="28"/>
          <w:b w:val="1"/>
          <w:bCs w:val="1"/>
          <w:color w:val="6D98AD"/>
        </w:rPr>
        <w:t>2025 Compensation Highlights</w:t>
      </w:r>
    </w:p>
    <w:p>
      <w:pPr>
        <w:spacing w:after="0" w:line="126" w:lineRule="exact"/>
        <w:rPr>
          <w:sz w:val="20"/>
          <w:szCs w:val="20"/>
          <w:color w:val="auto"/>
        </w:rPr>
      </w:pPr>
    </w:p>
    <w:p>
      <w:pPr>
        <w:ind w:left="9" w:right="80"/>
        <w:spacing w:after="0" w:line="282" w:lineRule="auto"/>
        <w:rPr>
          <w:sz w:val="20"/>
          <w:szCs w:val="20"/>
          <w:color w:val="auto"/>
        </w:rPr>
      </w:pPr>
      <w:r>
        <w:rPr>
          <w:rFonts w:ascii="Arial" w:cs="Arial" w:eastAsia="Arial" w:hAnsi="Arial"/>
          <w:sz w:val="14"/>
          <w:szCs w:val="14"/>
          <w:color w:val="auto"/>
        </w:rPr>
        <w:t>Our pay for performance focused compensation program continues to align executive compensation with our strategic priorities and balances short-term financial results with creating long-term stockholder value. Highlights for 2025 include:</w:t>
      </w:r>
    </w:p>
    <w:p>
      <w:pPr>
        <w:spacing w:after="0" w:line="46" w:lineRule="exact"/>
        <w:rPr>
          <w:sz w:val="20"/>
          <w:szCs w:val="20"/>
          <w:color w:val="auto"/>
        </w:rPr>
      </w:pPr>
    </w:p>
    <w:p>
      <w:pPr>
        <w:ind w:left="149" w:right="340" w:hanging="149"/>
        <w:spacing w:after="0" w:line="282" w:lineRule="auto"/>
        <w:tabs>
          <w:tab w:leader="none" w:pos="151" w:val="left"/>
        </w:tabs>
        <w:numPr>
          <w:ilvl w:val="0"/>
          <w:numId w:val="69"/>
        </w:numPr>
        <w:rPr>
          <w:rFonts w:ascii="Arial" w:cs="Arial" w:eastAsia="Arial" w:hAnsi="Arial"/>
          <w:sz w:val="14"/>
          <w:szCs w:val="14"/>
          <w:color w:val="auto"/>
        </w:rPr>
      </w:pPr>
      <w:r>
        <w:rPr>
          <w:rFonts w:ascii="Arial" w:cs="Arial" w:eastAsia="Arial" w:hAnsi="Arial"/>
          <w:sz w:val="14"/>
          <w:szCs w:val="14"/>
          <w:b w:val="1"/>
          <w:bCs w:val="1"/>
          <w:color w:val="auto"/>
        </w:rPr>
        <w:t xml:space="preserve">Say on Pay: </w:t>
      </w:r>
      <w:r>
        <w:rPr>
          <w:rFonts w:ascii="Arial" w:cs="Arial" w:eastAsia="Arial" w:hAnsi="Arial"/>
          <w:sz w:val="14"/>
          <w:szCs w:val="14"/>
          <w:color w:val="auto"/>
        </w:rPr>
        <w:t>Our stockholders overwhelmingly approved the compensation for our NEOs with over 96.8% of votes in favor of the advisory proposal at our 2025 annual</w:t>
      </w:r>
      <w:r>
        <w:rPr>
          <w:rFonts w:ascii="Arial" w:cs="Arial" w:eastAsia="Arial" w:hAnsi="Arial"/>
          <w:sz w:val="14"/>
          <w:szCs w:val="14"/>
          <w:b w:val="1"/>
          <w:bCs w:val="1"/>
          <w:color w:val="auto"/>
        </w:rPr>
        <w:t xml:space="preserve"> </w:t>
      </w:r>
      <w:r>
        <w:rPr>
          <w:rFonts w:ascii="Arial" w:cs="Arial" w:eastAsia="Arial" w:hAnsi="Arial"/>
          <w:sz w:val="14"/>
          <w:szCs w:val="14"/>
          <w:color w:val="auto"/>
        </w:rPr>
        <w:t>shareholder meeting.</w:t>
      </w:r>
    </w:p>
    <w:p>
      <w:pPr>
        <w:spacing w:after="0" w:line="45" w:lineRule="exact"/>
        <w:rPr>
          <w:rFonts w:ascii="Arial" w:cs="Arial" w:eastAsia="Arial" w:hAnsi="Arial"/>
          <w:sz w:val="14"/>
          <w:szCs w:val="14"/>
          <w:color w:val="auto"/>
        </w:rPr>
      </w:pPr>
    </w:p>
    <w:p>
      <w:pPr>
        <w:ind w:left="149" w:right="200" w:hanging="149"/>
        <w:spacing w:after="0" w:line="264" w:lineRule="auto"/>
        <w:tabs>
          <w:tab w:leader="none" w:pos="151" w:val="left"/>
        </w:tabs>
        <w:numPr>
          <w:ilvl w:val="0"/>
          <w:numId w:val="69"/>
        </w:numPr>
        <w:rPr>
          <w:rFonts w:ascii="Arial" w:cs="Arial" w:eastAsia="Arial" w:hAnsi="Arial"/>
          <w:sz w:val="14"/>
          <w:szCs w:val="14"/>
          <w:color w:val="auto"/>
        </w:rPr>
      </w:pPr>
      <w:r>
        <w:rPr>
          <w:rFonts w:ascii="Arial" w:cs="Arial" w:eastAsia="Arial" w:hAnsi="Arial"/>
          <w:sz w:val="14"/>
          <w:szCs w:val="14"/>
          <w:b w:val="1"/>
          <w:bCs w:val="1"/>
          <w:color w:val="auto"/>
        </w:rPr>
        <w:t xml:space="preserve">Salary: </w:t>
      </w:r>
      <w:r>
        <w:rPr>
          <w:rFonts w:ascii="Arial" w:cs="Arial" w:eastAsia="Arial" w:hAnsi="Arial"/>
          <w:sz w:val="14"/>
          <w:szCs w:val="14"/>
          <w:color w:val="auto"/>
        </w:rPr>
        <w:t>We made no changes to the base salaries of our non-interim executive officers which includes our Chief Executive Officer and our former Chief Financial Officer</w:t>
      </w:r>
      <w:r>
        <w:rPr>
          <w:rFonts w:ascii="Arial" w:cs="Arial" w:eastAsia="Arial" w:hAnsi="Arial"/>
          <w:sz w:val="14"/>
          <w:szCs w:val="14"/>
          <w:b w:val="1"/>
          <w:bCs w:val="1"/>
          <w:color w:val="auto"/>
        </w:rPr>
        <w:t xml:space="preserve"> </w:t>
      </w:r>
      <w:r>
        <w:rPr>
          <w:rFonts w:ascii="Arial" w:cs="Arial" w:eastAsia="Arial" w:hAnsi="Arial"/>
          <w:sz w:val="14"/>
          <w:szCs w:val="14"/>
          <w:color w:val="auto"/>
        </w:rPr>
        <w:t>during the fiscal year. Ms. Stone received a salary increase with respect to her taking on the role of Interim Chief Financial Officer. Fixed pay remained in line with market peers and continues to represent the smallest portion of our NEOs’, total compensation opportunity, driving a greater focus on pay for performance.</w:t>
      </w:r>
    </w:p>
    <w:p>
      <w:pPr>
        <w:spacing w:after="0" w:line="57" w:lineRule="exact"/>
        <w:rPr>
          <w:rFonts w:ascii="Arial" w:cs="Arial" w:eastAsia="Arial" w:hAnsi="Arial"/>
          <w:sz w:val="14"/>
          <w:szCs w:val="14"/>
          <w:color w:val="auto"/>
        </w:rPr>
      </w:pPr>
    </w:p>
    <w:p>
      <w:pPr>
        <w:ind w:left="149" w:right="20" w:hanging="149"/>
        <w:spacing w:after="0" w:line="258" w:lineRule="auto"/>
        <w:tabs>
          <w:tab w:leader="none" w:pos="151" w:val="left"/>
        </w:tabs>
        <w:numPr>
          <w:ilvl w:val="0"/>
          <w:numId w:val="69"/>
        </w:numPr>
        <w:rPr>
          <w:rFonts w:ascii="Arial" w:cs="Arial" w:eastAsia="Arial" w:hAnsi="Arial"/>
          <w:sz w:val="14"/>
          <w:szCs w:val="14"/>
          <w:color w:val="auto"/>
        </w:rPr>
      </w:pPr>
      <w:r>
        <w:rPr>
          <w:rFonts w:ascii="Arial" w:cs="Arial" w:eastAsia="Arial" w:hAnsi="Arial"/>
          <w:sz w:val="14"/>
          <w:szCs w:val="14"/>
          <w:b w:val="1"/>
          <w:bCs w:val="1"/>
          <w:color w:val="auto"/>
        </w:rPr>
        <w:t xml:space="preserve">Annual bonus: </w:t>
      </w:r>
      <w:r>
        <w:rPr>
          <w:rFonts w:ascii="Arial" w:cs="Arial" w:eastAsia="Arial" w:hAnsi="Arial"/>
          <w:sz w:val="14"/>
          <w:szCs w:val="14"/>
          <w:color w:val="auto"/>
        </w:rPr>
        <w:t>Annual bonus awards were made subject to the achievement of revenue and EBIT targets at the Total PVH level and, as applicable, the business unit level,</w:t>
      </w:r>
      <w:r>
        <w:rPr>
          <w:rFonts w:ascii="Arial" w:cs="Arial" w:eastAsia="Arial" w:hAnsi="Arial"/>
          <w:sz w:val="14"/>
          <w:szCs w:val="14"/>
          <w:b w:val="1"/>
          <w:bCs w:val="1"/>
          <w:color w:val="auto"/>
        </w:rPr>
        <w:t xml:space="preserve"> </w:t>
      </w:r>
      <w:r>
        <w:rPr>
          <w:rFonts w:ascii="Arial" w:cs="Arial" w:eastAsia="Arial" w:hAnsi="Arial"/>
          <w:sz w:val="14"/>
          <w:szCs w:val="14"/>
          <w:color w:val="auto"/>
        </w:rPr>
        <w:t>which are key PVH+ Plan goals. The bonus opportunity is allocated 75% to EBIT and 25% to revenue. The weightings assigned to each performance metric for the NEOs’ 2025 bonus awards varied based on each NEO’s scope of responsibility. Corporate executives’ bonus awards were based on 100% PVH performance and business unit executives’ bonus awards were based on 70% their business unit performance and 30% PVH performance.</w:t>
      </w:r>
    </w:p>
    <w:p>
      <w:pPr>
        <w:spacing w:after="0" w:line="61" w:lineRule="exact"/>
        <w:rPr>
          <w:rFonts w:ascii="Arial" w:cs="Arial" w:eastAsia="Arial" w:hAnsi="Arial"/>
          <w:sz w:val="14"/>
          <w:szCs w:val="14"/>
          <w:color w:val="auto"/>
        </w:rPr>
      </w:pPr>
    </w:p>
    <w:p>
      <w:pPr>
        <w:ind w:left="149" w:right="140"/>
        <w:spacing w:after="0" w:line="282" w:lineRule="auto"/>
        <w:rPr>
          <w:rFonts w:ascii="Arial" w:cs="Arial" w:eastAsia="Arial" w:hAnsi="Arial"/>
          <w:sz w:val="14"/>
          <w:szCs w:val="14"/>
          <w:color w:val="auto"/>
        </w:rPr>
      </w:pPr>
      <w:r>
        <w:rPr>
          <w:rFonts w:ascii="Arial" w:cs="Arial" w:eastAsia="Arial" w:hAnsi="Arial"/>
          <w:sz w:val="14"/>
          <w:szCs w:val="14"/>
          <w:color w:val="auto"/>
        </w:rPr>
        <w:t>Annual bonus award payouts were below target for Total PVH performance, with revenue slightly above target (100.3% of target) and EBIT below target (90.3% of target), resulting in a 73.87% payout. On a business unit basis:</w:t>
      </w:r>
    </w:p>
    <w:p>
      <w:pPr>
        <w:spacing w:after="0" w:line="45" w:lineRule="exact"/>
        <w:rPr>
          <w:rFonts w:ascii="Arial" w:cs="Arial" w:eastAsia="Arial" w:hAnsi="Arial"/>
          <w:sz w:val="14"/>
          <w:szCs w:val="14"/>
          <w:color w:val="auto"/>
        </w:rPr>
      </w:pPr>
    </w:p>
    <w:p>
      <w:pPr>
        <w:ind w:left="289" w:hanging="147"/>
        <w:spacing w:after="0"/>
        <w:tabs>
          <w:tab w:leader="none" w:pos="289" w:val="left"/>
        </w:tabs>
        <w:numPr>
          <w:ilvl w:val="1"/>
          <w:numId w:val="69"/>
        </w:numPr>
        <w:rPr>
          <w:rFonts w:ascii="Arial" w:cs="Arial" w:eastAsia="Arial" w:hAnsi="Arial"/>
          <w:sz w:val="14"/>
          <w:szCs w:val="14"/>
          <w:color w:val="auto"/>
        </w:rPr>
      </w:pPr>
      <w:r>
        <w:rPr>
          <w:rFonts w:ascii="Arial" w:cs="Arial" w:eastAsia="Arial" w:hAnsi="Arial"/>
          <w:sz w:val="14"/>
          <w:szCs w:val="14"/>
          <w:color w:val="auto"/>
        </w:rPr>
        <w:t>Calvin Klein Global performance was below target in both revenue (98.0% of target) and EBIT measures (87.0% of target), resulting in a 57.80% payout.</w:t>
      </w:r>
    </w:p>
    <w:p>
      <w:pPr>
        <w:spacing w:after="0" w:line="98" w:lineRule="exact"/>
        <w:rPr>
          <w:rFonts w:ascii="Arial" w:cs="Arial" w:eastAsia="Arial" w:hAnsi="Arial"/>
          <w:sz w:val="14"/>
          <w:szCs w:val="14"/>
          <w:color w:val="auto"/>
        </w:rPr>
      </w:pPr>
    </w:p>
    <w:p>
      <w:pPr>
        <w:ind w:left="289" w:hanging="147"/>
        <w:spacing w:after="0"/>
        <w:tabs>
          <w:tab w:leader="none" w:pos="289" w:val="left"/>
        </w:tabs>
        <w:numPr>
          <w:ilvl w:val="1"/>
          <w:numId w:val="69"/>
        </w:numPr>
        <w:rPr>
          <w:rFonts w:ascii="Arial" w:cs="Arial" w:eastAsia="Arial" w:hAnsi="Arial"/>
          <w:sz w:val="14"/>
          <w:szCs w:val="14"/>
          <w:color w:val="auto"/>
        </w:rPr>
      </w:pPr>
      <w:r>
        <w:rPr>
          <w:rFonts w:ascii="Arial" w:cs="Arial" w:eastAsia="Arial" w:hAnsi="Arial"/>
          <w:sz w:val="14"/>
          <w:szCs w:val="14"/>
          <w:color w:val="auto"/>
        </w:rPr>
        <w:t>Tommy Hilfiger Global performance was below target in both revenue (99.2% of target) and EBIT measures (93.2% of target), resulting in a 78.15% payout.</w:t>
      </w:r>
    </w:p>
    <w:p>
      <w:pPr>
        <w:spacing w:after="0" w:line="98" w:lineRule="exact"/>
        <w:rPr>
          <w:rFonts w:ascii="Arial" w:cs="Arial" w:eastAsia="Arial" w:hAnsi="Arial"/>
          <w:sz w:val="14"/>
          <w:szCs w:val="14"/>
          <w:color w:val="auto"/>
        </w:rPr>
      </w:pPr>
    </w:p>
    <w:p>
      <w:pPr>
        <w:ind w:left="289" w:hanging="147"/>
        <w:spacing w:after="0"/>
        <w:tabs>
          <w:tab w:leader="none" w:pos="289" w:val="left"/>
        </w:tabs>
        <w:numPr>
          <w:ilvl w:val="1"/>
          <w:numId w:val="69"/>
        </w:numPr>
        <w:rPr>
          <w:rFonts w:ascii="Arial" w:cs="Arial" w:eastAsia="Arial" w:hAnsi="Arial"/>
          <w:sz w:val="14"/>
          <w:szCs w:val="14"/>
          <w:color w:val="auto"/>
        </w:rPr>
      </w:pPr>
      <w:r>
        <w:rPr>
          <w:rFonts w:ascii="Arial" w:cs="Arial" w:eastAsia="Arial" w:hAnsi="Arial"/>
          <w:sz w:val="14"/>
          <w:szCs w:val="14"/>
          <w:color w:val="auto"/>
        </w:rPr>
        <w:t>PVH Europe performance was below target in both revenue (98.4% of target) and EBIT measures (87.9% of target), resulting in a 61.07% payout.</w:t>
      </w:r>
    </w:p>
    <w:p>
      <w:pPr>
        <w:spacing w:after="0" w:line="98" w:lineRule="exact"/>
        <w:rPr>
          <w:rFonts w:ascii="Arial" w:cs="Arial" w:eastAsia="Arial" w:hAnsi="Arial"/>
          <w:sz w:val="14"/>
          <w:szCs w:val="14"/>
          <w:color w:val="auto"/>
        </w:rPr>
      </w:pPr>
    </w:p>
    <w:p>
      <w:pPr>
        <w:ind w:left="149" w:hanging="149"/>
        <w:spacing w:after="0" w:line="255" w:lineRule="auto"/>
        <w:tabs>
          <w:tab w:leader="none" w:pos="151" w:val="left"/>
        </w:tabs>
        <w:numPr>
          <w:ilvl w:val="0"/>
          <w:numId w:val="69"/>
        </w:numPr>
        <w:rPr>
          <w:rFonts w:ascii="Arial" w:cs="Arial" w:eastAsia="Arial" w:hAnsi="Arial"/>
          <w:sz w:val="14"/>
          <w:szCs w:val="14"/>
          <w:color w:val="auto"/>
        </w:rPr>
      </w:pPr>
      <w:r>
        <w:rPr>
          <w:rFonts w:ascii="Arial" w:cs="Arial" w:eastAsia="Arial" w:hAnsi="Arial"/>
          <w:sz w:val="14"/>
          <w:szCs w:val="14"/>
          <w:b w:val="1"/>
          <w:bCs w:val="1"/>
          <w:color w:val="auto"/>
        </w:rPr>
        <w:t xml:space="preserve">LTI Awards: </w:t>
      </w:r>
      <w:r>
        <w:rPr>
          <w:rFonts w:ascii="Arial" w:cs="Arial" w:eastAsia="Arial" w:hAnsi="Arial"/>
          <w:sz w:val="14"/>
          <w:szCs w:val="14"/>
          <w:color w:val="auto"/>
        </w:rPr>
        <w:t>As part of the Compensation Committee’s ongoing review of the Company’s executive compensation program, we discontinued the use of stock options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Chief Executive Officer and the Chief Financial Officer. The value previously used for stock option awards was added to the RSU awards these executives receive. This aligned our CEO and CFO under the same LTI mix as the other executive officers, balancing long-term awards solely between PSUs and RSUs. We believe the elimination of stock options from the compensation packages enhances their resilience during the current uncertain and volatile times. The use of stock options is a minority practice among our compensation peer group and in the broader market.</w:t>
      </w:r>
    </w:p>
    <w:p>
      <w:pPr>
        <w:spacing w:after="0" w:line="63" w:lineRule="exact"/>
        <w:rPr>
          <w:rFonts w:ascii="Arial" w:cs="Arial" w:eastAsia="Arial" w:hAnsi="Arial"/>
          <w:sz w:val="14"/>
          <w:szCs w:val="14"/>
          <w:color w:val="auto"/>
        </w:rPr>
      </w:pPr>
    </w:p>
    <w:p>
      <w:pPr>
        <w:ind w:left="149" w:right="60" w:hanging="149"/>
        <w:spacing w:after="0" w:line="282" w:lineRule="auto"/>
        <w:tabs>
          <w:tab w:leader="none" w:pos="151" w:val="left"/>
        </w:tabs>
        <w:numPr>
          <w:ilvl w:val="0"/>
          <w:numId w:val="69"/>
        </w:numPr>
        <w:rPr>
          <w:rFonts w:ascii="Arial" w:cs="Arial" w:eastAsia="Arial" w:hAnsi="Arial"/>
          <w:sz w:val="14"/>
          <w:szCs w:val="14"/>
          <w:color w:val="auto"/>
        </w:rPr>
      </w:pPr>
      <w:r>
        <w:rPr>
          <w:rFonts w:ascii="Arial" w:cs="Arial" w:eastAsia="Arial" w:hAnsi="Arial"/>
          <w:sz w:val="14"/>
          <w:szCs w:val="14"/>
          <w:b w:val="1"/>
          <w:bCs w:val="1"/>
          <w:color w:val="auto"/>
        </w:rPr>
        <w:t xml:space="preserve">PSU awards: </w:t>
      </w:r>
      <w:r>
        <w:rPr>
          <w:rFonts w:ascii="Arial" w:cs="Arial" w:eastAsia="Arial" w:hAnsi="Arial"/>
          <w:sz w:val="14"/>
          <w:szCs w:val="14"/>
          <w:color w:val="auto"/>
        </w:rPr>
        <w:t>PSU award vestings are based on two equally weighted financial goals, measured over a three-year performance period: ROIC and relative TSR. Payouts of</w:t>
      </w:r>
      <w:r>
        <w:rPr>
          <w:rFonts w:ascii="Arial" w:cs="Arial" w:eastAsia="Arial" w:hAnsi="Arial"/>
          <w:sz w:val="14"/>
          <w:szCs w:val="14"/>
          <w:b w:val="1"/>
          <w:bCs w:val="1"/>
          <w:color w:val="auto"/>
        </w:rPr>
        <w:t xml:space="preserve"> </w:t>
      </w:r>
      <w:r>
        <w:rPr>
          <w:rFonts w:ascii="Arial" w:cs="Arial" w:eastAsia="Arial" w:hAnsi="Arial"/>
          <w:sz w:val="14"/>
          <w:szCs w:val="14"/>
          <w:color w:val="auto"/>
        </w:rPr>
        <w:t>PSU awards for the performance cycle that ended in 2026 were below target on both ROIC (34.12%) and relative TSR (43rd percentile), resulting in a payout of 89.46%.</w:t>
      </w:r>
    </w:p>
    <w:p>
      <w:pPr>
        <w:spacing w:after="0" w:line="137"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 xml:space="preserve">40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749CAB"/>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695515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889"/>
          </w:cols>
          <w:pgMar w:left="471" w:top="327" w:right="539" w:bottom="1440" w:gutter="0" w:footer="0" w:header="0"/>
        </w:sectPr>
      </w:pPr>
    </w:p>
    <w:bookmarkStart w:id="43" w:name="page44"/>
    <w:bookmarkEnd w:id="43"/>
    <w:p>
      <w:pPr>
        <w:ind w:left="9"/>
        <w:spacing w:after="0"/>
        <w:rPr>
          <w:sz w:val="20"/>
          <w:szCs w:val="20"/>
          <w:color w:val="auto"/>
        </w:rPr>
      </w:pPr>
      <w:r>
        <w:rPr>
          <w:rFonts w:ascii="Arial" w:cs="Arial" w:eastAsia="Arial" w:hAnsi="Arial"/>
          <w:sz w:val="14"/>
          <w:szCs w:val="14"/>
          <w:color w:val="auto"/>
        </w:rPr>
        <w:t>The table below shows the principal elements of the compensation program for our NEOs and the target values attributable to each element for 2025, subject to the following:</w:t>
      </w:r>
    </w:p>
    <w:p>
      <w:pPr>
        <w:spacing w:after="0" w:line="98" w:lineRule="exact"/>
        <w:rPr>
          <w:sz w:val="20"/>
          <w:szCs w:val="20"/>
          <w:color w:val="auto"/>
        </w:rPr>
      </w:pPr>
    </w:p>
    <w:p>
      <w:pPr>
        <w:ind w:left="149" w:hanging="149"/>
        <w:spacing w:after="0"/>
        <w:tabs>
          <w:tab w:leader="none" w:pos="149" w:val="left"/>
        </w:tabs>
        <w:numPr>
          <w:ilvl w:val="0"/>
          <w:numId w:val="70"/>
        </w:numPr>
        <w:rPr>
          <w:rFonts w:ascii="Arial" w:cs="Arial" w:eastAsia="Arial" w:hAnsi="Arial"/>
          <w:sz w:val="14"/>
          <w:szCs w:val="14"/>
          <w:color w:val="auto"/>
        </w:rPr>
      </w:pPr>
      <w:r>
        <w:rPr>
          <w:rFonts w:ascii="Arial" w:cs="Arial" w:eastAsia="Arial" w:hAnsi="Arial"/>
          <w:sz w:val="14"/>
          <w:szCs w:val="14"/>
          <w:color w:val="auto"/>
        </w:rPr>
        <w:t>Base salaries are shown on an annualized basis at the highest level for the year.</w:t>
      </w:r>
    </w:p>
    <w:p>
      <w:pPr>
        <w:spacing w:after="0" w:line="98" w:lineRule="exact"/>
        <w:rPr>
          <w:rFonts w:ascii="Arial" w:cs="Arial" w:eastAsia="Arial" w:hAnsi="Arial"/>
          <w:sz w:val="14"/>
          <w:szCs w:val="14"/>
          <w:color w:val="auto"/>
        </w:rPr>
      </w:pPr>
    </w:p>
    <w:p>
      <w:pPr>
        <w:ind w:left="149" w:hanging="149"/>
        <w:spacing w:after="0"/>
        <w:tabs>
          <w:tab w:leader="none" w:pos="149" w:val="left"/>
        </w:tabs>
        <w:numPr>
          <w:ilvl w:val="0"/>
          <w:numId w:val="70"/>
        </w:numPr>
        <w:rPr>
          <w:rFonts w:ascii="Arial" w:cs="Arial" w:eastAsia="Arial" w:hAnsi="Arial"/>
          <w:sz w:val="14"/>
          <w:szCs w:val="14"/>
          <w:color w:val="auto"/>
        </w:rPr>
      </w:pPr>
      <w:r>
        <w:rPr>
          <w:rFonts w:ascii="Arial" w:cs="Arial" w:eastAsia="Arial" w:hAnsi="Arial"/>
          <w:sz w:val="14"/>
          <w:szCs w:val="14"/>
          <w:color w:val="auto"/>
        </w:rPr>
        <w:t>Annual bonuses are shown at the target-level payouts.</w:t>
      </w:r>
    </w:p>
    <w:p>
      <w:pPr>
        <w:spacing w:after="0" w:line="98" w:lineRule="exact"/>
        <w:rPr>
          <w:rFonts w:ascii="Arial" w:cs="Arial" w:eastAsia="Arial" w:hAnsi="Arial"/>
          <w:sz w:val="14"/>
          <w:szCs w:val="14"/>
          <w:color w:val="auto"/>
        </w:rPr>
      </w:pPr>
    </w:p>
    <w:p>
      <w:pPr>
        <w:ind w:left="149" w:hanging="149"/>
        <w:spacing w:after="0"/>
        <w:tabs>
          <w:tab w:leader="none" w:pos="149" w:val="left"/>
        </w:tabs>
        <w:numPr>
          <w:ilvl w:val="0"/>
          <w:numId w:val="70"/>
        </w:numPr>
        <w:rPr>
          <w:rFonts w:ascii="Arial" w:cs="Arial" w:eastAsia="Arial" w:hAnsi="Arial"/>
          <w:sz w:val="14"/>
          <w:szCs w:val="14"/>
          <w:color w:val="auto"/>
        </w:rPr>
      </w:pPr>
      <w:r>
        <w:rPr>
          <w:rFonts w:ascii="Arial" w:cs="Arial" w:eastAsia="Arial" w:hAnsi="Arial"/>
          <w:sz w:val="14"/>
          <w:szCs w:val="14"/>
          <w:color w:val="auto"/>
        </w:rPr>
        <w:t>RSUs and PSUs are shown at the grant date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7105015" cy="5608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05015" cy="560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
        <w:spacing w:after="0"/>
        <w:rPr>
          <w:sz w:val="20"/>
          <w:szCs w:val="20"/>
          <w:color w:val="auto"/>
        </w:rPr>
      </w:pPr>
      <w:r>
        <w:rPr>
          <w:rFonts w:ascii="Arial" w:cs="Arial" w:eastAsia="Arial" w:hAnsi="Arial"/>
          <w:sz w:val="13"/>
          <w:szCs w:val="13"/>
          <w:color w:val="auto"/>
        </w:rPr>
        <w:t>1  Awards to the Chief Executive Officer are subject to an additional one-year holding period for the after-tax shares delivered when an award vests.</w:t>
      </w:r>
    </w:p>
    <w:p>
      <w:pPr>
        <w:spacing w:after="0" w:line="39" w:lineRule="exact"/>
        <w:rPr>
          <w:sz w:val="20"/>
          <w:szCs w:val="20"/>
          <w:color w:val="auto"/>
        </w:rPr>
      </w:pPr>
    </w:p>
    <w:p>
      <w:pPr>
        <w:ind w:left="149" w:right="40" w:hanging="149"/>
        <w:spacing w:after="0" w:line="239" w:lineRule="auto"/>
        <w:tabs>
          <w:tab w:leader="none" w:pos="156" w:val="left"/>
        </w:tabs>
        <w:numPr>
          <w:ilvl w:val="0"/>
          <w:numId w:val="71"/>
        </w:numPr>
        <w:rPr>
          <w:rFonts w:ascii="Arial" w:cs="Arial" w:eastAsia="Arial" w:hAnsi="Arial"/>
          <w:sz w:val="13"/>
          <w:szCs w:val="13"/>
          <w:color w:val="auto"/>
        </w:rPr>
      </w:pPr>
      <w:r>
        <w:rPr>
          <w:rFonts w:ascii="Arial" w:cs="Arial" w:eastAsia="Arial" w:hAnsi="Arial"/>
          <w:sz w:val="13"/>
          <w:szCs w:val="13"/>
          <w:color w:val="auto"/>
        </w:rPr>
        <w:t>Bonus target amount shown for Ms. Stone is based on her base salary as of October 31, 2025 in accordance with the terms of the Management Incentive Bonus Plan under which her award was made. Ms. Stone was serving solely in her role as Executive Vice President, Global Financial Planning and Analysis at the time annual equity awards were made in 2025 and, therefore, was not eligible for a PSU award grant.</w:t>
      </w:r>
    </w:p>
    <w:p>
      <w:pPr>
        <w:spacing w:after="0" w:line="24" w:lineRule="exact"/>
        <w:rPr>
          <w:sz w:val="20"/>
          <w:szCs w:val="20"/>
          <w:color w:val="auto"/>
        </w:rPr>
      </w:pPr>
    </w:p>
    <w:p>
      <w:pPr>
        <w:ind w:left="149" w:right="320" w:hanging="149"/>
        <w:spacing w:after="0" w:line="252" w:lineRule="auto"/>
        <w:tabs>
          <w:tab w:leader="none" w:pos="156" w:val="left"/>
        </w:tabs>
        <w:numPr>
          <w:ilvl w:val="0"/>
          <w:numId w:val="72"/>
        </w:numPr>
        <w:rPr>
          <w:rFonts w:ascii="Arial" w:cs="Arial" w:eastAsia="Arial" w:hAnsi="Arial"/>
          <w:sz w:val="13"/>
          <w:szCs w:val="13"/>
          <w:color w:val="auto"/>
        </w:rPr>
      </w:pPr>
      <w:r>
        <w:rPr>
          <w:rFonts w:ascii="Arial" w:cs="Arial" w:eastAsia="Arial" w:hAnsi="Arial"/>
          <w:sz w:val="13"/>
          <w:szCs w:val="13"/>
          <w:color w:val="auto"/>
        </w:rPr>
        <w:t>Mr. Coughlin voluntarily resigned without good reason and left the company effective December 31, 2025. Mr. Coughlin’s 2025 annual bonus and all outstanding RSU and PSU awards were forfeited upon his departure.</w:t>
      </w:r>
    </w:p>
    <w:p>
      <w:pPr>
        <w:spacing w:after="0" w:line="16" w:lineRule="exact"/>
        <w:rPr>
          <w:sz w:val="20"/>
          <w:szCs w:val="20"/>
          <w:color w:val="auto"/>
        </w:rPr>
      </w:pPr>
    </w:p>
    <w:p>
      <w:pPr>
        <w:ind w:left="149" w:right="60" w:hanging="149"/>
        <w:spacing w:after="0" w:line="252" w:lineRule="auto"/>
        <w:tabs>
          <w:tab w:leader="none" w:pos="156" w:val="left"/>
        </w:tabs>
        <w:numPr>
          <w:ilvl w:val="0"/>
          <w:numId w:val="73"/>
        </w:numPr>
        <w:rPr>
          <w:rFonts w:ascii="Arial" w:cs="Arial" w:eastAsia="Arial" w:hAnsi="Arial"/>
          <w:sz w:val="13"/>
          <w:szCs w:val="13"/>
          <w:color w:val="auto"/>
        </w:rPr>
      </w:pPr>
      <w:r>
        <w:rPr>
          <w:rFonts w:ascii="Arial" w:cs="Arial" w:eastAsia="Arial" w:hAnsi="Arial"/>
          <w:sz w:val="13"/>
          <w:szCs w:val="13"/>
          <w:color w:val="auto"/>
        </w:rPr>
        <w:t>Ms. Serrano was separated from the company effective December 31, 2025 and all of her outstanding RSU awards and her 2025 PSU award were forfeited upon her departure. She was entitled to receive a prorated amount of the annual bonus.</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49CAB"/>
        </w:rPr>
        <w:t xml:space="preserve">COMPENSATION DISCUSSION &amp; ANALYSIS </w:t>
      </w:r>
      <w:r>
        <w:rPr>
          <w:rFonts w:ascii="Arial" w:cs="Arial" w:eastAsia="Arial" w:hAnsi="Arial"/>
          <w:sz w:val="11"/>
          <w:szCs w:val="11"/>
          <w:color w:val="000000"/>
        </w:rPr>
        <w:t>/ PVH CORP. 2026 PROXY STATEMENT /</w:t>
      </w:r>
      <w:r>
        <w:rPr>
          <w:rFonts w:ascii="Arial" w:cs="Arial" w:eastAsia="Arial" w:hAnsi="Arial"/>
          <w:sz w:val="11"/>
          <w:szCs w:val="11"/>
          <w:b w:val="1"/>
          <w:bCs w:val="1"/>
          <w:color w:val="749CAB"/>
        </w:rPr>
        <w:t xml:space="preserve"> </w:t>
      </w:r>
      <w:r>
        <w:rPr>
          <w:rFonts w:ascii="Arial" w:cs="Arial" w:eastAsia="Arial" w:hAnsi="Arial"/>
          <w:sz w:val="11"/>
          <w:szCs w:val="11"/>
          <w:b w:val="1"/>
          <w:bCs w:val="1"/>
          <w:color w:val="00000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695515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221" w:right="479" w:bottom="1440" w:gutter="0" w:footer="0" w:header="0"/>
        </w:sectPr>
      </w:pPr>
    </w:p>
    <w:bookmarkStart w:id="44" w:name="page45"/>
    <w:bookmarkEnd w:id="44"/>
    <w:p>
      <w:pPr>
        <w:ind w:left="20"/>
        <w:spacing w:after="0"/>
        <w:rPr>
          <w:sz w:val="20"/>
          <w:szCs w:val="20"/>
          <w:color w:val="auto"/>
        </w:rPr>
      </w:pPr>
      <w:r>
        <w:rPr>
          <w:rFonts w:ascii="Arial" w:cs="Arial" w:eastAsia="Arial" w:hAnsi="Arial"/>
          <w:sz w:val="17"/>
          <w:szCs w:val="17"/>
          <w:b w:val="1"/>
          <w:bCs w:val="1"/>
          <w:color w:val="6D98AD"/>
        </w:rPr>
        <w:t>PVH Pay Mix</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 shown below, the distribution of our executives’ full-year target compensation is significantly weighed towards performance-based short- and long-term, variable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182245</wp:posOffset>
            </wp:positionV>
            <wp:extent cx="1944370" cy="13538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944370" cy="1353820"/>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174625</wp:posOffset>
            </wp:positionV>
            <wp:extent cx="1839595" cy="12192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39595" cy="1219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640" w:hanging="156"/>
        <w:spacing w:after="0" w:line="236" w:lineRule="auto"/>
        <w:rPr>
          <w:sz w:val="20"/>
          <w:szCs w:val="20"/>
          <w:color w:val="auto"/>
        </w:rPr>
      </w:pPr>
      <w:r>
        <w:rPr>
          <w:rFonts w:ascii="Arial" w:cs="Arial" w:eastAsia="Arial" w:hAnsi="Arial"/>
          <w:sz w:val="13"/>
          <w:szCs w:val="13"/>
          <w:color w:val="auto"/>
        </w:rPr>
        <w:t>1 Melissa Stone’s compensation package was established in respect of her role of Executive Vice President, Global Financial Planning and Analysis and prior to her adding duties as Interim Chief Financial Officer. As a result, her compensation package was not designed in the same way as the other NEOs and is not included in the graph above.</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Compensation Governance</w:t>
      </w:r>
    </w:p>
    <w:p>
      <w:pPr>
        <w:spacing w:after="0" w:line="62" w:lineRule="exact"/>
        <w:rPr>
          <w:sz w:val="20"/>
          <w:szCs w:val="20"/>
          <w:color w:val="auto"/>
        </w:rPr>
      </w:pPr>
    </w:p>
    <w:p>
      <w:pPr>
        <w:ind w:left="20" w:right="660"/>
        <w:spacing w:after="0" w:line="282" w:lineRule="auto"/>
        <w:rPr>
          <w:sz w:val="20"/>
          <w:szCs w:val="20"/>
          <w:color w:val="auto"/>
        </w:rPr>
      </w:pPr>
      <w:r>
        <w:rPr>
          <w:rFonts w:ascii="Arial" w:cs="Arial" w:eastAsia="Arial" w:hAnsi="Arial"/>
          <w:sz w:val="14"/>
          <w:szCs w:val="14"/>
          <w:color w:val="auto"/>
        </w:rPr>
        <w:t>Our executive compensation program continues to demonstrate our pay for performance philosophy and to support strong compensation governance. Our executive compensation program aligns the interests of our NEOs with the interests of our stockholders and avoids excessive risk.</w:t>
      </w:r>
    </w:p>
    <w:p>
      <w:pPr>
        <w:spacing w:after="0" w:line="190" w:lineRule="exact"/>
        <w:rPr>
          <w:sz w:val="20"/>
          <w:szCs w:val="20"/>
          <w:color w:val="auto"/>
        </w:rPr>
      </w:pPr>
    </w:p>
    <w:p>
      <w:pPr>
        <w:ind w:left="20"/>
        <w:spacing w:after="0"/>
        <w:tabs>
          <w:tab w:leader="none" w:pos="6040" w:val="left"/>
        </w:tabs>
        <w:rPr>
          <w:sz w:val="20"/>
          <w:szCs w:val="20"/>
          <w:color w:val="auto"/>
        </w:rPr>
      </w:pPr>
      <w:r>
        <w:rPr>
          <w:rFonts w:ascii="Arial" w:cs="Arial" w:eastAsia="Arial" w:hAnsi="Arial"/>
          <w:sz w:val="17"/>
          <w:szCs w:val="17"/>
          <w:b w:val="1"/>
          <w:bCs w:val="1"/>
          <w:color w:val="6D98AD"/>
        </w:rPr>
        <w:t>Our Compensation Practices (What We Do)</w:t>
      </w:r>
      <w:r>
        <w:rPr>
          <w:sz w:val="20"/>
          <w:szCs w:val="20"/>
          <w:color w:val="auto"/>
        </w:rPr>
        <w:tab/>
      </w:r>
      <w:r>
        <w:rPr>
          <w:rFonts w:ascii="Arial" w:cs="Arial" w:eastAsia="Arial" w:hAnsi="Arial"/>
          <w:sz w:val="17"/>
          <w:szCs w:val="17"/>
          <w:b w:val="1"/>
          <w:bCs w:val="1"/>
          <w:color w:val="auto"/>
        </w:rPr>
        <w:t>Prohibited Practices (What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694817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ectPr>
          <w:pgSz w:w="11900" w:h="16838" w:orient="portrait"/>
          <w:cols w:equalWidth="0" w:num="1">
            <w:col w:w="10940"/>
          </w:cols>
          <w:pgMar w:left="460" w:top="177" w:right="499" w:bottom="1440" w:gutter="0" w:footer="0" w:header="0"/>
        </w:sectPr>
      </w:pPr>
    </w:p>
    <w:p>
      <w:pPr>
        <w:spacing w:after="0" w:line="143" w:lineRule="exact"/>
        <w:rPr>
          <w:sz w:val="20"/>
          <w:szCs w:val="20"/>
          <w:color w:val="auto"/>
        </w:rPr>
      </w:pPr>
    </w:p>
    <w:p>
      <w:pPr>
        <w:ind w:left="200" w:right="100" w:hanging="191"/>
        <w:spacing w:after="0"/>
        <w:rPr>
          <w:sz w:val="20"/>
          <w:szCs w:val="20"/>
          <w:color w:val="auto"/>
        </w:rPr>
      </w:pPr>
      <w:r>
        <w:rPr>
          <w:sz w:val="1"/>
          <w:szCs w:val="1"/>
          <w:color w:val="auto"/>
        </w:rPr>
        <w:drawing>
          <wp:inline distT="0" distB="0" distL="0" distR="0">
            <wp:extent cx="89535" cy="7493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9535" cy="74930"/>
                    </a:xfrm>
                    <a:prstGeom prst="rect">
                      <a:avLst/>
                    </a:prstGeom>
                    <a:noFill/>
                    <a:ln>
                      <a:noFill/>
                    </a:ln>
                  </pic:spPr>
                </pic:pic>
              </a:graphicData>
            </a:graphic>
          </wp:inline>
        </w:drawing>
      </w:r>
      <w:r>
        <w:rPr>
          <w:rFonts w:ascii="Arial" w:cs="Arial" w:eastAsia="Arial" w:hAnsi="Arial"/>
          <w:sz w:val="14"/>
          <w:szCs w:val="14"/>
          <w:color w:val="auto"/>
        </w:rPr>
        <w:t xml:space="preserve"> We regularly engage with institutional investors to solicit and respond to feedback on our compensation programs.</w:t>
      </w:r>
    </w:p>
    <w:p>
      <w:pPr>
        <w:spacing w:after="0" w:line="26" w:lineRule="exact"/>
        <w:rPr>
          <w:sz w:val="20"/>
          <w:szCs w:val="20"/>
          <w:color w:val="auto"/>
        </w:rPr>
      </w:pPr>
    </w:p>
    <w:p>
      <w:pPr>
        <w:ind w:left="200" w:right="220" w:hanging="191"/>
        <w:spacing w:after="0"/>
        <w:rPr>
          <w:sz w:val="20"/>
          <w:szCs w:val="20"/>
          <w:color w:val="auto"/>
        </w:rPr>
      </w:pPr>
      <w:r>
        <w:rPr>
          <w:sz w:val="1"/>
          <w:szCs w:val="1"/>
          <w:color w:val="auto"/>
        </w:rPr>
        <w:drawing>
          <wp:inline distT="0" distB="0" distL="0" distR="0">
            <wp:extent cx="89535" cy="7493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9535" cy="74930"/>
                    </a:xfrm>
                    <a:prstGeom prst="rect">
                      <a:avLst/>
                    </a:prstGeom>
                    <a:noFill/>
                    <a:ln>
                      <a:noFill/>
                    </a:ln>
                  </pic:spPr>
                </pic:pic>
              </a:graphicData>
            </a:graphic>
          </wp:inline>
        </w:drawing>
      </w:r>
      <w:r>
        <w:rPr>
          <w:rFonts w:ascii="Arial" w:cs="Arial" w:eastAsia="Arial" w:hAnsi="Arial"/>
          <w:sz w:val="14"/>
          <w:szCs w:val="14"/>
          <w:color w:val="auto"/>
        </w:rPr>
        <w:t xml:space="preserve"> A significant portion of our executive compensation program is variable and earned based on long-term, multi-year PVH performance.</w:t>
      </w:r>
    </w:p>
    <w:p>
      <w:pPr>
        <w:spacing w:after="0" w:line="26" w:lineRule="exact"/>
        <w:rPr>
          <w:sz w:val="20"/>
          <w:szCs w:val="20"/>
          <w:color w:val="auto"/>
        </w:rPr>
      </w:pPr>
    </w:p>
    <w:p>
      <w:pPr>
        <w:jc w:val="both"/>
        <w:ind w:left="200" w:right="160" w:hanging="191"/>
        <w:spacing w:after="0"/>
        <w:rPr>
          <w:sz w:val="20"/>
          <w:szCs w:val="20"/>
          <w:color w:val="auto"/>
        </w:rPr>
      </w:pPr>
      <w:r>
        <w:rPr>
          <w:sz w:val="1"/>
          <w:szCs w:val="1"/>
          <w:color w:val="auto"/>
        </w:rPr>
        <w:drawing>
          <wp:inline distT="0" distB="0" distL="0" distR="0">
            <wp:extent cx="89535" cy="7493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9535" cy="74930"/>
                    </a:xfrm>
                    <a:prstGeom prst="rect">
                      <a:avLst/>
                    </a:prstGeom>
                    <a:noFill/>
                    <a:ln>
                      <a:noFill/>
                    </a:ln>
                  </pic:spPr>
                </pic:pic>
              </a:graphicData>
            </a:graphic>
          </wp:inline>
        </w:drawing>
      </w:r>
      <w:r>
        <w:rPr>
          <w:rFonts w:ascii="Arial" w:cs="Arial" w:eastAsia="Arial" w:hAnsi="Arial"/>
          <w:sz w:val="14"/>
          <w:szCs w:val="14"/>
          <w:color w:val="auto"/>
        </w:rPr>
        <w:t xml:space="preserve"> We use different financial metrics to determine annual bonuses and PSU awards so executives focus on the business as a whole and not on any particular performance goal.</w:t>
      </w:r>
    </w:p>
    <w:p>
      <w:pPr>
        <w:spacing w:after="0" w:line="26" w:lineRule="exact"/>
        <w:rPr>
          <w:sz w:val="20"/>
          <w:szCs w:val="20"/>
          <w:color w:val="auto"/>
        </w:rPr>
      </w:pPr>
    </w:p>
    <w:p>
      <w:pPr>
        <w:ind w:left="200" w:right="180" w:hanging="191"/>
        <w:spacing w:after="0"/>
        <w:rPr>
          <w:sz w:val="20"/>
          <w:szCs w:val="20"/>
          <w:color w:val="auto"/>
        </w:rPr>
      </w:pPr>
      <w:r>
        <w:rPr>
          <w:sz w:val="1"/>
          <w:szCs w:val="1"/>
          <w:color w:val="auto"/>
        </w:rPr>
        <w:drawing>
          <wp:inline distT="0" distB="0" distL="0" distR="0">
            <wp:extent cx="89535" cy="7493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9535" cy="74930"/>
                    </a:xfrm>
                    <a:prstGeom prst="rect">
                      <a:avLst/>
                    </a:prstGeom>
                    <a:noFill/>
                    <a:ln>
                      <a:noFill/>
                    </a:ln>
                  </pic:spPr>
                </pic:pic>
              </a:graphicData>
            </a:graphic>
          </wp:inline>
        </w:drawing>
      </w:r>
      <w:r>
        <w:rPr>
          <w:rFonts w:ascii="Arial" w:cs="Arial" w:eastAsia="Arial" w:hAnsi="Arial"/>
          <w:sz w:val="14"/>
          <w:szCs w:val="14"/>
          <w:color w:val="auto"/>
        </w:rPr>
        <w:t xml:space="preserve"> We regularly reassess the financial measures used with our performance-based awards, as well as the mix of elements that make up our compensation program, to ensure they promote long-term stockholder value and align with investor priorities.</w:t>
      </w:r>
    </w:p>
    <w:p>
      <w:pPr>
        <w:spacing w:after="0" w:line="26" w:lineRule="exact"/>
        <w:rPr>
          <w:sz w:val="20"/>
          <w:szCs w:val="20"/>
          <w:color w:val="auto"/>
        </w:rPr>
      </w:pPr>
    </w:p>
    <w:p>
      <w:pPr>
        <w:ind w:left="200" w:hanging="191"/>
        <w:spacing w:after="0"/>
        <w:rPr>
          <w:sz w:val="20"/>
          <w:szCs w:val="20"/>
          <w:color w:val="auto"/>
        </w:rPr>
      </w:pPr>
      <w:r>
        <w:rPr>
          <w:sz w:val="1"/>
          <w:szCs w:val="1"/>
          <w:color w:val="auto"/>
        </w:rPr>
        <w:drawing>
          <wp:inline distT="0" distB="0" distL="0" distR="0">
            <wp:extent cx="89535" cy="7493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9535" cy="74930"/>
                    </a:xfrm>
                    <a:prstGeom prst="rect">
                      <a:avLst/>
                    </a:prstGeom>
                    <a:noFill/>
                    <a:ln>
                      <a:noFill/>
                    </a:ln>
                  </pic:spPr>
                </pic:pic>
              </a:graphicData>
            </a:graphic>
          </wp:inline>
        </w:drawing>
      </w:r>
      <w:r>
        <w:rPr>
          <w:rFonts w:ascii="Arial" w:cs="Arial" w:eastAsia="Arial" w:hAnsi="Arial"/>
          <w:sz w:val="14"/>
          <w:szCs w:val="14"/>
          <w:color w:val="auto"/>
        </w:rPr>
        <w:t xml:space="preserve"> Our executive officers are subject to stringent stock ownership guidelines ranging from 6x for our CEO to 2x to 3x for other executive officers.</w:t>
      </w:r>
    </w:p>
    <w:p>
      <w:pPr>
        <w:spacing w:after="0" w:line="26" w:lineRule="exact"/>
        <w:rPr>
          <w:sz w:val="20"/>
          <w:szCs w:val="20"/>
          <w:color w:val="auto"/>
        </w:rPr>
      </w:pPr>
    </w:p>
    <w:p>
      <w:pPr>
        <w:spacing w:after="0"/>
        <w:rPr>
          <w:sz w:val="20"/>
          <w:szCs w:val="20"/>
          <w:color w:val="auto"/>
        </w:rPr>
      </w:pPr>
      <w:r>
        <w:rPr>
          <w:sz w:val="1"/>
          <w:szCs w:val="1"/>
          <w:color w:val="auto"/>
        </w:rPr>
        <w:drawing>
          <wp:inline distT="0" distB="0" distL="0" distR="0">
            <wp:extent cx="89535" cy="7493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9535" cy="74930"/>
                    </a:xfrm>
                    <a:prstGeom prst="rect">
                      <a:avLst/>
                    </a:prstGeom>
                    <a:noFill/>
                    <a:ln>
                      <a:noFill/>
                    </a:ln>
                  </pic:spPr>
                </pic:pic>
              </a:graphicData>
            </a:graphic>
          </wp:inline>
        </w:drawing>
      </w:r>
      <w:r>
        <w:rPr>
          <w:rFonts w:ascii="Arial" w:cs="Arial" w:eastAsia="Arial" w:hAnsi="Arial"/>
          <w:sz w:val="14"/>
          <w:szCs w:val="14"/>
          <w:color w:val="auto"/>
        </w:rPr>
        <w:t xml:space="preserve"> Our change in control arrangements are “double-trigger.”</w:t>
      </w:r>
    </w:p>
    <w:p>
      <w:pPr>
        <w:spacing w:after="0" w:line="51" w:lineRule="exact"/>
        <w:rPr>
          <w:sz w:val="20"/>
          <w:szCs w:val="20"/>
          <w:color w:val="auto"/>
        </w:rPr>
      </w:pPr>
    </w:p>
    <w:p>
      <w:pPr>
        <w:ind w:left="200" w:right="180" w:hanging="191"/>
        <w:spacing w:after="0"/>
        <w:rPr>
          <w:sz w:val="20"/>
          <w:szCs w:val="20"/>
          <w:color w:val="auto"/>
        </w:rPr>
      </w:pPr>
      <w:r>
        <w:rPr>
          <w:sz w:val="1"/>
          <w:szCs w:val="1"/>
          <w:color w:val="auto"/>
        </w:rPr>
        <w:drawing>
          <wp:inline distT="0" distB="0" distL="0" distR="0">
            <wp:extent cx="89535" cy="7493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9535" cy="74930"/>
                    </a:xfrm>
                    <a:prstGeom prst="rect">
                      <a:avLst/>
                    </a:prstGeom>
                    <a:noFill/>
                    <a:ln>
                      <a:noFill/>
                    </a:ln>
                  </pic:spPr>
                </pic:pic>
              </a:graphicData>
            </a:graphic>
          </wp:inline>
        </w:drawing>
      </w:r>
      <w:r>
        <w:rPr>
          <w:rFonts w:ascii="Arial" w:cs="Arial" w:eastAsia="Arial" w:hAnsi="Arial"/>
          <w:sz w:val="14"/>
          <w:szCs w:val="14"/>
          <w:color w:val="auto"/>
        </w:rPr>
        <w:t xml:space="preserve"> Our Clawback Policy allows us to recover or cancel incentive compensation awards and payouts in the event of a restatement of our financial statements or a material breach of a material company policy.</w:t>
      </w:r>
    </w:p>
    <w:p>
      <w:pPr>
        <w:spacing w:after="0" w:line="26" w:lineRule="exact"/>
        <w:rPr>
          <w:sz w:val="20"/>
          <w:szCs w:val="20"/>
          <w:color w:val="auto"/>
        </w:rPr>
      </w:pPr>
    </w:p>
    <w:p>
      <w:pPr>
        <w:ind w:left="200" w:right="360" w:hanging="191"/>
        <w:spacing w:after="0"/>
        <w:rPr>
          <w:sz w:val="20"/>
          <w:szCs w:val="20"/>
          <w:color w:val="auto"/>
        </w:rPr>
      </w:pPr>
      <w:r>
        <w:rPr>
          <w:sz w:val="1"/>
          <w:szCs w:val="1"/>
          <w:color w:val="auto"/>
        </w:rPr>
        <w:drawing>
          <wp:inline distT="0" distB="0" distL="0" distR="0">
            <wp:extent cx="89535" cy="7493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9535" cy="74930"/>
                    </a:xfrm>
                    <a:prstGeom prst="rect">
                      <a:avLst/>
                    </a:prstGeom>
                    <a:noFill/>
                    <a:ln>
                      <a:noFill/>
                    </a:ln>
                  </pic:spPr>
                </pic:pic>
              </a:graphicData>
            </a:graphic>
          </wp:inline>
        </w:drawing>
      </w:r>
      <w:r>
        <w:rPr>
          <w:rFonts w:ascii="Arial" w:cs="Arial" w:eastAsia="Arial" w:hAnsi="Arial"/>
          <w:sz w:val="14"/>
          <w:szCs w:val="14"/>
          <w:color w:val="auto"/>
        </w:rPr>
        <w:t xml:space="preserve"> The Compensation Committee consists of three independent directors who have engaged an independent compensation advisor.</w:t>
      </w:r>
    </w:p>
    <w:p>
      <w:pPr>
        <w:spacing w:after="0" w:line="26" w:lineRule="exact"/>
        <w:rPr>
          <w:sz w:val="20"/>
          <w:szCs w:val="20"/>
          <w:color w:val="auto"/>
        </w:rPr>
      </w:pPr>
    </w:p>
    <w:p>
      <w:pPr>
        <w:ind w:left="200" w:right="120" w:hanging="191"/>
        <w:spacing w:after="0"/>
        <w:rPr>
          <w:sz w:val="20"/>
          <w:szCs w:val="20"/>
          <w:color w:val="auto"/>
        </w:rPr>
      </w:pPr>
      <w:r>
        <w:rPr>
          <w:sz w:val="1"/>
          <w:szCs w:val="1"/>
          <w:color w:val="auto"/>
        </w:rPr>
        <w:drawing>
          <wp:inline distT="0" distB="0" distL="0" distR="0">
            <wp:extent cx="89535" cy="7493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9535" cy="74930"/>
                    </a:xfrm>
                    <a:prstGeom prst="rect">
                      <a:avLst/>
                    </a:prstGeom>
                    <a:noFill/>
                    <a:ln>
                      <a:noFill/>
                    </a:ln>
                  </pic:spPr>
                </pic:pic>
              </a:graphicData>
            </a:graphic>
          </wp:inline>
        </w:drawing>
      </w:r>
      <w:r>
        <w:rPr>
          <w:rFonts w:ascii="Arial" w:cs="Arial" w:eastAsia="Arial" w:hAnsi="Arial"/>
          <w:sz w:val="14"/>
          <w:szCs w:val="14"/>
          <w:color w:val="auto"/>
        </w:rPr>
        <w:t xml:space="preserve"> Awards under our incentive plans are capped to prevent undue efforts to surpass the target for any particular metric.</w:t>
      </w:r>
    </w:p>
    <w:p>
      <w:pPr>
        <w:spacing w:after="0" w:line="26" w:lineRule="exact"/>
        <w:rPr>
          <w:sz w:val="20"/>
          <w:szCs w:val="20"/>
          <w:color w:val="auto"/>
        </w:rPr>
      </w:pPr>
    </w:p>
    <w:p>
      <w:pPr>
        <w:ind w:left="200" w:right="260" w:hanging="191"/>
        <w:spacing w:after="0"/>
        <w:rPr>
          <w:sz w:val="20"/>
          <w:szCs w:val="20"/>
          <w:color w:val="auto"/>
        </w:rPr>
      </w:pPr>
      <w:r>
        <w:rPr>
          <w:sz w:val="1"/>
          <w:szCs w:val="1"/>
          <w:color w:val="auto"/>
        </w:rPr>
        <w:drawing>
          <wp:inline distT="0" distB="0" distL="0" distR="0">
            <wp:extent cx="89535" cy="7493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9535" cy="74930"/>
                    </a:xfrm>
                    <a:prstGeom prst="rect">
                      <a:avLst/>
                    </a:prstGeom>
                    <a:noFill/>
                    <a:ln>
                      <a:noFill/>
                    </a:ln>
                  </pic:spPr>
                </pic:pic>
              </a:graphicData>
            </a:graphic>
          </wp:inline>
        </w:drawing>
      </w:r>
      <w:r>
        <w:rPr>
          <w:rFonts w:ascii="Arial" w:cs="Arial" w:eastAsia="Arial" w:hAnsi="Arial"/>
          <w:sz w:val="14"/>
          <w:szCs w:val="14"/>
          <w:color w:val="auto"/>
        </w:rPr>
        <w:t xml:space="preserve"> We conduct an annual risk assessment of our executive compensation program to ensure that pay aligns with performance and minimizes excessive risk-taking.</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40" w:hanging="3"/>
        <w:spacing w:after="0" w:line="280" w:lineRule="auto"/>
        <w:rPr>
          <w:sz w:val="20"/>
          <w:szCs w:val="20"/>
          <w:color w:val="auto"/>
        </w:rPr>
      </w:pPr>
      <w:r>
        <w:rPr>
          <w:rFonts w:ascii="Arial" w:cs="Arial" w:eastAsia="Arial" w:hAnsi="Arial"/>
          <w:sz w:val="14"/>
          <w:szCs w:val="14"/>
          <w:color w:val="auto"/>
        </w:rPr>
        <w:t>We do not grant awards to our NEOs to replace awards that did not (or are not expected to) pay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-215265</wp:posOffset>
            </wp:positionV>
            <wp:extent cx="67310" cy="673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right="540" w:hanging="3"/>
        <w:spacing w:after="0" w:line="280" w:lineRule="auto"/>
        <w:rPr>
          <w:sz w:val="20"/>
          <w:szCs w:val="20"/>
          <w:color w:val="auto"/>
        </w:rPr>
      </w:pPr>
      <w:r>
        <w:rPr>
          <w:rFonts w:ascii="Arial" w:cs="Arial" w:eastAsia="Arial" w:hAnsi="Arial"/>
          <w:sz w:val="14"/>
          <w:szCs w:val="14"/>
          <w:color w:val="auto"/>
        </w:rPr>
        <w:t>We do not grant discretionary awards that are not substantiated by company or individual performance or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-215265</wp:posOffset>
            </wp:positionV>
            <wp:extent cx="67310" cy="673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jc w:val="both"/>
        <w:ind w:hanging="3"/>
        <w:spacing w:after="0" w:line="264" w:lineRule="auto"/>
        <w:rPr>
          <w:sz w:val="20"/>
          <w:szCs w:val="20"/>
          <w:color w:val="auto"/>
        </w:rPr>
      </w:pPr>
      <w:r>
        <w:rPr>
          <w:rFonts w:ascii="Arial" w:cs="Arial" w:eastAsia="Arial" w:hAnsi="Arial"/>
          <w:sz w:val="14"/>
          <w:szCs w:val="14"/>
          <w:color w:val="auto"/>
        </w:rPr>
        <w:t>We do not allow “retesting” or the use of multiple one-year targets with our annual bonus awards that provide NEOs with the opportunity to receive the same payout so long as one of the targets is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-313690</wp:posOffset>
            </wp:positionV>
            <wp:extent cx="67310" cy="673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We do not permit repricing of underwater stock options.</w:t>
      </w:r>
      <w:r>
        <w:rPr>
          <w:rFonts w:ascii="Arial" w:cs="Arial" w:eastAsia="Arial" w:hAnsi="Arial"/>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-93345</wp:posOffset>
            </wp:positionV>
            <wp:extent cx="67310" cy="673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pacing w:after="0" w:line="16" w:lineRule="exact"/>
        <w:rPr>
          <w:sz w:val="20"/>
          <w:szCs w:val="20"/>
          <w:color w:val="auto"/>
        </w:rPr>
      </w:pPr>
    </w:p>
    <w:p>
      <w:pPr>
        <w:ind w:right="520" w:hanging="3"/>
        <w:spacing w:after="0" w:line="270" w:lineRule="auto"/>
        <w:rPr>
          <w:sz w:val="20"/>
          <w:szCs w:val="20"/>
          <w:color w:val="auto"/>
        </w:rPr>
      </w:pPr>
      <w:r>
        <w:rPr>
          <w:rFonts w:ascii="Arial" w:cs="Arial" w:eastAsia="Arial" w:hAnsi="Arial"/>
          <w:sz w:val="14"/>
          <w:szCs w:val="14"/>
          <w:color w:val="auto"/>
        </w:rPr>
        <w:t>We do not pay dividends on unvested RSUs or accrue dividends or dividend equivalents on unearned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-212090</wp:posOffset>
            </wp:positionV>
            <wp:extent cx="67310" cy="673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right="180" w:hanging="3"/>
        <w:spacing w:after="0" w:line="280" w:lineRule="auto"/>
        <w:rPr>
          <w:sz w:val="20"/>
          <w:szCs w:val="20"/>
          <w:color w:val="auto"/>
        </w:rPr>
      </w:pPr>
      <w:r>
        <w:rPr>
          <w:rFonts w:ascii="Arial" w:cs="Arial" w:eastAsia="Arial" w:hAnsi="Arial"/>
          <w:sz w:val="14"/>
          <w:szCs w:val="14"/>
          <w:color w:val="auto"/>
        </w:rPr>
        <w:t>Pension and welfare benefits and perquisites are not a significant part of our NEOs’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-215265</wp:posOffset>
            </wp:positionV>
            <wp:extent cx="67310" cy="673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right="580" w:hanging="3"/>
        <w:spacing w:after="0" w:line="280" w:lineRule="auto"/>
        <w:rPr>
          <w:sz w:val="20"/>
          <w:szCs w:val="20"/>
          <w:color w:val="auto"/>
        </w:rPr>
      </w:pPr>
      <w:r>
        <w:rPr>
          <w:rFonts w:ascii="Arial" w:cs="Arial" w:eastAsia="Arial" w:hAnsi="Arial"/>
          <w:sz w:val="14"/>
          <w:szCs w:val="14"/>
          <w:color w:val="auto"/>
        </w:rPr>
        <w:t>NEO employment agreements do not provide for tax gross-ups on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-215265</wp:posOffset>
            </wp:positionV>
            <wp:extent cx="67310" cy="673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right="80" w:hanging="3"/>
        <w:spacing w:after="0" w:line="280" w:lineRule="auto"/>
        <w:rPr>
          <w:sz w:val="20"/>
          <w:szCs w:val="20"/>
          <w:color w:val="auto"/>
        </w:rPr>
      </w:pPr>
      <w:r>
        <w:rPr>
          <w:rFonts w:ascii="Arial" w:cs="Arial" w:eastAsia="Arial" w:hAnsi="Arial"/>
          <w:sz w:val="14"/>
          <w:szCs w:val="14"/>
          <w:color w:val="auto"/>
        </w:rPr>
        <w:t>We do not permit our NEOs to pledge PVH securities, hold PVH securities in a margin account, or engage in hedging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-215265</wp:posOffset>
            </wp:positionV>
            <wp:extent cx="67310" cy="673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right="60" w:hanging="3"/>
        <w:spacing w:after="0" w:line="280" w:lineRule="auto"/>
        <w:rPr>
          <w:sz w:val="20"/>
          <w:szCs w:val="20"/>
          <w:color w:val="auto"/>
        </w:rPr>
      </w:pPr>
      <w:r>
        <w:rPr>
          <w:rFonts w:ascii="Arial" w:cs="Arial" w:eastAsia="Arial" w:hAnsi="Arial"/>
          <w:sz w:val="14"/>
          <w:szCs w:val="14"/>
          <w:color w:val="auto"/>
        </w:rPr>
        <w:t>We do not provide any special benefits or compensation upon the death of an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-215265</wp:posOffset>
            </wp:positionV>
            <wp:extent cx="67310" cy="673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ind w:right="180" w:hanging="3"/>
        <w:spacing w:after="0" w:line="282" w:lineRule="auto"/>
        <w:rPr>
          <w:sz w:val="20"/>
          <w:szCs w:val="20"/>
          <w:color w:val="auto"/>
        </w:rPr>
      </w:pPr>
      <w:r>
        <w:rPr>
          <w:rFonts w:ascii="Arial" w:cs="Arial" w:eastAsia="Arial" w:hAnsi="Arial"/>
          <w:sz w:val="14"/>
          <w:szCs w:val="14"/>
          <w:color w:val="auto"/>
        </w:rPr>
        <w:t>NEO employment agreements do not include long-term compensation in the calculation of the amount of severance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-216535</wp:posOffset>
            </wp:positionV>
            <wp:extent cx="67310" cy="673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310" cy="67310"/>
                    </a:xfrm>
                    <a:prstGeom prst="rect">
                      <a:avLst/>
                    </a:prstGeom>
                    <a:noFill/>
                  </pic:spPr>
                </pic:pic>
              </a:graphicData>
            </a:graphic>
          </wp:anchor>
        </w:drawing>
      </w:r>
    </w:p>
    <w:p>
      <w:pPr>
        <w:spacing w:after="0" w:line="486" w:lineRule="exact"/>
        <w:rPr>
          <w:sz w:val="20"/>
          <w:szCs w:val="20"/>
          <w:color w:val="auto"/>
        </w:rPr>
      </w:pPr>
    </w:p>
    <w:p>
      <w:pPr>
        <w:sectPr>
          <w:pgSz w:w="11900" w:h="16838" w:orient="portrait"/>
          <w:cols w:equalWidth="0" w:num="2">
            <w:col w:w="5580" w:space="660"/>
            <w:col w:w="4700"/>
          </w:cols>
          <w:pgMar w:left="460" w:top="177" w:right="499" w:bottom="1440" w:gutter="0" w:footer="0" w:header="0"/>
          <w:type w:val="continuous"/>
        </w:sectPr>
      </w:pPr>
    </w:p>
    <w:p>
      <w:pPr>
        <w:ind w:left="160" w:right="60" w:hanging="149"/>
        <w:spacing w:after="0" w:line="252" w:lineRule="auto"/>
        <w:tabs>
          <w:tab w:leader="none" w:pos="167" w:val="left"/>
        </w:tabs>
        <w:numPr>
          <w:ilvl w:val="0"/>
          <w:numId w:val="74"/>
        </w:numPr>
        <w:rPr>
          <w:rFonts w:ascii="Arial" w:cs="Arial" w:eastAsia="Arial" w:hAnsi="Arial"/>
          <w:sz w:val="13"/>
          <w:szCs w:val="13"/>
          <w:color w:val="auto"/>
        </w:rPr>
      </w:pPr>
      <w:r>
        <w:rPr>
          <w:rFonts w:ascii="Arial" w:cs="Arial" w:eastAsia="Arial" w:hAnsi="Arial"/>
          <w:sz w:val="13"/>
          <w:szCs w:val="13"/>
          <w:color w:val="auto"/>
        </w:rPr>
        <w:t>We no longer provide annual stock option grants under our Stock Incentive Plan for the Chief Executive Officer and the Chief Financial Officer. Our Chief Executive Officer is the only Officer with outstanding stock option awards. The final grant, awarded in 2024, will expire in 2034.</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 xml:space="preserve">42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749CAB"/>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60" w:top="177" w:right="49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28"/>
          <w:szCs w:val="28"/>
          <w:b w:val="1"/>
          <w:bCs w:val="1"/>
          <w:color w:val="6D98AD"/>
        </w:rPr>
        <w:t>2025 Executive Compensation Program</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Philosophy and Approach</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6D98AD"/>
        </w:rPr>
        <w:t>Performance-focused</w:t>
      </w:r>
    </w:p>
    <w:p>
      <w:pPr>
        <w:spacing w:after="0" w:line="49"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auto"/>
        </w:rPr>
        <w:t>The majority of each NEO’s total direct compensation opportunity includes short-term and long-term incentive awards that pay out only if we achieve specific financial and strategic targets. Our equity awards are impacted by our stock price performance over time. The design of our compensation program, which takes a pay for performance approach, remained largely unchanged. All performance-based incentive awards continue to be subject to different performance measures, minimizing risk of rewarding leaders for the same results in both the bonus plan and long-term performance plan. Our compensation program incentivizes our executive officers to improve PVH’s financial performance, profitably grow our brands, increase long-term stockholder value, and achieve our PVH+ Plan growth drivers – and is designed to reward them only to the extent they attain these objectives.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6D98AD"/>
        </w:rPr>
        <w:t>Competitive</w:t>
      </w:r>
    </w:p>
    <w:p>
      <w:pPr>
        <w:spacing w:after="0" w:line="49"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 xml:space="preserve">Our compensation program is designed to enable PVH to attract and retain top talent best positioned to drive the strategic execution of the PVH+ Plan. An organization of our size and breadth can only operate effectively and profitably if it is managed by a team of talented executives who have the necessary experience and subject matter expertise critical to achieve our growth drivers. We apply a total compensation focus when we establish compensation packages for our executives, comparing the total potential amount of each pay element (base, annual bonus and long-term equity award) that each NEO can earn to the compensation awarded to the most comparable executives at the companies in our compensation peer group. (For more information on the compensation peer group, </w:t>
      </w:r>
      <w:r>
        <w:rPr>
          <w:rFonts w:ascii="Arial" w:cs="Arial" w:eastAsia="Arial" w:hAnsi="Arial"/>
          <w:sz w:val="14"/>
          <w:szCs w:val="14"/>
          <w:i w:val="1"/>
          <w:iCs w:val="1"/>
          <w:color w:val="auto"/>
        </w:rPr>
        <w:t>see</w:t>
      </w:r>
      <w:r>
        <w:rPr>
          <w:rFonts w:ascii="Arial" w:cs="Arial" w:eastAsia="Arial" w:hAnsi="Arial"/>
          <w:sz w:val="14"/>
          <w:szCs w:val="14"/>
          <w:color w:val="auto"/>
        </w:rPr>
        <w:t xml:space="preserve"> “Compensation Peer Group” on page 53.)</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6D98AD"/>
        </w:rPr>
        <w:t>Flexible</w:t>
      </w:r>
    </w:p>
    <w:p>
      <w:pPr>
        <w:spacing w:after="0" w:line="49"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color w:val="auto"/>
        </w:rPr>
        <w:t>The Compensation Committee reviews all elements of our compensation program annually to ensure that they are consistent with stockholder interests and enable us to attract, retain and incentivize executives. As part of that review, the Committee considers the retail and apparel industry and similar industries, regulatory changes and marketplace developments, and analyzes the compensation practices of our compensation peer group. The Committee also takes into consideration PVH’s strategic priorities, particularly the PVH+ Plan, to ensure that our compensation programs are incentivizing the behaviors and results that will help us compete and successfully execute our strategy. Our compensation program utilizes stockholder approved plans that enable us to use various short-term and long-term compensation elements that are fixed and variable. In administering the program each year, the Committee determines what types of awards to grant, the financial measures and performance goals (if any) to apply to the awards, the performance period(s) (if any), and the mix of awards to be granted to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89535</wp:posOffset>
            </wp:positionV>
            <wp:extent cx="694817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6D98AD"/>
        </w:rPr>
        <w:t>Special Notes</w:t>
      </w:r>
    </w:p>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The compensation packages for Ms. Rytz Goldman and Mr. Olsson are aligned to the local labor requirements where they are employed and differ from the compensation paid to the other NEOs employed in the U.S. The principal differences relate to benefits (which are largely dictated by statute in Europe) and currency. Accordingly, not all of the discussion regarding our NEOs pertains to them.</w:t>
      </w:r>
    </w:p>
    <w:p>
      <w:pPr>
        <w:spacing w:after="0" w:line="58" w:lineRule="exact"/>
        <w:rPr>
          <w:sz w:val="20"/>
          <w:szCs w:val="20"/>
          <w:color w:val="auto"/>
        </w:rPr>
      </w:pPr>
    </w:p>
    <w:p>
      <w:pPr>
        <w:ind w:right="220"/>
        <w:spacing w:after="0" w:line="264" w:lineRule="auto"/>
        <w:rPr>
          <w:sz w:val="20"/>
          <w:szCs w:val="20"/>
          <w:color w:val="auto"/>
        </w:rPr>
      </w:pPr>
      <w:r>
        <w:rPr>
          <w:rFonts w:ascii="Arial" w:cs="Arial" w:eastAsia="Arial" w:hAnsi="Arial"/>
          <w:sz w:val="14"/>
          <w:szCs w:val="14"/>
          <w:color w:val="auto"/>
        </w:rPr>
        <w:t>Ms. Stone’s compensation package was established in respect of her role as our Executive Vice President, Global Financial Planning and Analysis prior to her taking on the additional responsibilities as Interim Chief Financial Officer. As a result, the discussion of how we establish the compensation packages for the NEOs generally does not pertain to her compensation package.</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49CAB"/>
        </w:rPr>
        <w:t xml:space="preserve">COMPENSATION DISCUSSION &amp; ANALYSIS </w:t>
      </w:r>
      <w:r>
        <w:rPr>
          <w:rFonts w:ascii="Arial" w:cs="Arial" w:eastAsia="Arial" w:hAnsi="Arial"/>
          <w:sz w:val="11"/>
          <w:szCs w:val="11"/>
          <w:color w:val="000000"/>
        </w:rPr>
        <w:t>/ PVH CORP. 2026 PROXY STATEMENT /</w:t>
      </w:r>
      <w:r>
        <w:rPr>
          <w:rFonts w:ascii="Arial" w:cs="Arial" w:eastAsia="Arial" w:hAnsi="Arial"/>
          <w:sz w:val="11"/>
          <w:szCs w:val="11"/>
          <w:b w:val="1"/>
          <w:bCs w:val="1"/>
          <w:color w:val="749CAB"/>
        </w:rPr>
        <w:t xml:space="preserve"> </w:t>
      </w:r>
      <w:r>
        <w:rPr>
          <w:rFonts w:ascii="Arial" w:cs="Arial" w:eastAsia="Arial" w:hAnsi="Arial"/>
          <w:sz w:val="11"/>
          <w:szCs w:val="11"/>
          <w:b w:val="1"/>
          <w:bCs w:val="1"/>
          <w:color w:val="00000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695515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256" w:right="479" w:bottom="1440" w:gutter="0" w:footer="0" w:header="0"/>
        </w:sectPr>
      </w:pPr>
    </w:p>
    <w:bookmarkStart w:id="46" w:name="page47"/>
    <w:bookmarkEnd w:id="46"/>
    <w:p>
      <w:pPr>
        <w:ind w:left="9"/>
        <w:spacing w:after="0"/>
        <w:rPr>
          <w:sz w:val="20"/>
          <w:szCs w:val="20"/>
          <w:color w:val="auto"/>
        </w:rPr>
      </w:pPr>
      <w:r>
        <w:rPr>
          <w:rFonts w:ascii="Arial" w:cs="Arial" w:eastAsia="Arial" w:hAnsi="Arial"/>
          <w:sz w:val="28"/>
          <w:szCs w:val="28"/>
          <w:b w:val="1"/>
          <w:bCs w:val="1"/>
          <w:color w:val="6D98AD"/>
        </w:rPr>
        <w:t>Executive Compensation Overview</w:t>
      </w:r>
    </w:p>
    <w:p>
      <w:pPr>
        <w:spacing w:after="0" w:line="106" w:lineRule="exact"/>
        <w:rPr>
          <w:sz w:val="20"/>
          <w:szCs w:val="20"/>
          <w:color w:val="auto"/>
        </w:rPr>
      </w:pPr>
    </w:p>
    <w:p>
      <w:pPr>
        <w:ind w:left="9"/>
        <w:spacing w:after="0"/>
        <w:rPr>
          <w:sz w:val="20"/>
          <w:szCs w:val="20"/>
          <w:color w:val="auto"/>
        </w:rPr>
      </w:pPr>
      <w:r>
        <w:rPr>
          <w:rFonts w:ascii="Arial" w:cs="Arial" w:eastAsia="Arial" w:hAnsi="Arial"/>
          <w:sz w:val="22"/>
          <w:szCs w:val="22"/>
          <w:b w:val="1"/>
          <w:bCs w:val="1"/>
          <w:color w:val="auto"/>
        </w:rPr>
        <w:t>Elements of Compensation</w:t>
      </w:r>
    </w:p>
    <w:p>
      <w:pPr>
        <w:spacing w:after="0" w:line="62" w:lineRule="exact"/>
        <w:rPr>
          <w:sz w:val="20"/>
          <w:szCs w:val="20"/>
          <w:color w:val="auto"/>
        </w:rPr>
      </w:pPr>
    </w:p>
    <w:p>
      <w:pPr>
        <w:ind w:left="9"/>
        <w:spacing w:after="0"/>
        <w:rPr>
          <w:sz w:val="20"/>
          <w:szCs w:val="20"/>
          <w:color w:val="auto"/>
        </w:rPr>
      </w:pPr>
      <w:r>
        <w:rPr>
          <w:rFonts w:ascii="Arial" w:cs="Arial" w:eastAsia="Arial" w:hAnsi="Arial"/>
          <w:sz w:val="14"/>
          <w:szCs w:val="14"/>
          <w:color w:val="auto"/>
        </w:rPr>
        <w:t>Our 2025 executive compensation program consisted of four components with the following purposes:</w:t>
      </w:r>
    </w:p>
    <w:p>
      <w:pPr>
        <w:sectPr>
          <w:pgSz w:w="11900" w:h="16838" w:orient="portrait"/>
          <w:cols w:equalWidth="0" w:num="1">
            <w:col w:w="10889"/>
          </w:cols>
          <w:pgMar w:left="471" w:top="256" w:right="539" w:bottom="1440" w:gutter="0" w:footer="0" w:header="0"/>
        </w:sectPr>
      </w:pPr>
    </w:p>
    <w:p>
      <w:pPr>
        <w:spacing w:after="0" w:line="169" w:lineRule="exact"/>
        <w:rPr>
          <w:sz w:val="20"/>
          <w:szCs w:val="20"/>
          <w:color w:val="auto"/>
        </w:rPr>
      </w:pPr>
    </w:p>
    <w:p>
      <w:pPr>
        <w:ind w:left="209" w:hanging="209"/>
        <w:spacing w:after="0"/>
        <w:tabs>
          <w:tab w:leader="none" w:pos="209" w:val="left"/>
        </w:tabs>
        <w:numPr>
          <w:ilvl w:val="0"/>
          <w:numId w:val="75"/>
        </w:numPr>
        <w:rPr>
          <w:rFonts w:ascii="Arial" w:cs="Arial" w:eastAsia="Arial" w:hAnsi="Arial"/>
          <w:sz w:val="14"/>
          <w:szCs w:val="14"/>
          <w:b w:val="1"/>
          <w:bCs w:val="1"/>
          <w:color w:val="6D98AD"/>
        </w:rPr>
      </w:pPr>
      <w:r>
        <w:rPr>
          <w:rFonts w:ascii="Arial" w:cs="Arial" w:eastAsia="Arial" w:hAnsi="Arial"/>
          <w:sz w:val="14"/>
          <w:szCs w:val="14"/>
          <w:b w:val="1"/>
          <w:bCs w:val="1"/>
          <w:color w:val="6D98AD"/>
        </w:rPr>
        <w:t xml:space="preserve">Base Salary, </w:t>
      </w:r>
      <w:r>
        <w:rPr>
          <w:rFonts w:ascii="Arial" w:cs="Arial" w:eastAsia="Arial" w:hAnsi="Arial"/>
          <w:sz w:val="14"/>
          <w:szCs w:val="14"/>
          <w:color w:val="000000"/>
        </w:rPr>
        <w:t>which provides a competitive amount of fixed compensation.</w:t>
      </w:r>
    </w:p>
    <w:p>
      <w:pPr>
        <w:spacing w:after="0" w:line="121" w:lineRule="exact"/>
        <w:rPr>
          <w:rFonts w:ascii="Arial" w:cs="Arial" w:eastAsia="Arial" w:hAnsi="Arial"/>
          <w:sz w:val="14"/>
          <w:szCs w:val="14"/>
          <w:b w:val="1"/>
          <w:bCs w:val="1"/>
          <w:color w:val="6D98AD"/>
        </w:rPr>
      </w:pPr>
    </w:p>
    <w:p>
      <w:pPr>
        <w:ind w:left="189" w:hanging="189"/>
        <w:spacing w:after="0" w:line="264" w:lineRule="auto"/>
        <w:tabs>
          <w:tab w:leader="none" w:pos="205" w:val="left"/>
        </w:tabs>
        <w:numPr>
          <w:ilvl w:val="0"/>
          <w:numId w:val="75"/>
        </w:numPr>
        <w:rPr>
          <w:rFonts w:ascii="Arial" w:cs="Arial" w:eastAsia="Arial" w:hAnsi="Arial"/>
          <w:sz w:val="14"/>
          <w:szCs w:val="14"/>
          <w:b w:val="1"/>
          <w:bCs w:val="1"/>
          <w:color w:val="6D98AD"/>
        </w:rPr>
      </w:pPr>
      <w:r>
        <w:rPr>
          <w:rFonts w:ascii="Arial" w:cs="Arial" w:eastAsia="Arial" w:hAnsi="Arial"/>
          <w:sz w:val="14"/>
          <w:szCs w:val="14"/>
          <w:b w:val="1"/>
          <w:bCs w:val="1"/>
          <w:color w:val="6D98AD"/>
        </w:rPr>
        <w:t xml:space="preserve">Bonus Awards </w:t>
      </w:r>
      <w:r>
        <w:rPr>
          <w:rFonts w:ascii="Arial" w:cs="Arial" w:eastAsia="Arial" w:hAnsi="Arial"/>
          <w:sz w:val="14"/>
          <w:szCs w:val="14"/>
          <w:color w:val="000000"/>
        </w:rPr>
        <w:t>under the Performance Incentive Bonus Plan, which provide</w:t>
      </w:r>
      <w:r>
        <w:rPr>
          <w:rFonts w:ascii="Arial" w:cs="Arial" w:eastAsia="Arial" w:hAnsi="Arial"/>
          <w:sz w:val="14"/>
          <w:szCs w:val="14"/>
          <w:b w:val="1"/>
          <w:bCs w:val="1"/>
          <w:color w:val="6D98AD"/>
        </w:rPr>
        <w:t xml:space="preserve"> </w:t>
      </w:r>
      <w:r>
        <w:rPr>
          <w:rFonts w:ascii="Arial" w:cs="Arial" w:eastAsia="Arial" w:hAnsi="Arial"/>
          <w:sz w:val="14"/>
          <w:szCs w:val="14"/>
          <w:color w:val="000000"/>
        </w:rPr>
        <w:t>an annual opportunity to earn an incentive cash award if PVH achieves predetermined financial performance goals.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79" w:right="220" w:hanging="179"/>
        <w:spacing w:after="0" w:line="264" w:lineRule="auto"/>
        <w:tabs>
          <w:tab w:leader="none" w:pos="195" w:val="left"/>
        </w:tabs>
        <w:numPr>
          <w:ilvl w:val="0"/>
          <w:numId w:val="76"/>
        </w:numPr>
        <w:rPr>
          <w:rFonts w:ascii="Arial" w:cs="Arial" w:eastAsia="Arial" w:hAnsi="Arial"/>
          <w:sz w:val="14"/>
          <w:szCs w:val="14"/>
          <w:b w:val="1"/>
          <w:bCs w:val="1"/>
          <w:color w:val="6D98AD"/>
        </w:rPr>
      </w:pPr>
      <w:r>
        <w:rPr>
          <w:rFonts w:ascii="Arial" w:cs="Arial" w:eastAsia="Arial" w:hAnsi="Arial"/>
          <w:sz w:val="14"/>
          <w:szCs w:val="14"/>
          <w:b w:val="1"/>
          <w:bCs w:val="1"/>
          <w:color w:val="6D98AD"/>
        </w:rPr>
        <w:t xml:space="preserve">Restricted Stock Units </w:t>
      </w:r>
      <w:r>
        <w:rPr>
          <w:rFonts w:ascii="Arial" w:cs="Arial" w:eastAsia="Arial" w:hAnsi="Arial"/>
          <w:sz w:val="14"/>
          <w:szCs w:val="14"/>
          <w:color w:val="000000"/>
        </w:rPr>
        <w:t>under the Stock Incentive Plan, which directly align</w:t>
      </w:r>
      <w:r>
        <w:rPr>
          <w:rFonts w:ascii="Arial" w:cs="Arial" w:eastAsia="Arial" w:hAnsi="Arial"/>
          <w:sz w:val="14"/>
          <w:szCs w:val="14"/>
          <w:b w:val="1"/>
          <w:bCs w:val="1"/>
          <w:color w:val="6D98AD"/>
        </w:rPr>
        <w:t xml:space="preserve"> </w:t>
      </w:r>
      <w:r>
        <w:rPr>
          <w:rFonts w:ascii="Arial" w:cs="Arial" w:eastAsia="Arial" w:hAnsi="Arial"/>
          <w:sz w:val="14"/>
          <w:szCs w:val="14"/>
          <w:color w:val="000000"/>
        </w:rPr>
        <w:t>recipients’ long-term interests with those of our stockholders by mimicking the value of our common stock.</w:t>
      </w:r>
    </w:p>
    <w:p>
      <w:pPr>
        <w:spacing w:after="0" w:line="81" w:lineRule="exact"/>
        <w:rPr>
          <w:rFonts w:ascii="Arial" w:cs="Arial" w:eastAsia="Arial" w:hAnsi="Arial"/>
          <w:sz w:val="14"/>
          <w:szCs w:val="14"/>
          <w:b w:val="1"/>
          <w:bCs w:val="1"/>
          <w:color w:val="6D98AD"/>
        </w:rPr>
      </w:pPr>
    </w:p>
    <w:p>
      <w:pPr>
        <w:jc w:val="both"/>
        <w:ind w:left="179" w:right="280" w:hanging="179"/>
        <w:spacing w:after="0" w:line="264" w:lineRule="auto"/>
        <w:tabs>
          <w:tab w:leader="none" w:pos="195" w:val="left"/>
        </w:tabs>
        <w:numPr>
          <w:ilvl w:val="0"/>
          <w:numId w:val="76"/>
        </w:numPr>
        <w:rPr>
          <w:rFonts w:ascii="Arial" w:cs="Arial" w:eastAsia="Arial" w:hAnsi="Arial"/>
          <w:sz w:val="14"/>
          <w:szCs w:val="14"/>
          <w:b w:val="1"/>
          <w:bCs w:val="1"/>
          <w:color w:val="6D98AD"/>
        </w:rPr>
      </w:pPr>
      <w:r>
        <w:rPr>
          <w:rFonts w:ascii="Arial" w:cs="Arial" w:eastAsia="Arial" w:hAnsi="Arial"/>
          <w:sz w:val="14"/>
          <w:szCs w:val="14"/>
          <w:b w:val="1"/>
          <w:bCs w:val="1"/>
          <w:color w:val="6D98AD"/>
        </w:rPr>
        <w:t xml:space="preserve">Performance Share Units </w:t>
      </w:r>
      <w:r>
        <w:rPr>
          <w:rFonts w:ascii="Arial" w:cs="Arial" w:eastAsia="Arial" w:hAnsi="Arial"/>
          <w:sz w:val="14"/>
          <w:szCs w:val="14"/>
          <w:color w:val="000000"/>
        </w:rPr>
        <w:t>under the Stock Incentive Plan, which provide an</w:t>
      </w:r>
      <w:r>
        <w:rPr>
          <w:rFonts w:ascii="Arial" w:cs="Arial" w:eastAsia="Arial" w:hAnsi="Arial"/>
          <w:sz w:val="14"/>
          <w:szCs w:val="14"/>
          <w:b w:val="1"/>
          <w:bCs w:val="1"/>
          <w:color w:val="6D98AD"/>
        </w:rPr>
        <w:t xml:space="preserve"> </w:t>
      </w:r>
      <w:r>
        <w:rPr>
          <w:rFonts w:ascii="Arial" w:cs="Arial" w:eastAsia="Arial" w:hAnsi="Arial"/>
          <w:sz w:val="14"/>
          <w:szCs w:val="14"/>
          <w:color w:val="000000"/>
        </w:rPr>
        <w:t>opportunity to earn equity if PVH achieves predetermined long-term financial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-725170</wp:posOffset>
            </wp:positionV>
            <wp:extent cx="694817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48170" cy="7620"/>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0</wp:posOffset>
            </wp:positionV>
            <wp:extent cx="694817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2">
            <w:col w:w="4989" w:space="641"/>
            <w:col w:w="5259"/>
          </w:cols>
          <w:pgMar w:left="471" w:top="256" w:right="539" w:bottom="1440" w:gutter="0" w:footer="0" w:header="0"/>
          <w:type w:val="continuous"/>
        </w:sectPr>
      </w:pPr>
    </w:p>
    <w:p>
      <w:pPr>
        <w:ind w:left="9"/>
        <w:spacing w:after="0"/>
        <w:rPr>
          <w:sz w:val="20"/>
          <w:szCs w:val="20"/>
          <w:color w:val="auto"/>
        </w:rPr>
      </w:pPr>
      <w:r>
        <w:rPr>
          <w:rFonts w:ascii="Arial" w:cs="Arial" w:eastAsia="Arial" w:hAnsi="Arial"/>
          <w:sz w:val="14"/>
          <w:szCs w:val="14"/>
          <w:color w:val="auto"/>
        </w:rPr>
        <w:t>All NEOs have all components in their compensation packages, with the exception of Ms. Stone, who was not eligible for a PSU grant.</w:t>
      </w:r>
    </w:p>
    <w:p>
      <w:pPr>
        <w:spacing w:after="0" w:line="184" w:lineRule="exact"/>
        <w:rPr>
          <w:sz w:val="20"/>
          <w:szCs w:val="20"/>
          <w:color w:val="auto"/>
        </w:rPr>
      </w:pPr>
    </w:p>
    <w:p>
      <w:pPr>
        <w:ind w:left="9"/>
        <w:spacing w:after="0"/>
        <w:rPr>
          <w:sz w:val="20"/>
          <w:szCs w:val="20"/>
          <w:color w:val="auto"/>
        </w:rPr>
      </w:pPr>
      <w:r>
        <w:rPr>
          <w:rFonts w:ascii="Arial" w:cs="Arial" w:eastAsia="Arial" w:hAnsi="Arial"/>
          <w:sz w:val="22"/>
          <w:szCs w:val="22"/>
          <w:b w:val="1"/>
          <w:bCs w:val="1"/>
          <w:color w:val="auto"/>
        </w:rPr>
        <w:t>Compensation Committee Process</w:t>
      </w:r>
    </w:p>
    <w:p>
      <w:pPr>
        <w:spacing w:after="0" w:line="65"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6D98AD"/>
        </w:rPr>
        <w:t>Considerations when setting compensation</w:t>
      </w:r>
    </w:p>
    <w:p>
      <w:pPr>
        <w:spacing w:after="0" w:line="49" w:lineRule="exact"/>
        <w:rPr>
          <w:sz w:val="20"/>
          <w:szCs w:val="20"/>
          <w:color w:val="auto"/>
        </w:rPr>
      </w:pPr>
    </w:p>
    <w:p>
      <w:pPr>
        <w:ind w:left="9" w:right="80"/>
        <w:spacing w:after="0" w:line="264" w:lineRule="auto"/>
        <w:rPr>
          <w:sz w:val="20"/>
          <w:szCs w:val="20"/>
          <w:color w:val="auto"/>
        </w:rPr>
      </w:pPr>
      <w:r>
        <w:rPr>
          <w:rFonts w:ascii="Arial" w:cs="Arial" w:eastAsia="Arial" w:hAnsi="Arial"/>
          <w:sz w:val="14"/>
          <w:szCs w:val="14"/>
          <w:color w:val="auto"/>
        </w:rPr>
        <w:t>Every year the Compensation Committee reviews the performance and compensation packages for each of our NEOs. This review considers the NEOs’ respective base salaries, the annual bonus and PSU award targets and measures, the grant date value of the NEOs’ equity awards, and the mix of pay across these compensation elements. We do not prescribe a specific formula for the allocation of pay elements other than to favor variable performance-based pay over fixed, and long-term pay over short-term.</w:t>
      </w:r>
    </w:p>
    <w:p>
      <w:pPr>
        <w:spacing w:after="0" w:line="69" w:lineRule="exact"/>
        <w:rPr>
          <w:sz w:val="20"/>
          <w:szCs w:val="20"/>
          <w:color w:val="auto"/>
        </w:rPr>
      </w:pPr>
    </w:p>
    <w:p>
      <w:pPr>
        <w:ind w:left="9"/>
        <w:spacing w:after="0" w:line="282" w:lineRule="auto"/>
        <w:rPr>
          <w:sz w:val="20"/>
          <w:szCs w:val="20"/>
          <w:color w:val="auto"/>
        </w:rPr>
      </w:pPr>
      <w:r>
        <w:rPr>
          <w:rFonts w:ascii="Arial" w:cs="Arial" w:eastAsia="Arial" w:hAnsi="Arial"/>
          <w:sz w:val="14"/>
          <w:szCs w:val="14"/>
          <w:color w:val="auto"/>
        </w:rPr>
        <w:t>When setting the compensation packages for the NEOs, the Compensation Committee starts by looking at the competitiveness compared to comparable executives within our compensation peer group. The Committee obtains input from the independent compensation consultant and also considers factors, such as:</w:t>
      </w:r>
    </w:p>
    <w:p>
      <w:pPr>
        <w:spacing w:after="0" w:line="116" w:lineRule="exact"/>
        <w:rPr>
          <w:sz w:val="20"/>
          <w:szCs w:val="20"/>
          <w:color w:val="auto"/>
        </w:rPr>
      </w:pPr>
    </w:p>
    <w:tbl>
      <w:tblPr>
        <w:tblLayout w:type="fixed"/>
        <w:tblInd w:w="9" w:type="dxa"/>
        <w:tblCellMar>
          <w:top w:w="0" w:type="dxa"/>
          <w:left w:w="0" w:type="dxa"/>
          <w:bottom w:w="0" w:type="dxa"/>
          <w:right w:w="0" w:type="dxa"/>
        </w:tblCellMar>
      </w:tblPr>
      <w:tr>
        <w:trPr>
          <w:trHeight w:val="186"/>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4440" w:type="dxa"/>
            <w:vAlign w:val="bottom"/>
          </w:tcPr>
          <w:p>
            <w:pPr>
              <w:ind w:left="60"/>
              <w:spacing w:after="0"/>
              <w:rPr>
                <w:sz w:val="20"/>
                <w:szCs w:val="20"/>
                <w:color w:val="auto"/>
              </w:rPr>
            </w:pPr>
            <w:r>
              <w:rPr>
                <w:rFonts w:ascii="Arial" w:cs="Arial" w:eastAsia="Arial" w:hAnsi="Arial"/>
                <w:sz w:val="14"/>
                <w:szCs w:val="14"/>
                <w:color w:val="auto"/>
              </w:rPr>
              <w:t>job responsibility;</w:t>
            </w:r>
          </w:p>
        </w:tc>
        <w:tc>
          <w:tcPr>
            <w:tcW w:w="1200" w:type="dxa"/>
            <w:vAlign w:val="bottom"/>
          </w:tcPr>
          <w:p>
            <w:pPr>
              <w:ind w:left="1100"/>
              <w:spacing w:after="0"/>
              <w:rPr>
                <w:sz w:val="20"/>
                <w:szCs w:val="20"/>
                <w:color w:val="auto"/>
              </w:rPr>
            </w:pPr>
            <w:r>
              <w:rPr>
                <w:rFonts w:ascii="Arial" w:cs="Arial" w:eastAsia="Arial" w:hAnsi="Arial"/>
                <w:sz w:val="14"/>
                <w:szCs w:val="14"/>
                <w:color w:val="auto"/>
              </w:rPr>
              <w:t>•</w:t>
            </w:r>
          </w:p>
        </w:tc>
        <w:tc>
          <w:tcPr>
            <w:tcW w:w="2320" w:type="dxa"/>
            <w:vAlign w:val="bottom"/>
          </w:tcPr>
          <w:p>
            <w:pPr>
              <w:ind w:left="40"/>
              <w:spacing w:after="0"/>
              <w:rPr>
                <w:sz w:val="20"/>
                <w:szCs w:val="20"/>
                <w:color w:val="auto"/>
              </w:rPr>
            </w:pPr>
            <w:r>
              <w:rPr>
                <w:rFonts w:ascii="Arial" w:cs="Arial" w:eastAsia="Arial" w:hAnsi="Arial"/>
                <w:sz w:val="14"/>
                <w:szCs w:val="14"/>
                <w:color w:val="auto"/>
              </w:rPr>
              <w:t>internal pay equity;</w:t>
            </w:r>
          </w:p>
        </w:tc>
      </w:tr>
      <w:tr>
        <w:trPr>
          <w:trHeight w:val="212"/>
        </w:trPr>
        <w:tc>
          <w:tcPr>
            <w:tcW w:w="4520" w:type="dxa"/>
            <w:vAlign w:val="bottom"/>
            <w:gridSpan w:val="2"/>
          </w:tcPr>
          <w:p>
            <w:pPr>
              <w:spacing w:after="0"/>
              <w:rPr>
                <w:sz w:val="20"/>
                <w:szCs w:val="20"/>
                <w:color w:val="auto"/>
              </w:rPr>
            </w:pPr>
            <w:r>
              <w:rPr>
                <w:rFonts w:ascii="Arial" w:cs="Arial" w:eastAsia="Arial" w:hAnsi="Arial"/>
                <w:sz w:val="14"/>
                <w:szCs w:val="14"/>
                <w:color w:val="auto"/>
              </w:rPr>
              <w:t>• individual, business unit, and company performance;</w:t>
            </w:r>
          </w:p>
        </w:tc>
        <w:tc>
          <w:tcPr>
            <w:tcW w:w="1200" w:type="dxa"/>
            <w:vAlign w:val="bottom"/>
          </w:tcPr>
          <w:p>
            <w:pPr>
              <w:ind w:left="1100"/>
              <w:spacing w:after="0"/>
              <w:rPr>
                <w:sz w:val="20"/>
                <w:szCs w:val="20"/>
                <w:color w:val="auto"/>
              </w:rPr>
            </w:pPr>
            <w:r>
              <w:rPr>
                <w:rFonts w:ascii="Arial" w:cs="Arial" w:eastAsia="Arial" w:hAnsi="Arial"/>
                <w:sz w:val="14"/>
                <w:szCs w:val="14"/>
                <w:color w:val="auto"/>
              </w:rPr>
              <w:t>•</w:t>
            </w:r>
          </w:p>
        </w:tc>
        <w:tc>
          <w:tcPr>
            <w:tcW w:w="2320" w:type="dxa"/>
            <w:vAlign w:val="bottom"/>
          </w:tcPr>
          <w:p>
            <w:pPr>
              <w:ind w:left="40"/>
              <w:spacing w:after="0"/>
              <w:rPr>
                <w:sz w:val="20"/>
                <w:szCs w:val="20"/>
                <w:color w:val="auto"/>
              </w:rPr>
            </w:pPr>
            <w:r>
              <w:rPr>
                <w:rFonts w:ascii="Arial" w:cs="Arial" w:eastAsia="Arial" w:hAnsi="Arial"/>
                <w:sz w:val="14"/>
                <w:szCs w:val="14"/>
                <w:color w:val="auto"/>
              </w:rPr>
              <w:t>pay history;</w:t>
            </w:r>
          </w:p>
        </w:tc>
      </w:tr>
      <w:tr>
        <w:trPr>
          <w:trHeight w:val="212"/>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4440" w:type="dxa"/>
            <w:vAlign w:val="bottom"/>
          </w:tcPr>
          <w:p>
            <w:pPr>
              <w:ind w:left="60"/>
              <w:spacing w:after="0"/>
              <w:rPr>
                <w:sz w:val="20"/>
                <w:szCs w:val="20"/>
                <w:color w:val="auto"/>
              </w:rPr>
            </w:pPr>
            <w:r>
              <w:rPr>
                <w:rFonts w:ascii="Arial" w:cs="Arial" w:eastAsia="Arial" w:hAnsi="Arial"/>
                <w:sz w:val="14"/>
                <w:szCs w:val="14"/>
                <w:color w:val="auto"/>
              </w:rPr>
              <w:t>potential for advancement;</w:t>
            </w:r>
          </w:p>
        </w:tc>
        <w:tc>
          <w:tcPr>
            <w:tcW w:w="1200" w:type="dxa"/>
            <w:vAlign w:val="bottom"/>
          </w:tcPr>
          <w:p>
            <w:pPr>
              <w:ind w:left="1100"/>
              <w:spacing w:after="0"/>
              <w:rPr>
                <w:sz w:val="20"/>
                <w:szCs w:val="20"/>
                <w:color w:val="auto"/>
              </w:rPr>
            </w:pPr>
            <w:r>
              <w:rPr>
                <w:rFonts w:ascii="Arial" w:cs="Arial" w:eastAsia="Arial" w:hAnsi="Arial"/>
                <w:sz w:val="14"/>
                <w:szCs w:val="14"/>
                <w:color w:val="auto"/>
              </w:rPr>
              <w:t>•</w:t>
            </w:r>
          </w:p>
        </w:tc>
        <w:tc>
          <w:tcPr>
            <w:tcW w:w="2320" w:type="dxa"/>
            <w:vAlign w:val="bottom"/>
          </w:tcPr>
          <w:p>
            <w:pPr>
              <w:ind w:left="40"/>
              <w:spacing w:after="0"/>
              <w:rPr>
                <w:sz w:val="20"/>
                <w:szCs w:val="20"/>
                <w:color w:val="auto"/>
              </w:rPr>
            </w:pPr>
            <w:r>
              <w:rPr>
                <w:rFonts w:ascii="Arial" w:cs="Arial" w:eastAsia="Arial" w:hAnsi="Arial"/>
                <w:sz w:val="14"/>
                <w:szCs w:val="14"/>
                <w:color w:val="auto"/>
              </w:rPr>
              <w:t>retention considerations; and</w:t>
            </w:r>
          </w:p>
        </w:tc>
      </w:tr>
      <w:tr>
        <w:trPr>
          <w:trHeight w:val="212"/>
        </w:trPr>
        <w:tc>
          <w:tcPr>
            <w:tcW w:w="4520" w:type="dxa"/>
            <w:vAlign w:val="bottom"/>
            <w:gridSpan w:val="2"/>
          </w:tcPr>
          <w:p>
            <w:pPr>
              <w:spacing w:after="0"/>
              <w:rPr>
                <w:sz w:val="20"/>
                <w:szCs w:val="20"/>
                <w:color w:val="auto"/>
              </w:rPr>
            </w:pPr>
            <w:r>
              <w:rPr>
                <w:rFonts w:ascii="Arial" w:cs="Arial" w:eastAsia="Arial" w:hAnsi="Arial"/>
                <w:sz w:val="14"/>
                <w:szCs w:val="14"/>
                <w:color w:val="auto"/>
              </w:rPr>
              <w:t>• tenure in role and overall tenure with PVH;</w:t>
            </w:r>
          </w:p>
        </w:tc>
        <w:tc>
          <w:tcPr>
            <w:tcW w:w="3520" w:type="dxa"/>
            <w:vAlign w:val="bottom"/>
            <w:gridSpan w:val="2"/>
          </w:tcPr>
          <w:p>
            <w:pPr>
              <w:ind w:left="1100"/>
              <w:spacing w:after="0"/>
              <w:rPr>
                <w:sz w:val="20"/>
                <w:szCs w:val="20"/>
                <w:color w:val="auto"/>
              </w:rPr>
            </w:pPr>
            <w:r>
              <w:rPr>
                <w:rFonts w:ascii="Arial" w:cs="Arial" w:eastAsia="Arial" w:hAnsi="Arial"/>
                <w:sz w:val="14"/>
                <w:szCs w:val="14"/>
                <w:color w:val="auto"/>
              </w:rPr>
              <w:t>• alignment with stockholder interests.</w:t>
            </w:r>
          </w:p>
        </w:tc>
      </w:tr>
    </w:tbl>
    <w:p>
      <w:pPr>
        <w:spacing w:after="0" w:line="167" w:lineRule="exact"/>
        <w:rPr>
          <w:sz w:val="20"/>
          <w:szCs w:val="20"/>
          <w:color w:val="auto"/>
        </w:rPr>
      </w:pPr>
    </w:p>
    <w:p>
      <w:pPr>
        <w:ind w:left="9" w:right="300"/>
        <w:spacing w:after="0" w:line="258" w:lineRule="auto"/>
        <w:rPr>
          <w:sz w:val="20"/>
          <w:szCs w:val="20"/>
          <w:color w:val="auto"/>
        </w:rPr>
      </w:pPr>
      <w:r>
        <w:rPr>
          <w:rFonts w:ascii="Arial" w:cs="Arial" w:eastAsia="Arial" w:hAnsi="Arial"/>
          <w:sz w:val="14"/>
          <w:szCs w:val="14"/>
          <w:color w:val="auto"/>
        </w:rPr>
        <w:t>We also engage with stockholders on our compensation practices and pay for performance alignment, most notably on CEO compensation, and periodically seek input regarding our compensation program and the compensation paid to our senior executives. The Compensation Committee has discussed and considered communications received from stockholders relating to our compensation program, and, in the past, the Committee Chair has responded to inquiries. In addition, the members of the Compensation Committee typically attend our Annual Meeting and are available to answer questions regarding our compensation program.</w:t>
      </w:r>
    </w:p>
    <w:p>
      <w:pPr>
        <w:spacing w:after="0" w:line="73" w:lineRule="exact"/>
        <w:rPr>
          <w:sz w:val="20"/>
          <w:szCs w:val="20"/>
          <w:color w:val="auto"/>
        </w:rPr>
      </w:pPr>
    </w:p>
    <w:p>
      <w:pPr>
        <w:ind w:left="9"/>
        <w:spacing w:after="0"/>
        <w:rPr>
          <w:sz w:val="20"/>
          <w:szCs w:val="20"/>
          <w:color w:val="auto"/>
        </w:rPr>
      </w:pPr>
      <w:r>
        <w:rPr>
          <w:rFonts w:ascii="Arial" w:cs="Arial" w:eastAsia="Arial" w:hAnsi="Arial"/>
          <w:sz w:val="14"/>
          <w:szCs w:val="14"/>
          <w:color w:val="auto"/>
        </w:rPr>
        <w:t>In addition, the Compensation Committee receives input from the Chief Executive Officer and the Chief People Officer (except with respect to their own compensation).</w:t>
      </w:r>
    </w:p>
    <w:p>
      <w:pPr>
        <w:spacing w:after="0" w:line="122" w:lineRule="exact"/>
        <w:rPr>
          <w:sz w:val="20"/>
          <w:szCs w:val="20"/>
          <w:color w:val="auto"/>
        </w:rPr>
      </w:pPr>
    </w:p>
    <w:p>
      <w:pPr>
        <w:ind w:left="9" w:right="100"/>
        <w:spacing w:after="0" w:line="258" w:lineRule="auto"/>
        <w:rPr>
          <w:sz w:val="20"/>
          <w:szCs w:val="20"/>
          <w:color w:val="auto"/>
        </w:rPr>
      </w:pPr>
      <w:r>
        <w:rPr>
          <w:rFonts w:ascii="Arial" w:cs="Arial" w:eastAsia="Arial" w:hAnsi="Arial"/>
          <w:sz w:val="14"/>
          <w:szCs w:val="14"/>
          <w:color w:val="auto"/>
        </w:rPr>
        <w:t>The Chief Executive Officer’s compensation is more heavily weighted toward long-term, performance-based compensation compared to other NEOs, and the Committee has preferred to look at multi-year performance to determine whether compensation is appropriately aligned to our pay for performance approach. Adjustments to Mr. Larsson’s compensation package are largely determined based upon the Board’s assessment of his long-term performance and shareholder value creation. The full Board discusses, considers and approves all changes to the Chief Executive Officer’s compensation package recommended by the Compensation Committee.</w:t>
      </w:r>
    </w:p>
    <w:p>
      <w:pPr>
        <w:spacing w:after="0" w:line="64"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6D98AD"/>
        </w:rPr>
        <w:t>Authority to grant equity awards</w:t>
      </w:r>
    </w:p>
    <w:p>
      <w:pPr>
        <w:spacing w:after="0" w:line="49" w:lineRule="exact"/>
        <w:rPr>
          <w:sz w:val="20"/>
          <w:szCs w:val="20"/>
          <w:color w:val="auto"/>
        </w:rPr>
      </w:pPr>
    </w:p>
    <w:p>
      <w:pPr>
        <w:ind w:left="9" w:right="120"/>
        <w:spacing w:after="0" w:line="255" w:lineRule="auto"/>
        <w:rPr>
          <w:sz w:val="20"/>
          <w:szCs w:val="20"/>
          <w:color w:val="auto"/>
        </w:rPr>
      </w:pPr>
      <w:r>
        <w:rPr>
          <w:rFonts w:ascii="Arial" w:cs="Arial" w:eastAsia="Arial" w:hAnsi="Arial"/>
          <w:sz w:val="14"/>
          <w:szCs w:val="14"/>
          <w:color w:val="auto"/>
        </w:rPr>
        <w:t>The Compensation Committee has the sole authority to grant equity awards to the NEOs. The Committee has delegated limited authority to the Chief People Officer to make equity awards to PVH associates (other than our Section 16 officers and the other members of our Executive Leadership Team), principally for new hires. Pursuant to this authority, the Chief People Officer may grant annually, RSUs with an aggregate grant date value of $5 million. Awards made for retentive purposes in connection with any singular event, occurrence or circumstance shall also be limited to a grant date value of $500,000 with respect to all grantees, in the aggregate. This delegation is reviewed annually. The Committee receives a report annually on the awards granted pursuant to this delegation of authority.</w:t>
      </w:r>
    </w:p>
    <w:p>
      <w:pPr>
        <w:spacing w:after="0" w:line="155"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 xml:space="preserve">44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749CAB"/>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889"/>
          </w:cols>
          <w:pgMar w:left="471" w:top="256" w:right="5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7"/>
          <w:szCs w:val="17"/>
          <w:b w:val="1"/>
          <w:bCs w:val="1"/>
          <w:color w:val="6D98AD"/>
        </w:rPr>
        <w:t>Schedule for Compensation Committee meetings</w:t>
      </w:r>
    </w:p>
    <w:p>
      <w:pPr>
        <w:spacing w:after="0" w:line="49"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The Compensation Committee generally makes decisions during the first quarter of each year about bonus plan award payouts for the recently completed fiscal year, as well as on base salaries, annual bonus award terms and opportunity, and equity award types, terms and values for the current year. See “Timing of Equity Awards” on page 56. In addition, the Committee uses its first quarter meetings to consider and approve any new incentive compensation plans or arrangements, or amendments to existing plans, that require Board or stockholder approval.</w:t>
      </w:r>
    </w:p>
    <w:p>
      <w:pPr>
        <w:spacing w:after="0" w:line="85" w:lineRule="exact"/>
        <w:rPr>
          <w:sz w:val="20"/>
          <w:szCs w:val="20"/>
          <w:color w:val="auto"/>
        </w:rPr>
      </w:pPr>
    </w:p>
    <w:p>
      <w:pPr>
        <w:jc w:val="both"/>
        <w:ind w:right="140"/>
        <w:spacing w:after="0" w:line="258" w:lineRule="auto"/>
        <w:rPr>
          <w:sz w:val="20"/>
          <w:szCs w:val="20"/>
          <w:color w:val="auto"/>
        </w:rPr>
      </w:pPr>
      <w:r>
        <w:rPr>
          <w:rFonts w:ascii="Arial" w:cs="Arial" w:eastAsia="Arial" w:hAnsi="Arial"/>
          <w:sz w:val="14"/>
          <w:szCs w:val="14"/>
          <w:color w:val="auto"/>
        </w:rPr>
        <w:t>The Compensation Committee’s other meetings during the year typically are focused on reviewing our compensation programs generally and discussing potential changes to these programs, including to address corporate governance, regulatory developments and market practice. In addition, the Committee regularly reviews the types and mix of incentive awards included in our compensation program, the financial measures used in incentive awards, and alternative plans and financial measures. The Committee also uses its other meetings to address compensation issues relating to changes in executives’ roles and promotions among the executive ranks.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6D98AD"/>
        </w:rPr>
        <w:t>Understanding long-term value of executive compensation</w:t>
      </w:r>
    </w:p>
    <w:p>
      <w:pPr>
        <w:spacing w:after="0" w:line="49" w:lineRule="exact"/>
        <w:rPr>
          <w:sz w:val="20"/>
          <w:szCs w:val="20"/>
          <w:color w:val="auto"/>
        </w:rPr>
      </w:pPr>
    </w:p>
    <w:p>
      <w:pPr>
        <w:ind w:right="180"/>
        <w:spacing w:after="0" w:line="255" w:lineRule="auto"/>
        <w:rPr>
          <w:sz w:val="20"/>
          <w:szCs w:val="20"/>
          <w:color w:val="auto"/>
        </w:rPr>
      </w:pPr>
      <w:r>
        <w:rPr>
          <w:rFonts w:ascii="Arial" w:cs="Arial" w:eastAsia="Arial" w:hAnsi="Arial"/>
          <w:sz w:val="14"/>
          <w:szCs w:val="14"/>
          <w:color w:val="auto"/>
        </w:rPr>
        <w:t>The Compensation Committee reviews a number of data points, including the value of outstanding equity awards based on our current share price and the number of shares underlying those awards to assess the full value of our executives’ compensation and total rewards over multiple years. The Committee reviews prior-year and proposed compensation, including all elements of cash compensation, incentive compensation, perquisites, and benefits. This information enables the Committee to evaluate the full range of executive compensation; understand the magnitude of potential payouts in the event of retirement, change in control, and other events resulting in termination of employment; and consider changes to our compensation program, arrangements and plans in light of “best practices” and market trends.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Independent Compensation Consultant</w:t>
      </w:r>
    </w:p>
    <w:p>
      <w:pPr>
        <w:spacing w:after="0" w:line="62" w:lineRule="exact"/>
        <w:rPr>
          <w:sz w:val="20"/>
          <w:szCs w:val="20"/>
          <w:color w:val="auto"/>
        </w:rPr>
      </w:pPr>
    </w:p>
    <w:p>
      <w:pPr>
        <w:jc w:val="both"/>
        <w:ind w:right="380"/>
        <w:spacing w:after="0" w:line="264" w:lineRule="auto"/>
        <w:rPr>
          <w:sz w:val="20"/>
          <w:szCs w:val="20"/>
          <w:color w:val="auto"/>
        </w:rPr>
      </w:pPr>
      <w:r>
        <w:rPr>
          <w:rFonts w:ascii="Arial" w:cs="Arial" w:eastAsia="Arial" w:hAnsi="Arial"/>
          <w:sz w:val="14"/>
          <w:szCs w:val="14"/>
          <w:color w:val="auto"/>
        </w:rPr>
        <w:t>Frederic W. Cook &amp; Co. (“FW Cook”) serves as the independent compensation consultant to the Compensation Committee. FW Cook is an industry leader with extensive experience in our industry. The Committee directs the compensation consultant, approves the scope of the compensation consultant’s work each year, and approves the associated fees.</w:t>
      </w:r>
    </w:p>
    <w:p>
      <w:pPr>
        <w:spacing w:after="0" w:line="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4"/>
          <w:szCs w:val="14"/>
          <w:color w:val="auto"/>
        </w:rPr>
        <w:t>FW Cook has been determined by the Compensation Committee to be independent under SEC rules and NYSE listing standards. FW Cook also advises, and reports to, the Nominating, Governance &amp; Management Development Committee on matters relating to non-employee director compensation. Management is prohibited from retaining the compensation consultant without the prior approval of the Compensation Committee.</w:t>
      </w:r>
    </w:p>
    <w:p>
      <w:pPr>
        <w:spacing w:after="0" w:line="69"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FW Cook reports directly to the Compensation Committee and partners with PVH management, including our Chief Executive Officer, Chief People Officer, and Total Rewards team to review compensation packages and the overall compensation program. The Committee instructs the compensation consultant team to provide certain information, analysis and recommendations to facilitate the Committee’s annual review of the compensation program and related matters. The principal focus areas in 2025 were on incentive plan design features and how to continue to align compensation with strategic priorities and long-term company performance.</w:t>
      </w:r>
    </w:p>
    <w:p>
      <w:pPr>
        <w:spacing w:after="0" w:line="73" w:lineRule="exact"/>
        <w:rPr>
          <w:sz w:val="20"/>
          <w:szCs w:val="20"/>
          <w:color w:val="auto"/>
        </w:rPr>
      </w:pPr>
    </w:p>
    <w:p>
      <w:pPr>
        <w:jc w:val="both"/>
        <w:ind w:right="200"/>
        <w:spacing w:after="0" w:line="264" w:lineRule="auto"/>
        <w:rPr>
          <w:sz w:val="20"/>
          <w:szCs w:val="20"/>
          <w:color w:val="auto"/>
        </w:rPr>
      </w:pPr>
      <w:r>
        <w:rPr>
          <w:rFonts w:ascii="Arial" w:cs="Arial" w:eastAsia="Arial" w:hAnsi="Arial"/>
          <w:sz w:val="14"/>
          <w:szCs w:val="14"/>
          <w:color w:val="auto"/>
        </w:rPr>
        <w:t>The compensation consultant provides competitive benchmarking and helps the Committee assess risks in our compensation program, identify appropriate peer groups and potential changes to the companies included in them, review executive retention considerations relating to compensation program construction, including stock awards, and address governance issues with respect to executive compensation practices.</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Role of Management</w:t>
      </w:r>
    </w:p>
    <w:p>
      <w:pPr>
        <w:spacing w:after="0" w:line="62" w:lineRule="exact"/>
        <w:rPr>
          <w:sz w:val="20"/>
          <w:szCs w:val="20"/>
          <w:color w:val="auto"/>
        </w:rPr>
      </w:pPr>
    </w:p>
    <w:p>
      <w:pPr>
        <w:ind w:right="180"/>
        <w:spacing w:after="0" w:line="255" w:lineRule="auto"/>
        <w:rPr>
          <w:sz w:val="20"/>
          <w:szCs w:val="20"/>
          <w:color w:val="auto"/>
        </w:rPr>
      </w:pPr>
      <w:r>
        <w:rPr>
          <w:rFonts w:ascii="Arial" w:cs="Arial" w:eastAsia="Arial" w:hAnsi="Arial"/>
          <w:sz w:val="14"/>
          <w:szCs w:val="14"/>
          <w:color w:val="auto"/>
        </w:rPr>
        <w:t>Our Chief People Officer, with support from Total Rewards and Legal and in coordination with the compensation consultant, prepares meeting materials. We include, where appropriate, recommendations to the Compensation Committee about program and plan changes and decisions, report on and provide input with respect to compliance with plan terms and provisions, and proposals regarding revisions to the Committee’s charter and policies. Management also provides guidance to the Compensation Committee regarding matters such as associate feedback on compensation arrangements, legal and regulatory developments and disclosure requirements, and administers all pay actions approved by the Committee.</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49CAB"/>
        </w:rPr>
        <w:t xml:space="preserve">COMPENSATION DISCUSSION &amp; ANALYSIS </w:t>
      </w:r>
      <w:r>
        <w:rPr>
          <w:rFonts w:ascii="Arial" w:cs="Arial" w:eastAsia="Arial" w:hAnsi="Arial"/>
          <w:sz w:val="11"/>
          <w:szCs w:val="11"/>
          <w:color w:val="000000"/>
        </w:rPr>
        <w:t>/ PVH CORP. 2026 PROXY STATEMENT /</w:t>
      </w:r>
      <w:r>
        <w:rPr>
          <w:rFonts w:ascii="Arial" w:cs="Arial" w:eastAsia="Arial" w:hAnsi="Arial"/>
          <w:sz w:val="11"/>
          <w:szCs w:val="11"/>
          <w:b w:val="1"/>
          <w:bCs w:val="1"/>
          <w:color w:val="749CAB"/>
        </w:rPr>
        <w:t xml:space="preserve"> </w:t>
      </w:r>
      <w:r>
        <w:rPr>
          <w:rFonts w:ascii="Arial" w:cs="Arial" w:eastAsia="Arial" w:hAnsi="Arial"/>
          <w:sz w:val="11"/>
          <w:szCs w:val="11"/>
          <w:b w:val="1"/>
          <w:bCs w:val="1"/>
          <w:color w:val="00000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695515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177" w:right="479" w:bottom="1440" w:gutter="0" w:footer="0" w:header="0"/>
        </w:sectPr>
      </w:pPr>
    </w:p>
    <w:bookmarkStart w:id="48" w:name="page49"/>
    <w:bookmarkEnd w:id="48"/>
    <w:p>
      <w:pPr>
        <w:ind w:left="20"/>
        <w:spacing w:after="0"/>
        <w:rPr>
          <w:sz w:val="20"/>
          <w:szCs w:val="20"/>
          <w:color w:val="auto"/>
        </w:rPr>
      </w:pPr>
      <w:r>
        <w:rPr>
          <w:rFonts w:ascii="Arial" w:cs="Arial" w:eastAsia="Arial" w:hAnsi="Arial"/>
          <w:sz w:val="28"/>
          <w:szCs w:val="28"/>
          <w:b w:val="1"/>
          <w:bCs w:val="1"/>
          <w:color w:val="6D98AD"/>
        </w:rPr>
        <w:t>Compensation Decisions for 2025</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Overview</w:t>
      </w:r>
    </w:p>
    <w:p>
      <w:pPr>
        <w:spacing w:after="0" w:line="62" w:lineRule="exact"/>
        <w:rPr>
          <w:sz w:val="20"/>
          <w:szCs w:val="20"/>
          <w:color w:val="auto"/>
        </w:rPr>
      </w:pPr>
    </w:p>
    <w:p>
      <w:pPr>
        <w:ind w:left="20" w:right="200"/>
        <w:spacing w:after="0" w:line="282" w:lineRule="auto"/>
        <w:rPr>
          <w:sz w:val="20"/>
          <w:szCs w:val="20"/>
          <w:color w:val="auto"/>
        </w:rPr>
      </w:pPr>
      <w:r>
        <w:rPr>
          <w:rFonts w:ascii="Arial" w:cs="Arial" w:eastAsia="Arial" w:hAnsi="Arial"/>
          <w:sz w:val="14"/>
          <w:szCs w:val="14"/>
          <w:color w:val="auto"/>
        </w:rPr>
        <w:t>Our performance in 2025 was driven by our execution of the PVH+ Plan across regions. Revenue was up 3% versus 2024, Calvin Klein revenue increased 3% compared to the prior year period and Tommy Hilfiger revenue increased 4% compared to the prior year period.</w:t>
      </w:r>
    </w:p>
    <w:p>
      <w:pPr>
        <w:spacing w:after="0" w:line="57" w:lineRule="exact"/>
        <w:rPr>
          <w:sz w:val="20"/>
          <w:szCs w:val="20"/>
          <w:color w:val="auto"/>
        </w:rPr>
      </w:pPr>
    </w:p>
    <w:p>
      <w:pPr>
        <w:ind w:left="20" w:right="20"/>
        <w:spacing w:after="0" w:line="258" w:lineRule="auto"/>
        <w:rPr>
          <w:sz w:val="20"/>
          <w:szCs w:val="20"/>
          <w:color w:val="auto"/>
        </w:rPr>
      </w:pPr>
      <w:r>
        <w:rPr>
          <w:rFonts w:ascii="Arial" w:cs="Arial" w:eastAsia="Arial" w:hAnsi="Arial"/>
          <w:sz w:val="14"/>
          <w:szCs w:val="14"/>
          <w:color w:val="auto"/>
        </w:rPr>
        <w:t>Our NEOs’ 2025 compensation components remained largely the same as compared to 2024, with the only change being the discontinuation of stock option awards to the CEO and the CFO. The value formerly allocated to stock options was added to their RSU awards. Compensation continued to be focused on advancing the growth drivers and achieving the goals of the PVH+ Plan. The financial metrics used for the short-term annual bonus awards and the long-term PSU awards align executive compensation with stockholder returns.</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table below summarizes our key compensation decisions for the NEOs for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860" w:type="dxa"/>
            <w:vAlign w:val="bottom"/>
            <w:shd w:val="clear" w:color="auto" w:fill="6D98AD"/>
          </w:tcPr>
          <w:p>
            <w:pPr>
              <w:ind w:left="80"/>
              <w:spacing w:after="0"/>
              <w:rPr>
                <w:sz w:val="20"/>
                <w:szCs w:val="20"/>
                <w:color w:val="auto"/>
              </w:rPr>
            </w:pPr>
            <w:r>
              <w:rPr>
                <w:rFonts w:ascii="Arial" w:cs="Arial" w:eastAsia="Arial" w:hAnsi="Arial"/>
                <w:sz w:val="14"/>
                <w:szCs w:val="14"/>
                <w:b w:val="1"/>
                <w:bCs w:val="1"/>
                <w:color w:val="FFFFFF"/>
              </w:rPr>
              <w:t>Pay element</w:t>
            </w:r>
          </w:p>
        </w:tc>
        <w:tc>
          <w:tcPr>
            <w:tcW w:w="4200" w:type="dxa"/>
            <w:vAlign w:val="bottom"/>
            <w:shd w:val="clear" w:color="auto" w:fill="6D98AD"/>
          </w:tcPr>
          <w:p>
            <w:pPr>
              <w:ind w:left="100"/>
              <w:spacing w:after="0"/>
              <w:rPr>
                <w:sz w:val="20"/>
                <w:szCs w:val="20"/>
                <w:color w:val="auto"/>
              </w:rPr>
            </w:pPr>
            <w:r>
              <w:rPr>
                <w:rFonts w:ascii="Arial" w:cs="Arial" w:eastAsia="Arial" w:hAnsi="Arial"/>
                <w:sz w:val="14"/>
                <w:szCs w:val="14"/>
                <w:b w:val="1"/>
                <w:bCs w:val="1"/>
                <w:color w:val="FFFFFF"/>
              </w:rPr>
              <w:t>Compensation Approach</w:t>
            </w:r>
          </w:p>
        </w:tc>
        <w:tc>
          <w:tcPr>
            <w:tcW w:w="4880" w:type="dxa"/>
            <w:vAlign w:val="bottom"/>
            <w:shd w:val="clear" w:color="auto" w:fill="6D98AD"/>
          </w:tcPr>
          <w:p>
            <w:pPr>
              <w:ind w:left="80"/>
              <w:spacing w:after="0"/>
              <w:rPr>
                <w:sz w:val="20"/>
                <w:szCs w:val="20"/>
                <w:color w:val="auto"/>
              </w:rPr>
            </w:pPr>
            <w:r>
              <w:rPr>
                <w:rFonts w:ascii="Arial" w:cs="Arial" w:eastAsia="Arial" w:hAnsi="Arial"/>
                <w:sz w:val="14"/>
                <w:szCs w:val="14"/>
                <w:b w:val="1"/>
                <w:bCs w:val="1"/>
                <w:color w:val="FFFFFF"/>
              </w:rPr>
              <w:t>Compensation Decisions for 2025</w:t>
            </w:r>
          </w:p>
        </w:tc>
        <w:tc>
          <w:tcPr>
            <w:tcW w:w="0" w:type="dxa"/>
            <w:vAlign w:val="bottom"/>
          </w:tcPr>
          <w:p>
            <w:pPr>
              <w:spacing w:after="0"/>
              <w:rPr>
                <w:sz w:val="1"/>
                <w:szCs w:val="1"/>
                <w:color w:val="auto"/>
              </w:rPr>
            </w:pPr>
          </w:p>
        </w:tc>
      </w:tr>
      <w:tr>
        <w:trPr>
          <w:trHeight w:val="200"/>
        </w:trPr>
        <w:tc>
          <w:tcPr>
            <w:tcW w:w="1860" w:type="dxa"/>
            <w:vAlign w:val="bottom"/>
            <w:shd w:val="clear" w:color="auto" w:fill="E6E7E8"/>
          </w:tcPr>
          <w:p>
            <w:pPr>
              <w:ind w:left="80"/>
              <w:spacing w:after="0"/>
              <w:rPr>
                <w:sz w:val="20"/>
                <w:szCs w:val="20"/>
                <w:color w:val="auto"/>
              </w:rPr>
            </w:pPr>
            <w:r>
              <w:rPr>
                <w:rFonts w:ascii="Arial" w:cs="Arial" w:eastAsia="Arial" w:hAnsi="Arial"/>
                <w:sz w:val="14"/>
                <w:szCs w:val="14"/>
                <w:b w:val="1"/>
                <w:bCs w:val="1"/>
                <w:color w:val="auto"/>
              </w:rPr>
              <w:t>Base salary</w:t>
            </w:r>
          </w:p>
        </w:tc>
        <w:tc>
          <w:tcPr>
            <w:tcW w:w="4200" w:type="dxa"/>
            <w:vAlign w:val="bottom"/>
            <w:shd w:val="clear" w:color="auto" w:fill="E6E7E8"/>
          </w:tcPr>
          <w:p>
            <w:pPr>
              <w:ind w:left="1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The Committee considers whether the NEO was recently</w:t>
            </w:r>
          </w:p>
        </w:tc>
        <w:tc>
          <w:tcPr>
            <w:tcW w:w="4880" w:type="dxa"/>
            <w:vAlign w:val="bottom"/>
            <w:shd w:val="clear" w:color="auto" w:fill="E6E7E8"/>
          </w:tcPr>
          <w:p>
            <w:pPr>
              <w:ind w:left="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Ms. Stone received a base salary increase in connection with being</w:t>
            </w:r>
          </w:p>
        </w:tc>
        <w:tc>
          <w:tcPr>
            <w:tcW w:w="0" w:type="dxa"/>
            <w:vAlign w:val="bottom"/>
          </w:tcPr>
          <w:p>
            <w:pPr>
              <w:spacing w:after="0"/>
              <w:rPr>
                <w:sz w:val="1"/>
                <w:szCs w:val="1"/>
                <w:color w:val="auto"/>
              </w:rPr>
            </w:pPr>
          </w:p>
        </w:tc>
      </w:tr>
      <w:tr>
        <w:trPr>
          <w:trHeight w:val="165"/>
        </w:trPr>
        <w:tc>
          <w:tcPr>
            <w:tcW w:w="1860" w:type="dxa"/>
            <w:vAlign w:val="bottom"/>
            <w:shd w:val="clear" w:color="auto" w:fill="E6E7E8"/>
          </w:tcPr>
          <w:p>
            <w:pPr>
              <w:spacing w:after="0"/>
              <w:rPr>
                <w:sz w:val="14"/>
                <w:szCs w:val="14"/>
                <w:color w:val="auto"/>
              </w:rPr>
            </w:pPr>
          </w:p>
        </w:tc>
        <w:tc>
          <w:tcPr>
            <w:tcW w:w="4200" w:type="dxa"/>
            <w:vAlign w:val="bottom"/>
            <w:shd w:val="clear" w:color="auto" w:fill="E6E7E8"/>
          </w:tcPr>
          <w:p>
            <w:pPr>
              <w:ind w:left="180"/>
              <w:spacing w:after="0"/>
              <w:rPr>
                <w:sz w:val="20"/>
                <w:szCs w:val="20"/>
                <w:color w:val="auto"/>
              </w:rPr>
            </w:pPr>
            <w:r>
              <w:rPr>
                <w:rFonts w:ascii="Arial" w:cs="Arial" w:eastAsia="Arial" w:hAnsi="Arial"/>
                <w:sz w:val="14"/>
                <w:szCs w:val="14"/>
                <w:color w:val="auto"/>
              </w:rPr>
              <w:t>promoted or assumed additional responsibilities. The</w:t>
            </w:r>
          </w:p>
        </w:tc>
        <w:tc>
          <w:tcPr>
            <w:tcW w:w="4880" w:type="dxa"/>
            <w:vAlign w:val="bottom"/>
            <w:shd w:val="clear" w:color="auto" w:fill="E6E7E8"/>
          </w:tcPr>
          <w:p>
            <w:pPr>
              <w:ind w:left="180"/>
              <w:spacing w:after="0"/>
              <w:rPr>
                <w:sz w:val="20"/>
                <w:szCs w:val="20"/>
                <w:color w:val="auto"/>
              </w:rPr>
            </w:pPr>
            <w:r>
              <w:rPr>
                <w:rFonts w:ascii="Arial" w:cs="Arial" w:eastAsia="Arial" w:hAnsi="Arial"/>
                <w:sz w:val="14"/>
                <w:szCs w:val="14"/>
                <w:color w:val="auto"/>
              </w:rPr>
              <w:t>named Interim Chief Financial Officer.</w:t>
            </w:r>
          </w:p>
        </w:tc>
        <w:tc>
          <w:tcPr>
            <w:tcW w:w="0" w:type="dxa"/>
            <w:vAlign w:val="bottom"/>
          </w:tcPr>
          <w:p>
            <w:pPr>
              <w:spacing w:after="0"/>
              <w:rPr>
                <w:sz w:val="1"/>
                <w:szCs w:val="1"/>
                <w:color w:val="auto"/>
              </w:rPr>
            </w:pPr>
          </w:p>
        </w:tc>
      </w:tr>
      <w:tr>
        <w:trPr>
          <w:trHeight w:val="186"/>
        </w:trPr>
        <w:tc>
          <w:tcPr>
            <w:tcW w:w="1860" w:type="dxa"/>
            <w:vAlign w:val="bottom"/>
            <w:shd w:val="clear" w:color="auto" w:fill="E6E7E8"/>
          </w:tcPr>
          <w:p>
            <w:pPr>
              <w:spacing w:after="0"/>
              <w:rPr>
                <w:sz w:val="16"/>
                <w:szCs w:val="16"/>
                <w:color w:val="auto"/>
              </w:rPr>
            </w:pPr>
          </w:p>
        </w:tc>
        <w:tc>
          <w:tcPr>
            <w:tcW w:w="4200" w:type="dxa"/>
            <w:vAlign w:val="bottom"/>
            <w:shd w:val="clear" w:color="auto" w:fill="E6E7E8"/>
          </w:tcPr>
          <w:p>
            <w:pPr>
              <w:ind w:left="180"/>
              <w:spacing w:after="0"/>
              <w:rPr>
                <w:sz w:val="20"/>
                <w:szCs w:val="20"/>
                <w:color w:val="auto"/>
              </w:rPr>
            </w:pPr>
            <w:r>
              <w:rPr>
                <w:rFonts w:ascii="Arial" w:cs="Arial" w:eastAsia="Arial" w:hAnsi="Arial"/>
                <w:sz w:val="14"/>
                <w:szCs w:val="14"/>
                <w:color w:val="auto"/>
              </w:rPr>
              <w:t>Committee also considers market data.</w:t>
            </w:r>
          </w:p>
        </w:tc>
        <w:tc>
          <w:tcPr>
            <w:tcW w:w="4880" w:type="dxa"/>
            <w:vAlign w:val="bottom"/>
            <w:vMerge w:val="restart"/>
            <w:shd w:val="clear" w:color="auto" w:fill="E6E7E8"/>
          </w:tcPr>
          <w:p>
            <w:pPr>
              <w:ind w:left="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No other NEO received an increase.</w:t>
            </w:r>
          </w:p>
        </w:tc>
        <w:tc>
          <w:tcPr>
            <w:tcW w:w="0" w:type="dxa"/>
            <w:vAlign w:val="bottom"/>
          </w:tcPr>
          <w:p>
            <w:pPr>
              <w:spacing w:after="0"/>
              <w:rPr>
                <w:sz w:val="1"/>
                <w:szCs w:val="1"/>
                <w:color w:val="auto"/>
              </w:rPr>
            </w:pPr>
          </w:p>
        </w:tc>
      </w:tr>
      <w:tr>
        <w:trPr>
          <w:trHeight w:val="55"/>
        </w:trPr>
        <w:tc>
          <w:tcPr>
            <w:tcW w:w="1860" w:type="dxa"/>
            <w:vAlign w:val="bottom"/>
            <w:shd w:val="clear" w:color="auto" w:fill="E6E7E8"/>
          </w:tcPr>
          <w:p>
            <w:pPr>
              <w:spacing w:after="0"/>
              <w:rPr>
                <w:sz w:val="4"/>
                <w:szCs w:val="4"/>
                <w:color w:val="auto"/>
              </w:rPr>
            </w:pPr>
          </w:p>
        </w:tc>
        <w:tc>
          <w:tcPr>
            <w:tcW w:w="4200" w:type="dxa"/>
            <w:vAlign w:val="bottom"/>
            <w:shd w:val="clear" w:color="auto" w:fill="E6E7E8"/>
          </w:tcPr>
          <w:p>
            <w:pPr>
              <w:spacing w:after="0"/>
              <w:rPr>
                <w:sz w:val="4"/>
                <w:szCs w:val="4"/>
                <w:color w:val="auto"/>
              </w:rPr>
            </w:pPr>
          </w:p>
        </w:tc>
        <w:tc>
          <w:tcPr>
            <w:tcW w:w="4880" w:type="dxa"/>
            <w:vAlign w:val="bottom"/>
            <w:vMerge w:val="continue"/>
            <w:shd w:val="clear" w:color="auto" w:fill="E6E7E8"/>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860" w:type="dxa"/>
            <w:vAlign w:val="bottom"/>
            <w:shd w:val="clear" w:color="auto" w:fill="E6E7E8"/>
          </w:tcPr>
          <w:p>
            <w:pPr>
              <w:spacing w:after="0"/>
              <w:rPr>
                <w:sz w:val="5"/>
                <w:szCs w:val="5"/>
                <w:color w:val="auto"/>
              </w:rPr>
            </w:pPr>
          </w:p>
        </w:tc>
        <w:tc>
          <w:tcPr>
            <w:tcW w:w="4200" w:type="dxa"/>
            <w:vAlign w:val="bottom"/>
            <w:shd w:val="clear" w:color="auto" w:fill="E6E7E8"/>
          </w:tcPr>
          <w:p>
            <w:pPr>
              <w:spacing w:after="0"/>
              <w:rPr>
                <w:sz w:val="5"/>
                <w:szCs w:val="5"/>
                <w:color w:val="auto"/>
              </w:rPr>
            </w:pPr>
          </w:p>
        </w:tc>
        <w:tc>
          <w:tcPr>
            <w:tcW w:w="4880" w:type="dxa"/>
            <w:vAlign w:val="bottom"/>
            <w:shd w:val="clear" w:color="auto" w:fill="E6E7E8"/>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860" w:type="dxa"/>
            <w:vAlign w:val="bottom"/>
            <w:shd w:val="clear" w:color="auto" w:fill="E9F0F3"/>
          </w:tcPr>
          <w:p>
            <w:pPr>
              <w:ind w:left="80"/>
              <w:spacing w:after="0"/>
              <w:rPr>
                <w:sz w:val="20"/>
                <w:szCs w:val="20"/>
                <w:color w:val="auto"/>
              </w:rPr>
            </w:pPr>
            <w:r>
              <w:rPr>
                <w:rFonts w:ascii="Arial" w:cs="Arial" w:eastAsia="Arial" w:hAnsi="Arial"/>
                <w:sz w:val="14"/>
                <w:szCs w:val="14"/>
                <w:b w:val="1"/>
                <w:bCs w:val="1"/>
                <w:color w:val="auto"/>
              </w:rPr>
              <w:t>Short-Term incentives</w:t>
            </w:r>
          </w:p>
        </w:tc>
        <w:tc>
          <w:tcPr>
            <w:tcW w:w="4200" w:type="dxa"/>
            <w:vAlign w:val="bottom"/>
            <w:shd w:val="clear" w:color="auto" w:fill="E9F0F3"/>
          </w:tcPr>
          <w:p>
            <w:pPr>
              <w:ind w:left="1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Total PVH earnings performance metrics for all NEOs: EBIT</w:t>
            </w:r>
          </w:p>
        </w:tc>
        <w:tc>
          <w:tcPr>
            <w:tcW w:w="4880" w:type="dxa"/>
            <w:vAlign w:val="bottom"/>
            <w:shd w:val="clear" w:color="auto" w:fill="E9F0F3"/>
          </w:tcPr>
          <w:p>
            <w:pPr>
              <w:ind w:left="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The performance measures for the annual bonus awards made to the</w:t>
            </w:r>
          </w:p>
        </w:tc>
        <w:tc>
          <w:tcPr>
            <w:tcW w:w="0" w:type="dxa"/>
            <w:vAlign w:val="bottom"/>
          </w:tcPr>
          <w:p>
            <w:pPr>
              <w:spacing w:after="0"/>
              <w:rPr>
                <w:sz w:val="1"/>
                <w:szCs w:val="1"/>
                <w:color w:val="auto"/>
              </w:rPr>
            </w:pPr>
          </w:p>
        </w:tc>
      </w:tr>
      <w:tr>
        <w:trPr>
          <w:trHeight w:val="165"/>
        </w:trPr>
        <w:tc>
          <w:tcPr>
            <w:tcW w:w="1860" w:type="dxa"/>
            <w:vAlign w:val="bottom"/>
            <w:vMerge w:val="restart"/>
            <w:shd w:val="clear" w:color="auto" w:fill="E9F0F3"/>
          </w:tcPr>
          <w:p>
            <w:pPr>
              <w:ind w:left="80"/>
              <w:spacing w:after="0"/>
              <w:rPr>
                <w:sz w:val="20"/>
                <w:szCs w:val="20"/>
                <w:color w:val="auto"/>
              </w:rPr>
            </w:pPr>
            <w:r>
              <w:rPr>
                <w:rFonts w:ascii="Arial" w:cs="Arial" w:eastAsia="Arial" w:hAnsi="Arial"/>
                <w:sz w:val="14"/>
                <w:szCs w:val="14"/>
                <w:color w:val="auto"/>
              </w:rPr>
              <w:t>(Annual bonuses under our</w:t>
            </w:r>
          </w:p>
        </w:tc>
        <w:tc>
          <w:tcPr>
            <w:tcW w:w="4200" w:type="dxa"/>
            <w:vAlign w:val="bottom"/>
            <w:shd w:val="clear" w:color="auto" w:fill="E9F0F3"/>
          </w:tcPr>
          <w:p>
            <w:pPr>
              <w:ind w:left="180"/>
              <w:spacing w:after="0"/>
              <w:rPr>
                <w:sz w:val="20"/>
                <w:szCs w:val="20"/>
                <w:color w:val="auto"/>
              </w:rPr>
            </w:pPr>
            <w:r>
              <w:rPr>
                <w:rFonts w:ascii="Arial" w:cs="Arial" w:eastAsia="Arial" w:hAnsi="Arial"/>
                <w:sz w:val="14"/>
                <w:szCs w:val="14"/>
                <w:color w:val="auto"/>
              </w:rPr>
              <w:t>and revenue</w:t>
            </w:r>
          </w:p>
        </w:tc>
        <w:tc>
          <w:tcPr>
            <w:tcW w:w="4880" w:type="dxa"/>
            <w:vAlign w:val="bottom"/>
            <w:shd w:val="clear" w:color="auto" w:fill="E9F0F3"/>
          </w:tcPr>
          <w:p>
            <w:pPr>
              <w:ind w:left="180"/>
              <w:spacing w:after="0"/>
              <w:rPr>
                <w:sz w:val="20"/>
                <w:szCs w:val="20"/>
                <w:color w:val="auto"/>
              </w:rPr>
            </w:pPr>
            <w:r>
              <w:rPr>
                <w:rFonts w:ascii="Arial" w:cs="Arial" w:eastAsia="Arial" w:hAnsi="Arial"/>
                <w:sz w:val="14"/>
                <w:szCs w:val="14"/>
                <w:color w:val="auto"/>
              </w:rPr>
              <w:t>NEOs achieved an overall payout of 74% of target for Total PVH</w:t>
            </w:r>
          </w:p>
        </w:tc>
        <w:tc>
          <w:tcPr>
            <w:tcW w:w="0" w:type="dxa"/>
            <w:vAlign w:val="bottom"/>
          </w:tcPr>
          <w:p>
            <w:pPr>
              <w:spacing w:after="0"/>
              <w:rPr>
                <w:sz w:val="1"/>
                <w:szCs w:val="1"/>
                <w:color w:val="auto"/>
              </w:rPr>
            </w:pPr>
          </w:p>
        </w:tc>
      </w:tr>
      <w:tr>
        <w:trPr>
          <w:trHeight w:val="94"/>
        </w:trPr>
        <w:tc>
          <w:tcPr>
            <w:tcW w:w="1860" w:type="dxa"/>
            <w:vAlign w:val="bottom"/>
            <w:vMerge w:val="continue"/>
            <w:shd w:val="clear" w:color="auto" w:fill="E9F0F3"/>
          </w:tcPr>
          <w:p>
            <w:pPr>
              <w:spacing w:after="0"/>
              <w:rPr>
                <w:sz w:val="8"/>
                <w:szCs w:val="8"/>
                <w:color w:val="auto"/>
              </w:rPr>
            </w:pPr>
          </w:p>
        </w:tc>
        <w:tc>
          <w:tcPr>
            <w:tcW w:w="4200" w:type="dxa"/>
            <w:vAlign w:val="bottom"/>
            <w:vMerge w:val="restart"/>
            <w:shd w:val="clear" w:color="auto" w:fill="E9F0F3"/>
          </w:tcPr>
          <w:p>
            <w:pPr>
              <w:ind w:left="1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Business unit earnings performance metrics for NEOs with</w:t>
            </w:r>
          </w:p>
        </w:tc>
        <w:tc>
          <w:tcPr>
            <w:tcW w:w="4880" w:type="dxa"/>
            <w:vAlign w:val="bottom"/>
            <w:vMerge w:val="restart"/>
            <w:shd w:val="clear" w:color="auto" w:fill="E9F0F3"/>
          </w:tcPr>
          <w:p>
            <w:pPr>
              <w:ind w:left="180"/>
              <w:spacing w:after="0"/>
              <w:rPr>
                <w:sz w:val="20"/>
                <w:szCs w:val="20"/>
                <w:color w:val="auto"/>
              </w:rPr>
            </w:pPr>
            <w:r>
              <w:rPr>
                <w:rFonts w:ascii="Arial" w:cs="Arial" w:eastAsia="Arial" w:hAnsi="Arial"/>
                <w:sz w:val="14"/>
                <w:szCs w:val="14"/>
                <w:color w:val="auto"/>
              </w:rPr>
              <w:t>performance; 58% of target for Calvin Klein Global; 78% for Tommy</w:t>
            </w:r>
          </w:p>
        </w:tc>
        <w:tc>
          <w:tcPr>
            <w:tcW w:w="0" w:type="dxa"/>
            <w:vAlign w:val="bottom"/>
          </w:tcPr>
          <w:p>
            <w:pPr>
              <w:spacing w:after="0"/>
              <w:rPr>
                <w:sz w:val="1"/>
                <w:szCs w:val="1"/>
                <w:color w:val="auto"/>
              </w:rPr>
            </w:pPr>
          </w:p>
        </w:tc>
      </w:tr>
      <w:tr>
        <w:trPr>
          <w:trHeight w:val="71"/>
        </w:trPr>
        <w:tc>
          <w:tcPr>
            <w:tcW w:w="1860" w:type="dxa"/>
            <w:vAlign w:val="bottom"/>
            <w:vMerge w:val="restart"/>
            <w:shd w:val="clear" w:color="auto" w:fill="E9F0F3"/>
          </w:tcPr>
          <w:p>
            <w:pPr>
              <w:ind w:left="80"/>
              <w:spacing w:after="0" w:line="142" w:lineRule="exact"/>
              <w:rPr>
                <w:sz w:val="20"/>
                <w:szCs w:val="20"/>
                <w:color w:val="auto"/>
              </w:rPr>
            </w:pPr>
            <w:r>
              <w:rPr>
                <w:rFonts w:ascii="Arial" w:cs="Arial" w:eastAsia="Arial" w:hAnsi="Arial"/>
                <w:sz w:val="14"/>
                <w:szCs w:val="14"/>
                <w:color w:val="auto"/>
              </w:rPr>
              <w:t>Performance Incentive</w:t>
            </w:r>
          </w:p>
        </w:tc>
        <w:tc>
          <w:tcPr>
            <w:tcW w:w="4200" w:type="dxa"/>
            <w:vAlign w:val="bottom"/>
            <w:vMerge w:val="continue"/>
            <w:shd w:val="clear" w:color="auto" w:fill="E9F0F3"/>
          </w:tcPr>
          <w:p>
            <w:pPr>
              <w:spacing w:after="0"/>
              <w:rPr>
                <w:sz w:val="6"/>
                <w:szCs w:val="6"/>
                <w:color w:val="auto"/>
              </w:rPr>
            </w:pPr>
          </w:p>
        </w:tc>
        <w:tc>
          <w:tcPr>
            <w:tcW w:w="4880" w:type="dxa"/>
            <w:vAlign w:val="bottom"/>
            <w:vMerge w:val="continue"/>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860" w:type="dxa"/>
            <w:vAlign w:val="bottom"/>
            <w:vMerge w:val="continue"/>
            <w:shd w:val="clear" w:color="auto" w:fill="E9F0F3"/>
          </w:tcPr>
          <w:p>
            <w:pPr>
              <w:spacing w:after="0"/>
              <w:rPr>
                <w:sz w:val="6"/>
                <w:szCs w:val="6"/>
                <w:color w:val="auto"/>
              </w:rPr>
            </w:pPr>
          </w:p>
        </w:tc>
        <w:tc>
          <w:tcPr>
            <w:tcW w:w="4200" w:type="dxa"/>
            <w:vAlign w:val="bottom"/>
            <w:vMerge w:val="continue"/>
            <w:shd w:val="clear" w:color="auto" w:fill="E9F0F3"/>
          </w:tcPr>
          <w:p>
            <w:pPr>
              <w:spacing w:after="0"/>
              <w:rPr>
                <w:sz w:val="6"/>
                <w:szCs w:val="6"/>
                <w:color w:val="auto"/>
              </w:rPr>
            </w:pPr>
          </w:p>
        </w:tc>
        <w:tc>
          <w:tcPr>
            <w:tcW w:w="4880" w:type="dxa"/>
            <w:vAlign w:val="bottom"/>
            <w:vMerge w:val="restart"/>
            <w:shd w:val="clear" w:color="auto" w:fill="E9F0F3"/>
          </w:tcPr>
          <w:p>
            <w:pPr>
              <w:ind w:left="180"/>
              <w:spacing w:after="0"/>
              <w:rPr>
                <w:sz w:val="20"/>
                <w:szCs w:val="20"/>
                <w:color w:val="auto"/>
              </w:rPr>
            </w:pPr>
            <w:r>
              <w:rPr>
                <w:rFonts w:ascii="Arial" w:cs="Arial" w:eastAsia="Arial" w:hAnsi="Arial"/>
                <w:sz w:val="14"/>
                <w:szCs w:val="14"/>
                <w:color w:val="auto"/>
              </w:rPr>
              <w:t>Hilfiger Global; and 61% for PVH Europe.</w:t>
            </w:r>
          </w:p>
        </w:tc>
        <w:tc>
          <w:tcPr>
            <w:tcW w:w="0" w:type="dxa"/>
            <w:vAlign w:val="bottom"/>
          </w:tcPr>
          <w:p>
            <w:pPr>
              <w:spacing w:after="0"/>
              <w:rPr>
                <w:sz w:val="1"/>
                <w:szCs w:val="1"/>
                <w:color w:val="auto"/>
              </w:rPr>
            </w:pPr>
          </w:p>
        </w:tc>
      </w:tr>
      <w:tr>
        <w:trPr>
          <w:trHeight w:val="115"/>
        </w:trPr>
        <w:tc>
          <w:tcPr>
            <w:tcW w:w="1860" w:type="dxa"/>
            <w:vAlign w:val="bottom"/>
            <w:vMerge w:val="restart"/>
            <w:shd w:val="clear" w:color="auto" w:fill="E9F0F3"/>
          </w:tcPr>
          <w:p>
            <w:pPr>
              <w:ind w:left="80"/>
              <w:spacing w:after="0"/>
              <w:rPr>
                <w:sz w:val="20"/>
                <w:szCs w:val="20"/>
                <w:color w:val="auto"/>
              </w:rPr>
            </w:pPr>
            <w:r>
              <w:rPr>
                <w:rFonts w:ascii="Arial" w:cs="Arial" w:eastAsia="Arial" w:hAnsi="Arial"/>
                <w:sz w:val="14"/>
                <w:szCs w:val="14"/>
                <w:color w:val="auto"/>
              </w:rPr>
              <w:t>Bonus Plan)</w:t>
            </w:r>
          </w:p>
        </w:tc>
        <w:tc>
          <w:tcPr>
            <w:tcW w:w="4200" w:type="dxa"/>
            <w:vAlign w:val="bottom"/>
            <w:vMerge w:val="restart"/>
            <w:shd w:val="clear" w:color="auto" w:fill="E9F0F3"/>
          </w:tcPr>
          <w:p>
            <w:pPr>
              <w:ind w:left="180"/>
              <w:spacing w:after="0"/>
              <w:rPr>
                <w:sz w:val="20"/>
                <w:szCs w:val="20"/>
                <w:color w:val="auto"/>
              </w:rPr>
            </w:pPr>
            <w:r>
              <w:rPr>
                <w:rFonts w:ascii="Arial" w:cs="Arial" w:eastAsia="Arial" w:hAnsi="Arial"/>
                <w:sz w:val="14"/>
                <w:szCs w:val="14"/>
                <w:color w:val="auto"/>
              </w:rPr>
              <w:t>divisional responsibilities: EBIT and revenue</w:t>
            </w:r>
          </w:p>
        </w:tc>
        <w:tc>
          <w:tcPr>
            <w:tcW w:w="4880" w:type="dxa"/>
            <w:vAlign w:val="bottom"/>
            <w:vMerge w:val="continue"/>
            <w:shd w:val="clear" w:color="auto" w:fill="E9F0F3"/>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1860" w:type="dxa"/>
            <w:vAlign w:val="bottom"/>
            <w:vMerge w:val="continue"/>
            <w:shd w:val="clear" w:color="auto" w:fill="E9F0F3"/>
          </w:tcPr>
          <w:p>
            <w:pPr>
              <w:spacing w:after="0"/>
              <w:rPr>
                <w:sz w:val="4"/>
                <w:szCs w:val="4"/>
                <w:color w:val="auto"/>
              </w:rPr>
            </w:pPr>
          </w:p>
        </w:tc>
        <w:tc>
          <w:tcPr>
            <w:tcW w:w="4200" w:type="dxa"/>
            <w:vAlign w:val="bottom"/>
            <w:vMerge w:val="continue"/>
            <w:shd w:val="clear" w:color="auto" w:fill="E9F0F3"/>
          </w:tcPr>
          <w:p>
            <w:pPr>
              <w:spacing w:after="0"/>
              <w:rPr>
                <w:sz w:val="4"/>
                <w:szCs w:val="4"/>
                <w:color w:val="auto"/>
              </w:rPr>
            </w:pPr>
          </w:p>
        </w:tc>
        <w:tc>
          <w:tcPr>
            <w:tcW w:w="4880" w:type="dxa"/>
            <w:vAlign w:val="bottom"/>
            <w:shd w:val="clear" w:color="auto" w:fill="E9F0F3"/>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1860" w:type="dxa"/>
            <w:vAlign w:val="bottom"/>
            <w:vMerge w:val="continue"/>
            <w:shd w:val="clear" w:color="auto" w:fill="E9F0F3"/>
          </w:tcPr>
          <w:p>
            <w:pPr>
              <w:spacing w:after="0"/>
              <w:rPr>
                <w:sz w:val="3"/>
                <w:szCs w:val="3"/>
                <w:color w:val="auto"/>
              </w:rPr>
            </w:pPr>
          </w:p>
        </w:tc>
        <w:tc>
          <w:tcPr>
            <w:tcW w:w="4200" w:type="dxa"/>
            <w:vAlign w:val="bottom"/>
            <w:vMerge w:val="restart"/>
            <w:shd w:val="clear" w:color="auto" w:fill="E9F0F3"/>
          </w:tcPr>
          <w:p>
            <w:pPr>
              <w:ind w:left="1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Payouts can be modified by +/- 25% of salary based on</w:t>
            </w:r>
          </w:p>
        </w:tc>
        <w:tc>
          <w:tcPr>
            <w:tcW w:w="4880" w:type="dxa"/>
            <w:vAlign w:val="bottom"/>
            <w:shd w:val="clear" w:color="auto" w:fill="E9F0F3"/>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860" w:type="dxa"/>
            <w:vAlign w:val="bottom"/>
            <w:shd w:val="clear" w:color="auto" w:fill="E9F0F3"/>
          </w:tcPr>
          <w:p>
            <w:pPr>
              <w:spacing w:after="0"/>
              <w:rPr>
                <w:sz w:val="12"/>
                <w:szCs w:val="12"/>
                <w:color w:val="auto"/>
              </w:rPr>
            </w:pPr>
          </w:p>
        </w:tc>
        <w:tc>
          <w:tcPr>
            <w:tcW w:w="4200" w:type="dxa"/>
            <w:vAlign w:val="bottom"/>
            <w:vMerge w:val="continue"/>
            <w:shd w:val="clear" w:color="auto" w:fill="E9F0F3"/>
          </w:tcPr>
          <w:p>
            <w:pPr>
              <w:spacing w:after="0"/>
              <w:rPr>
                <w:sz w:val="12"/>
                <w:szCs w:val="12"/>
                <w:color w:val="auto"/>
              </w:rPr>
            </w:pPr>
          </w:p>
        </w:tc>
        <w:tc>
          <w:tcPr>
            <w:tcW w:w="4880" w:type="dxa"/>
            <w:vAlign w:val="bottom"/>
            <w:shd w:val="clear" w:color="auto" w:fill="E9F0F3"/>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860" w:type="dxa"/>
            <w:vAlign w:val="bottom"/>
            <w:shd w:val="clear" w:color="auto" w:fill="E9F0F3"/>
          </w:tcPr>
          <w:p>
            <w:pPr>
              <w:spacing w:after="0"/>
              <w:rPr>
                <w:sz w:val="16"/>
                <w:szCs w:val="16"/>
                <w:color w:val="auto"/>
              </w:rPr>
            </w:pPr>
          </w:p>
        </w:tc>
        <w:tc>
          <w:tcPr>
            <w:tcW w:w="4200" w:type="dxa"/>
            <w:vAlign w:val="bottom"/>
            <w:shd w:val="clear" w:color="auto" w:fill="E9F0F3"/>
          </w:tcPr>
          <w:p>
            <w:pPr>
              <w:ind w:left="180"/>
              <w:spacing w:after="0"/>
              <w:rPr>
                <w:sz w:val="20"/>
                <w:szCs w:val="20"/>
                <w:color w:val="auto"/>
              </w:rPr>
            </w:pPr>
            <w:r>
              <w:rPr>
                <w:rFonts w:ascii="Arial" w:cs="Arial" w:eastAsia="Arial" w:hAnsi="Arial"/>
                <w:sz w:val="14"/>
                <w:szCs w:val="14"/>
                <w:color w:val="auto"/>
              </w:rPr>
              <w:t>strategic performance criteria</w:t>
            </w:r>
          </w:p>
        </w:tc>
        <w:tc>
          <w:tcPr>
            <w:tcW w:w="4880" w:type="dxa"/>
            <w:vAlign w:val="bottom"/>
            <w:shd w:val="clear" w:color="auto" w:fill="E9F0F3"/>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60" w:type="dxa"/>
            <w:vAlign w:val="bottom"/>
            <w:shd w:val="clear" w:color="auto" w:fill="E9F0F3"/>
          </w:tcPr>
          <w:p>
            <w:pPr>
              <w:spacing w:after="0"/>
              <w:rPr>
                <w:sz w:val="16"/>
                <w:szCs w:val="16"/>
                <w:color w:val="auto"/>
              </w:rPr>
            </w:pPr>
          </w:p>
        </w:tc>
        <w:tc>
          <w:tcPr>
            <w:tcW w:w="4200" w:type="dxa"/>
            <w:vAlign w:val="bottom"/>
            <w:shd w:val="clear" w:color="auto" w:fill="E9F0F3"/>
          </w:tcPr>
          <w:p>
            <w:pPr>
              <w:ind w:left="1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goals are generally established around the end of</w:t>
            </w:r>
          </w:p>
        </w:tc>
        <w:tc>
          <w:tcPr>
            <w:tcW w:w="4880" w:type="dxa"/>
            <w:vAlign w:val="bottom"/>
            <w:shd w:val="clear" w:color="auto" w:fill="E9F0F3"/>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60" w:type="dxa"/>
            <w:vAlign w:val="bottom"/>
            <w:shd w:val="clear" w:color="auto" w:fill="E9F0F3"/>
          </w:tcPr>
          <w:p>
            <w:pPr>
              <w:spacing w:after="0"/>
              <w:rPr>
                <w:sz w:val="16"/>
                <w:szCs w:val="16"/>
                <w:color w:val="auto"/>
              </w:rPr>
            </w:pPr>
          </w:p>
        </w:tc>
        <w:tc>
          <w:tcPr>
            <w:tcW w:w="4200" w:type="dxa"/>
            <w:vAlign w:val="bottom"/>
            <w:shd w:val="clear" w:color="auto" w:fill="E9F0F3"/>
          </w:tcPr>
          <w:p>
            <w:pPr>
              <w:ind w:left="180"/>
              <w:spacing w:after="0"/>
              <w:rPr>
                <w:sz w:val="20"/>
                <w:szCs w:val="20"/>
                <w:color w:val="auto"/>
              </w:rPr>
            </w:pPr>
            <w:r>
              <w:rPr>
                <w:rFonts w:ascii="Arial" w:cs="Arial" w:eastAsia="Arial" w:hAnsi="Arial"/>
                <w:sz w:val="14"/>
                <w:szCs w:val="14"/>
                <w:color w:val="auto"/>
              </w:rPr>
              <w:t>the first quarter</w:t>
            </w:r>
          </w:p>
        </w:tc>
        <w:tc>
          <w:tcPr>
            <w:tcW w:w="4880" w:type="dxa"/>
            <w:vAlign w:val="bottom"/>
            <w:shd w:val="clear" w:color="auto" w:fill="E9F0F3"/>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60" w:type="dxa"/>
            <w:vAlign w:val="bottom"/>
            <w:shd w:val="clear" w:color="auto" w:fill="E9F0F3"/>
          </w:tcPr>
          <w:p>
            <w:pPr>
              <w:spacing w:after="0"/>
              <w:rPr>
                <w:sz w:val="16"/>
                <w:szCs w:val="16"/>
                <w:color w:val="auto"/>
              </w:rPr>
            </w:pPr>
          </w:p>
        </w:tc>
        <w:tc>
          <w:tcPr>
            <w:tcW w:w="4200" w:type="dxa"/>
            <w:vAlign w:val="bottom"/>
            <w:shd w:val="clear" w:color="auto" w:fill="E9F0F3"/>
          </w:tcPr>
          <w:p>
            <w:pPr>
              <w:ind w:left="1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Certification of financial results subject to pre-approved list of</w:t>
            </w:r>
          </w:p>
        </w:tc>
        <w:tc>
          <w:tcPr>
            <w:tcW w:w="4880" w:type="dxa"/>
            <w:vAlign w:val="bottom"/>
            <w:shd w:val="clear" w:color="auto" w:fill="E9F0F3"/>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60" w:type="dxa"/>
            <w:vAlign w:val="bottom"/>
            <w:shd w:val="clear" w:color="auto" w:fill="E9F0F3"/>
          </w:tcPr>
          <w:p>
            <w:pPr>
              <w:spacing w:after="0"/>
              <w:rPr>
                <w:sz w:val="16"/>
                <w:szCs w:val="16"/>
                <w:color w:val="auto"/>
              </w:rPr>
            </w:pPr>
          </w:p>
        </w:tc>
        <w:tc>
          <w:tcPr>
            <w:tcW w:w="4200" w:type="dxa"/>
            <w:vAlign w:val="bottom"/>
            <w:shd w:val="clear" w:color="auto" w:fill="E9F0F3"/>
          </w:tcPr>
          <w:p>
            <w:pPr>
              <w:ind w:left="180"/>
              <w:spacing w:after="0"/>
              <w:rPr>
                <w:sz w:val="20"/>
                <w:szCs w:val="20"/>
                <w:color w:val="auto"/>
              </w:rPr>
            </w:pPr>
            <w:r>
              <w:rPr>
                <w:rFonts w:ascii="Arial" w:cs="Arial" w:eastAsia="Arial" w:hAnsi="Arial"/>
                <w:sz w:val="14"/>
                <w:szCs w:val="14"/>
                <w:color w:val="auto"/>
              </w:rPr>
              <w:t>adjustments and exclusions</w:t>
            </w:r>
          </w:p>
        </w:tc>
        <w:tc>
          <w:tcPr>
            <w:tcW w:w="4880" w:type="dxa"/>
            <w:vAlign w:val="bottom"/>
            <w:shd w:val="clear" w:color="auto" w:fill="E9F0F3"/>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860" w:type="dxa"/>
            <w:vAlign w:val="bottom"/>
            <w:shd w:val="clear" w:color="auto" w:fill="E9F0F3"/>
          </w:tcPr>
          <w:p>
            <w:pPr>
              <w:spacing w:after="0"/>
              <w:rPr>
                <w:sz w:val="6"/>
                <w:szCs w:val="6"/>
                <w:color w:val="auto"/>
              </w:rPr>
            </w:pPr>
          </w:p>
        </w:tc>
        <w:tc>
          <w:tcPr>
            <w:tcW w:w="4200" w:type="dxa"/>
            <w:vAlign w:val="bottom"/>
            <w:shd w:val="clear" w:color="auto" w:fill="E9F0F3"/>
          </w:tcPr>
          <w:p>
            <w:pPr>
              <w:spacing w:after="0"/>
              <w:rPr>
                <w:sz w:val="6"/>
                <w:szCs w:val="6"/>
                <w:color w:val="auto"/>
              </w:rPr>
            </w:pPr>
          </w:p>
        </w:tc>
        <w:tc>
          <w:tcPr>
            <w:tcW w:w="488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1860" w:type="dxa"/>
            <w:vAlign w:val="bottom"/>
            <w:shd w:val="clear" w:color="auto" w:fill="D3E0E6"/>
          </w:tcPr>
          <w:p>
            <w:pPr>
              <w:ind w:left="80"/>
              <w:spacing w:after="0"/>
              <w:rPr>
                <w:sz w:val="20"/>
                <w:szCs w:val="20"/>
                <w:color w:val="auto"/>
              </w:rPr>
            </w:pPr>
            <w:r>
              <w:rPr>
                <w:rFonts w:ascii="Arial" w:cs="Arial" w:eastAsia="Arial" w:hAnsi="Arial"/>
                <w:sz w:val="14"/>
                <w:szCs w:val="14"/>
                <w:b w:val="1"/>
                <w:bCs w:val="1"/>
                <w:color w:val="auto"/>
              </w:rPr>
              <w:t>LTI Awards</w:t>
            </w:r>
          </w:p>
        </w:tc>
        <w:tc>
          <w:tcPr>
            <w:tcW w:w="4200" w:type="dxa"/>
            <w:vAlign w:val="bottom"/>
            <w:shd w:val="clear" w:color="auto" w:fill="D3E0E6"/>
          </w:tcPr>
          <w:p>
            <w:pPr>
              <w:ind w:left="1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RSUs vest at a rate of 25% on each of the first four</w:t>
            </w:r>
          </w:p>
        </w:tc>
        <w:tc>
          <w:tcPr>
            <w:tcW w:w="4880" w:type="dxa"/>
            <w:vAlign w:val="bottom"/>
            <w:shd w:val="clear" w:color="auto" w:fill="D3E0E6"/>
          </w:tcPr>
          <w:p>
            <w:pPr>
              <w:ind w:left="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All Executive Leadership Team members receive 50% of their equity</w:t>
            </w:r>
          </w:p>
        </w:tc>
        <w:tc>
          <w:tcPr>
            <w:tcW w:w="0" w:type="dxa"/>
            <w:vAlign w:val="bottom"/>
          </w:tcPr>
          <w:p>
            <w:pPr>
              <w:spacing w:after="0"/>
              <w:rPr>
                <w:sz w:val="1"/>
                <w:szCs w:val="1"/>
                <w:color w:val="auto"/>
              </w:rPr>
            </w:pPr>
          </w:p>
        </w:tc>
      </w:tr>
      <w:tr>
        <w:trPr>
          <w:trHeight w:val="165"/>
        </w:trPr>
        <w:tc>
          <w:tcPr>
            <w:tcW w:w="1860" w:type="dxa"/>
            <w:vAlign w:val="bottom"/>
            <w:vMerge w:val="restart"/>
            <w:shd w:val="clear" w:color="auto" w:fill="D3E0E6"/>
          </w:tcPr>
          <w:p>
            <w:pPr>
              <w:ind w:left="80"/>
              <w:spacing w:after="0"/>
              <w:rPr>
                <w:sz w:val="20"/>
                <w:szCs w:val="20"/>
                <w:color w:val="auto"/>
              </w:rPr>
            </w:pPr>
            <w:r>
              <w:rPr>
                <w:rFonts w:ascii="Arial" w:cs="Arial" w:eastAsia="Arial" w:hAnsi="Arial"/>
                <w:sz w:val="14"/>
                <w:szCs w:val="14"/>
                <w:color w:val="auto"/>
              </w:rPr>
              <w:t>(Combination of PSUs and</w:t>
            </w:r>
          </w:p>
        </w:tc>
        <w:tc>
          <w:tcPr>
            <w:tcW w:w="4200" w:type="dxa"/>
            <w:vAlign w:val="bottom"/>
            <w:shd w:val="clear" w:color="auto" w:fill="D3E0E6"/>
          </w:tcPr>
          <w:p>
            <w:pPr>
              <w:ind w:left="180"/>
              <w:spacing w:after="0"/>
              <w:rPr>
                <w:sz w:val="20"/>
                <w:szCs w:val="20"/>
                <w:color w:val="auto"/>
              </w:rPr>
            </w:pPr>
            <w:r>
              <w:rPr>
                <w:rFonts w:ascii="Arial" w:cs="Arial" w:eastAsia="Arial" w:hAnsi="Arial"/>
                <w:sz w:val="14"/>
                <w:szCs w:val="14"/>
                <w:color w:val="auto"/>
              </w:rPr>
              <w:t>anniversaries of the grant date (assuming continued</w:t>
            </w:r>
          </w:p>
        </w:tc>
        <w:tc>
          <w:tcPr>
            <w:tcW w:w="4880" w:type="dxa"/>
            <w:vAlign w:val="bottom"/>
            <w:shd w:val="clear" w:color="auto" w:fill="D3E0E6"/>
          </w:tcPr>
          <w:p>
            <w:pPr>
              <w:ind w:left="180"/>
              <w:spacing w:after="0"/>
              <w:rPr>
                <w:sz w:val="20"/>
                <w:szCs w:val="20"/>
                <w:color w:val="auto"/>
              </w:rPr>
            </w:pPr>
            <w:r>
              <w:rPr>
                <w:rFonts w:ascii="Arial" w:cs="Arial" w:eastAsia="Arial" w:hAnsi="Arial"/>
                <w:sz w:val="14"/>
                <w:szCs w:val="14"/>
                <w:color w:val="auto"/>
              </w:rPr>
              <w:t>award value in PSUs and 50% delivered in RSUs, with the exception of</w:t>
            </w:r>
          </w:p>
        </w:tc>
        <w:tc>
          <w:tcPr>
            <w:tcW w:w="0" w:type="dxa"/>
            <w:vAlign w:val="bottom"/>
          </w:tcPr>
          <w:p>
            <w:pPr>
              <w:spacing w:after="0"/>
              <w:rPr>
                <w:sz w:val="1"/>
                <w:szCs w:val="1"/>
                <w:color w:val="auto"/>
              </w:rPr>
            </w:pPr>
          </w:p>
        </w:tc>
      </w:tr>
      <w:tr>
        <w:trPr>
          <w:trHeight w:val="94"/>
        </w:trPr>
        <w:tc>
          <w:tcPr>
            <w:tcW w:w="1860" w:type="dxa"/>
            <w:vAlign w:val="bottom"/>
            <w:vMerge w:val="continue"/>
            <w:shd w:val="clear" w:color="auto" w:fill="D3E0E6"/>
          </w:tcPr>
          <w:p>
            <w:pPr>
              <w:spacing w:after="0"/>
              <w:rPr>
                <w:sz w:val="8"/>
                <w:szCs w:val="8"/>
                <w:color w:val="auto"/>
              </w:rPr>
            </w:pPr>
          </w:p>
        </w:tc>
        <w:tc>
          <w:tcPr>
            <w:tcW w:w="4200" w:type="dxa"/>
            <w:vAlign w:val="bottom"/>
            <w:vMerge w:val="restart"/>
            <w:shd w:val="clear" w:color="auto" w:fill="D3E0E6"/>
          </w:tcPr>
          <w:p>
            <w:pPr>
              <w:ind w:left="180"/>
              <w:spacing w:after="0"/>
              <w:rPr>
                <w:sz w:val="20"/>
                <w:szCs w:val="20"/>
                <w:color w:val="auto"/>
              </w:rPr>
            </w:pPr>
            <w:r>
              <w:rPr>
                <w:rFonts w:ascii="Arial" w:cs="Arial" w:eastAsia="Arial" w:hAnsi="Arial"/>
                <w:sz w:val="14"/>
                <w:szCs w:val="14"/>
                <w:color w:val="auto"/>
              </w:rPr>
              <w:t>employment)</w:t>
            </w:r>
          </w:p>
        </w:tc>
        <w:tc>
          <w:tcPr>
            <w:tcW w:w="4880" w:type="dxa"/>
            <w:vAlign w:val="bottom"/>
            <w:vMerge w:val="restart"/>
            <w:shd w:val="clear" w:color="auto" w:fill="D3E0E6"/>
          </w:tcPr>
          <w:p>
            <w:pPr>
              <w:ind w:left="180"/>
              <w:spacing w:after="0"/>
              <w:rPr>
                <w:sz w:val="20"/>
                <w:szCs w:val="20"/>
                <w:color w:val="auto"/>
              </w:rPr>
            </w:pPr>
            <w:r>
              <w:rPr>
                <w:rFonts w:ascii="Arial" w:cs="Arial" w:eastAsia="Arial" w:hAnsi="Arial"/>
                <w:sz w:val="14"/>
                <w:szCs w:val="14"/>
                <w:color w:val="auto"/>
              </w:rPr>
              <w:t>Ms. Stone, who was not eligible for a PSU grant.</w:t>
            </w:r>
          </w:p>
        </w:tc>
        <w:tc>
          <w:tcPr>
            <w:tcW w:w="0" w:type="dxa"/>
            <w:vAlign w:val="bottom"/>
          </w:tcPr>
          <w:p>
            <w:pPr>
              <w:spacing w:after="0"/>
              <w:rPr>
                <w:sz w:val="1"/>
                <w:szCs w:val="1"/>
                <w:color w:val="auto"/>
              </w:rPr>
            </w:pPr>
          </w:p>
        </w:tc>
      </w:tr>
      <w:tr>
        <w:trPr>
          <w:trHeight w:val="92"/>
        </w:trPr>
        <w:tc>
          <w:tcPr>
            <w:tcW w:w="1860" w:type="dxa"/>
            <w:vAlign w:val="bottom"/>
            <w:vMerge w:val="restart"/>
            <w:shd w:val="clear" w:color="auto" w:fill="D3E0E6"/>
          </w:tcPr>
          <w:p>
            <w:pPr>
              <w:ind w:left="80"/>
              <w:spacing w:after="0"/>
              <w:rPr>
                <w:sz w:val="20"/>
                <w:szCs w:val="20"/>
                <w:color w:val="auto"/>
              </w:rPr>
            </w:pPr>
            <w:r>
              <w:rPr>
                <w:rFonts w:ascii="Arial" w:cs="Arial" w:eastAsia="Arial" w:hAnsi="Arial"/>
                <w:sz w:val="14"/>
                <w:szCs w:val="14"/>
                <w:color w:val="auto"/>
              </w:rPr>
              <w:t>RSUs)</w:t>
            </w:r>
          </w:p>
        </w:tc>
        <w:tc>
          <w:tcPr>
            <w:tcW w:w="4200" w:type="dxa"/>
            <w:vAlign w:val="bottom"/>
            <w:vMerge w:val="continue"/>
            <w:shd w:val="clear" w:color="auto" w:fill="D3E0E6"/>
          </w:tcPr>
          <w:p>
            <w:pPr>
              <w:spacing w:after="0"/>
              <w:rPr>
                <w:sz w:val="7"/>
                <w:szCs w:val="7"/>
                <w:color w:val="auto"/>
              </w:rPr>
            </w:pPr>
          </w:p>
        </w:tc>
        <w:tc>
          <w:tcPr>
            <w:tcW w:w="4880" w:type="dxa"/>
            <w:vAlign w:val="bottom"/>
            <w:vMerge w:val="continue"/>
            <w:shd w:val="clear" w:color="auto" w:fill="D3E0E6"/>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860" w:type="dxa"/>
            <w:vAlign w:val="bottom"/>
            <w:vMerge w:val="continue"/>
            <w:shd w:val="clear" w:color="auto" w:fill="D3E0E6"/>
          </w:tcPr>
          <w:p>
            <w:pPr>
              <w:spacing w:after="0"/>
              <w:rPr>
                <w:sz w:val="8"/>
                <w:szCs w:val="8"/>
                <w:color w:val="auto"/>
              </w:rPr>
            </w:pPr>
          </w:p>
        </w:tc>
        <w:tc>
          <w:tcPr>
            <w:tcW w:w="4200" w:type="dxa"/>
            <w:vAlign w:val="bottom"/>
            <w:vMerge w:val="restart"/>
            <w:shd w:val="clear" w:color="auto" w:fill="D3E0E6"/>
          </w:tcPr>
          <w:p>
            <w:pPr>
              <w:ind w:left="1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PSUs are subject to relative TSR against the custom</w:t>
            </w:r>
          </w:p>
        </w:tc>
        <w:tc>
          <w:tcPr>
            <w:tcW w:w="4880" w:type="dxa"/>
            <w:vAlign w:val="bottom"/>
            <w:vMerge w:val="restart"/>
            <w:shd w:val="clear" w:color="auto" w:fill="D3E0E6"/>
          </w:tcPr>
          <w:p>
            <w:pPr>
              <w:ind w:left="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We discontinued annual stock options grants under our Stock Incentive</w:t>
            </w:r>
          </w:p>
        </w:tc>
        <w:tc>
          <w:tcPr>
            <w:tcW w:w="0" w:type="dxa"/>
            <w:vAlign w:val="bottom"/>
          </w:tcPr>
          <w:p>
            <w:pPr>
              <w:spacing w:after="0"/>
              <w:rPr>
                <w:sz w:val="1"/>
                <w:szCs w:val="1"/>
                <w:color w:val="auto"/>
              </w:rPr>
            </w:pPr>
          </w:p>
        </w:tc>
      </w:tr>
      <w:tr>
        <w:trPr>
          <w:trHeight w:val="97"/>
        </w:trPr>
        <w:tc>
          <w:tcPr>
            <w:tcW w:w="1860" w:type="dxa"/>
            <w:vAlign w:val="bottom"/>
            <w:shd w:val="clear" w:color="auto" w:fill="D3E0E6"/>
          </w:tcPr>
          <w:p>
            <w:pPr>
              <w:spacing w:after="0"/>
              <w:rPr>
                <w:sz w:val="8"/>
                <w:szCs w:val="8"/>
                <w:color w:val="auto"/>
              </w:rPr>
            </w:pPr>
          </w:p>
        </w:tc>
        <w:tc>
          <w:tcPr>
            <w:tcW w:w="4200" w:type="dxa"/>
            <w:vAlign w:val="bottom"/>
            <w:vMerge w:val="continue"/>
            <w:shd w:val="clear" w:color="auto" w:fill="D3E0E6"/>
          </w:tcPr>
          <w:p>
            <w:pPr>
              <w:spacing w:after="0"/>
              <w:rPr>
                <w:sz w:val="8"/>
                <w:szCs w:val="8"/>
                <w:color w:val="auto"/>
              </w:rPr>
            </w:pPr>
          </w:p>
        </w:tc>
        <w:tc>
          <w:tcPr>
            <w:tcW w:w="4880" w:type="dxa"/>
            <w:vAlign w:val="bottom"/>
            <w:vMerge w:val="continue"/>
            <w:shd w:val="clear" w:color="auto" w:fill="D3E0E6"/>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1860" w:type="dxa"/>
            <w:vAlign w:val="bottom"/>
            <w:shd w:val="clear" w:color="auto" w:fill="D3E0E6"/>
          </w:tcPr>
          <w:p>
            <w:pPr>
              <w:spacing w:after="0"/>
              <w:rPr>
                <w:sz w:val="14"/>
                <w:szCs w:val="14"/>
                <w:color w:val="auto"/>
              </w:rPr>
            </w:pPr>
          </w:p>
        </w:tc>
        <w:tc>
          <w:tcPr>
            <w:tcW w:w="4200" w:type="dxa"/>
            <w:vAlign w:val="bottom"/>
            <w:shd w:val="clear" w:color="auto" w:fill="D3E0E6"/>
          </w:tcPr>
          <w:p>
            <w:pPr>
              <w:ind w:left="180"/>
              <w:spacing w:after="0"/>
              <w:rPr>
                <w:sz w:val="20"/>
                <w:szCs w:val="20"/>
                <w:color w:val="auto"/>
              </w:rPr>
            </w:pPr>
            <w:r>
              <w:rPr>
                <w:rFonts w:ascii="Arial" w:cs="Arial" w:eastAsia="Arial" w:hAnsi="Arial"/>
                <w:sz w:val="14"/>
                <w:szCs w:val="14"/>
                <w:color w:val="auto"/>
              </w:rPr>
              <w:t>comparator group (50%) and ROIC (50%), each for a three-</w:t>
            </w:r>
          </w:p>
        </w:tc>
        <w:tc>
          <w:tcPr>
            <w:tcW w:w="4880" w:type="dxa"/>
            <w:vAlign w:val="bottom"/>
            <w:shd w:val="clear" w:color="auto" w:fill="D3E0E6"/>
          </w:tcPr>
          <w:p>
            <w:pPr>
              <w:ind w:left="180"/>
              <w:spacing w:after="0"/>
              <w:rPr>
                <w:sz w:val="20"/>
                <w:szCs w:val="20"/>
                <w:color w:val="auto"/>
              </w:rPr>
            </w:pPr>
            <w:r>
              <w:rPr>
                <w:rFonts w:ascii="Arial" w:cs="Arial" w:eastAsia="Arial" w:hAnsi="Arial"/>
                <w:sz w:val="14"/>
                <w:szCs w:val="14"/>
                <w:color w:val="auto"/>
              </w:rPr>
              <w:t>Plan with the value being added to their RSU awards.</w:t>
            </w:r>
          </w:p>
        </w:tc>
        <w:tc>
          <w:tcPr>
            <w:tcW w:w="0" w:type="dxa"/>
            <w:vAlign w:val="bottom"/>
          </w:tcPr>
          <w:p>
            <w:pPr>
              <w:spacing w:after="0"/>
              <w:rPr>
                <w:sz w:val="1"/>
                <w:szCs w:val="1"/>
                <w:color w:val="auto"/>
              </w:rPr>
            </w:pPr>
          </w:p>
        </w:tc>
      </w:tr>
      <w:tr>
        <w:trPr>
          <w:trHeight w:val="212"/>
        </w:trPr>
        <w:tc>
          <w:tcPr>
            <w:tcW w:w="1860" w:type="dxa"/>
            <w:vAlign w:val="bottom"/>
            <w:shd w:val="clear" w:color="auto" w:fill="D3E0E6"/>
          </w:tcPr>
          <w:p>
            <w:pPr>
              <w:spacing w:after="0"/>
              <w:rPr>
                <w:sz w:val="18"/>
                <w:szCs w:val="18"/>
                <w:color w:val="auto"/>
              </w:rPr>
            </w:pPr>
          </w:p>
        </w:tc>
        <w:tc>
          <w:tcPr>
            <w:tcW w:w="4200" w:type="dxa"/>
            <w:vAlign w:val="bottom"/>
            <w:shd w:val="clear" w:color="auto" w:fill="D3E0E6"/>
          </w:tcPr>
          <w:p>
            <w:pPr>
              <w:ind w:left="180"/>
              <w:spacing w:after="0"/>
              <w:rPr>
                <w:sz w:val="20"/>
                <w:szCs w:val="20"/>
                <w:color w:val="auto"/>
              </w:rPr>
            </w:pPr>
            <w:r>
              <w:rPr>
                <w:rFonts w:ascii="Arial" w:cs="Arial" w:eastAsia="Arial" w:hAnsi="Arial"/>
                <w:sz w:val="14"/>
                <w:szCs w:val="14"/>
                <w:color w:val="auto"/>
              </w:rPr>
              <w:t>year performance period</w:t>
            </w:r>
          </w:p>
        </w:tc>
        <w:tc>
          <w:tcPr>
            <w:tcW w:w="4880" w:type="dxa"/>
            <w:vAlign w:val="bottom"/>
            <w:shd w:val="clear" w:color="auto" w:fill="D3E0E6"/>
          </w:tcPr>
          <w:p>
            <w:pPr>
              <w:ind w:left="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ROIC focuses on building long-term value and recognizes the role of our</w:t>
            </w:r>
          </w:p>
        </w:tc>
        <w:tc>
          <w:tcPr>
            <w:tcW w:w="0" w:type="dxa"/>
            <w:vAlign w:val="bottom"/>
          </w:tcPr>
          <w:p>
            <w:pPr>
              <w:spacing w:after="0"/>
              <w:rPr>
                <w:sz w:val="1"/>
                <w:szCs w:val="1"/>
                <w:color w:val="auto"/>
              </w:rPr>
            </w:pPr>
          </w:p>
        </w:tc>
      </w:tr>
      <w:tr>
        <w:trPr>
          <w:trHeight w:val="165"/>
        </w:trPr>
        <w:tc>
          <w:tcPr>
            <w:tcW w:w="1860" w:type="dxa"/>
            <w:vAlign w:val="bottom"/>
            <w:shd w:val="clear" w:color="auto" w:fill="D3E0E6"/>
          </w:tcPr>
          <w:p>
            <w:pPr>
              <w:spacing w:after="0"/>
              <w:rPr>
                <w:sz w:val="14"/>
                <w:szCs w:val="14"/>
                <w:color w:val="auto"/>
              </w:rPr>
            </w:pPr>
          </w:p>
        </w:tc>
        <w:tc>
          <w:tcPr>
            <w:tcW w:w="4200" w:type="dxa"/>
            <w:vAlign w:val="bottom"/>
            <w:shd w:val="clear" w:color="auto" w:fill="D3E0E6"/>
          </w:tcPr>
          <w:p>
            <w:pPr>
              <w:ind w:left="1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Receipt of payouts of PSU awards for our CEO are subject to a</w:t>
            </w:r>
          </w:p>
        </w:tc>
        <w:tc>
          <w:tcPr>
            <w:tcW w:w="4880" w:type="dxa"/>
            <w:vAlign w:val="bottom"/>
            <w:shd w:val="clear" w:color="auto" w:fill="D3E0E6"/>
          </w:tcPr>
          <w:p>
            <w:pPr>
              <w:ind w:left="180"/>
              <w:spacing w:after="0"/>
              <w:rPr>
                <w:sz w:val="20"/>
                <w:szCs w:val="20"/>
                <w:color w:val="auto"/>
              </w:rPr>
            </w:pPr>
            <w:r>
              <w:rPr>
                <w:rFonts w:ascii="Arial" w:cs="Arial" w:eastAsia="Arial" w:hAnsi="Arial"/>
                <w:sz w:val="14"/>
                <w:szCs w:val="14"/>
                <w:color w:val="auto"/>
              </w:rPr>
              <w:t>most senior leaders in influencing capital investment decisions.</w:t>
            </w:r>
          </w:p>
        </w:tc>
        <w:tc>
          <w:tcPr>
            <w:tcW w:w="0" w:type="dxa"/>
            <w:vAlign w:val="bottom"/>
          </w:tcPr>
          <w:p>
            <w:pPr>
              <w:spacing w:after="0"/>
              <w:rPr>
                <w:sz w:val="1"/>
                <w:szCs w:val="1"/>
                <w:color w:val="auto"/>
              </w:rPr>
            </w:pPr>
          </w:p>
        </w:tc>
      </w:tr>
      <w:tr>
        <w:trPr>
          <w:trHeight w:val="186"/>
        </w:trPr>
        <w:tc>
          <w:tcPr>
            <w:tcW w:w="1860" w:type="dxa"/>
            <w:vAlign w:val="bottom"/>
            <w:shd w:val="clear" w:color="auto" w:fill="D3E0E6"/>
          </w:tcPr>
          <w:p>
            <w:pPr>
              <w:spacing w:after="0"/>
              <w:rPr>
                <w:sz w:val="16"/>
                <w:szCs w:val="16"/>
                <w:color w:val="auto"/>
              </w:rPr>
            </w:pPr>
          </w:p>
        </w:tc>
        <w:tc>
          <w:tcPr>
            <w:tcW w:w="4200" w:type="dxa"/>
            <w:vAlign w:val="bottom"/>
            <w:shd w:val="clear" w:color="auto" w:fill="D3E0E6"/>
          </w:tcPr>
          <w:p>
            <w:pPr>
              <w:ind w:left="180"/>
              <w:spacing w:after="0"/>
              <w:rPr>
                <w:sz w:val="20"/>
                <w:szCs w:val="20"/>
                <w:color w:val="auto"/>
              </w:rPr>
            </w:pPr>
            <w:r>
              <w:rPr>
                <w:rFonts w:ascii="Arial" w:cs="Arial" w:eastAsia="Arial" w:hAnsi="Arial"/>
                <w:sz w:val="14"/>
                <w:szCs w:val="14"/>
                <w:color w:val="auto"/>
              </w:rPr>
              <w:t>one-year holding period after vesting</w:t>
            </w:r>
          </w:p>
        </w:tc>
        <w:tc>
          <w:tcPr>
            <w:tcW w:w="4880" w:type="dxa"/>
            <w:vAlign w:val="bottom"/>
            <w:shd w:val="clear" w:color="auto" w:fill="D3E0E6"/>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860" w:type="dxa"/>
            <w:vAlign w:val="bottom"/>
            <w:shd w:val="clear" w:color="auto" w:fill="D3E0E6"/>
          </w:tcPr>
          <w:p>
            <w:pPr>
              <w:spacing w:after="0"/>
              <w:rPr>
                <w:sz w:val="6"/>
                <w:szCs w:val="6"/>
                <w:color w:val="auto"/>
              </w:rPr>
            </w:pPr>
          </w:p>
        </w:tc>
        <w:tc>
          <w:tcPr>
            <w:tcW w:w="4200" w:type="dxa"/>
            <w:vAlign w:val="bottom"/>
            <w:shd w:val="clear" w:color="auto" w:fill="D3E0E6"/>
          </w:tcPr>
          <w:p>
            <w:pPr>
              <w:spacing w:after="0"/>
              <w:rPr>
                <w:sz w:val="6"/>
                <w:szCs w:val="6"/>
                <w:color w:val="auto"/>
              </w:rPr>
            </w:pPr>
          </w:p>
        </w:tc>
        <w:tc>
          <w:tcPr>
            <w:tcW w:w="4880" w:type="dxa"/>
            <w:vAlign w:val="bottom"/>
            <w:shd w:val="clear" w:color="auto" w:fill="D3E0E6"/>
          </w:tcPr>
          <w:p>
            <w:pPr>
              <w:spacing w:after="0"/>
              <w:rPr>
                <w:sz w:val="6"/>
                <w:szCs w:val="6"/>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Base Salaries</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6D98AD"/>
        </w:rPr>
        <w:t>Objectives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Base salaries provide our NEOs with a stable and secure source of income at a market-competitive level.</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6D98AD"/>
        </w:rPr>
        <w:t>Considerations</w:t>
      </w:r>
    </w:p>
    <w:p>
      <w:pPr>
        <w:spacing w:after="0" w:line="49" w:lineRule="exact"/>
        <w:rPr>
          <w:sz w:val="20"/>
          <w:szCs w:val="20"/>
          <w:color w:val="auto"/>
        </w:rPr>
      </w:pPr>
    </w:p>
    <w:p>
      <w:pPr>
        <w:ind w:left="20"/>
        <w:spacing w:after="0" w:line="256" w:lineRule="auto"/>
        <w:rPr>
          <w:sz w:val="20"/>
          <w:szCs w:val="20"/>
          <w:color w:val="auto"/>
        </w:rPr>
      </w:pPr>
      <w:r>
        <w:rPr>
          <w:rFonts w:ascii="Arial" w:cs="Arial" w:eastAsia="Arial" w:hAnsi="Arial"/>
          <w:sz w:val="14"/>
          <w:szCs w:val="14"/>
          <w:color w:val="auto"/>
        </w:rPr>
        <w:t>Base salaries are established for each NEO primarily based upon market considerations, reported data of the companies in the compensation peer group, PVH’s overall performance, our expected performance, individual performance and business unit performance. For any particular NEO, the Compensation Committee also considers whether the NEO was recently promoted or assumed additional responsibilities and the NEO’s performance on the PVH+ Plan growth drivers. Finally, the Committee takes into account the relative salaries of our NEOs. Ultimately, base salary decisions are at the Compensation Committee’s discretion. No specific weight is assigned to any deciding factor.</w:t>
      </w:r>
    </w:p>
    <w:p>
      <w:pPr>
        <w:spacing w:after="0" w:line="32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 xml:space="preserve">46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749CAB"/>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60" w:top="256" w:right="499" w:bottom="1440" w:gutter="0" w:footer="0" w:header="0"/>
        </w:sectPr>
      </w:pPr>
    </w:p>
    <w:bookmarkStart w:id="49" w:name="page50"/>
    <w:bookmarkEnd w:id="49"/>
    <w:p>
      <w:pPr>
        <w:ind w:left="20"/>
        <w:spacing w:after="0"/>
        <w:rPr>
          <w:sz w:val="20"/>
          <w:szCs w:val="20"/>
          <w:color w:val="auto"/>
        </w:rPr>
      </w:pPr>
      <w:r>
        <w:rPr>
          <w:rFonts w:ascii="Arial" w:cs="Arial" w:eastAsia="Arial" w:hAnsi="Arial"/>
          <w:sz w:val="17"/>
          <w:szCs w:val="17"/>
          <w:b w:val="1"/>
          <w:bCs w:val="1"/>
          <w:color w:val="6D98AD"/>
        </w:rPr>
        <w:t>2025 Decisions</w:t>
      </w:r>
    </w:p>
    <w:p>
      <w:pPr>
        <w:spacing w:after="0" w:line="49" w:lineRule="exact"/>
        <w:rPr>
          <w:sz w:val="20"/>
          <w:szCs w:val="20"/>
          <w:color w:val="auto"/>
        </w:rPr>
      </w:pPr>
    </w:p>
    <w:p>
      <w:pPr>
        <w:ind w:left="20" w:right="180"/>
        <w:spacing w:after="0" w:line="282" w:lineRule="auto"/>
        <w:rPr>
          <w:sz w:val="20"/>
          <w:szCs w:val="20"/>
          <w:color w:val="auto"/>
        </w:rPr>
      </w:pPr>
      <w:r>
        <w:rPr>
          <w:rFonts w:ascii="Arial" w:cs="Arial" w:eastAsia="Arial" w:hAnsi="Arial"/>
          <w:sz w:val="14"/>
          <w:szCs w:val="14"/>
          <w:color w:val="auto"/>
        </w:rPr>
        <w:t>Effective January 1, 2026, a base salary increase (on a temporary basis) was awarded to Ms. Stone in recognition of the additional responsibilities as Interim Chief Financial Officer. Prior to the increase, Ms. Stone’s annual salary was $550,000. No other NEO, inclusive of Messrs. Larsson and Coughlin, received a salary increase in 2025.</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Base salary increases for our NEOs from end of 2024 to end of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820" w:type="dxa"/>
            <w:vAlign w:val="bottom"/>
            <w:shd w:val="clear" w:color="auto" w:fill="99B7C6"/>
          </w:tcPr>
          <w:p>
            <w:pPr>
              <w:ind w:left="80"/>
              <w:spacing w:after="0"/>
              <w:rPr>
                <w:sz w:val="20"/>
                <w:szCs w:val="20"/>
                <w:color w:val="auto"/>
              </w:rPr>
            </w:pPr>
            <w:r>
              <w:rPr>
                <w:rFonts w:ascii="Arial" w:cs="Arial" w:eastAsia="Arial" w:hAnsi="Arial"/>
                <w:sz w:val="14"/>
                <w:szCs w:val="14"/>
                <w:b w:val="1"/>
                <w:bCs w:val="1"/>
                <w:color w:val="FFFFFF"/>
              </w:rPr>
              <w:t>Name</w:t>
            </w:r>
          </w:p>
        </w:tc>
        <w:tc>
          <w:tcPr>
            <w:tcW w:w="3300" w:type="dxa"/>
            <w:vAlign w:val="bottom"/>
            <w:shd w:val="clear" w:color="auto" w:fill="99B7C6"/>
          </w:tcPr>
          <w:p>
            <w:pPr>
              <w:jc w:val="right"/>
              <w:ind w:right="729"/>
              <w:spacing w:after="0"/>
              <w:rPr>
                <w:sz w:val="20"/>
                <w:szCs w:val="20"/>
                <w:color w:val="auto"/>
              </w:rPr>
            </w:pPr>
            <w:r>
              <w:rPr>
                <w:rFonts w:ascii="Arial" w:cs="Arial" w:eastAsia="Arial" w:hAnsi="Arial"/>
                <w:sz w:val="14"/>
                <w:szCs w:val="14"/>
                <w:b w:val="1"/>
                <w:bCs w:val="1"/>
                <w:color w:val="FFFFFF"/>
              </w:rPr>
              <w:t>2024 Base salary</w:t>
            </w:r>
          </w:p>
        </w:tc>
        <w:tc>
          <w:tcPr>
            <w:tcW w:w="2560" w:type="dxa"/>
            <w:vAlign w:val="bottom"/>
            <w:shd w:val="clear" w:color="auto" w:fill="99B7C6"/>
          </w:tcPr>
          <w:p>
            <w:pPr>
              <w:jc w:val="right"/>
              <w:ind w:right="549"/>
              <w:spacing w:after="0"/>
              <w:rPr>
                <w:sz w:val="20"/>
                <w:szCs w:val="20"/>
                <w:color w:val="auto"/>
              </w:rPr>
            </w:pPr>
            <w:r>
              <w:rPr>
                <w:rFonts w:ascii="Arial" w:cs="Arial" w:eastAsia="Arial" w:hAnsi="Arial"/>
                <w:sz w:val="14"/>
                <w:szCs w:val="14"/>
                <w:b w:val="1"/>
                <w:bCs w:val="1"/>
                <w:color w:val="FFFFFF"/>
              </w:rPr>
              <w:t>2025 Base salary</w:t>
            </w:r>
          </w:p>
        </w:tc>
        <w:tc>
          <w:tcPr>
            <w:tcW w:w="2260" w:type="dxa"/>
            <w:vAlign w:val="bottom"/>
            <w:shd w:val="clear" w:color="auto" w:fill="99B7C6"/>
          </w:tcPr>
          <w:p>
            <w:pPr>
              <w:jc w:val="right"/>
              <w:spacing w:after="0"/>
              <w:rPr>
                <w:sz w:val="20"/>
                <w:szCs w:val="20"/>
                <w:color w:val="auto"/>
              </w:rPr>
            </w:pPr>
            <w:r>
              <w:rPr>
                <w:rFonts w:ascii="Arial" w:cs="Arial" w:eastAsia="Arial" w:hAnsi="Arial"/>
                <w:sz w:val="14"/>
                <w:szCs w:val="14"/>
                <w:b w:val="1"/>
                <w:bCs w:val="1"/>
                <w:color w:val="FFFFFF"/>
              </w:rPr>
              <w:t>% Base Salary Increase</w:t>
            </w:r>
          </w:p>
        </w:tc>
      </w:tr>
      <w:tr>
        <w:trPr>
          <w:trHeight w:val="247"/>
        </w:trPr>
        <w:tc>
          <w:tcPr>
            <w:tcW w:w="2820" w:type="dxa"/>
            <w:vAlign w:val="bottom"/>
            <w:shd w:val="clear" w:color="auto" w:fill="E9F0F3"/>
          </w:tcPr>
          <w:p>
            <w:pPr>
              <w:ind w:left="80"/>
              <w:spacing w:after="0"/>
              <w:rPr>
                <w:sz w:val="20"/>
                <w:szCs w:val="20"/>
                <w:color w:val="auto"/>
              </w:rPr>
            </w:pPr>
            <w:r>
              <w:rPr>
                <w:rFonts w:ascii="Arial" w:cs="Arial" w:eastAsia="Arial" w:hAnsi="Arial"/>
                <w:sz w:val="14"/>
                <w:szCs w:val="14"/>
                <w:b w:val="1"/>
                <w:bCs w:val="1"/>
                <w:color w:val="auto"/>
              </w:rPr>
              <w:t>Stefan Larsson</w:t>
            </w:r>
          </w:p>
        </w:tc>
        <w:tc>
          <w:tcPr>
            <w:tcW w:w="3300" w:type="dxa"/>
            <w:vAlign w:val="bottom"/>
            <w:shd w:val="clear" w:color="auto" w:fill="E9F0F3"/>
          </w:tcPr>
          <w:p>
            <w:pPr>
              <w:jc w:val="right"/>
              <w:ind w:right="729"/>
              <w:spacing w:after="0"/>
              <w:rPr>
                <w:sz w:val="20"/>
                <w:szCs w:val="20"/>
                <w:color w:val="auto"/>
              </w:rPr>
            </w:pPr>
            <w:r>
              <w:rPr>
                <w:rFonts w:ascii="Arial" w:cs="Arial" w:eastAsia="Arial" w:hAnsi="Arial"/>
                <w:sz w:val="14"/>
                <w:szCs w:val="14"/>
                <w:color w:val="auto"/>
              </w:rPr>
              <w:t>$1,450,000</w:t>
            </w:r>
          </w:p>
        </w:tc>
        <w:tc>
          <w:tcPr>
            <w:tcW w:w="2560" w:type="dxa"/>
            <w:vAlign w:val="bottom"/>
            <w:shd w:val="clear" w:color="auto" w:fill="E9F0F3"/>
          </w:tcPr>
          <w:p>
            <w:pPr>
              <w:jc w:val="right"/>
              <w:ind w:right="549"/>
              <w:spacing w:after="0"/>
              <w:rPr>
                <w:sz w:val="20"/>
                <w:szCs w:val="20"/>
                <w:color w:val="auto"/>
              </w:rPr>
            </w:pPr>
            <w:r>
              <w:rPr>
                <w:rFonts w:ascii="Arial" w:cs="Arial" w:eastAsia="Arial" w:hAnsi="Arial"/>
                <w:sz w:val="14"/>
                <w:szCs w:val="14"/>
                <w:color w:val="auto"/>
              </w:rPr>
              <w:t>$1,450,000</w:t>
            </w:r>
          </w:p>
        </w:tc>
        <w:tc>
          <w:tcPr>
            <w:tcW w:w="22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0%</w:t>
            </w:r>
          </w:p>
        </w:tc>
      </w:tr>
      <w:tr>
        <w:trPr>
          <w:trHeight w:val="238"/>
        </w:trPr>
        <w:tc>
          <w:tcPr>
            <w:tcW w:w="2820" w:type="dxa"/>
            <w:vAlign w:val="bottom"/>
          </w:tcPr>
          <w:p>
            <w:pPr>
              <w:ind w:left="80"/>
              <w:spacing w:after="0"/>
              <w:rPr>
                <w:sz w:val="20"/>
                <w:szCs w:val="20"/>
                <w:color w:val="auto"/>
              </w:rPr>
            </w:pPr>
            <w:r>
              <w:rPr>
                <w:rFonts w:ascii="Arial" w:cs="Arial" w:eastAsia="Arial" w:hAnsi="Arial"/>
                <w:sz w:val="14"/>
                <w:szCs w:val="14"/>
                <w:b w:val="1"/>
                <w:bCs w:val="1"/>
                <w:color w:val="auto"/>
              </w:rPr>
              <w:t>Melissa Stone</w:t>
            </w:r>
          </w:p>
        </w:tc>
        <w:tc>
          <w:tcPr>
            <w:tcW w:w="3300" w:type="dxa"/>
            <w:vAlign w:val="bottom"/>
          </w:tcPr>
          <w:p>
            <w:pPr>
              <w:jc w:val="right"/>
              <w:ind w:right="729"/>
              <w:spacing w:after="0"/>
              <w:rPr>
                <w:sz w:val="20"/>
                <w:szCs w:val="20"/>
                <w:color w:val="auto"/>
              </w:rPr>
            </w:pPr>
            <w:r>
              <w:rPr>
                <w:rFonts w:ascii="Arial" w:cs="Arial" w:eastAsia="Arial" w:hAnsi="Arial"/>
                <w:sz w:val="14"/>
                <w:szCs w:val="14"/>
                <w:color w:val="auto"/>
              </w:rPr>
              <w:t>$535,000</w:t>
            </w:r>
          </w:p>
        </w:tc>
        <w:tc>
          <w:tcPr>
            <w:tcW w:w="2560" w:type="dxa"/>
            <w:vAlign w:val="bottom"/>
          </w:tcPr>
          <w:p>
            <w:pPr>
              <w:jc w:val="right"/>
              <w:ind w:right="549"/>
              <w:spacing w:after="0"/>
              <w:rPr>
                <w:sz w:val="20"/>
                <w:szCs w:val="20"/>
                <w:color w:val="auto"/>
              </w:rPr>
            </w:pPr>
            <w:r>
              <w:rPr>
                <w:rFonts w:ascii="Arial" w:cs="Arial" w:eastAsia="Arial" w:hAnsi="Arial"/>
                <w:sz w:val="14"/>
                <w:szCs w:val="14"/>
                <w:color w:val="auto"/>
              </w:rPr>
              <w:t>$799,996</w:t>
            </w:r>
          </w:p>
        </w:tc>
        <w:tc>
          <w:tcPr>
            <w:tcW w:w="2260" w:type="dxa"/>
            <w:vAlign w:val="bottom"/>
          </w:tcPr>
          <w:p>
            <w:pPr>
              <w:jc w:val="right"/>
              <w:spacing w:after="0"/>
              <w:rPr>
                <w:sz w:val="20"/>
                <w:szCs w:val="20"/>
                <w:color w:val="auto"/>
              </w:rPr>
            </w:pPr>
            <w:r>
              <w:rPr>
                <w:rFonts w:ascii="Arial" w:cs="Arial" w:eastAsia="Arial" w:hAnsi="Arial"/>
                <w:sz w:val="14"/>
                <w:szCs w:val="14"/>
                <w:color w:val="auto"/>
              </w:rPr>
              <w:t>49.53%</w:t>
            </w:r>
          </w:p>
        </w:tc>
      </w:tr>
      <w:tr>
        <w:trPr>
          <w:trHeight w:val="257"/>
        </w:trPr>
        <w:tc>
          <w:tcPr>
            <w:tcW w:w="2820" w:type="dxa"/>
            <w:vAlign w:val="bottom"/>
            <w:shd w:val="clear" w:color="auto" w:fill="E9F0F3"/>
          </w:tcPr>
          <w:p>
            <w:pPr>
              <w:ind w:left="80"/>
              <w:spacing w:after="0"/>
              <w:rPr>
                <w:sz w:val="20"/>
                <w:szCs w:val="20"/>
                <w:color w:val="auto"/>
              </w:rPr>
            </w:pPr>
            <w:r>
              <w:rPr>
                <w:rFonts w:ascii="Arial" w:cs="Arial" w:eastAsia="Arial" w:hAnsi="Arial"/>
                <w:sz w:val="14"/>
                <w:szCs w:val="14"/>
                <w:b w:val="1"/>
                <w:bCs w:val="1"/>
                <w:color w:val="auto"/>
              </w:rPr>
              <w:t>Lea Rytz Goldman</w:t>
            </w:r>
          </w:p>
        </w:tc>
        <w:tc>
          <w:tcPr>
            <w:tcW w:w="3300" w:type="dxa"/>
            <w:vAlign w:val="bottom"/>
            <w:shd w:val="clear" w:color="auto" w:fill="E9F0F3"/>
          </w:tcPr>
          <w:p>
            <w:pPr>
              <w:jc w:val="right"/>
              <w:ind w:right="729"/>
              <w:spacing w:after="0"/>
              <w:rPr>
                <w:sz w:val="20"/>
                <w:szCs w:val="20"/>
                <w:color w:val="auto"/>
              </w:rPr>
            </w:pPr>
            <w:r>
              <w:rPr>
                <w:rFonts w:ascii="Arial" w:cs="Arial" w:eastAsia="Arial" w:hAnsi="Arial"/>
                <w:sz w:val="14"/>
                <w:szCs w:val="14"/>
                <w:color w:val="auto"/>
              </w:rPr>
              <w:t>€750,000</w:t>
            </w:r>
          </w:p>
        </w:tc>
        <w:tc>
          <w:tcPr>
            <w:tcW w:w="2560" w:type="dxa"/>
            <w:vAlign w:val="bottom"/>
            <w:shd w:val="clear" w:color="auto" w:fill="E9F0F3"/>
          </w:tcPr>
          <w:p>
            <w:pPr>
              <w:jc w:val="right"/>
              <w:ind w:right="549"/>
              <w:spacing w:after="0"/>
              <w:rPr>
                <w:sz w:val="20"/>
                <w:szCs w:val="20"/>
                <w:color w:val="auto"/>
              </w:rPr>
            </w:pPr>
            <w:r>
              <w:rPr>
                <w:rFonts w:ascii="Arial" w:cs="Arial" w:eastAsia="Arial" w:hAnsi="Arial"/>
                <w:sz w:val="14"/>
                <w:szCs w:val="14"/>
                <w:color w:val="auto"/>
              </w:rPr>
              <w:t>€750,000</w:t>
            </w:r>
          </w:p>
        </w:tc>
        <w:tc>
          <w:tcPr>
            <w:tcW w:w="22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0%</w:t>
            </w:r>
          </w:p>
        </w:tc>
      </w:tr>
      <w:tr>
        <w:trPr>
          <w:trHeight w:val="238"/>
        </w:trPr>
        <w:tc>
          <w:tcPr>
            <w:tcW w:w="2820" w:type="dxa"/>
            <w:vAlign w:val="bottom"/>
          </w:tcPr>
          <w:p>
            <w:pPr>
              <w:ind w:left="80"/>
              <w:spacing w:after="0"/>
              <w:rPr>
                <w:sz w:val="20"/>
                <w:szCs w:val="20"/>
                <w:color w:val="auto"/>
              </w:rPr>
            </w:pPr>
            <w:r>
              <w:rPr>
                <w:rFonts w:ascii="Arial" w:cs="Arial" w:eastAsia="Arial" w:hAnsi="Arial"/>
                <w:sz w:val="14"/>
                <w:szCs w:val="14"/>
                <w:b w:val="1"/>
                <w:bCs w:val="1"/>
                <w:color w:val="auto"/>
              </w:rPr>
              <w:t>Fredrik Olsson</w:t>
            </w:r>
          </w:p>
        </w:tc>
        <w:tc>
          <w:tcPr>
            <w:tcW w:w="3300" w:type="dxa"/>
            <w:vAlign w:val="bottom"/>
          </w:tcPr>
          <w:p>
            <w:pPr>
              <w:jc w:val="right"/>
              <w:ind w:right="729"/>
              <w:spacing w:after="0"/>
              <w:rPr>
                <w:sz w:val="20"/>
                <w:szCs w:val="20"/>
                <w:color w:val="auto"/>
              </w:rPr>
            </w:pPr>
            <w:r>
              <w:rPr>
                <w:rFonts w:ascii="Arial" w:cs="Arial" w:eastAsia="Arial" w:hAnsi="Arial"/>
                <w:sz w:val="14"/>
                <w:szCs w:val="14"/>
                <w:color w:val="auto"/>
              </w:rPr>
              <w:t>€900,000</w:t>
            </w:r>
          </w:p>
        </w:tc>
        <w:tc>
          <w:tcPr>
            <w:tcW w:w="2560" w:type="dxa"/>
            <w:vAlign w:val="bottom"/>
          </w:tcPr>
          <w:p>
            <w:pPr>
              <w:jc w:val="right"/>
              <w:ind w:right="549"/>
              <w:spacing w:after="0"/>
              <w:rPr>
                <w:sz w:val="20"/>
                <w:szCs w:val="20"/>
                <w:color w:val="auto"/>
              </w:rPr>
            </w:pPr>
            <w:r>
              <w:rPr>
                <w:rFonts w:ascii="Arial" w:cs="Arial" w:eastAsia="Arial" w:hAnsi="Arial"/>
                <w:sz w:val="14"/>
                <w:szCs w:val="14"/>
                <w:color w:val="auto"/>
              </w:rPr>
              <w:t>€900,000</w:t>
            </w:r>
          </w:p>
        </w:tc>
        <w:tc>
          <w:tcPr>
            <w:tcW w:w="226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257"/>
        </w:trPr>
        <w:tc>
          <w:tcPr>
            <w:tcW w:w="2820" w:type="dxa"/>
            <w:vAlign w:val="bottom"/>
            <w:shd w:val="clear" w:color="auto" w:fill="E9F0F3"/>
          </w:tcPr>
          <w:p>
            <w:pPr>
              <w:ind w:left="80"/>
              <w:spacing w:after="0"/>
              <w:rPr>
                <w:sz w:val="20"/>
                <w:szCs w:val="20"/>
                <w:color w:val="auto"/>
              </w:rPr>
            </w:pPr>
            <w:r>
              <w:rPr>
                <w:rFonts w:ascii="Arial" w:cs="Arial" w:eastAsia="Arial" w:hAnsi="Arial"/>
                <w:sz w:val="14"/>
                <w:szCs w:val="14"/>
                <w:b w:val="1"/>
                <w:bCs w:val="1"/>
                <w:color w:val="auto"/>
              </w:rPr>
              <w:t>David Savman</w:t>
            </w:r>
          </w:p>
        </w:tc>
        <w:tc>
          <w:tcPr>
            <w:tcW w:w="3300" w:type="dxa"/>
            <w:vAlign w:val="bottom"/>
            <w:shd w:val="clear" w:color="auto" w:fill="E9F0F3"/>
          </w:tcPr>
          <w:p>
            <w:pPr>
              <w:jc w:val="right"/>
              <w:ind w:right="729"/>
              <w:spacing w:after="0"/>
              <w:rPr>
                <w:sz w:val="20"/>
                <w:szCs w:val="20"/>
                <w:color w:val="auto"/>
              </w:rPr>
            </w:pPr>
            <w:r>
              <w:rPr>
                <w:rFonts w:ascii="Arial" w:cs="Arial" w:eastAsia="Arial" w:hAnsi="Arial"/>
                <w:sz w:val="14"/>
                <w:szCs w:val="14"/>
                <w:color w:val="auto"/>
              </w:rPr>
              <w:t>$825,000</w:t>
            </w:r>
          </w:p>
        </w:tc>
        <w:tc>
          <w:tcPr>
            <w:tcW w:w="2560" w:type="dxa"/>
            <w:vAlign w:val="bottom"/>
            <w:shd w:val="clear" w:color="auto" w:fill="E9F0F3"/>
          </w:tcPr>
          <w:p>
            <w:pPr>
              <w:jc w:val="right"/>
              <w:ind w:right="549"/>
              <w:spacing w:after="0"/>
              <w:rPr>
                <w:sz w:val="20"/>
                <w:szCs w:val="20"/>
                <w:color w:val="auto"/>
              </w:rPr>
            </w:pPr>
            <w:r>
              <w:rPr>
                <w:rFonts w:ascii="Arial" w:cs="Arial" w:eastAsia="Arial" w:hAnsi="Arial"/>
                <w:sz w:val="14"/>
                <w:szCs w:val="14"/>
                <w:color w:val="auto"/>
              </w:rPr>
              <w:t>$825,000</w:t>
            </w:r>
          </w:p>
        </w:tc>
        <w:tc>
          <w:tcPr>
            <w:tcW w:w="22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0%</w:t>
            </w:r>
          </w:p>
        </w:tc>
      </w:tr>
      <w:tr>
        <w:trPr>
          <w:trHeight w:val="247"/>
        </w:trPr>
        <w:tc>
          <w:tcPr>
            <w:tcW w:w="2820" w:type="dxa"/>
            <w:vAlign w:val="bottom"/>
          </w:tcPr>
          <w:p>
            <w:pPr>
              <w:ind w:left="80"/>
              <w:spacing w:after="0"/>
              <w:rPr>
                <w:sz w:val="20"/>
                <w:szCs w:val="20"/>
                <w:color w:val="auto"/>
              </w:rPr>
            </w:pPr>
            <w:r>
              <w:rPr>
                <w:rFonts w:ascii="Arial" w:cs="Arial" w:eastAsia="Arial" w:hAnsi="Arial"/>
                <w:sz w:val="14"/>
                <w:szCs w:val="14"/>
                <w:b w:val="1"/>
                <w:bCs w:val="1"/>
                <w:color w:val="auto"/>
              </w:rPr>
              <w:t>Zachary J. Coughlin</w:t>
            </w:r>
            <w:r>
              <w:rPr>
                <w:rFonts w:ascii="Arial" w:cs="Arial" w:eastAsia="Arial" w:hAnsi="Arial"/>
                <w:sz w:val="16"/>
                <w:szCs w:val="16"/>
                <w:b w:val="1"/>
                <w:bCs w:val="1"/>
                <w:color w:val="auto"/>
                <w:vertAlign w:val="superscript"/>
              </w:rPr>
              <w:t>1</w:t>
            </w:r>
          </w:p>
        </w:tc>
        <w:tc>
          <w:tcPr>
            <w:tcW w:w="3300" w:type="dxa"/>
            <w:vAlign w:val="bottom"/>
          </w:tcPr>
          <w:p>
            <w:pPr>
              <w:jc w:val="right"/>
              <w:ind w:right="729"/>
              <w:spacing w:after="0"/>
              <w:rPr>
                <w:sz w:val="20"/>
                <w:szCs w:val="20"/>
                <w:color w:val="auto"/>
              </w:rPr>
            </w:pPr>
            <w:r>
              <w:rPr>
                <w:rFonts w:ascii="Arial" w:cs="Arial" w:eastAsia="Arial" w:hAnsi="Arial"/>
                <w:sz w:val="14"/>
                <w:szCs w:val="14"/>
                <w:color w:val="auto"/>
              </w:rPr>
              <w:t>$900,000</w:t>
            </w:r>
          </w:p>
        </w:tc>
        <w:tc>
          <w:tcPr>
            <w:tcW w:w="2560" w:type="dxa"/>
            <w:vAlign w:val="bottom"/>
          </w:tcPr>
          <w:p>
            <w:pPr>
              <w:jc w:val="right"/>
              <w:ind w:right="549"/>
              <w:spacing w:after="0"/>
              <w:rPr>
                <w:sz w:val="20"/>
                <w:szCs w:val="20"/>
                <w:color w:val="auto"/>
              </w:rPr>
            </w:pPr>
            <w:r>
              <w:rPr>
                <w:rFonts w:ascii="Arial" w:cs="Arial" w:eastAsia="Arial" w:hAnsi="Arial"/>
                <w:sz w:val="14"/>
                <w:szCs w:val="14"/>
                <w:color w:val="auto"/>
              </w:rPr>
              <w:t>$900,000</w:t>
            </w:r>
          </w:p>
        </w:tc>
        <w:tc>
          <w:tcPr>
            <w:tcW w:w="226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247"/>
        </w:trPr>
        <w:tc>
          <w:tcPr>
            <w:tcW w:w="2820" w:type="dxa"/>
            <w:vAlign w:val="bottom"/>
            <w:shd w:val="clear" w:color="auto" w:fill="E9F0F3"/>
          </w:tcPr>
          <w:p>
            <w:pPr>
              <w:ind w:left="80"/>
              <w:spacing w:after="0"/>
              <w:rPr>
                <w:sz w:val="20"/>
                <w:szCs w:val="20"/>
                <w:color w:val="auto"/>
              </w:rPr>
            </w:pPr>
            <w:r>
              <w:rPr>
                <w:rFonts w:ascii="Arial" w:cs="Arial" w:eastAsia="Arial" w:hAnsi="Arial"/>
                <w:sz w:val="14"/>
                <w:szCs w:val="14"/>
                <w:b w:val="1"/>
                <w:bCs w:val="1"/>
                <w:color w:val="auto"/>
              </w:rPr>
              <w:t>Eva Serrano</w:t>
            </w:r>
            <w:r>
              <w:rPr>
                <w:rFonts w:ascii="Arial" w:cs="Arial" w:eastAsia="Arial" w:hAnsi="Arial"/>
                <w:sz w:val="16"/>
                <w:szCs w:val="16"/>
                <w:b w:val="1"/>
                <w:bCs w:val="1"/>
                <w:color w:val="auto"/>
                <w:vertAlign w:val="superscript"/>
              </w:rPr>
              <w:t>1</w:t>
            </w:r>
          </w:p>
        </w:tc>
        <w:tc>
          <w:tcPr>
            <w:tcW w:w="3300" w:type="dxa"/>
            <w:vAlign w:val="bottom"/>
            <w:shd w:val="clear" w:color="auto" w:fill="E9F0F3"/>
          </w:tcPr>
          <w:p>
            <w:pPr>
              <w:jc w:val="right"/>
              <w:ind w:right="729"/>
              <w:spacing w:after="0"/>
              <w:rPr>
                <w:sz w:val="20"/>
                <w:szCs w:val="20"/>
                <w:color w:val="auto"/>
              </w:rPr>
            </w:pPr>
            <w:r>
              <w:rPr>
                <w:rFonts w:ascii="Arial" w:cs="Arial" w:eastAsia="Arial" w:hAnsi="Arial"/>
                <w:sz w:val="14"/>
                <w:szCs w:val="14"/>
                <w:color w:val="auto"/>
              </w:rPr>
              <w:t>$850,000</w:t>
            </w:r>
          </w:p>
        </w:tc>
        <w:tc>
          <w:tcPr>
            <w:tcW w:w="2560" w:type="dxa"/>
            <w:vAlign w:val="bottom"/>
            <w:shd w:val="clear" w:color="auto" w:fill="E9F0F3"/>
          </w:tcPr>
          <w:p>
            <w:pPr>
              <w:jc w:val="right"/>
              <w:ind w:right="549"/>
              <w:spacing w:after="0"/>
              <w:rPr>
                <w:sz w:val="20"/>
                <w:szCs w:val="20"/>
                <w:color w:val="auto"/>
              </w:rPr>
            </w:pPr>
            <w:r>
              <w:rPr>
                <w:rFonts w:ascii="Arial" w:cs="Arial" w:eastAsia="Arial" w:hAnsi="Arial"/>
                <w:sz w:val="14"/>
                <w:szCs w:val="14"/>
                <w:color w:val="auto"/>
              </w:rPr>
              <w:t>$850,000</w:t>
            </w:r>
          </w:p>
        </w:tc>
        <w:tc>
          <w:tcPr>
            <w:tcW w:w="22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0%</w:t>
            </w:r>
          </w:p>
        </w:tc>
      </w:tr>
    </w:tbl>
    <w:p>
      <w:pPr>
        <w:spacing w:after="0" w:line="1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1  Mr. Coughlin voluntarily resigned without good reason and Ms. Serrano was separated from the company, both effective December 31, 2025.</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Short-Term Incentives – Performance Incentive Bonus Plan</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6D98AD"/>
        </w:rPr>
        <w:t>Objective</w:t>
      </w:r>
    </w:p>
    <w:p>
      <w:pPr>
        <w:spacing w:after="0" w:line="49" w:lineRule="exact"/>
        <w:rPr>
          <w:sz w:val="20"/>
          <w:szCs w:val="20"/>
          <w:color w:val="auto"/>
        </w:rPr>
      </w:pPr>
    </w:p>
    <w:p>
      <w:pPr>
        <w:ind w:left="20" w:right="260"/>
        <w:spacing w:after="0" w:line="258" w:lineRule="auto"/>
        <w:rPr>
          <w:sz w:val="20"/>
          <w:szCs w:val="20"/>
          <w:color w:val="auto"/>
        </w:rPr>
      </w:pPr>
      <w:r>
        <w:rPr>
          <w:rFonts w:ascii="Arial" w:cs="Arial" w:eastAsia="Arial" w:hAnsi="Arial"/>
          <w:sz w:val="14"/>
          <w:szCs w:val="14"/>
          <w:color w:val="auto"/>
        </w:rPr>
        <w:t>Annual bonus awards under our Performance Incentive Bonus Plan provide cash compensation that is at risk and contingent on the achievement of short-term company performance goals and, for NEOs within business units, performance goals for the business units they lead. We establish performance targets that we believe are rigorous, and at the same time, not likely to encourage excessive risk-taking. As evidence of this rigor, over the past five years our performance against the goals established for bonuses has varied significantly, ranging from between threshold and target to maximum.</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6D98AD"/>
        </w:rPr>
        <w:t>Considerations</w:t>
      </w:r>
    </w:p>
    <w:p>
      <w:pPr>
        <w:spacing w:after="0" w:line="49" w:lineRule="exact"/>
        <w:rPr>
          <w:sz w:val="20"/>
          <w:szCs w:val="20"/>
          <w:color w:val="auto"/>
        </w:rPr>
      </w:pPr>
    </w:p>
    <w:p>
      <w:pPr>
        <w:ind w:left="20"/>
        <w:spacing w:after="0" w:line="264" w:lineRule="auto"/>
        <w:rPr>
          <w:sz w:val="20"/>
          <w:szCs w:val="20"/>
          <w:color w:val="auto"/>
        </w:rPr>
      </w:pPr>
      <w:r>
        <w:rPr>
          <w:rFonts w:ascii="Arial" w:cs="Arial" w:eastAsia="Arial" w:hAnsi="Arial"/>
          <w:sz w:val="14"/>
          <w:szCs w:val="14"/>
          <w:color w:val="auto"/>
        </w:rPr>
        <w:t>We believe annual bonuses are appropriate to motivate our NEOs to execute against the budget and business plans approved by the Board each year. These budgets typically are the basis of our earnings and other guidance, assessments of our performance in earnings releases, and discussions with investors. We generally align performance metrics for annual bonus awards to our annual budgets and establish the goals and payout opportunities after the Board approves the annual budget.</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Compensation Committee makes three sets of decisions regarding annual bonuses before making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694817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536"/>
        </w:trPr>
        <w:tc>
          <w:tcPr>
            <w:tcW w:w="2540" w:type="dxa"/>
            <w:vAlign w:val="bottom"/>
          </w:tcPr>
          <w:p>
            <w:pPr>
              <w:spacing w:after="0"/>
              <w:rPr>
                <w:sz w:val="20"/>
                <w:szCs w:val="20"/>
                <w:color w:val="auto"/>
              </w:rPr>
            </w:pPr>
            <w:r>
              <w:rPr>
                <w:rFonts w:ascii="Arial" w:cs="Arial" w:eastAsia="Arial" w:hAnsi="Arial"/>
                <w:sz w:val="44"/>
                <w:szCs w:val="44"/>
                <w:color w:val="6D98AD"/>
              </w:rPr>
              <w:t>1</w:t>
            </w:r>
          </w:p>
        </w:tc>
        <w:tc>
          <w:tcPr>
            <w:tcW w:w="3220" w:type="dxa"/>
            <w:vAlign w:val="bottom"/>
          </w:tcPr>
          <w:p>
            <w:pPr>
              <w:ind w:left="240"/>
              <w:spacing w:after="0"/>
              <w:rPr>
                <w:sz w:val="20"/>
                <w:szCs w:val="20"/>
                <w:color w:val="auto"/>
              </w:rPr>
            </w:pPr>
            <w:r>
              <w:rPr>
                <w:rFonts w:ascii="Arial" w:cs="Arial" w:eastAsia="Arial" w:hAnsi="Arial"/>
                <w:sz w:val="44"/>
                <w:szCs w:val="44"/>
                <w:color w:val="6D98AD"/>
              </w:rPr>
              <w:t>2</w:t>
            </w:r>
          </w:p>
        </w:tc>
        <w:tc>
          <w:tcPr>
            <w:tcW w:w="4540" w:type="dxa"/>
            <w:vAlign w:val="bottom"/>
          </w:tcPr>
          <w:p>
            <w:pPr>
              <w:ind w:left="740"/>
              <w:spacing w:after="0"/>
              <w:rPr>
                <w:sz w:val="20"/>
                <w:szCs w:val="20"/>
                <w:color w:val="auto"/>
              </w:rPr>
            </w:pPr>
            <w:r>
              <w:rPr>
                <w:rFonts w:ascii="Arial" w:cs="Arial" w:eastAsia="Arial" w:hAnsi="Arial"/>
                <w:sz w:val="44"/>
                <w:szCs w:val="44"/>
                <w:color w:val="6D98AD"/>
              </w:rPr>
              <w:t>3</w:t>
            </w:r>
          </w:p>
        </w:tc>
      </w:tr>
      <w:tr>
        <w:trPr>
          <w:trHeight w:val="165"/>
        </w:trPr>
        <w:tc>
          <w:tcPr>
            <w:tcW w:w="2540" w:type="dxa"/>
            <w:vAlign w:val="bottom"/>
          </w:tcPr>
          <w:p>
            <w:pPr>
              <w:spacing w:after="0"/>
              <w:rPr>
                <w:sz w:val="20"/>
                <w:szCs w:val="20"/>
                <w:color w:val="auto"/>
              </w:rPr>
            </w:pPr>
            <w:r>
              <w:rPr>
                <w:rFonts w:ascii="Arial" w:cs="Arial" w:eastAsia="Arial" w:hAnsi="Arial"/>
                <w:sz w:val="14"/>
                <w:szCs w:val="14"/>
                <w:color w:val="auto"/>
              </w:rPr>
              <w:t>Potential target bonus opportunity (%</w:t>
            </w:r>
          </w:p>
        </w:tc>
        <w:tc>
          <w:tcPr>
            <w:tcW w:w="3220" w:type="dxa"/>
            <w:vAlign w:val="bottom"/>
          </w:tcPr>
          <w:p>
            <w:pPr>
              <w:ind w:left="240"/>
              <w:spacing w:after="0"/>
              <w:rPr>
                <w:sz w:val="20"/>
                <w:szCs w:val="20"/>
                <w:color w:val="auto"/>
              </w:rPr>
            </w:pPr>
            <w:r>
              <w:rPr>
                <w:rFonts w:ascii="Arial" w:cs="Arial" w:eastAsia="Arial" w:hAnsi="Arial"/>
                <w:sz w:val="14"/>
                <w:szCs w:val="14"/>
                <w:color w:val="auto"/>
              </w:rPr>
              <w:t>Financial metrics that will determine</w:t>
            </w:r>
          </w:p>
        </w:tc>
        <w:tc>
          <w:tcPr>
            <w:tcW w:w="4540" w:type="dxa"/>
            <w:vAlign w:val="bottom"/>
          </w:tcPr>
          <w:p>
            <w:pPr>
              <w:ind w:left="740"/>
              <w:spacing w:after="0"/>
              <w:rPr>
                <w:sz w:val="20"/>
                <w:szCs w:val="20"/>
                <w:color w:val="auto"/>
              </w:rPr>
            </w:pPr>
            <w:r>
              <w:rPr>
                <w:rFonts w:ascii="Arial" w:cs="Arial" w:eastAsia="Arial" w:hAnsi="Arial"/>
                <w:sz w:val="14"/>
                <w:szCs w:val="14"/>
                <w:color w:val="auto"/>
              </w:rPr>
              <w:t>Non-financial strategic and performance goals</w:t>
            </w:r>
          </w:p>
        </w:tc>
      </w:tr>
      <w:tr>
        <w:trPr>
          <w:trHeight w:val="165"/>
        </w:trPr>
        <w:tc>
          <w:tcPr>
            <w:tcW w:w="2540" w:type="dxa"/>
            <w:vAlign w:val="bottom"/>
          </w:tcPr>
          <w:p>
            <w:pPr>
              <w:spacing w:after="0"/>
              <w:rPr>
                <w:sz w:val="20"/>
                <w:szCs w:val="20"/>
                <w:color w:val="auto"/>
              </w:rPr>
            </w:pPr>
            <w:r>
              <w:rPr>
                <w:rFonts w:ascii="Arial" w:cs="Arial" w:eastAsia="Arial" w:hAnsi="Arial"/>
                <w:sz w:val="14"/>
                <w:szCs w:val="14"/>
                <w:color w:val="auto"/>
              </w:rPr>
              <w:t>of base salary) for each NEO.</w:t>
            </w:r>
          </w:p>
        </w:tc>
        <w:tc>
          <w:tcPr>
            <w:tcW w:w="3220" w:type="dxa"/>
            <w:vAlign w:val="bottom"/>
          </w:tcPr>
          <w:p>
            <w:pPr>
              <w:ind w:left="240"/>
              <w:spacing w:after="0"/>
              <w:rPr>
                <w:sz w:val="20"/>
                <w:szCs w:val="20"/>
                <w:color w:val="auto"/>
              </w:rPr>
            </w:pPr>
            <w:r>
              <w:rPr>
                <w:rFonts w:ascii="Arial" w:cs="Arial" w:eastAsia="Arial" w:hAnsi="Arial"/>
                <w:sz w:val="14"/>
                <w:szCs w:val="14"/>
                <w:color w:val="auto"/>
              </w:rPr>
              <w:t>award payouts, and specific goals</w:t>
            </w:r>
          </w:p>
        </w:tc>
        <w:tc>
          <w:tcPr>
            <w:tcW w:w="4540" w:type="dxa"/>
            <w:vAlign w:val="bottom"/>
          </w:tcPr>
          <w:p>
            <w:pPr>
              <w:ind w:left="740"/>
              <w:spacing w:after="0"/>
              <w:rPr>
                <w:sz w:val="20"/>
                <w:szCs w:val="20"/>
                <w:color w:val="auto"/>
              </w:rPr>
            </w:pPr>
            <w:r>
              <w:rPr>
                <w:rFonts w:ascii="Arial" w:cs="Arial" w:eastAsia="Arial" w:hAnsi="Arial"/>
                <w:sz w:val="14"/>
                <w:szCs w:val="14"/>
                <w:color w:val="auto"/>
              </w:rPr>
              <w:t>applicable to all the NEOs against which they are individually</w:t>
            </w:r>
          </w:p>
        </w:tc>
      </w:tr>
      <w:tr>
        <w:trPr>
          <w:trHeight w:val="186"/>
        </w:trPr>
        <w:tc>
          <w:tcPr>
            <w:tcW w:w="2540" w:type="dxa"/>
            <w:vAlign w:val="bottom"/>
          </w:tcPr>
          <w:p>
            <w:pPr>
              <w:spacing w:after="0"/>
              <w:rPr>
                <w:sz w:val="16"/>
                <w:szCs w:val="16"/>
                <w:color w:val="auto"/>
              </w:rPr>
            </w:pPr>
          </w:p>
        </w:tc>
        <w:tc>
          <w:tcPr>
            <w:tcW w:w="3220" w:type="dxa"/>
            <w:vAlign w:val="bottom"/>
          </w:tcPr>
          <w:p>
            <w:pPr>
              <w:ind w:left="240"/>
              <w:spacing w:after="0"/>
              <w:rPr>
                <w:sz w:val="20"/>
                <w:szCs w:val="20"/>
                <w:color w:val="auto"/>
              </w:rPr>
            </w:pPr>
            <w:r>
              <w:rPr>
                <w:rFonts w:ascii="Arial" w:cs="Arial" w:eastAsia="Arial" w:hAnsi="Arial"/>
                <w:sz w:val="14"/>
                <w:szCs w:val="14"/>
                <w:color w:val="auto"/>
              </w:rPr>
              <w:t>for each.</w:t>
            </w:r>
          </w:p>
        </w:tc>
        <w:tc>
          <w:tcPr>
            <w:tcW w:w="4540" w:type="dxa"/>
            <w:vAlign w:val="bottom"/>
          </w:tcPr>
          <w:p>
            <w:pPr>
              <w:ind w:left="740"/>
              <w:spacing w:after="0"/>
              <w:rPr>
                <w:sz w:val="20"/>
                <w:szCs w:val="20"/>
                <w:color w:val="auto"/>
              </w:rPr>
            </w:pPr>
            <w:r>
              <w:rPr>
                <w:rFonts w:ascii="Arial" w:cs="Arial" w:eastAsia="Arial" w:hAnsi="Arial"/>
                <w:sz w:val="14"/>
                <w:szCs w:val="14"/>
                <w:color w:val="auto"/>
              </w:rPr>
              <w:t>assessed.</w:t>
            </w:r>
          </w:p>
        </w:tc>
      </w:tr>
    </w:tbl>
    <w:p>
      <w:pPr>
        <w:spacing w:after="0" w:line="27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6D98AD"/>
        </w:rPr>
        <w:t>2025 Decisions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After the Board approved the 2025 budget, we adhered to standard practice and set bonus awards in the first quarter.</w:t>
      </w:r>
    </w:p>
    <w:p>
      <w:pPr>
        <w:spacing w:after="0" w:line="110" w:lineRule="exact"/>
        <w:rPr>
          <w:sz w:val="20"/>
          <w:szCs w:val="20"/>
          <w:color w:val="auto"/>
        </w:rPr>
      </w:pPr>
    </w:p>
    <w:p>
      <w:pPr>
        <w:ind w:left="20" w:right="380"/>
        <w:spacing w:after="0" w:line="282" w:lineRule="auto"/>
        <w:rPr>
          <w:sz w:val="20"/>
          <w:szCs w:val="20"/>
          <w:color w:val="auto"/>
        </w:rPr>
      </w:pPr>
      <w:r>
        <w:rPr>
          <w:rFonts w:ascii="Arial" w:cs="Arial" w:eastAsia="Arial" w:hAnsi="Arial"/>
          <w:sz w:val="14"/>
          <w:szCs w:val="14"/>
          <w:color w:val="auto"/>
        </w:rPr>
        <w:t>The performance measures for awards at both the Total PVH and business unit level were EBIT and revenue. These measures were assigned weights for each NEO that varied based on the NEO’s scope of responsibility.</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49CAB"/>
        </w:rPr>
        <w:t xml:space="preserve">COMPENSATION DISCUSSION &amp; ANALYSIS </w:t>
      </w:r>
      <w:r>
        <w:rPr>
          <w:rFonts w:ascii="Arial" w:cs="Arial" w:eastAsia="Arial" w:hAnsi="Arial"/>
          <w:sz w:val="11"/>
          <w:szCs w:val="11"/>
          <w:color w:val="000000"/>
        </w:rPr>
        <w:t>/ PVH CORP. 2026 PROXY STATEMENT /</w:t>
      </w:r>
      <w:r>
        <w:rPr>
          <w:rFonts w:ascii="Arial" w:cs="Arial" w:eastAsia="Arial" w:hAnsi="Arial"/>
          <w:sz w:val="11"/>
          <w:szCs w:val="11"/>
          <w:b w:val="1"/>
          <w:bCs w:val="1"/>
          <w:color w:val="749CAB"/>
        </w:rPr>
        <w:t xml:space="preserve"> </w:t>
      </w:r>
      <w:r>
        <w:rPr>
          <w:rFonts w:ascii="Arial" w:cs="Arial" w:eastAsia="Arial" w:hAnsi="Arial"/>
          <w:sz w:val="11"/>
          <w:szCs w:val="11"/>
          <w:b w:val="1"/>
          <w:bCs w:val="1"/>
          <w:color w:val="00000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695515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177" w:right="479" w:bottom="1440" w:gutter="0" w:footer="0" w:header="0"/>
        </w:sectPr>
      </w:pPr>
    </w:p>
    <w:bookmarkStart w:id="50" w:name="page51"/>
    <w:bookmarkEnd w:id="50"/>
    <w:p>
      <w:pPr>
        <w:ind w:left="20"/>
        <w:spacing w:after="0"/>
        <w:rPr>
          <w:sz w:val="20"/>
          <w:szCs w:val="20"/>
          <w:color w:val="auto"/>
        </w:rPr>
      </w:pPr>
      <w:r>
        <w:rPr>
          <w:rFonts w:ascii="Arial" w:cs="Arial" w:eastAsia="Arial" w:hAnsi="Arial"/>
          <w:sz w:val="14"/>
          <w:szCs w:val="14"/>
          <w:b w:val="1"/>
          <w:bCs w:val="1"/>
          <w:color w:val="auto"/>
        </w:rPr>
        <w:t>Potential bonus payouts and financial metrics</w:t>
      </w:r>
    </w:p>
    <w:p>
      <w:pPr>
        <w:spacing w:after="0" w:line="39" w:lineRule="exact"/>
        <w:rPr>
          <w:sz w:val="20"/>
          <w:szCs w:val="20"/>
          <w:color w:val="auto"/>
        </w:rPr>
      </w:pPr>
    </w:p>
    <w:p>
      <w:pPr>
        <w:ind w:left="20" w:right="160"/>
        <w:spacing w:after="0" w:line="282" w:lineRule="auto"/>
        <w:rPr>
          <w:sz w:val="20"/>
          <w:szCs w:val="20"/>
          <w:color w:val="auto"/>
        </w:rPr>
      </w:pPr>
      <w:r>
        <w:rPr>
          <w:rFonts w:ascii="Arial" w:cs="Arial" w:eastAsia="Arial" w:hAnsi="Arial"/>
          <w:sz w:val="14"/>
          <w:szCs w:val="14"/>
          <w:color w:val="auto"/>
        </w:rPr>
        <w:t>The Compensation Committee sets threshold, target and maximum payout opportunities for each NEO, expressed as a percentage of the NEO’s base salary. Threshold and maximum payout for all NEOs are 25% and 200%, respectively, of their annual target shown below.</w:t>
      </w:r>
    </w:p>
    <w:p>
      <w:pPr>
        <w:spacing w:after="0" w:line="57" w:lineRule="exact"/>
        <w:rPr>
          <w:sz w:val="20"/>
          <w:szCs w:val="20"/>
          <w:color w:val="auto"/>
        </w:rPr>
      </w:pPr>
    </w:p>
    <w:p>
      <w:pPr>
        <w:ind w:left="20" w:right="80"/>
        <w:spacing w:after="0" w:line="282" w:lineRule="auto"/>
        <w:rPr>
          <w:sz w:val="20"/>
          <w:szCs w:val="20"/>
          <w:color w:val="auto"/>
        </w:rPr>
      </w:pPr>
      <w:r>
        <w:rPr>
          <w:rFonts w:ascii="Arial" w:cs="Arial" w:eastAsia="Arial" w:hAnsi="Arial"/>
          <w:sz w:val="14"/>
          <w:szCs w:val="14"/>
          <w:color w:val="auto"/>
        </w:rPr>
        <w:t>Annual bonuses for Messrs. Larsson and Coughlin and Ms. Stone were based entirely upon Total PVH performance, while bonuses for Mses. Rytz Goldman and Serrano and Messrs. Olsson and Savman were based on both Total PVH performance and the performance of their respective business units, in the proportions shown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140" w:type="dxa"/>
            <w:vAlign w:val="bottom"/>
            <w:shd w:val="clear" w:color="auto" w:fill="99B7C6"/>
          </w:tcPr>
          <w:p>
            <w:pPr>
              <w:spacing w:after="0"/>
              <w:rPr>
                <w:sz w:val="21"/>
                <w:szCs w:val="21"/>
                <w:color w:val="auto"/>
              </w:rPr>
            </w:pPr>
          </w:p>
        </w:tc>
        <w:tc>
          <w:tcPr>
            <w:tcW w:w="1580" w:type="dxa"/>
            <w:vAlign w:val="bottom"/>
            <w:shd w:val="clear" w:color="auto" w:fill="99B7C6"/>
          </w:tcPr>
          <w:p>
            <w:pPr>
              <w:spacing w:after="0"/>
              <w:rPr>
                <w:sz w:val="21"/>
                <w:szCs w:val="21"/>
                <w:color w:val="auto"/>
              </w:rPr>
            </w:pPr>
          </w:p>
        </w:tc>
        <w:tc>
          <w:tcPr>
            <w:tcW w:w="1040" w:type="dxa"/>
            <w:vAlign w:val="bottom"/>
            <w:shd w:val="clear" w:color="auto" w:fill="99B7C6"/>
          </w:tcPr>
          <w:p>
            <w:pPr>
              <w:spacing w:after="0"/>
              <w:rPr>
                <w:sz w:val="21"/>
                <w:szCs w:val="21"/>
                <w:color w:val="auto"/>
              </w:rPr>
            </w:pPr>
          </w:p>
        </w:tc>
        <w:tc>
          <w:tcPr>
            <w:tcW w:w="100" w:type="dxa"/>
            <w:vAlign w:val="bottom"/>
            <w:shd w:val="clear" w:color="auto" w:fill="99B7C6"/>
          </w:tcPr>
          <w:p>
            <w:pPr>
              <w:spacing w:after="0"/>
              <w:rPr>
                <w:sz w:val="21"/>
                <w:szCs w:val="21"/>
                <w:color w:val="auto"/>
              </w:rPr>
            </w:pPr>
          </w:p>
        </w:tc>
        <w:tc>
          <w:tcPr>
            <w:tcW w:w="360" w:type="dxa"/>
            <w:vAlign w:val="bottom"/>
            <w:shd w:val="clear" w:color="auto" w:fill="99B7C6"/>
          </w:tcPr>
          <w:p>
            <w:pPr>
              <w:spacing w:after="0"/>
              <w:rPr>
                <w:sz w:val="21"/>
                <w:szCs w:val="21"/>
                <w:color w:val="auto"/>
              </w:rPr>
            </w:pPr>
          </w:p>
        </w:tc>
        <w:tc>
          <w:tcPr>
            <w:tcW w:w="1220" w:type="dxa"/>
            <w:vAlign w:val="bottom"/>
            <w:shd w:val="clear" w:color="auto" w:fill="99B7C6"/>
          </w:tcPr>
          <w:p>
            <w:pPr>
              <w:spacing w:after="0"/>
              <w:rPr>
                <w:sz w:val="21"/>
                <w:szCs w:val="21"/>
                <w:color w:val="auto"/>
              </w:rPr>
            </w:pPr>
          </w:p>
        </w:tc>
        <w:tc>
          <w:tcPr>
            <w:tcW w:w="240" w:type="dxa"/>
            <w:vAlign w:val="bottom"/>
            <w:shd w:val="clear" w:color="auto" w:fill="99B7C6"/>
          </w:tcPr>
          <w:p>
            <w:pPr>
              <w:spacing w:after="0"/>
              <w:rPr>
                <w:sz w:val="21"/>
                <w:szCs w:val="21"/>
                <w:color w:val="auto"/>
              </w:rPr>
            </w:pPr>
          </w:p>
        </w:tc>
        <w:tc>
          <w:tcPr>
            <w:tcW w:w="140" w:type="dxa"/>
            <w:vAlign w:val="bottom"/>
            <w:shd w:val="clear" w:color="auto" w:fill="6D98AD"/>
          </w:tcPr>
          <w:p>
            <w:pPr>
              <w:spacing w:after="0"/>
              <w:rPr>
                <w:sz w:val="21"/>
                <w:szCs w:val="21"/>
                <w:color w:val="auto"/>
              </w:rPr>
            </w:pPr>
          </w:p>
        </w:tc>
        <w:tc>
          <w:tcPr>
            <w:tcW w:w="2340" w:type="dxa"/>
            <w:vAlign w:val="bottom"/>
            <w:gridSpan w:val="3"/>
            <w:shd w:val="clear" w:color="auto" w:fill="6D98AD"/>
          </w:tcPr>
          <w:p>
            <w:pPr>
              <w:jc w:val="center"/>
              <w:spacing w:after="0"/>
              <w:rPr>
                <w:sz w:val="20"/>
                <w:szCs w:val="20"/>
                <w:color w:val="auto"/>
              </w:rPr>
            </w:pPr>
            <w:r>
              <w:rPr>
                <w:rFonts w:ascii="Arial" w:cs="Arial" w:eastAsia="Arial" w:hAnsi="Arial"/>
                <w:sz w:val="14"/>
                <w:szCs w:val="14"/>
                <w:b w:val="1"/>
                <w:bCs w:val="1"/>
                <w:color w:val="FFFFFF"/>
              </w:rPr>
              <w:t>Financial Metrics and Weights as</w:t>
            </w:r>
          </w:p>
        </w:tc>
        <w:tc>
          <w:tcPr>
            <w:tcW w:w="160" w:type="dxa"/>
            <w:vAlign w:val="bottom"/>
            <w:shd w:val="clear" w:color="auto" w:fill="6D98AD"/>
          </w:tcPr>
          <w:p>
            <w:pPr>
              <w:spacing w:after="0"/>
              <w:rPr>
                <w:sz w:val="21"/>
                <w:szCs w:val="21"/>
                <w:color w:val="auto"/>
              </w:rPr>
            </w:pPr>
          </w:p>
        </w:tc>
        <w:tc>
          <w:tcPr>
            <w:tcW w:w="280" w:type="dxa"/>
            <w:vAlign w:val="bottom"/>
            <w:shd w:val="clear" w:color="auto" w:fill="99B7C6"/>
          </w:tcPr>
          <w:p>
            <w:pPr>
              <w:spacing w:after="0"/>
              <w:rPr>
                <w:sz w:val="21"/>
                <w:szCs w:val="21"/>
                <w:color w:val="auto"/>
              </w:rPr>
            </w:pPr>
          </w:p>
        </w:tc>
        <w:tc>
          <w:tcPr>
            <w:tcW w:w="1340" w:type="dxa"/>
            <w:vAlign w:val="bottom"/>
            <w:shd w:val="clear" w:color="auto" w:fill="99B7C6"/>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140" w:type="dxa"/>
            <w:vAlign w:val="bottom"/>
            <w:shd w:val="clear" w:color="auto" w:fill="99B7C6"/>
          </w:tcPr>
          <w:p>
            <w:pPr>
              <w:spacing w:after="0"/>
              <w:rPr>
                <w:sz w:val="14"/>
                <w:szCs w:val="14"/>
                <w:color w:val="auto"/>
              </w:rPr>
            </w:pPr>
          </w:p>
        </w:tc>
        <w:tc>
          <w:tcPr>
            <w:tcW w:w="1580" w:type="dxa"/>
            <w:vAlign w:val="bottom"/>
            <w:shd w:val="clear" w:color="auto" w:fill="99B7C6"/>
          </w:tcPr>
          <w:p>
            <w:pPr>
              <w:spacing w:after="0"/>
              <w:rPr>
                <w:sz w:val="14"/>
                <w:szCs w:val="14"/>
                <w:color w:val="auto"/>
              </w:rPr>
            </w:pPr>
          </w:p>
        </w:tc>
        <w:tc>
          <w:tcPr>
            <w:tcW w:w="1040" w:type="dxa"/>
            <w:vAlign w:val="bottom"/>
            <w:shd w:val="clear" w:color="auto" w:fill="99B7C6"/>
          </w:tcPr>
          <w:p>
            <w:pPr>
              <w:spacing w:after="0"/>
              <w:rPr>
                <w:sz w:val="14"/>
                <w:szCs w:val="14"/>
                <w:color w:val="auto"/>
              </w:rPr>
            </w:pPr>
          </w:p>
        </w:tc>
        <w:tc>
          <w:tcPr>
            <w:tcW w:w="100" w:type="dxa"/>
            <w:vAlign w:val="bottom"/>
            <w:shd w:val="clear" w:color="auto" w:fill="99B7C6"/>
          </w:tcPr>
          <w:p>
            <w:pPr>
              <w:spacing w:after="0"/>
              <w:rPr>
                <w:sz w:val="14"/>
                <w:szCs w:val="14"/>
                <w:color w:val="auto"/>
              </w:rPr>
            </w:pPr>
          </w:p>
        </w:tc>
        <w:tc>
          <w:tcPr>
            <w:tcW w:w="360" w:type="dxa"/>
            <w:vAlign w:val="bottom"/>
            <w:shd w:val="clear" w:color="auto" w:fill="99B7C6"/>
          </w:tcPr>
          <w:p>
            <w:pPr>
              <w:spacing w:after="0"/>
              <w:rPr>
                <w:sz w:val="14"/>
                <w:szCs w:val="14"/>
                <w:color w:val="auto"/>
              </w:rPr>
            </w:pPr>
          </w:p>
        </w:tc>
        <w:tc>
          <w:tcPr>
            <w:tcW w:w="1220" w:type="dxa"/>
            <w:vAlign w:val="bottom"/>
            <w:shd w:val="clear" w:color="auto" w:fill="99B7C6"/>
          </w:tcPr>
          <w:p>
            <w:pPr>
              <w:spacing w:after="0"/>
              <w:rPr>
                <w:sz w:val="14"/>
                <w:szCs w:val="14"/>
                <w:color w:val="auto"/>
              </w:rPr>
            </w:pPr>
          </w:p>
        </w:tc>
        <w:tc>
          <w:tcPr>
            <w:tcW w:w="240" w:type="dxa"/>
            <w:vAlign w:val="bottom"/>
            <w:shd w:val="clear" w:color="auto" w:fill="99B7C6"/>
          </w:tcPr>
          <w:p>
            <w:pPr>
              <w:spacing w:after="0"/>
              <w:rPr>
                <w:sz w:val="14"/>
                <w:szCs w:val="14"/>
                <w:color w:val="auto"/>
              </w:rPr>
            </w:pPr>
          </w:p>
        </w:tc>
        <w:tc>
          <w:tcPr>
            <w:tcW w:w="140" w:type="dxa"/>
            <w:vAlign w:val="bottom"/>
            <w:shd w:val="clear" w:color="auto" w:fill="6D98AD"/>
          </w:tcPr>
          <w:p>
            <w:pPr>
              <w:spacing w:after="0"/>
              <w:rPr>
                <w:sz w:val="14"/>
                <w:szCs w:val="14"/>
                <w:color w:val="auto"/>
              </w:rPr>
            </w:pPr>
          </w:p>
        </w:tc>
        <w:tc>
          <w:tcPr>
            <w:tcW w:w="2340" w:type="dxa"/>
            <w:vAlign w:val="bottom"/>
            <w:gridSpan w:val="3"/>
            <w:shd w:val="clear" w:color="auto" w:fill="6D98AD"/>
          </w:tcPr>
          <w:p>
            <w:pPr>
              <w:jc w:val="center"/>
              <w:spacing w:after="0"/>
              <w:rPr>
                <w:sz w:val="20"/>
                <w:szCs w:val="20"/>
                <w:color w:val="auto"/>
              </w:rPr>
            </w:pPr>
            <w:r>
              <w:rPr>
                <w:rFonts w:ascii="Arial" w:cs="Arial" w:eastAsia="Arial" w:hAnsi="Arial"/>
                <w:sz w:val="14"/>
                <w:szCs w:val="14"/>
                <w:b w:val="1"/>
                <w:bCs w:val="1"/>
                <w:color w:val="FFFFFF"/>
                <w:w w:val="99"/>
              </w:rPr>
              <w:t>a Percent of Each NEO’s Target</w:t>
            </w:r>
          </w:p>
        </w:tc>
        <w:tc>
          <w:tcPr>
            <w:tcW w:w="160" w:type="dxa"/>
            <w:vAlign w:val="bottom"/>
            <w:shd w:val="clear" w:color="auto" w:fill="6D98AD"/>
          </w:tcPr>
          <w:p>
            <w:pPr>
              <w:spacing w:after="0"/>
              <w:rPr>
                <w:sz w:val="14"/>
                <w:szCs w:val="14"/>
                <w:color w:val="auto"/>
              </w:rPr>
            </w:pPr>
          </w:p>
        </w:tc>
        <w:tc>
          <w:tcPr>
            <w:tcW w:w="280" w:type="dxa"/>
            <w:vAlign w:val="bottom"/>
            <w:shd w:val="clear" w:color="auto" w:fill="99B7C6"/>
          </w:tcPr>
          <w:p>
            <w:pPr>
              <w:spacing w:after="0"/>
              <w:rPr>
                <w:sz w:val="14"/>
                <w:szCs w:val="14"/>
                <w:color w:val="auto"/>
              </w:rPr>
            </w:pPr>
          </w:p>
        </w:tc>
        <w:tc>
          <w:tcPr>
            <w:tcW w:w="1340" w:type="dxa"/>
            <w:vAlign w:val="bottom"/>
            <w:shd w:val="clear" w:color="auto" w:fill="99B7C6"/>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140" w:type="dxa"/>
            <w:vAlign w:val="bottom"/>
            <w:tcBorders>
              <w:bottom w:val="single" w:sz="8" w:color="99B7C6"/>
            </w:tcBorders>
            <w:shd w:val="clear" w:color="auto" w:fill="99B7C6"/>
          </w:tcPr>
          <w:p>
            <w:pPr>
              <w:spacing w:after="0"/>
              <w:rPr>
                <w:sz w:val="19"/>
                <w:szCs w:val="19"/>
                <w:color w:val="auto"/>
              </w:rPr>
            </w:pPr>
          </w:p>
        </w:tc>
        <w:tc>
          <w:tcPr>
            <w:tcW w:w="1580" w:type="dxa"/>
            <w:vAlign w:val="bottom"/>
            <w:tcBorders>
              <w:bottom w:val="single" w:sz="8" w:color="99B7C6"/>
            </w:tcBorders>
            <w:shd w:val="clear" w:color="auto" w:fill="99B7C6"/>
          </w:tcPr>
          <w:p>
            <w:pPr>
              <w:spacing w:after="0"/>
              <w:rPr>
                <w:sz w:val="19"/>
                <w:szCs w:val="19"/>
                <w:color w:val="auto"/>
              </w:rPr>
            </w:pPr>
          </w:p>
        </w:tc>
        <w:tc>
          <w:tcPr>
            <w:tcW w:w="1040" w:type="dxa"/>
            <w:vAlign w:val="bottom"/>
            <w:tcBorders>
              <w:bottom w:val="single" w:sz="8" w:color="99B7C6"/>
            </w:tcBorders>
            <w:shd w:val="clear" w:color="auto" w:fill="99B7C6"/>
          </w:tcPr>
          <w:p>
            <w:pPr>
              <w:spacing w:after="0"/>
              <w:rPr>
                <w:sz w:val="19"/>
                <w:szCs w:val="19"/>
                <w:color w:val="auto"/>
              </w:rPr>
            </w:pPr>
          </w:p>
        </w:tc>
        <w:tc>
          <w:tcPr>
            <w:tcW w:w="100" w:type="dxa"/>
            <w:vAlign w:val="bottom"/>
            <w:tcBorders>
              <w:bottom w:val="single" w:sz="8" w:color="99B7C6"/>
            </w:tcBorders>
            <w:shd w:val="clear" w:color="auto" w:fill="99B7C6"/>
          </w:tcPr>
          <w:p>
            <w:pPr>
              <w:spacing w:after="0"/>
              <w:rPr>
                <w:sz w:val="19"/>
                <w:szCs w:val="19"/>
                <w:color w:val="auto"/>
              </w:rPr>
            </w:pPr>
          </w:p>
        </w:tc>
        <w:tc>
          <w:tcPr>
            <w:tcW w:w="360" w:type="dxa"/>
            <w:vAlign w:val="bottom"/>
            <w:tcBorders>
              <w:bottom w:val="single" w:sz="8" w:color="99B7C6"/>
            </w:tcBorders>
            <w:shd w:val="clear" w:color="auto" w:fill="99B7C6"/>
          </w:tcPr>
          <w:p>
            <w:pPr>
              <w:spacing w:after="0"/>
              <w:rPr>
                <w:sz w:val="19"/>
                <w:szCs w:val="19"/>
                <w:color w:val="auto"/>
              </w:rPr>
            </w:pPr>
          </w:p>
        </w:tc>
        <w:tc>
          <w:tcPr>
            <w:tcW w:w="1220" w:type="dxa"/>
            <w:vAlign w:val="bottom"/>
            <w:tcBorders>
              <w:bottom w:val="single" w:sz="8" w:color="99B7C6"/>
            </w:tcBorders>
            <w:shd w:val="clear" w:color="auto" w:fill="99B7C6"/>
          </w:tcPr>
          <w:p>
            <w:pPr>
              <w:jc w:val="center"/>
              <w:ind w:left="9"/>
              <w:spacing w:after="0"/>
              <w:rPr>
                <w:sz w:val="20"/>
                <w:szCs w:val="20"/>
                <w:color w:val="auto"/>
              </w:rPr>
            </w:pPr>
            <w:r>
              <w:rPr>
                <w:rFonts w:ascii="Arial" w:cs="Arial" w:eastAsia="Arial" w:hAnsi="Arial"/>
                <w:sz w:val="14"/>
                <w:szCs w:val="14"/>
                <w:b w:val="1"/>
                <w:bCs w:val="1"/>
                <w:color w:val="FFFFFF"/>
                <w:w w:val="99"/>
              </w:rPr>
              <w:t>Target Annual</w:t>
            </w:r>
          </w:p>
        </w:tc>
        <w:tc>
          <w:tcPr>
            <w:tcW w:w="240" w:type="dxa"/>
            <w:vAlign w:val="bottom"/>
            <w:tcBorders>
              <w:bottom w:val="single" w:sz="8" w:color="99B7C6"/>
            </w:tcBorders>
            <w:shd w:val="clear" w:color="auto" w:fill="99B7C6"/>
          </w:tcPr>
          <w:p>
            <w:pPr>
              <w:spacing w:after="0"/>
              <w:rPr>
                <w:sz w:val="19"/>
                <w:szCs w:val="19"/>
                <w:color w:val="auto"/>
              </w:rPr>
            </w:pPr>
          </w:p>
        </w:tc>
        <w:tc>
          <w:tcPr>
            <w:tcW w:w="140" w:type="dxa"/>
            <w:vAlign w:val="bottom"/>
            <w:tcBorders>
              <w:bottom w:val="single" w:sz="8" w:color="8AADBD"/>
            </w:tcBorders>
            <w:shd w:val="clear" w:color="auto" w:fill="6D98AD"/>
          </w:tcPr>
          <w:p>
            <w:pPr>
              <w:spacing w:after="0"/>
              <w:rPr>
                <w:sz w:val="19"/>
                <w:szCs w:val="19"/>
                <w:color w:val="auto"/>
              </w:rPr>
            </w:pPr>
          </w:p>
        </w:tc>
        <w:tc>
          <w:tcPr>
            <w:tcW w:w="2340" w:type="dxa"/>
            <w:vAlign w:val="bottom"/>
            <w:tcBorders>
              <w:bottom w:val="single" w:sz="8" w:color="8AADBD"/>
            </w:tcBorders>
            <w:gridSpan w:val="3"/>
            <w:shd w:val="clear" w:color="auto" w:fill="6D98AD"/>
          </w:tcPr>
          <w:p>
            <w:pPr>
              <w:jc w:val="center"/>
              <w:spacing w:after="0"/>
              <w:rPr>
                <w:sz w:val="20"/>
                <w:szCs w:val="20"/>
                <w:color w:val="auto"/>
              </w:rPr>
            </w:pPr>
            <w:r>
              <w:rPr>
                <w:rFonts w:ascii="Arial" w:cs="Arial" w:eastAsia="Arial" w:hAnsi="Arial"/>
                <w:sz w:val="14"/>
                <w:szCs w:val="14"/>
                <w:b w:val="1"/>
                <w:bCs w:val="1"/>
                <w:color w:val="FFFFFF"/>
                <w:w w:val="99"/>
              </w:rPr>
              <w:t>Annual Incentive</w:t>
            </w:r>
          </w:p>
        </w:tc>
        <w:tc>
          <w:tcPr>
            <w:tcW w:w="160" w:type="dxa"/>
            <w:vAlign w:val="bottom"/>
            <w:tcBorders>
              <w:bottom w:val="single" w:sz="8" w:color="8AADBD"/>
            </w:tcBorders>
            <w:shd w:val="clear" w:color="auto" w:fill="6D98AD"/>
          </w:tcPr>
          <w:p>
            <w:pPr>
              <w:spacing w:after="0"/>
              <w:rPr>
                <w:sz w:val="19"/>
                <w:szCs w:val="19"/>
                <w:color w:val="auto"/>
              </w:rPr>
            </w:pPr>
          </w:p>
        </w:tc>
        <w:tc>
          <w:tcPr>
            <w:tcW w:w="280" w:type="dxa"/>
            <w:vAlign w:val="bottom"/>
            <w:tcBorders>
              <w:bottom w:val="single" w:sz="8" w:color="A7C1CE"/>
            </w:tcBorders>
            <w:shd w:val="clear" w:color="auto" w:fill="99B7C6"/>
          </w:tcPr>
          <w:p>
            <w:pPr>
              <w:spacing w:after="0"/>
              <w:rPr>
                <w:sz w:val="19"/>
                <w:szCs w:val="19"/>
                <w:color w:val="auto"/>
              </w:rPr>
            </w:pPr>
          </w:p>
        </w:tc>
        <w:tc>
          <w:tcPr>
            <w:tcW w:w="1340" w:type="dxa"/>
            <w:vAlign w:val="bottom"/>
            <w:tcBorders>
              <w:bottom w:val="single" w:sz="8" w:color="A7C1CE"/>
            </w:tcBorders>
            <w:shd w:val="clear" w:color="auto" w:fill="99B7C6"/>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140" w:type="dxa"/>
            <w:vAlign w:val="bottom"/>
            <w:shd w:val="clear" w:color="auto" w:fill="99B7C6"/>
          </w:tcPr>
          <w:p>
            <w:pPr>
              <w:spacing w:after="0"/>
              <w:rPr>
                <w:sz w:val="14"/>
                <w:szCs w:val="14"/>
                <w:color w:val="auto"/>
              </w:rPr>
            </w:pPr>
          </w:p>
        </w:tc>
        <w:tc>
          <w:tcPr>
            <w:tcW w:w="1580" w:type="dxa"/>
            <w:vAlign w:val="bottom"/>
            <w:shd w:val="clear" w:color="auto" w:fill="99B7C6"/>
          </w:tcPr>
          <w:p>
            <w:pPr>
              <w:spacing w:after="0"/>
              <w:rPr>
                <w:sz w:val="14"/>
                <w:szCs w:val="14"/>
                <w:color w:val="auto"/>
              </w:rPr>
            </w:pPr>
          </w:p>
        </w:tc>
        <w:tc>
          <w:tcPr>
            <w:tcW w:w="1040" w:type="dxa"/>
            <w:vAlign w:val="bottom"/>
            <w:shd w:val="clear" w:color="auto" w:fill="99B7C6"/>
          </w:tcPr>
          <w:p>
            <w:pPr>
              <w:spacing w:after="0"/>
              <w:rPr>
                <w:sz w:val="14"/>
                <w:szCs w:val="14"/>
                <w:color w:val="auto"/>
              </w:rPr>
            </w:pPr>
          </w:p>
        </w:tc>
        <w:tc>
          <w:tcPr>
            <w:tcW w:w="100" w:type="dxa"/>
            <w:vAlign w:val="bottom"/>
            <w:shd w:val="clear" w:color="auto" w:fill="99B7C6"/>
          </w:tcPr>
          <w:p>
            <w:pPr>
              <w:spacing w:after="0"/>
              <w:rPr>
                <w:sz w:val="14"/>
                <w:szCs w:val="14"/>
                <w:color w:val="auto"/>
              </w:rPr>
            </w:pPr>
          </w:p>
        </w:tc>
        <w:tc>
          <w:tcPr>
            <w:tcW w:w="360" w:type="dxa"/>
            <w:vAlign w:val="bottom"/>
            <w:shd w:val="clear" w:color="auto" w:fill="99B7C6"/>
          </w:tcPr>
          <w:p>
            <w:pPr>
              <w:spacing w:after="0"/>
              <w:rPr>
                <w:sz w:val="14"/>
                <w:szCs w:val="14"/>
                <w:color w:val="auto"/>
              </w:rPr>
            </w:pPr>
          </w:p>
        </w:tc>
        <w:tc>
          <w:tcPr>
            <w:tcW w:w="1220" w:type="dxa"/>
            <w:vAlign w:val="bottom"/>
            <w:shd w:val="clear" w:color="auto" w:fill="99B7C6"/>
          </w:tcPr>
          <w:p>
            <w:pPr>
              <w:jc w:val="center"/>
              <w:ind w:left="9"/>
              <w:spacing w:after="0"/>
              <w:rPr>
                <w:sz w:val="20"/>
                <w:szCs w:val="20"/>
                <w:color w:val="auto"/>
              </w:rPr>
            </w:pPr>
            <w:r>
              <w:rPr>
                <w:rFonts w:ascii="Arial" w:cs="Arial" w:eastAsia="Arial" w:hAnsi="Arial"/>
                <w:sz w:val="14"/>
                <w:szCs w:val="14"/>
                <w:b w:val="1"/>
                <w:bCs w:val="1"/>
                <w:color w:val="FFFFFF"/>
              </w:rPr>
              <w:t>Incentive as a</w:t>
            </w:r>
          </w:p>
        </w:tc>
        <w:tc>
          <w:tcPr>
            <w:tcW w:w="240" w:type="dxa"/>
            <w:vAlign w:val="bottom"/>
            <w:shd w:val="clear" w:color="auto" w:fill="99B7C6"/>
          </w:tcPr>
          <w:p>
            <w:pPr>
              <w:spacing w:after="0"/>
              <w:rPr>
                <w:sz w:val="14"/>
                <w:szCs w:val="14"/>
                <w:color w:val="auto"/>
              </w:rPr>
            </w:pPr>
          </w:p>
        </w:tc>
        <w:tc>
          <w:tcPr>
            <w:tcW w:w="140" w:type="dxa"/>
            <w:vAlign w:val="bottom"/>
            <w:vMerge w:val="restart"/>
            <w:shd w:val="clear" w:color="auto" w:fill="8AADBD"/>
          </w:tcPr>
          <w:p>
            <w:pPr>
              <w:jc w:val="right"/>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8AADBD"/>
          </w:tcPr>
          <w:p>
            <w:pPr>
              <w:jc w:val="center"/>
              <w:spacing w:after="0"/>
              <w:rPr>
                <w:sz w:val="20"/>
                <w:szCs w:val="20"/>
                <w:color w:val="auto"/>
              </w:rPr>
            </w:pPr>
            <w:r>
              <w:rPr>
                <w:rFonts w:ascii="Arial" w:cs="Arial" w:eastAsia="Arial" w:hAnsi="Arial"/>
                <w:sz w:val="14"/>
                <w:szCs w:val="14"/>
                <w:b w:val="1"/>
                <w:bCs w:val="1"/>
                <w:color w:val="FFFFFF"/>
                <w:w w:val="99"/>
              </w:rPr>
              <w:t>Total PVH</w:t>
            </w:r>
          </w:p>
        </w:tc>
        <w:tc>
          <w:tcPr>
            <w:tcW w:w="200" w:type="dxa"/>
            <w:vAlign w:val="bottom"/>
            <w:shd w:val="clear" w:color="auto" w:fill="8AADBD"/>
          </w:tcPr>
          <w:p>
            <w:pPr>
              <w:spacing w:after="0"/>
              <w:rPr>
                <w:sz w:val="14"/>
                <w:szCs w:val="14"/>
                <w:color w:val="auto"/>
              </w:rPr>
            </w:pPr>
          </w:p>
        </w:tc>
        <w:tc>
          <w:tcPr>
            <w:tcW w:w="1140" w:type="dxa"/>
            <w:vAlign w:val="bottom"/>
            <w:shd w:val="clear" w:color="auto" w:fill="8AADBD"/>
          </w:tcPr>
          <w:p>
            <w:pPr>
              <w:jc w:val="right"/>
              <w:ind w:right="49"/>
              <w:spacing w:after="0"/>
              <w:rPr>
                <w:sz w:val="20"/>
                <w:szCs w:val="20"/>
                <w:color w:val="auto"/>
              </w:rPr>
            </w:pPr>
            <w:r>
              <w:rPr>
                <w:rFonts w:ascii="Arial" w:cs="Arial" w:eastAsia="Arial" w:hAnsi="Arial"/>
                <w:sz w:val="14"/>
                <w:szCs w:val="14"/>
                <w:b w:val="1"/>
                <w:bCs w:val="1"/>
                <w:color w:val="FFFFFF"/>
              </w:rPr>
              <w:t>Business Unit</w:t>
            </w:r>
          </w:p>
        </w:tc>
        <w:tc>
          <w:tcPr>
            <w:tcW w:w="160" w:type="dxa"/>
            <w:vAlign w:val="bottom"/>
            <w:vMerge w:val="restart"/>
            <w:shd w:val="clear" w:color="auto" w:fill="8AADBD"/>
          </w:tcPr>
          <w:p>
            <w:pPr>
              <w:jc w:val="right"/>
              <w:spacing w:after="0"/>
              <w:rPr>
                <w:sz w:val="20"/>
                <w:szCs w:val="20"/>
                <w:color w:val="auto"/>
              </w:rPr>
            </w:pPr>
            <w:r>
              <w:rPr>
                <w:rFonts w:ascii="Arial" w:cs="Arial" w:eastAsia="Arial" w:hAnsi="Arial"/>
                <w:sz w:val="14"/>
                <w:szCs w:val="14"/>
                <w:b w:val="1"/>
                <w:bCs w:val="1"/>
                <w:color w:val="FFFFFF"/>
              </w:rPr>
              <w:t>)</w:t>
            </w:r>
          </w:p>
        </w:tc>
        <w:tc>
          <w:tcPr>
            <w:tcW w:w="280" w:type="dxa"/>
            <w:vAlign w:val="bottom"/>
            <w:shd w:val="clear" w:color="auto" w:fill="A7C1CE"/>
          </w:tcPr>
          <w:p>
            <w:pPr>
              <w:spacing w:after="0"/>
              <w:rPr>
                <w:sz w:val="14"/>
                <w:szCs w:val="14"/>
                <w:color w:val="auto"/>
              </w:rPr>
            </w:pPr>
          </w:p>
        </w:tc>
        <w:tc>
          <w:tcPr>
            <w:tcW w:w="1340" w:type="dxa"/>
            <w:vAlign w:val="bottom"/>
            <w:shd w:val="clear" w:color="auto" w:fill="A7C1CE"/>
          </w:tcPr>
          <w:p>
            <w:pPr>
              <w:jc w:val="right"/>
              <w:ind w:right="49"/>
              <w:spacing w:after="0"/>
              <w:rPr>
                <w:sz w:val="20"/>
                <w:szCs w:val="20"/>
                <w:color w:val="auto"/>
              </w:rPr>
            </w:pPr>
            <w:r>
              <w:rPr>
                <w:rFonts w:ascii="Arial" w:cs="Arial" w:eastAsia="Arial" w:hAnsi="Arial"/>
                <w:sz w:val="14"/>
                <w:szCs w:val="14"/>
                <w:b w:val="1"/>
                <w:bCs w:val="1"/>
                <w:color w:val="FFFFFF"/>
              </w:rPr>
              <w:t>Target Annual</w:t>
            </w:r>
          </w:p>
        </w:tc>
        <w:tc>
          <w:tcPr>
            <w:tcW w:w="0" w:type="dxa"/>
            <w:vAlign w:val="bottom"/>
          </w:tcPr>
          <w:p>
            <w:pPr>
              <w:spacing w:after="0"/>
              <w:rPr>
                <w:sz w:val="1"/>
                <w:szCs w:val="1"/>
                <w:color w:val="auto"/>
              </w:rPr>
            </w:pPr>
          </w:p>
        </w:tc>
      </w:tr>
      <w:tr>
        <w:trPr>
          <w:trHeight w:val="213"/>
        </w:trPr>
        <w:tc>
          <w:tcPr>
            <w:tcW w:w="2140" w:type="dxa"/>
            <w:vAlign w:val="bottom"/>
            <w:shd w:val="clear" w:color="auto" w:fill="99B7C6"/>
          </w:tcPr>
          <w:p>
            <w:pPr>
              <w:ind w:left="60"/>
              <w:spacing w:after="0"/>
              <w:rPr>
                <w:sz w:val="20"/>
                <w:szCs w:val="20"/>
                <w:color w:val="auto"/>
              </w:rPr>
            </w:pPr>
            <w:r>
              <w:rPr>
                <w:rFonts w:ascii="Arial" w:cs="Arial" w:eastAsia="Arial" w:hAnsi="Arial"/>
                <w:sz w:val="14"/>
                <w:szCs w:val="14"/>
                <w:b w:val="1"/>
                <w:bCs w:val="1"/>
                <w:color w:val="FFFFFF"/>
              </w:rPr>
              <w:t>NEO</w:t>
            </w:r>
          </w:p>
        </w:tc>
        <w:tc>
          <w:tcPr>
            <w:tcW w:w="1580" w:type="dxa"/>
            <w:vAlign w:val="bottom"/>
            <w:shd w:val="clear" w:color="auto" w:fill="99B7C6"/>
          </w:tcPr>
          <w:p>
            <w:pPr>
              <w:ind w:left="60"/>
              <w:spacing w:after="0"/>
              <w:rPr>
                <w:sz w:val="20"/>
                <w:szCs w:val="20"/>
                <w:color w:val="auto"/>
              </w:rPr>
            </w:pPr>
            <w:r>
              <w:rPr>
                <w:rFonts w:ascii="Arial" w:cs="Arial" w:eastAsia="Arial" w:hAnsi="Arial"/>
                <w:sz w:val="14"/>
                <w:szCs w:val="14"/>
                <w:b w:val="1"/>
                <w:bCs w:val="1"/>
                <w:color w:val="FFFFFF"/>
              </w:rPr>
              <w:t>Business Unit</w:t>
            </w:r>
          </w:p>
        </w:tc>
        <w:tc>
          <w:tcPr>
            <w:tcW w:w="1140" w:type="dxa"/>
            <w:vAlign w:val="bottom"/>
            <w:gridSpan w:val="2"/>
            <w:shd w:val="clear" w:color="auto" w:fill="99B7C6"/>
          </w:tcPr>
          <w:p>
            <w:pPr>
              <w:jc w:val="right"/>
              <w:ind w:right="100"/>
              <w:spacing w:after="0"/>
              <w:rPr>
                <w:sz w:val="20"/>
                <w:szCs w:val="20"/>
                <w:color w:val="auto"/>
              </w:rPr>
            </w:pPr>
            <w:r>
              <w:rPr>
                <w:rFonts w:ascii="Arial" w:cs="Arial" w:eastAsia="Arial" w:hAnsi="Arial"/>
                <w:sz w:val="14"/>
                <w:szCs w:val="14"/>
                <w:b w:val="1"/>
                <w:bCs w:val="1"/>
                <w:color w:val="FFFFFF"/>
              </w:rPr>
              <w:t>Base Salary</w:t>
            </w:r>
          </w:p>
        </w:tc>
        <w:tc>
          <w:tcPr>
            <w:tcW w:w="360" w:type="dxa"/>
            <w:vAlign w:val="bottom"/>
            <w:shd w:val="clear" w:color="auto" w:fill="99B7C6"/>
          </w:tcPr>
          <w:p>
            <w:pPr>
              <w:ind w:left="80"/>
              <w:spacing w:after="0"/>
              <w:rPr>
                <w:sz w:val="20"/>
                <w:szCs w:val="20"/>
                <w:color w:val="auto"/>
              </w:rPr>
            </w:pPr>
            <w:r>
              <w:rPr>
                <w:rFonts w:ascii="Arial" w:cs="Arial" w:eastAsia="Arial" w:hAnsi="Arial"/>
                <w:sz w:val="14"/>
                <w:szCs w:val="14"/>
                <w:b w:val="1"/>
                <w:bCs w:val="1"/>
                <w:color w:val="FFFFFF"/>
              </w:rPr>
              <w:t>x</w:t>
            </w:r>
          </w:p>
        </w:tc>
        <w:tc>
          <w:tcPr>
            <w:tcW w:w="1220" w:type="dxa"/>
            <w:vAlign w:val="bottom"/>
            <w:shd w:val="clear" w:color="auto" w:fill="99B7C6"/>
          </w:tcPr>
          <w:p>
            <w:pPr>
              <w:jc w:val="center"/>
              <w:ind w:left="29"/>
              <w:spacing w:after="0"/>
              <w:rPr>
                <w:sz w:val="20"/>
                <w:szCs w:val="20"/>
                <w:color w:val="auto"/>
              </w:rPr>
            </w:pPr>
            <w:r>
              <w:rPr>
                <w:rFonts w:ascii="Arial" w:cs="Arial" w:eastAsia="Arial" w:hAnsi="Arial"/>
                <w:sz w:val="14"/>
                <w:szCs w:val="14"/>
                <w:b w:val="1"/>
                <w:bCs w:val="1"/>
                <w:color w:val="FFFFFF"/>
              </w:rPr>
              <w:t>% of Salary</w:t>
            </w:r>
          </w:p>
        </w:tc>
        <w:tc>
          <w:tcPr>
            <w:tcW w:w="240" w:type="dxa"/>
            <w:vAlign w:val="bottom"/>
            <w:shd w:val="clear" w:color="auto" w:fill="99B7C6"/>
          </w:tcPr>
          <w:p>
            <w:pPr>
              <w:ind w:left="120"/>
              <w:spacing w:after="0"/>
              <w:rPr>
                <w:sz w:val="20"/>
                <w:szCs w:val="20"/>
                <w:color w:val="auto"/>
              </w:rPr>
            </w:pPr>
            <w:r>
              <w:rPr>
                <w:rFonts w:ascii="Arial" w:cs="Arial" w:eastAsia="Arial" w:hAnsi="Arial"/>
                <w:sz w:val="14"/>
                <w:szCs w:val="14"/>
                <w:b w:val="1"/>
                <w:bCs w:val="1"/>
                <w:color w:val="FFFFFF"/>
              </w:rPr>
              <w:t>x</w:t>
            </w:r>
          </w:p>
        </w:tc>
        <w:tc>
          <w:tcPr>
            <w:tcW w:w="140" w:type="dxa"/>
            <w:vAlign w:val="bottom"/>
            <w:vMerge w:val="continue"/>
            <w:shd w:val="clear" w:color="auto" w:fill="8AADBD"/>
          </w:tcPr>
          <w:p>
            <w:pPr>
              <w:spacing w:after="0"/>
              <w:rPr>
                <w:sz w:val="18"/>
                <w:szCs w:val="18"/>
                <w:color w:val="auto"/>
              </w:rPr>
            </w:pPr>
          </w:p>
        </w:tc>
        <w:tc>
          <w:tcPr>
            <w:tcW w:w="1000" w:type="dxa"/>
            <w:vAlign w:val="bottom"/>
            <w:shd w:val="clear" w:color="auto" w:fill="8AADBD"/>
          </w:tcPr>
          <w:p>
            <w:pPr>
              <w:jc w:val="center"/>
              <w:spacing w:after="0"/>
              <w:rPr>
                <w:sz w:val="20"/>
                <w:szCs w:val="20"/>
                <w:color w:val="auto"/>
              </w:rPr>
            </w:pPr>
            <w:r>
              <w:rPr>
                <w:rFonts w:ascii="Arial" w:cs="Arial" w:eastAsia="Arial" w:hAnsi="Arial"/>
                <w:sz w:val="14"/>
                <w:szCs w:val="14"/>
                <w:b w:val="1"/>
                <w:bCs w:val="1"/>
                <w:color w:val="FFFFFF"/>
              </w:rPr>
              <w:t>Component</w:t>
            </w:r>
          </w:p>
        </w:tc>
        <w:tc>
          <w:tcPr>
            <w:tcW w:w="200" w:type="dxa"/>
            <w:vAlign w:val="bottom"/>
            <w:shd w:val="clear" w:color="auto" w:fill="8AADBD"/>
          </w:tcPr>
          <w:p>
            <w:pPr>
              <w:jc w:val="right"/>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8AADBD"/>
          </w:tcPr>
          <w:p>
            <w:pPr>
              <w:jc w:val="right"/>
              <w:ind w:right="109"/>
              <w:spacing w:after="0"/>
              <w:rPr>
                <w:sz w:val="20"/>
                <w:szCs w:val="20"/>
                <w:color w:val="auto"/>
              </w:rPr>
            </w:pPr>
            <w:r>
              <w:rPr>
                <w:rFonts w:ascii="Arial" w:cs="Arial" w:eastAsia="Arial" w:hAnsi="Arial"/>
                <w:sz w:val="14"/>
                <w:szCs w:val="14"/>
                <w:b w:val="1"/>
                <w:bCs w:val="1"/>
                <w:color w:val="FFFFFF"/>
              </w:rPr>
              <w:t>Component</w:t>
            </w:r>
          </w:p>
        </w:tc>
        <w:tc>
          <w:tcPr>
            <w:tcW w:w="160" w:type="dxa"/>
            <w:vAlign w:val="bottom"/>
            <w:vMerge w:val="continue"/>
            <w:shd w:val="clear" w:color="auto" w:fill="8AADBD"/>
          </w:tcPr>
          <w:p>
            <w:pPr>
              <w:spacing w:after="0"/>
              <w:rPr>
                <w:sz w:val="18"/>
                <w:szCs w:val="18"/>
                <w:color w:val="auto"/>
              </w:rPr>
            </w:pPr>
          </w:p>
        </w:tc>
        <w:tc>
          <w:tcPr>
            <w:tcW w:w="280" w:type="dxa"/>
            <w:vAlign w:val="bottom"/>
            <w:shd w:val="clear" w:color="auto" w:fill="A7C1CE"/>
          </w:tcPr>
          <w:p>
            <w:pPr>
              <w:jc w:val="right"/>
              <w:ind w:right="29"/>
              <w:spacing w:after="0"/>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A7C1CE"/>
          </w:tcPr>
          <w:p>
            <w:pPr>
              <w:jc w:val="right"/>
              <w:ind w:right="49"/>
              <w:spacing w:after="0"/>
              <w:rPr>
                <w:sz w:val="20"/>
                <w:szCs w:val="20"/>
                <w:color w:val="auto"/>
              </w:rPr>
            </w:pPr>
            <w:r>
              <w:rPr>
                <w:rFonts w:ascii="Arial" w:cs="Arial" w:eastAsia="Arial" w:hAnsi="Arial"/>
                <w:sz w:val="14"/>
                <w:szCs w:val="14"/>
                <w:b w:val="1"/>
                <w:bCs w:val="1"/>
                <w:color w:val="FFFFFF"/>
              </w:rPr>
              <w:t>Incentive Payout</w:t>
            </w:r>
          </w:p>
        </w:tc>
        <w:tc>
          <w:tcPr>
            <w:tcW w:w="0" w:type="dxa"/>
            <w:vAlign w:val="bottom"/>
          </w:tcPr>
          <w:p>
            <w:pPr>
              <w:spacing w:after="0"/>
              <w:rPr>
                <w:sz w:val="1"/>
                <w:szCs w:val="1"/>
                <w:color w:val="auto"/>
              </w:rPr>
            </w:pPr>
          </w:p>
        </w:tc>
      </w:tr>
      <w:tr>
        <w:trPr>
          <w:trHeight w:val="247"/>
        </w:trPr>
        <w:tc>
          <w:tcPr>
            <w:tcW w:w="214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Stefan Larsson</w:t>
            </w:r>
          </w:p>
        </w:tc>
        <w:tc>
          <w:tcPr>
            <w:tcW w:w="1580" w:type="dxa"/>
            <w:vAlign w:val="bottom"/>
            <w:shd w:val="clear" w:color="auto" w:fill="E9F0F3"/>
          </w:tcPr>
          <w:p>
            <w:pPr>
              <w:ind w:left="60"/>
              <w:spacing w:after="0"/>
              <w:rPr>
                <w:sz w:val="20"/>
                <w:szCs w:val="20"/>
                <w:color w:val="auto"/>
              </w:rPr>
            </w:pPr>
            <w:r>
              <w:rPr>
                <w:rFonts w:ascii="Arial" w:cs="Arial" w:eastAsia="Arial" w:hAnsi="Arial"/>
                <w:sz w:val="14"/>
                <w:szCs w:val="14"/>
                <w:color w:val="auto"/>
              </w:rPr>
              <w:t>Total PVH</w:t>
            </w:r>
          </w:p>
        </w:tc>
        <w:tc>
          <w:tcPr>
            <w:tcW w:w="1140" w:type="dxa"/>
            <w:vAlign w:val="bottom"/>
            <w:gridSpan w:val="2"/>
            <w:shd w:val="clear" w:color="auto" w:fill="E9F0F3"/>
          </w:tcPr>
          <w:p>
            <w:pPr>
              <w:jc w:val="right"/>
              <w:ind w:right="100"/>
              <w:spacing w:after="0"/>
              <w:rPr>
                <w:sz w:val="20"/>
                <w:szCs w:val="20"/>
                <w:color w:val="auto"/>
              </w:rPr>
            </w:pPr>
            <w:r>
              <w:rPr>
                <w:rFonts w:ascii="Arial" w:cs="Arial" w:eastAsia="Arial" w:hAnsi="Arial"/>
                <w:sz w:val="14"/>
                <w:szCs w:val="14"/>
                <w:color w:val="auto"/>
              </w:rPr>
              <w:t>$1,450,000</w:t>
            </w:r>
          </w:p>
        </w:tc>
        <w:tc>
          <w:tcPr>
            <w:tcW w:w="360" w:type="dxa"/>
            <w:vAlign w:val="bottom"/>
            <w:shd w:val="clear" w:color="auto" w:fill="E9F0F3"/>
          </w:tcPr>
          <w:p>
            <w:pPr>
              <w:ind w:left="100"/>
              <w:spacing w:after="0"/>
              <w:rPr>
                <w:sz w:val="20"/>
                <w:szCs w:val="20"/>
                <w:color w:val="auto"/>
              </w:rPr>
            </w:pPr>
            <w:r>
              <w:rPr>
                <w:rFonts w:ascii="Arial" w:cs="Arial" w:eastAsia="Arial" w:hAnsi="Arial"/>
                <w:sz w:val="14"/>
                <w:szCs w:val="14"/>
                <w:color w:val="auto"/>
              </w:rPr>
              <w:t>x</w:t>
            </w:r>
          </w:p>
        </w:tc>
        <w:tc>
          <w:tcPr>
            <w:tcW w:w="1220" w:type="dxa"/>
            <w:vAlign w:val="bottom"/>
            <w:shd w:val="clear" w:color="auto" w:fill="E9F0F3"/>
          </w:tcPr>
          <w:p>
            <w:pPr>
              <w:jc w:val="center"/>
              <w:spacing w:after="0"/>
              <w:rPr>
                <w:sz w:val="20"/>
                <w:szCs w:val="20"/>
                <w:color w:val="auto"/>
              </w:rPr>
            </w:pPr>
            <w:r>
              <w:rPr>
                <w:rFonts w:ascii="Arial" w:cs="Arial" w:eastAsia="Arial" w:hAnsi="Arial"/>
                <w:sz w:val="14"/>
                <w:szCs w:val="14"/>
                <w:color w:val="auto"/>
              </w:rPr>
              <w:t>200%</w:t>
            </w:r>
          </w:p>
        </w:tc>
        <w:tc>
          <w:tcPr>
            <w:tcW w:w="240" w:type="dxa"/>
            <w:vAlign w:val="bottom"/>
            <w:shd w:val="clear" w:color="auto" w:fill="E9F0F3"/>
          </w:tcPr>
          <w:p>
            <w:pPr>
              <w:ind w:left="120"/>
              <w:spacing w:after="0"/>
              <w:rPr>
                <w:sz w:val="20"/>
                <w:szCs w:val="20"/>
                <w:color w:val="auto"/>
              </w:rPr>
            </w:pPr>
            <w:r>
              <w:rPr>
                <w:rFonts w:ascii="Arial" w:cs="Arial" w:eastAsia="Arial" w:hAnsi="Arial"/>
                <w:sz w:val="14"/>
                <w:szCs w:val="14"/>
                <w:color w:val="auto"/>
              </w:rPr>
              <w:t>x</w:t>
            </w:r>
          </w:p>
        </w:tc>
        <w:tc>
          <w:tcPr>
            <w:tcW w:w="1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E2EAEF"/>
          </w:tcPr>
          <w:p>
            <w:pPr>
              <w:jc w:val="center"/>
              <w:spacing w:after="0"/>
              <w:rPr>
                <w:sz w:val="20"/>
                <w:szCs w:val="20"/>
                <w:color w:val="auto"/>
              </w:rPr>
            </w:pPr>
            <w:r>
              <w:rPr>
                <w:rFonts w:ascii="Arial" w:cs="Arial" w:eastAsia="Arial" w:hAnsi="Arial"/>
                <w:sz w:val="14"/>
                <w:szCs w:val="14"/>
                <w:color w:val="auto"/>
              </w:rPr>
              <w:t>100%</w:t>
            </w:r>
          </w:p>
        </w:tc>
        <w:tc>
          <w:tcPr>
            <w:tcW w:w="200" w:type="dxa"/>
            <w:vAlign w:val="bottom"/>
            <w:shd w:val="clear" w:color="auto" w:fill="E2EAEF"/>
          </w:tcPr>
          <w:p>
            <w:pPr>
              <w:spacing w:after="0"/>
              <w:rPr>
                <w:sz w:val="21"/>
                <w:szCs w:val="21"/>
                <w:color w:val="auto"/>
              </w:rPr>
            </w:pPr>
          </w:p>
        </w:tc>
        <w:tc>
          <w:tcPr>
            <w:tcW w:w="1140" w:type="dxa"/>
            <w:vAlign w:val="bottom"/>
            <w:shd w:val="clear" w:color="auto" w:fill="E2EAEF"/>
          </w:tcPr>
          <w:p>
            <w:pPr>
              <w:jc w:val="right"/>
              <w:ind w:right="429"/>
              <w:spacing w:after="0"/>
              <w:rPr>
                <w:sz w:val="20"/>
                <w:szCs w:val="20"/>
                <w:color w:val="auto"/>
              </w:rPr>
            </w:pPr>
            <w:r>
              <w:rPr>
                <w:rFonts w:ascii="Arial" w:cs="Arial" w:eastAsia="Arial" w:hAnsi="Arial"/>
                <w:sz w:val="14"/>
                <w:szCs w:val="14"/>
                <w:color w:val="auto"/>
              </w:rPr>
              <w:t>N/A</w:t>
            </w:r>
          </w:p>
        </w:tc>
        <w:tc>
          <w:tcPr>
            <w:tcW w:w="160" w:type="dxa"/>
            <w:vAlign w:val="bottom"/>
            <w:shd w:val="clear" w:color="auto" w:fill="E2EAE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9F0F3"/>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$2,900,000</w:t>
            </w:r>
          </w:p>
        </w:tc>
        <w:tc>
          <w:tcPr>
            <w:tcW w:w="0" w:type="dxa"/>
            <w:vAlign w:val="bottom"/>
          </w:tcPr>
          <w:p>
            <w:pPr>
              <w:spacing w:after="0"/>
              <w:rPr>
                <w:sz w:val="1"/>
                <w:szCs w:val="1"/>
                <w:color w:val="auto"/>
              </w:rPr>
            </w:pPr>
          </w:p>
        </w:tc>
      </w:tr>
      <w:tr>
        <w:trPr>
          <w:trHeight w:val="238"/>
        </w:trPr>
        <w:tc>
          <w:tcPr>
            <w:tcW w:w="2140" w:type="dxa"/>
            <w:vAlign w:val="bottom"/>
          </w:tcPr>
          <w:p>
            <w:pPr>
              <w:ind w:left="60"/>
              <w:spacing w:after="0"/>
              <w:rPr>
                <w:sz w:val="20"/>
                <w:szCs w:val="20"/>
                <w:color w:val="auto"/>
              </w:rPr>
            </w:pPr>
            <w:r>
              <w:rPr>
                <w:rFonts w:ascii="Arial" w:cs="Arial" w:eastAsia="Arial" w:hAnsi="Arial"/>
                <w:sz w:val="14"/>
                <w:szCs w:val="14"/>
                <w:b w:val="1"/>
                <w:bCs w:val="1"/>
                <w:color w:val="auto"/>
              </w:rPr>
              <w:t>Melissa Stone</w:t>
            </w:r>
          </w:p>
        </w:tc>
        <w:tc>
          <w:tcPr>
            <w:tcW w:w="1580" w:type="dxa"/>
            <w:vAlign w:val="bottom"/>
          </w:tcPr>
          <w:p>
            <w:pPr>
              <w:ind w:left="60"/>
              <w:spacing w:after="0"/>
              <w:rPr>
                <w:sz w:val="20"/>
                <w:szCs w:val="20"/>
                <w:color w:val="auto"/>
              </w:rPr>
            </w:pPr>
            <w:r>
              <w:rPr>
                <w:rFonts w:ascii="Arial" w:cs="Arial" w:eastAsia="Arial" w:hAnsi="Arial"/>
                <w:sz w:val="14"/>
                <w:szCs w:val="14"/>
                <w:color w:val="auto"/>
              </w:rPr>
              <w:t>Total PVH</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$550,000</w:t>
            </w:r>
          </w:p>
        </w:tc>
        <w:tc>
          <w:tcPr>
            <w:tcW w:w="36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50%</w:t>
            </w:r>
          </w:p>
        </w:tc>
        <w:tc>
          <w:tcPr>
            <w:tcW w:w="240" w:type="dxa"/>
            <w:vAlign w:val="bottom"/>
          </w:tcPr>
          <w:p>
            <w:pPr>
              <w:ind w:left="120"/>
              <w:spacing w:after="0"/>
              <w:rPr>
                <w:sz w:val="20"/>
                <w:szCs w:val="20"/>
                <w:color w:val="auto"/>
              </w:rPr>
            </w:pPr>
            <w:r>
              <w:rPr>
                <w:rFonts w:ascii="Arial" w:cs="Arial" w:eastAsia="Arial" w:hAnsi="Arial"/>
                <w:sz w:val="14"/>
                <w:szCs w:val="14"/>
                <w:color w:val="auto"/>
              </w:rPr>
              <w:t>x</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center"/>
              <w:spacing w:after="0"/>
              <w:rPr>
                <w:sz w:val="20"/>
                <w:szCs w:val="20"/>
                <w:color w:val="auto"/>
              </w:rPr>
            </w:pPr>
            <w:r>
              <w:rPr>
                <w:rFonts w:ascii="Arial" w:cs="Arial" w:eastAsia="Arial" w:hAnsi="Arial"/>
                <w:sz w:val="14"/>
                <w:szCs w:val="14"/>
                <w:color w:val="auto"/>
              </w:rPr>
              <w:t>100%</w:t>
            </w:r>
          </w:p>
        </w:tc>
        <w:tc>
          <w:tcPr>
            <w:tcW w:w="200" w:type="dxa"/>
            <w:vAlign w:val="bottom"/>
          </w:tcPr>
          <w:p>
            <w:pPr>
              <w:spacing w:after="0"/>
              <w:rPr>
                <w:sz w:val="20"/>
                <w:szCs w:val="20"/>
                <w:color w:val="auto"/>
              </w:rPr>
            </w:pPr>
          </w:p>
        </w:tc>
        <w:tc>
          <w:tcPr>
            <w:tcW w:w="1140" w:type="dxa"/>
            <w:vAlign w:val="bottom"/>
          </w:tcPr>
          <w:p>
            <w:pPr>
              <w:jc w:val="right"/>
              <w:ind w:right="429"/>
              <w:spacing w:after="0"/>
              <w:rPr>
                <w:sz w:val="20"/>
                <w:szCs w:val="20"/>
                <w:color w:val="auto"/>
              </w:rPr>
            </w:pPr>
            <w:r>
              <w:rPr>
                <w:rFonts w:ascii="Arial" w:cs="Arial" w:eastAsia="Arial" w:hAnsi="Arial"/>
                <w:sz w:val="14"/>
                <w:szCs w:val="14"/>
                <w:color w:val="auto"/>
              </w:rPr>
              <w:t>N/A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$275,000</w:t>
            </w:r>
          </w:p>
        </w:tc>
        <w:tc>
          <w:tcPr>
            <w:tcW w:w="0" w:type="dxa"/>
            <w:vAlign w:val="bottom"/>
          </w:tcPr>
          <w:p>
            <w:pPr>
              <w:spacing w:after="0"/>
              <w:rPr>
                <w:sz w:val="1"/>
                <w:szCs w:val="1"/>
                <w:color w:val="auto"/>
              </w:rPr>
            </w:pPr>
          </w:p>
        </w:tc>
      </w:tr>
      <w:tr>
        <w:trPr>
          <w:trHeight w:val="257"/>
        </w:trPr>
        <w:tc>
          <w:tcPr>
            <w:tcW w:w="214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Lea Rytz Goldman</w:t>
            </w:r>
          </w:p>
        </w:tc>
        <w:tc>
          <w:tcPr>
            <w:tcW w:w="1580" w:type="dxa"/>
            <w:vAlign w:val="bottom"/>
            <w:shd w:val="clear" w:color="auto" w:fill="E9F0F3"/>
          </w:tcPr>
          <w:p>
            <w:pPr>
              <w:ind w:left="60"/>
              <w:spacing w:after="0"/>
              <w:rPr>
                <w:sz w:val="20"/>
                <w:szCs w:val="20"/>
                <w:color w:val="auto"/>
              </w:rPr>
            </w:pPr>
            <w:r>
              <w:rPr>
                <w:rFonts w:ascii="Arial" w:cs="Arial" w:eastAsia="Arial" w:hAnsi="Arial"/>
                <w:sz w:val="14"/>
                <w:szCs w:val="14"/>
                <w:color w:val="auto"/>
              </w:rPr>
              <w:t>Tommy Hilfiger Global</w:t>
            </w:r>
          </w:p>
        </w:tc>
        <w:tc>
          <w:tcPr>
            <w:tcW w:w="1140" w:type="dxa"/>
            <w:vAlign w:val="bottom"/>
            <w:gridSpan w:val="2"/>
            <w:shd w:val="clear" w:color="auto" w:fill="E9F0F3"/>
          </w:tcPr>
          <w:p>
            <w:pPr>
              <w:jc w:val="right"/>
              <w:ind w:right="100"/>
              <w:spacing w:after="0"/>
              <w:rPr>
                <w:sz w:val="20"/>
                <w:szCs w:val="20"/>
                <w:color w:val="auto"/>
              </w:rPr>
            </w:pPr>
            <w:r>
              <w:rPr>
                <w:rFonts w:ascii="Arial" w:cs="Arial" w:eastAsia="Arial" w:hAnsi="Arial"/>
                <w:sz w:val="14"/>
                <w:szCs w:val="14"/>
                <w:color w:val="auto"/>
              </w:rPr>
              <w:t>€750,000</w:t>
            </w:r>
          </w:p>
        </w:tc>
        <w:tc>
          <w:tcPr>
            <w:tcW w:w="360" w:type="dxa"/>
            <w:vAlign w:val="bottom"/>
            <w:shd w:val="clear" w:color="auto" w:fill="E9F0F3"/>
          </w:tcPr>
          <w:p>
            <w:pPr>
              <w:ind w:left="100"/>
              <w:spacing w:after="0"/>
              <w:rPr>
                <w:sz w:val="20"/>
                <w:szCs w:val="20"/>
                <w:color w:val="auto"/>
              </w:rPr>
            </w:pPr>
            <w:r>
              <w:rPr>
                <w:rFonts w:ascii="Arial" w:cs="Arial" w:eastAsia="Arial" w:hAnsi="Arial"/>
                <w:sz w:val="14"/>
                <w:szCs w:val="14"/>
                <w:color w:val="auto"/>
              </w:rPr>
              <w:t>x</w:t>
            </w:r>
          </w:p>
        </w:tc>
        <w:tc>
          <w:tcPr>
            <w:tcW w:w="1220" w:type="dxa"/>
            <w:vAlign w:val="bottom"/>
            <w:shd w:val="clear" w:color="auto" w:fill="E9F0F3"/>
          </w:tcPr>
          <w:p>
            <w:pPr>
              <w:jc w:val="center"/>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E9F0F3"/>
          </w:tcPr>
          <w:p>
            <w:pPr>
              <w:ind w:left="120"/>
              <w:spacing w:after="0"/>
              <w:rPr>
                <w:sz w:val="20"/>
                <w:szCs w:val="20"/>
                <w:color w:val="auto"/>
              </w:rPr>
            </w:pPr>
            <w:r>
              <w:rPr>
                <w:rFonts w:ascii="Arial" w:cs="Arial" w:eastAsia="Arial" w:hAnsi="Arial"/>
                <w:sz w:val="14"/>
                <w:szCs w:val="14"/>
                <w:color w:val="auto"/>
              </w:rPr>
              <w:t>x</w:t>
            </w:r>
          </w:p>
        </w:tc>
        <w:tc>
          <w:tcPr>
            <w:tcW w:w="1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E2EAEF"/>
          </w:tcPr>
          <w:p>
            <w:pPr>
              <w:jc w:val="center"/>
              <w:spacing w:after="0"/>
              <w:rPr>
                <w:sz w:val="20"/>
                <w:szCs w:val="20"/>
                <w:color w:val="auto"/>
              </w:rPr>
            </w:pPr>
            <w:r>
              <w:rPr>
                <w:rFonts w:ascii="Arial" w:cs="Arial" w:eastAsia="Arial" w:hAnsi="Arial"/>
                <w:sz w:val="14"/>
                <w:szCs w:val="14"/>
                <w:color w:val="auto"/>
              </w:rPr>
              <w:t>30%</w:t>
            </w:r>
          </w:p>
        </w:tc>
        <w:tc>
          <w:tcPr>
            <w:tcW w:w="200" w:type="dxa"/>
            <w:vAlign w:val="bottom"/>
            <w:shd w:val="clear" w:color="auto" w:fill="E2EAE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2EAEF"/>
          </w:tcPr>
          <w:p>
            <w:pPr>
              <w:jc w:val="right"/>
              <w:ind w:right="329"/>
              <w:spacing w:after="0"/>
              <w:rPr>
                <w:sz w:val="20"/>
                <w:szCs w:val="20"/>
                <w:color w:val="auto"/>
              </w:rPr>
            </w:pPr>
            <w:r>
              <w:rPr>
                <w:rFonts w:ascii="Arial" w:cs="Arial" w:eastAsia="Arial" w:hAnsi="Arial"/>
                <w:sz w:val="14"/>
                <w:szCs w:val="14"/>
                <w:color w:val="auto"/>
              </w:rPr>
              <w:t>70%</w:t>
            </w:r>
          </w:p>
        </w:tc>
        <w:tc>
          <w:tcPr>
            <w:tcW w:w="160" w:type="dxa"/>
            <w:vAlign w:val="bottom"/>
            <w:shd w:val="clear" w:color="auto" w:fill="E2EAE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9F0F3"/>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238"/>
        </w:trPr>
        <w:tc>
          <w:tcPr>
            <w:tcW w:w="2140" w:type="dxa"/>
            <w:vAlign w:val="bottom"/>
          </w:tcPr>
          <w:p>
            <w:pPr>
              <w:ind w:left="60"/>
              <w:spacing w:after="0"/>
              <w:rPr>
                <w:sz w:val="20"/>
                <w:szCs w:val="20"/>
                <w:color w:val="auto"/>
              </w:rPr>
            </w:pPr>
            <w:r>
              <w:rPr>
                <w:rFonts w:ascii="Arial" w:cs="Arial" w:eastAsia="Arial" w:hAnsi="Arial"/>
                <w:sz w:val="14"/>
                <w:szCs w:val="14"/>
                <w:b w:val="1"/>
                <w:bCs w:val="1"/>
                <w:color w:val="auto"/>
              </w:rPr>
              <w:t>Fredrik Olsson</w:t>
            </w:r>
          </w:p>
        </w:tc>
        <w:tc>
          <w:tcPr>
            <w:tcW w:w="1580" w:type="dxa"/>
            <w:vAlign w:val="bottom"/>
          </w:tcPr>
          <w:p>
            <w:pPr>
              <w:ind w:left="60"/>
              <w:spacing w:after="0"/>
              <w:rPr>
                <w:sz w:val="20"/>
                <w:szCs w:val="20"/>
                <w:color w:val="auto"/>
              </w:rPr>
            </w:pPr>
            <w:r>
              <w:rPr>
                <w:rFonts w:ascii="Arial" w:cs="Arial" w:eastAsia="Arial" w:hAnsi="Arial"/>
                <w:sz w:val="14"/>
                <w:szCs w:val="14"/>
                <w:color w:val="auto"/>
              </w:rPr>
              <w:t>PVH Europe</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€900,000</w:t>
            </w:r>
          </w:p>
        </w:tc>
        <w:tc>
          <w:tcPr>
            <w:tcW w:w="360" w:type="dxa"/>
            <w:vAlign w:val="bottom"/>
          </w:tcPr>
          <w:p>
            <w:pPr>
              <w:ind w:left="100"/>
              <w:spacing w:after="0"/>
              <w:rPr>
                <w:sz w:val="20"/>
                <w:szCs w:val="20"/>
                <w:color w:val="auto"/>
              </w:rPr>
            </w:pPr>
            <w:r>
              <w:rPr>
                <w:rFonts w:ascii="Arial" w:cs="Arial" w:eastAsia="Arial" w:hAnsi="Arial"/>
                <w:sz w:val="14"/>
                <w:szCs w:val="14"/>
                <w:color w:val="auto"/>
              </w:rPr>
              <w:t>x</w:t>
            </w:r>
          </w:p>
        </w:tc>
        <w:tc>
          <w:tcPr>
            <w:tcW w:w="1220" w:type="dxa"/>
            <w:vAlign w:val="bottom"/>
          </w:tcPr>
          <w:p>
            <w:pPr>
              <w:jc w:val="center"/>
              <w:spacing w:after="0"/>
              <w:rPr>
                <w:sz w:val="20"/>
                <w:szCs w:val="20"/>
                <w:color w:val="auto"/>
              </w:rPr>
            </w:pPr>
            <w:r>
              <w:rPr>
                <w:rFonts w:ascii="Arial" w:cs="Arial" w:eastAsia="Arial" w:hAnsi="Arial"/>
                <w:sz w:val="14"/>
                <w:szCs w:val="14"/>
                <w:color w:val="auto"/>
              </w:rPr>
              <w:t>100%</w:t>
            </w:r>
          </w:p>
        </w:tc>
        <w:tc>
          <w:tcPr>
            <w:tcW w:w="240" w:type="dxa"/>
            <w:vAlign w:val="bottom"/>
          </w:tcPr>
          <w:p>
            <w:pPr>
              <w:ind w:left="120"/>
              <w:spacing w:after="0"/>
              <w:rPr>
                <w:sz w:val="20"/>
                <w:szCs w:val="20"/>
                <w:color w:val="auto"/>
              </w:rPr>
            </w:pPr>
            <w:r>
              <w:rPr>
                <w:rFonts w:ascii="Arial" w:cs="Arial" w:eastAsia="Arial" w:hAnsi="Arial"/>
                <w:sz w:val="14"/>
                <w:szCs w:val="14"/>
                <w:color w:val="auto"/>
              </w:rPr>
              <w:t>x</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center"/>
              <w:spacing w:after="0"/>
              <w:rPr>
                <w:sz w:val="20"/>
                <w:szCs w:val="20"/>
                <w:color w:val="auto"/>
              </w:rPr>
            </w:pPr>
            <w:r>
              <w:rPr>
                <w:rFonts w:ascii="Arial" w:cs="Arial" w:eastAsia="Arial" w:hAnsi="Arial"/>
                <w:sz w:val="14"/>
                <w:szCs w:val="14"/>
                <w:color w:val="auto"/>
              </w:rPr>
              <w:t>30%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29"/>
              <w:spacing w:after="0"/>
              <w:rPr>
                <w:sz w:val="20"/>
                <w:szCs w:val="20"/>
                <w:color w:val="auto"/>
              </w:rPr>
            </w:pPr>
            <w:r>
              <w:rPr>
                <w:rFonts w:ascii="Arial" w:cs="Arial" w:eastAsia="Arial" w:hAnsi="Arial"/>
                <w:sz w:val="14"/>
                <w:szCs w:val="14"/>
                <w:color w:val="auto"/>
              </w:rPr>
              <w:t>70%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€900,000</w:t>
            </w:r>
          </w:p>
        </w:tc>
        <w:tc>
          <w:tcPr>
            <w:tcW w:w="0" w:type="dxa"/>
            <w:vAlign w:val="bottom"/>
          </w:tcPr>
          <w:p>
            <w:pPr>
              <w:spacing w:after="0"/>
              <w:rPr>
                <w:sz w:val="1"/>
                <w:szCs w:val="1"/>
                <w:color w:val="auto"/>
              </w:rPr>
            </w:pPr>
          </w:p>
        </w:tc>
      </w:tr>
      <w:tr>
        <w:trPr>
          <w:trHeight w:val="257"/>
        </w:trPr>
        <w:tc>
          <w:tcPr>
            <w:tcW w:w="214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David Savman</w:t>
            </w:r>
            <w:r>
              <w:rPr>
                <w:rFonts w:ascii="Arial" w:cs="Arial" w:eastAsia="Arial" w:hAnsi="Arial"/>
                <w:sz w:val="16"/>
                <w:szCs w:val="16"/>
                <w:b w:val="1"/>
                <w:bCs w:val="1"/>
                <w:color w:val="auto"/>
                <w:vertAlign w:val="superscript"/>
              </w:rPr>
              <w:t>2</w:t>
            </w:r>
          </w:p>
        </w:tc>
        <w:tc>
          <w:tcPr>
            <w:tcW w:w="1580" w:type="dxa"/>
            <w:vAlign w:val="bottom"/>
            <w:shd w:val="clear" w:color="auto" w:fill="E9F0F3"/>
          </w:tcPr>
          <w:p>
            <w:pPr>
              <w:ind w:left="60"/>
              <w:spacing w:after="0"/>
              <w:rPr>
                <w:sz w:val="20"/>
                <w:szCs w:val="20"/>
                <w:color w:val="auto"/>
              </w:rPr>
            </w:pPr>
            <w:r>
              <w:rPr>
                <w:rFonts w:ascii="Arial" w:cs="Arial" w:eastAsia="Arial" w:hAnsi="Arial"/>
                <w:sz w:val="14"/>
                <w:szCs w:val="14"/>
                <w:color w:val="auto"/>
              </w:rPr>
              <w:t>Total PVH</w:t>
            </w:r>
          </w:p>
        </w:tc>
        <w:tc>
          <w:tcPr>
            <w:tcW w:w="1140" w:type="dxa"/>
            <w:vAlign w:val="bottom"/>
            <w:gridSpan w:val="2"/>
            <w:shd w:val="clear" w:color="auto" w:fill="E9F0F3"/>
          </w:tcPr>
          <w:p>
            <w:pPr>
              <w:jc w:val="right"/>
              <w:ind w:right="100"/>
              <w:spacing w:after="0"/>
              <w:rPr>
                <w:sz w:val="20"/>
                <w:szCs w:val="20"/>
                <w:color w:val="auto"/>
              </w:rPr>
            </w:pPr>
            <w:r>
              <w:rPr>
                <w:rFonts w:ascii="Arial" w:cs="Arial" w:eastAsia="Arial" w:hAnsi="Arial"/>
                <w:sz w:val="14"/>
                <w:szCs w:val="14"/>
                <w:color w:val="auto"/>
              </w:rPr>
              <w:t>$213,049</w:t>
            </w:r>
          </w:p>
        </w:tc>
        <w:tc>
          <w:tcPr>
            <w:tcW w:w="360" w:type="dxa"/>
            <w:vAlign w:val="bottom"/>
            <w:shd w:val="clear" w:color="auto" w:fill="E9F0F3"/>
          </w:tcPr>
          <w:p>
            <w:pPr>
              <w:ind w:left="100"/>
              <w:spacing w:after="0"/>
              <w:rPr>
                <w:sz w:val="20"/>
                <w:szCs w:val="20"/>
                <w:color w:val="auto"/>
              </w:rPr>
            </w:pPr>
            <w:r>
              <w:rPr>
                <w:rFonts w:ascii="Arial" w:cs="Arial" w:eastAsia="Arial" w:hAnsi="Arial"/>
                <w:sz w:val="14"/>
                <w:szCs w:val="14"/>
                <w:color w:val="auto"/>
              </w:rPr>
              <w:t>x</w:t>
            </w:r>
          </w:p>
        </w:tc>
        <w:tc>
          <w:tcPr>
            <w:tcW w:w="1220" w:type="dxa"/>
            <w:vAlign w:val="bottom"/>
            <w:shd w:val="clear" w:color="auto" w:fill="E9F0F3"/>
          </w:tcPr>
          <w:p>
            <w:pPr>
              <w:jc w:val="center"/>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E9F0F3"/>
          </w:tcPr>
          <w:p>
            <w:pPr>
              <w:ind w:left="120"/>
              <w:spacing w:after="0"/>
              <w:rPr>
                <w:sz w:val="20"/>
                <w:szCs w:val="20"/>
                <w:color w:val="auto"/>
              </w:rPr>
            </w:pPr>
            <w:r>
              <w:rPr>
                <w:rFonts w:ascii="Arial" w:cs="Arial" w:eastAsia="Arial" w:hAnsi="Arial"/>
                <w:sz w:val="14"/>
                <w:szCs w:val="14"/>
                <w:color w:val="auto"/>
              </w:rPr>
              <w:t>x</w:t>
            </w:r>
          </w:p>
        </w:tc>
        <w:tc>
          <w:tcPr>
            <w:tcW w:w="1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E2EAEF"/>
          </w:tcPr>
          <w:p>
            <w:pPr>
              <w:jc w:val="center"/>
              <w:spacing w:after="0"/>
              <w:rPr>
                <w:sz w:val="20"/>
                <w:szCs w:val="20"/>
                <w:color w:val="auto"/>
              </w:rPr>
            </w:pPr>
            <w:r>
              <w:rPr>
                <w:rFonts w:ascii="Arial" w:cs="Arial" w:eastAsia="Arial" w:hAnsi="Arial"/>
                <w:sz w:val="14"/>
                <w:szCs w:val="14"/>
                <w:color w:val="auto"/>
              </w:rPr>
              <w:t>100%</w:t>
            </w:r>
          </w:p>
        </w:tc>
        <w:tc>
          <w:tcPr>
            <w:tcW w:w="200" w:type="dxa"/>
            <w:vAlign w:val="bottom"/>
            <w:shd w:val="clear" w:color="auto" w:fill="E2EAEF"/>
          </w:tcPr>
          <w:p>
            <w:pPr>
              <w:spacing w:after="0"/>
              <w:rPr>
                <w:sz w:val="22"/>
                <w:szCs w:val="22"/>
                <w:color w:val="auto"/>
              </w:rPr>
            </w:pPr>
          </w:p>
        </w:tc>
        <w:tc>
          <w:tcPr>
            <w:tcW w:w="1140" w:type="dxa"/>
            <w:vAlign w:val="bottom"/>
            <w:shd w:val="clear" w:color="auto" w:fill="E2EAEF"/>
          </w:tcPr>
          <w:p>
            <w:pPr>
              <w:jc w:val="right"/>
              <w:ind w:right="429"/>
              <w:spacing w:after="0"/>
              <w:rPr>
                <w:sz w:val="20"/>
                <w:szCs w:val="20"/>
                <w:color w:val="auto"/>
              </w:rPr>
            </w:pPr>
            <w:r>
              <w:rPr>
                <w:rFonts w:ascii="Arial" w:cs="Arial" w:eastAsia="Arial" w:hAnsi="Arial"/>
                <w:sz w:val="14"/>
                <w:szCs w:val="14"/>
                <w:color w:val="auto"/>
              </w:rPr>
              <w:t>N/A</w:t>
            </w:r>
          </w:p>
        </w:tc>
        <w:tc>
          <w:tcPr>
            <w:tcW w:w="160" w:type="dxa"/>
            <w:vAlign w:val="bottom"/>
            <w:shd w:val="clear" w:color="auto" w:fill="E2EAE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9F0F3"/>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$213,049</w:t>
            </w:r>
          </w:p>
        </w:tc>
        <w:tc>
          <w:tcPr>
            <w:tcW w:w="0" w:type="dxa"/>
            <w:vAlign w:val="bottom"/>
          </w:tcPr>
          <w:p>
            <w:pPr>
              <w:spacing w:after="0"/>
              <w:rPr>
                <w:sz w:val="1"/>
                <w:szCs w:val="1"/>
                <w:color w:val="auto"/>
              </w:rPr>
            </w:pPr>
          </w:p>
        </w:tc>
      </w:tr>
      <w:tr>
        <w:trPr>
          <w:trHeight w:val="227"/>
        </w:trPr>
        <w:tc>
          <w:tcPr>
            <w:tcW w:w="2140" w:type="dxa"/>
            <w:vAlign w:val="bottom"/>
            <w:tcBorders>
              <w:bottom w:val="single" w:sz="8" w:color="E9F0F3"/>
            </w:tcBorders>
            <w:shd w:val="clear" w:color="auto" w:fill="E9F0F3"/>
          </w:tcPr>
          <w:p>
            <w:pPr>
              <w:spacing w:after="0"/>
              <w:rPr>
                <w:sz w:val="19"/>
                <w:szCs w:val="19"/>
                <w:color w:val="auto"/>
              </w:rPr>
            </w:pPr>
          </w:p>
        </w:tc>
        <w:tc>
          <w:tcPr>
            <w:tcW w:w="158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Calvin Klein Global</w:t>
            </w:r>
          </w:p>
        </w:tc>
        <w:tc>
          <w:tcPr>
            <w:tcW w:w="1140" w:type="dxa"/>
            <w:vAlign w:val="bottom"/>
            <w:tcBorders>
              <w:bottom w:val="single" w:sz="8" w:color="E9F0F3"/>
            </w:tcBorders>
            <w:gridSpan w:val="2"/>
            <w:shd w:val="clear" w:color="auto" w:fill="E9F0F3"/>
          </w:tcPr>
          <w:p>
            <w:pPr>
              <w:jc w:val="right"/>
              <w:ind w:right="100"/>
              <w:spacing w:after="0"/>
              <w:rPr>
                <w:sz w:val="20"/>
                <w:szCs w:val="20"/>
                <w:color w:val="auto"/>
              </w:rPr>
            </w:pPr>
            <w:r>
              <w:rPr>
                <w:rFonts w:ascii="Arial" w:cs="Arial" w:eastAsia="Arial" w:hAnsi="Arial"/>
                <w:sz w:val="14"/>
                <w:szCs w:val="14"/>
                <w:color w:val="auto"/>
              </w:rPr>
              <w:t>$611,951</w:t>
            </w:r>
          </w:p>
        </w:tc>
        <w:tc>
          <w:tcPr>
            <w:tcW w:w="360" w:type="dxa"/>
            <w:vAlign w:val="bottom"/>
            <w:tcBorders>
              <w:bottom w:val="single" w:sz="8" w:color="E9F0F3"/>
            </w:tcBorders>
            <w:shd w:val="clear" w:color="auto" w:fill="E9F0F3"/>
          </w:tcPr>
          <w:p>
            <w:pPr>
              <w:ind w:left="100"/>
              <w:spacing w:after="0"/>
              <w:rPr>
                <w:sz w:val="20"/>
                <w:szCs w:val="20"/>
                <w:color w:val="auto"/>
              </w:rPr>
            </w:pPr>
            <w:r>
              <w:rPr>
                <w:rFonts w:ascii="Arial" w:cs="Arial" w:eastAsia="Arial" w:hAnsi="Arial"/>
                <w:sz w:val="14"/>
                <w:szCs w:val="14"/>
                <w:color w:val="auto"/>
              </w:rPr>
              <w:t>x</w:t>
            </w:r>
          </w:p>
        </w:tc>
        <w:tc>
          <w:tcPr>
            <w:tcW w:w="1220" w:type="dxa"/>
            <w:vAlign w:val="bottom"/>
            <w:tcBorders>
              <w:bottom w:val="single" w:sz="8" w:color="E9F0F3"/>
            </w:tcBorders>
            <w:shd w:val="clear" w:color="auto" w:fill="E9F0F3"/>
          </w:tcPr>
          <w:p>
            <w:pPr>
              <w:jc w:val="center"/>
              <w:spacing w:after="0"/>
              <w:rPr>
                <w:sz w:val="20"/>
                <w:szCs w:val="20"/>
                <w:color w:val="auto"/>
              </w:rPr>
            </w:pPr>
            <w:r>
              <w:rPr>
                <w:rFonts w:ascii="Arial" w:cs="Arial" w:eastAsia="Arial" w:hAnsi="Arial"/>
                <w:sz w:val="14"/>
                <w:szCs w:val="14"/>
                <w:color w:val="auto"/>
              </w:rPr>
              <w:t>100%</w:t>
            </w:r>
          </w:p>
        </w:tc>
        <w:tc>
          <w:tcPr>
            <w:tcW w:w="240" w:type="dxa"/>
            <w:vAlign w:val="bottom"/>
            <w:tcBorders>
              <w:bottom w:val="single" w:sz="8" w:color="E9F0F3"/>
            </w:tcBorders>
            <w:shd w:val="clear" w:color="auto" w:fill="E9F0F3"/>
          </w:tcPr>
          <w:p>
            <w:pPr>
              <w:ind w:left="120"/>
              <w:spacing w:after="0"/>
              <w:rPr>
                <w:sz w:val="20"/>
                <w:szCs w:val="20"/>
                <w:color w:val="auto"/>
              </w:rPr>
            </w:pPr>
            <w:r>
              <w:rPr>
                <w:rFonts w:ascii="Arial" w:cs="Arial" w:eastAsia="Arial" w:hAnsi="Arial"/>
                <w:sz w:val="14"/>
                <w:szCs w:val="14"/>
                <w:color w:val="auto"/>
              </w:rPr>
              <w:t>x</w:t>
            </w:r>
          </w:p>
        </w:tc>
        <w:tc>
          <w:tcPr>
            <w:tcW w:w="140" w:type="dxa"/>
            <w:vAlign w:val="bottom"/>
            <w:tcBorders>
              <w:bottom w:val="single" w:sz="8" w:color="E2EAEF"/>
            </w:tcBorders>
            <w:shd w:val="clear" w:color="auto" w:fill="E2EAE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2EAEF"/>
            </w:tcBorders>
            <w:shd w:val="clear" w:color="auto" w:fill="E2EAEF"/>
          </w:tcPr>
          <w:p>
            <w:pPr>
              <w:jc w:val="center"/>
              <w:spacing w:after="0"/>
              <w:rPr>
                <w:sz w:val="20"/>
                <w:szCs w:val="20"/>
                <w:color w:val="auto"/>
              </w:rPr>
            </w:pPr>
            <w:r>
              <w:rPr>
                <w:rFonts w:ascii="Arial" w:cs="Arial" w:eastAsia="Arial" w:hAnsi="Arial"/>
                <w:sz w:val="14"/>
                <w:szCs w:val="14"/>
                <w:color w:val="auto"/>
              </w:rPr>
              <w:t>30%</w:t>
            </w:r>
          </w:p>
        </w:tc>
        <w:tc>
          <w:tcPr>
            <w:tcW w:w="200" w:type="dxa"/>
            <w:vAlign w:val="bottom"/>
            <w:tcBorders>
              <w:bottom w:val="single" w:sz="8" w:color="E2EAEF"/>
            </w:tcBorders>
            <w:shd w:val="clear" w:color="auto" w:fill="E2EAE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E2EAEF"/>
            </w:tcBorders>
            <w:shd w:val="clear" w:color="auto" w:fill="E2EAEF"/>
          </w:tcPr>
          <w:p>
            <w:pPr>
              <w:jc w:val="right"/>
              <w:ind w:right="329"/>
              <w:spacing w:after="0"/>
              <w:rPr>
                <w:sz w:val="20"/>
                <w:szCs w:val="20"/>
                <w:color w:val="auto"/>
              </w:rPr>
            </w:pPr>
            <w:r>
              <w:rPr>
                <w:rFonts w:ascii="Arial" w:cs="Arial" w:eastAsia="Arial" w:hAnsi="Arial"/>
                <w:sz w:val="14"/>
                <w:szCs w:val="14"/>
                <w:color w:val="auto"/>
              </w:rPr>
              <w:t>70%</w:t>
            </w:r>
          </w:p>
        </w:tc>
        <w:tc>
          <w:tcPr>
            <w:tcW w:w="160" w:type="dxa"/>
            <w:vAlign w:val="bottom"/>
            <w:tcBorders>
              <w:bottom w:val="single" w:sz="8" w:color="E2EAEF"/>
            </w:tcBorders>
            <w:shd w:val="clear" w:color="auto" w:fill="E2EAE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E9F0F3"/>
            </w:tcBorders>
            <w:shd w:val="clear" w:color="auto" w:fill="E9F0F3"/>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E9F0F3"/>
            </w:tcBorders>
            <w:shd w:val="clear" w:color="auto" w:fill="E9F0F3"/>
          </w:tcPr>
          <w:p>
            <w:pPr>
              <w:jc w:val="right"/>
              <w:ind w:right="49"/>
              <w:spacing w:after="0"/>
              <w:rPr>
                <w:sz w:val="20"/>
                <w:szCs w:val="20"/>
                <w:color w:val="auto"/>
              </w:rPr>
            </w:pPr>
            <w:r>
              <w:rPr>
                <w:rFonts w:ascii="Arial" w:cs="Arial" w:eastAsia="Arial" w:hAnsi="Arial"/>
                <w:sz w:val="14"/>
                <w:szCs w:val="14"/>
                <w:color w:val="auto"/>
              </w:rPr>
              <w:t>$611,951</w:t>
            </w:r>
          </w:p>
        </w:tc>
        <w:tc>
          <w:tcPr>
            <w:tcW w:w="0" w:type="dxa"/>
            <w:vAlign w:val="bottom"/>
          </w:tcPr>
          <w:p>
            <w:pPr>
              <w:spacing w:after="0"/>
              <w:rPr>
                <w:sz w:val="1"/>
                <w:szCs w:val="1"/>
                <w:color w:val="auto"/>
              </w:rPr>
            </w:pPr>
          </w:p>
        </w:tc>
      </w:tr>
      <w:tr>
        <w:trPr>
          <w:trHeight w:val="20"/>
        </w:trPr>
        <w:tc>
          <w:tcPr>
            <w:tcW w:w="2140" w:type="dxa"/>
            <w:vAlign w:val="bottom"/>
            <w:shd w:val="clear" w:color="auto" w:fill="E9F0F3"/>
          </w:tcPr>
          <w:p>
            <w:pPr>
              <w:spacing w:after="0" w:line="20" w:lineRule="exact"/>
              <w:rPr>
                <w:sz w:val="1"/>
                <w:szCs w:val="1"/>
                <w:color w:val="auto"/>
              </w:rPr>
            </w:pPr>
          </w:p>
        </w:tc>
        <w:tc>
          <w:tcPr>
            <w:tcW w:w="1580" w:type="dxa"/>
            <w:vAlign w:val="bottom"/>
            <w:vMerge w:val="restart"/>
            <w:shd w:val="clear" w:color="auto" w:fill="E9F0F3"/>
          </w:tcPr>
          <w:p>
            <w:pPr>
              <w:ind w:left="60"/>
              <w:spacing w:after="0"/>
              <w:rPr>
                <w:sz w:val="20"/>
                <w:szCs w:val="20"/>
                <w:color w:val="auto"/>
              </w:rPr>
            </w:pPr>
            <w:r>
              <w:rPr>
                <w:rFonts w:ascii="Arial" w:cs="Arial" w:eastAsia="Arial" w:hAnsi="Arial"/>
                <w:sz w:val="14"/>
                <w:szCs w:val="14"/>
                <w:color w:val="auto"/>
              </w:rPr>
              <w:t>Total</w:t>
            </w: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E9F0F3"/>
          </w:tcPr>
          <w:p>
            <w:pPr>
              <w:spacing w:after="0" w:line="20" w:lineRule="exact"/>
              <w:rPr>
                <w:sz w:val="1"/>
                <w:szCs w:val="1"/>
                <w:color w:val="auto"/>
              </w:rPr>
            </w:pPr>
          </w:p>
        </w:tc>
        <w:tc>
          <w:tcPr>
            <w:tcW w:w="360" w:type="dxa"/>
            <w:vAlign w:val="bottom"/>
            <w:shd w:val="clear" w:color="auto" w:fill="E9F0F3"/>
          </w:tcPr>
          <w:p>
            <w:pPr>
              <w:spacing w:after="0" w:line="20" w:lineRule="exact"/>
              <w:rPr>
                <w:sz w:val="1"/>
                <w:szCs w:val="1"/>
                <w:color w:val="auto"/>
              </w:rPr>
            </w:pPr>
          </w:p>
        </w:tc>
        <w:tc>
          <w:tcPr>
            <w:tcW w:w="1220" w:type="dxa"/>
            <w:vAlign w:val="bottom"/>
            <w:shd w:val="clear" w:color="auto" w:fill="E9F0F3"/>
          </w:tcPr>
          <w:p>
            <w:pPr>
              <w:spacing w:after="0" w:line="20" w:lineRule="exact"/>
              <w:rPr>
                <w:sz w:val="1"/>
                <w:szCs w:val="1"/>
                <w:color w:val="auto"/>
              </w:rPr>
            </w:pPr>
          </w:p>
        </w:tc>
        <w:tc>
          <w:tcPr>
            <w:tcW w:w="240" w:type="dxa"/>
            <w:vAlign w:val="bottom"/>
            <w:shd w:val="clear" w:color="auto" w:fill="E9F0F3"/>
          </w:tcPr>
          <w:p>
            <w:pPr>
              <w:spacing w:after="0" w:line="20" w:lineRule="exact"/>
              <w:rPr>
                <w:sz w:val="1"/>
                <w:szCs w:val="1"/>
                <w:color w:val="auto"/>
              </w:rPr>
            </w:pPr>
          </w:p>
        </w:tc>
        <w:tc>
          <w:tcPr>
            <w:tcW w:w="140" w:type="dxa"/>
            <w:vAlign w:val="bottom"/>
            <w:shd w:val="clear" w:color="auto" w:fill="E2EAEF"/>
          </w:tcPr>
          <w:p>
            <w:pPr>
              <w:spacing w:after="0" w:line="20" w:lineRule="exact"/>
              <w:rPr>
                <w:sz w:val="1"/>
                <w:szCs w:val="1"/>
                <w:color w:val="auto"/>
              </w:rPr>
            </w:pPr>
          </w:p>
        </w:tc>
        <w:tc>
          <w:tcPr>
            <w:tcW w:w="1000" w:type="dxa"/>
            <w:vAlign w:val="bottom"/>
            <w:shd w:val="clear" w:color="auto" w:fill="E2EAEF"/>
          </w:tcPr>
          <w:p>
            <w:pPr>
              <w:spacing w:after="0" w:line="20" w:lineRule="exact"/>
              <w:rPr>
                <w:sz w:val="1"/>
                <w:szCs w:val="1"/>
                <w:color w:val="auto"/>
              </w:rPr>
            </w:pPr>
          </w:p>
        </w:tc>
        <w:tc>
          <w:tcPr>
            <w:tcW w:w="200" w:type="dxa"/>
            <w:vAlign w:val="bottom"/>
            <w:shd w:val="clear" w:color="auto" w:fill="E2EAEF"/>
          </w:tcPr>
          <w:p>
            <w:pPr>
              <w:spacing w:after="0" w:line="20" w:lineRule="exact"/>
              <w:rPr>
                <w:sz w:val="1"/>
                <w:szCs w:val="1"/>
                <w:color w:val="auto"/>
              </w:rPr>
            </w:pPr>
          </w:p>
        </w:tc>
        <w:tc>
          <w:tcPr>
            <w:tcW w:w="1140" w:type="dxa"/>
            <w:vAlign w:val="bottom"/>
            <w:shd w:val="clear" w:color="auto" w:fill="E2EAEF"/>
          </w:tcPr>
          <w:p>
            <w:pPr>
              <w:spacing w:after="0" w:line="20" w:lineRule="exact"/>
              <w:rPr>
                <w:sz w:val="1"/>
                <w:szCs w:val="1"/>
                <w:color w:val="auto"/>
              </w:rPr>
            </w:pPr>
          </w:p>
        </w:tc>
        <w:tc>
          <w:tcPr>
            <w:tcW w:w="160" w:type="dxa"/>
            <w:vAlign w:val="bottom"/>
            <w:shd w:val="clear" w:color="auto" w:fill="E2EAEF"/>
          </w:tcPr>
          <w:p>
            <w:pPr>
              <w:spacing w:after="0" w:line="20" w:lineRule="exact"/>
              <w:rPr>
                <w:sz w:val="1"/>
                <w:szCs w:val="1"/>
                <w:color w:val="auto"/>
              </w:rPr>
            </w:pPr>
          </w:p>
        </w:tc>
        <w:tc>
          <w:tcPr>
            <w:tcW w:w="280" w:type="dxa"/>
            <w:vAlign w:val="bottom"/>
            <w:shd w:val="clear" w:color="auto" w:fill="E9F0F3"/>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140" w:type="dxa"/>
            <w:vAlign w:val="bottom"/>
            <w:tcBorders>
              <w:bottom w:val="single" w:sz="8" w:color="E9F0F3"/>
            </w:tcBorders>
            <w:shd w:val="clear" w:color="auto" w:fill="E9F0F3"/>
          </w:tcPr>
          <w:p>
            <w:pPr>
              <w:spacing w:after="0"/>
              <w:rPr>
                <w:sz w:val="19"/>
                <w:szCs w:val="19"/>
                <w:color w:val="auto"/>
              </w:rPr>
            </w:pPr>
          </w:p>
        </w:tc>
        <w:tc>
          <w:tcPr>
            <w:tcW w:w="1580" w:type="dxa"/>
            <w:vAlign w:val="bottom"/>
            <w:tcBorders>
              <w:bottom w:val="single" w:sz="8" w:color="E9F0F3"/>
            </w:tcBorders>
            <w:vMerge w:val="continue"/>
            <w:shd w:val="clear" w:color="auto" w:fill="E9F0F3"/>
          </w:tcPr>
          <w:p>
            <w:pPr>
              <w:spacing w:after="0"/>
              <w:rPr>
                <w:sz w:val="19"/>
                <w:szCs w:val="19"/>
                <w:color w:val="auto"/>
              </w:rPr>
            </w:pPr>
          </w:p>
        </w:tc>
        <w:tc>
          <w:tcPr>
            <w:tcW w:w="1140" w:type="dxa"/>
            <w:vAlign w:val="bottom"/>
            <w:tcBorders>
              <w:bottom w:val="single" w:sz="8" w:color="E9F0F3"/>
            </w:tcBorders>
            <w:gridSpan w:val="2"/>
            <w:shd w:val="clear" w:color="auto" w:fill="E9F0F3"/>
          </w:tcPr>
          <w:p>
            <w:pPr>
              <w:jc w:val="right"/>
              <w:ind w:right="100"/>
              <w:spacing w:after="0"/>
              <w:rPr>
                <w:sz w:val="20"/>
                <w:szCs w:val="20"/>
                <w:color w:val="auto"/>
              </w:rPr>
            </w:pPr>
            <w:r>
              <w:rPr>
                <w:rFonts w:ascii="Arial" w:cs="Arial" w:eastAsia="Arial" w:hAnsi="Arial"/>
                <w:sz w:val="14"/>
                <w:szCs w:val="14"/>
                <w:color w:val="auto"/>
              </w:rPr>
              <w:t>$825,000</w:t>
            </w:r>
          </w:p>
        </w:tc>
        <w:tc>
          <w:tcPr>
            <w:tcW w:w="360" w:type="dxa"/>
            <w:vAlign w:val="bottom"/>
            <w:tcBorders>
              <w:bottom w:val="single" w:sz="8" w:color="E9F0F3"/>
            </w:tcBorders>
            <w:shd w:val="clear" w:color="auto" w:fill="E9F0F3"/>
          </w:tcPr>
          <w:p>
            <w:pPr>
              <w:spacing w:after="0"/>
              <w:rPr>
                <w:sz w:val="19"/>
                <w:szCs w:val="19"/>
                <w:color w:val="auto"/>
              </w:rPr>
            </w:pPr>
          </w:p>
        </w:tc>
        <w:tc>
          <w:tcPr>
            <w:tcW w:w="1220" w:type="dxa"/>
            <w:vAlign w:val="bottom"/>
            <w:tcBorders>
              <w:bottom w:val="single" w:sz="8" w:color="E9F0F3"/>
            </w:tcBorders>
            <w:shd w:val="clear" w:color="auto" w:fill="E9F0F3"/>
          </w:tcPr>
          <w:p>
            <w:pPr>
              <w:spacing w:after="0"/>
              <w:rPr>
                <w:sz w:val="19"/>
                <w:szCs w:val="19"/>
                <w:color w:val="auto"/>
              </w:rPr>
            </w:pPr>
          </w:p>
        </w:tc>
        <w:tc>
          <w:tcPr>
            <w:tcW w:w="240" w:type="dxa"/>
            <w:vAlign w:val="bottom"/>
            <w:tcBorders>
              <w:bottom w:val="single" w:sz="8" w:color="E9F0F3"/>
            </w:tcBorders>
            <w:shd w:val="clear" w:color="auto" w:fill="E9F0F3"/>
          </w:tcPr>
          <w:p>
            <w:pPr>
              <w:spacing w:after="0"/>
              <w:rPr>
                <w:sz w:val="19"/>
                <w:szCs w:val="19"/>
                <w:color w:val="auto"/>
              </w:rPr>
            </w:pPr>
          </w:p>
        </w:tc>
        <w:tc>
          <w:tcPr>
            <w:tcW w:w="140" w:type="dxa"/>
            <w:vAlign w:val="bottom"/>
            <w:tcBorders>
              <w:bottom w:val="single" w:sz="8" w:color="E2EAEF"/>
            </w:tcBorders>
            <w:shd w:val="clear" w:color="auto" w:fill="E2EAEF"/>
          </w:tcPr>
          <w:p>
            <w:pPr>
              <w:spacing w:after="0"/>
              <w:rPr>
                <w:sz w:val="19"/>
                <w:szCs w:val="19"/>
                <w:color w:val="auto"/>
              </w:rPr>
            </w:pPr>
          </w:p>
        </w:tc>
        <w:tc>
          <w:tcPr>
            <w:tcW w:w="1000" w:type="dxa"/>
            <w:vAlign w:val="bottom"/>
            <w:tcBorders>
              <w:bottom w:val="single" w:sz="8" w:color="E2EAEF"/>
            </w:tcBorders>
            <w:shd w:val="clear" w:color="auto" w:fill="E2EAEF"/>
          </w:tcPr>
          <w:p>
            <w:pPr>
              <w:spacing w:after="0"/>
              <w:rPr>
                <w:sz w:val="19"/>
                <w:szCs w:val="19"/>
                <w:color w:val="auto"/>
              </w:rPr>
            </w:pPr>
          </w:p>
        </w:tc>
        <w:tc>
          <w:tcPr>
            <w:tcW w:w="200" w:type="dxa"/>
            <w:vAlign w:val="bottom"/>
            <w:tcBorders>
              <w:bottom w:val="single" w:sz="8" w:color="E2EAEF"/>
            </w:tcBorders>
            <w:shd w:val="clear" w:color="auto" w:fill="E2EAEF"/>
          </w:tcPr>
          <w:p>
            <w:pPr>
              <w:spacing w:after="0"/>
              <w:rPr>
                <w:sz w:val="19"/>
                <w:szCs w:val="19"/>
                <w:color w:val="auto"/>
              </w:rPr>
            </w:pPr>
          </w:p>
        </w:tc>
        <w:tc>
          <w:tcPr>
            <w:tcW w:w="1140" w:type="dxa"/>
            <w:vAlign w:val="bottom"/>
            <w:tcBorders>
              <w:bottom w:val="single" w:sz="8" w:color="E2EAEF"/>
            </w:tcBorders>
            <w:shd w:val="clear" w:color="auto" w:fill="E2EAEF"/>
          </w:tcPr>
          <w:p>
            <w:pPr>
              <w:spacing w:after="0"/>
              <w:rPr>
                <w:sz w:val="19"/>
                <w:szCs w:val="19"/>
                <w:color w:val="auto"/>
              </w:rPr>
            </w:pPr>
          </w:p>
        </w:tc>
        <w:tc>
          <w:tcPr>
            <w:tcW w:w="160" w:type="dxa"/>
            <w:vAlign w:val="bottom"/>
            <w:tcBorders>
              <w:bottom w:val="single" w:sz="8" w:color="E2EAEF"/>
            </w:tcBorders>
            <w:shd w:val="clear" w:color="auto" w:fill="E2EAEF"/>
          </w:tcPr>
          <w:p>
            <w:pPr>
              <w:spacing w:after="0"/>
              <w:rPr>
                <w:sz w:val="19"/>
                <w:szCs w:val="19"/>
                <w:color w:val="auto"/>
              </w:rPr>
            </w:pPr>
          </w:p>
        </w:tc>
        <w:tc>
          <w:tcPr>
            <w:tcW w:w="280" w:type="dxa"/>
            <w:vAlign w:val="bottom"/>
            <w:tcBorders>
              <w:bottom w:val="single" w:sz="8" w:color="E9F0F3"/>
            </w:tcBorders>
            <w:shd w:val="clear" w:color="auto" w:fill="E9F0F3"/>
          </w:tcPr>
          <w:p>
            <w:pPr>
              <w:spacing w:after="0"/>
              <w:rPr>
                <w:sz w:val="19"/>
                <w:szCs w:val="19"/>
                <w:color w:val="auto"/>
              </w:rPr>
            </w:pPr>
          </w:p>
        </w:tc>
        <w:tc>
          <w:tcPr>
            <w:tcW w:w="1340" w:type="dxa"/>
            <w:vAlign w:val="bottom"/>
            <w:tcBorders>
              <w:bottom w:val="single" w:sz="8" w:color="E9F0F3"/>
            </w:tcBorders>
            <w:shd w:val="clear" w:color="auto" w:fill="E9F0F3"/>
          </w:tcPr>
          <w:p>
            <w:pPr>
              <w:jc w:val="right"/>
              <w:ind w:right="49"/>
              <w:spacing w:after="0"/>
              <w:rPr>
                <w:sz w:val="20"/>
                <w:szCs w:val="20"/>
                <w:color w:val="auto"/>
              </w:rPr>
            </w:pPr>
            <w:r>
              <w:rPr>
                <w:rFonts w:ascii="Arial" w:cs="Arial" w:eastAsia="Arial" w:hAnsi="Arial"/>
                <w:sz w:val="14"/>
                <w:szCs w:val="14"/>
                <w:color w:val="auto"/>
              </w:rPr>
              <w:t>$825,000</w:t>
            </w:r>
          </w:p>
        </w:tc>
        <w:tc>
          <w:tcPr>
            <w:tcW w:w="0" w:type="dxa"/>
            <w:vAlign w:val="bottom"/>
          </w:tcPr>
          <w:p>
            <w:pPr>
              <w:spacing w:after="0"/>
              <w:rPr>
                <w:sz w:val="1"/>
                <w:szCs w:val="1"/>
                <w:color w:val="auto"/>
              </w:rPr>
            </w:pPr>
          </w:p>
        </w:tc>
      </w:tr>
      <w:tr>
        <w:trPr>
          <w:trHeight w:val="247"/>
        </w:trPr>
        <w:tc>
          <w:tcPr>
            <w:tcW w:w="2140" w:type="dxa"/>
            <w:vAlign w:val="bottom"/>
          </w:tcPr>
          <w:p>
            <w:pPr>
              <w:ind w:left="60"/>
              <w:spacing w:after="0"/>
              <w:rPr>
                <w:sz w:val="20"/>
                <w:szCs w:val="20"/>
                <w:color w:val="auto"/>
              </w:rPr>
            </w:pPr>
            <w:r>
              <w:rPr>
                <w:rFonts w:ascii="Arial" w:cs="Arial" w:eastAsia="Arial" w:hAnsi="Arial"/>
                <w:sz w:val="14"/>
                <w:szCs w:val="14"/>
                <w:b w:val="1"/>
                <w:bCs w:val="1"/>
                <w:color w:val="auto"/>
              </w:rPr>
              <w:t>Zachary J. Coughlin</w:t>
            </w:r>
            <w:r>
              <w:rPr>
                <w:rFonts w:ascii="Arial" w:cs="Arial" w:eastAsia="Arial" w:hAnsi="Arial"/>
                <w:sz w:val="16"/>
                <w:szCs w:val="16"/>
                <w:b w:val="1"/>
                <w:bCs w:val="1"/>
                <w:color w:val="auto"/>
                <w:vertAlign w:val="superscript"/>
              </w:rPr>
              <w:t>3</w:t>
            </w:r>
          </w:p>
        </w:tc>
        <w:tc>
          <w:tcPr>
            <w:tcW w:w="1580" w:type="dxa"/>
            <w:vAlign w:val="bottom"/>
          </w:tcPr>
          <w:p>
            <w:pPr>
              <w:ind w:left="60"/>
              <w:spacing w:after="0"/>
              <w:rPr>
                <w:sz w:val="20"/>
                <w:szCs w:val="20"/>
                <w:color w:val="auto"/>
              </w:rPr>
            </w:pPr>
            <w:r>
              <w:rPr>
                <w:rFonts w:ascii="Arial" w:cs="Arial" w:eastAsia="Arial" w:hAnsi="Arial"/>
                <w:sz w:val="14"/>
                <w:szCs w:val="14"/>
                <w:color w:val="auto"/>
              </w:rPr>
              <w:t>Total PVH</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$900,000</w:t>
            </w:r>
          </w:p>
        </w:tc>
        <w:tc>
          <w:tcPr>
            <w:tcW w:w="360" w:type="dxa"/>
            <w:vAlign w:val="bottom"/>
          </w:tcPr>
          <w:p>
            <w:pPr>
              <w:ind w:left="100"/>
              <w:spacing w:after="0"/>
              <w:rPr>
                <w:sz w:val="20"/>
                <w:szCs w:val="20"/>
                <w:color w:val="auto"/>
              </w:rPr>
            </w:pPr>
            <w:r>
              <w:rPr>
                <w:rFonts w:ascii="Arial" w:cs="Arial" w:eastAsia="Arial" w:hAnsi="Arial"/>
                <w:sz w:val="14"/>
                <w:szCs w:val="14"/>
                <w:color w:val="auto"/>
              </w:rPr>
              <w:t>x</w:t>
            </w:r>
          </w:p>
        </w:tc>
        <w:tc>
          <w:tcPr>
            <w:tcW w:w="1220" w:type="dxa"/>
            <w:vAlign w:val="bottom"/>
          </w:tcPr>
          <w:p>
            <w:pPr>
              <w:jc w:val="center"/>
              <w:spacing w:after="0"/>
              <w:rPr>
                <w:sz w:val="20"/>
                <w:szCs w:val="20"/>
                <w:color w:val="auto"/>
              </w:rPr>
            </w:pPr>
            <w:r>
              <w:rPr>
                <w:rFonts w:ascii="Arial" w:cs="Arial" w:eastAsia="Arial" w:hAnsi="Arial"/>
                <w:sz w:val="14"/>
                <w:szCs w:val="14"/>
                <w:color w:val="auto"/>
              </w:rPr>
              <w:t>125%</w:t>
            </w:r>
          </w:p>
        </w:tc>
        <w:tc>
          <w:tcPr>
            <w:tcW w:w="240" w:type="dxa"/>
            <w:vAlign w:val="bottom"/>
          </w:tcPr>
          <w:p>
            <w:pPr>
              <w:ind w:left="120"/>
              <w:spacing w:after="0"/>
              <w:rPr>
                <w:sz w:val="20"/>
                <w:szCs w:val="20"/>
                <w:color w:val="auto"/>
              </w:rPr>
            </w:pPr>
            <w:r>
              <w:rPr>
                <w:rFonts w:ascii="Arial" w:cs="Arial" w:eastAsia="Arial" w:hAnsi="Arial"/>
                <w:sz w:val="14"/>
                <w:szCs w:val="14"/>
                <w:color w:val="auto"/>
              </w:rPr>
              <w:t>x</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center"/>
              <w:spacing w:after="0"/>
              <w:rPr>
                <w:sz w:val="20"/>
                <w:szCs w:val="20"/>
                <w:color w:val="auto"/>
              </w:rPr>
            </w:pPr>
            <w:r>
              <w:rPr>
                <w:rFonts w:ascii="Arial" w:cs="Arial" w:eastAsia="Arial" w:hAnsi="Arial"/>
                <w:sz w:val="14"/>
                <w:szCs w:val="14"/>
                <w:color w:val="auto"/>
              </w:rPr>
              <w:t>100%</w:t>
            </w:r>
          </w:p>
        </w:tc>
        <w:tc>
          <w:tcPr>
            <w:tcW w:w="200" w:type="dxa"/>
            <w:vAlign w:val="bottom"/>
          </w:tcPr>
          <w:p>
            <w:pPr>
              <w:spacing w:after="0"/>
              <w:rPr>
                <w:sz w:val="21"/>
                <w:szCs w:val="21"/>
                <w:color w:val="auto"/>
              </w:rPr>
            </w:pPr>
          </w:p>
        </w:tc>
        <w:tc>
          <w:tcPr>
            <w:tcW w:w="1140" w:type="dxa"/>
            <w:vAlign w:val="bottom"/>
          </w:tcPr>
          <w:p>
            <w:pPr>
              <w:jc w:val="right"/>
              <w:ind w:right="429"/>
              <w:spacing w:after="0"/>
              <w:rPr>
                <w:sz w:val="20"/>
                <w:szCs w:val="20"/>
                <w:color w:val="auto"/>
              </w:rPr>
            </w:pPr>
            <w:r>
              <w:rPr>
                <w:rFonts w:ascii="Arial" w:cs="Arial" w:eastAsia="Arial" w:hAnsi="Arial"/>
                <w:sz w:val="14"/>
                <w:szCs w:val="14"/>
                <w:color w:val="auto"/>
              </w:rPr>
              <w:t>N/A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$1,125,000</w:t>
            </w:r>
          </w:p>
        </w:tc>
        <w:tc>
          <w:tcPr>
            <w:tcW w:w="0" w:type="dxa"/>
            <w:vAlign w:val="bottom"/>
          </w:tcPr>
          <w:p>
            <w:pPr>
              <w:spacing w:after="0"/>
              <w:rPr>
                <w:sz w:val="1"/>
                <w:szCs w:val="1"/>
                <w:color w:val="auto"/>
              </w:rPr>
            </w:pPr>
          </w:p>
        </w:tc>
      </w:tr>
      <w:tr>
        <w:trPr>
          <w:trHeight w:val="247"/>
        </w:trPr>
        <w:tc>
          <w:tcPr>
            <w:tcW w:w="214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Eva Serrano</w:t>
            </w:r>
            <w:r>
              <w:rPr>
                <w:rFonts w:ascii="Arial" w:cs="Arial" w:eastAsia="Arial" w:hAnsi="Arial"/>
                <w:sz w:val="16"/>
                <w:szCs w:val="16"/>
                <w:b w:val="1"/>
                <w:bCs w:val="1"/>
                <w:color w:val="auto"/>
                <w:vertAlign w:val="superscript"/>
              </w:rPr>
              <w:t>4</w:t>
            </w:r>
          </w:p>
        </w:tc>
        <w:tc>
          <w:tcPr>
            <w:tcW w:w="1580" w:type="dxa"/>
            <w:vAlign w:val="bottom"/>
            <w:shd w:val="clear" w:color="auto" w:fill="E9F0F3"/>
          </w:tcPr>
          <w:p>
            <w:pPr>
              <w:ind w:left="60"/>
              <w:spacing w:after="0"/>
              <w:rPr>
                <w:sz w:val="20"/>
                <w:szCs w:val="20"/>
                <w:color w:val="auto"/>
              </w:rPr>
            </w:pPr>
            <w:r>
              <w:rPr>
                <w:rFonts w:ascii="Arial" w:cs="Arial" w:eastAsia="Arial" w:hAnsi="Arial"/>
                <w:sz w:val="14"/>
                <w:szCs w:val="14"/>
                <w:color w:val="auto"/>
              </w:rPr>
              <w:t>Calvin Klein Global</w:t>
            </w:r>
          </w:p>
        </w:tc>
        <w:tc>
          <w:tcPr>
            <w:tcW w:w="1140" w:type="dxa"/>
            <w:vAlign w:val="bottom"/>
            <w:gridSpan w:val="2"/>
            <w:shd w:val="clear" w:color="auto" w:fill="E9F0F3"/>
          </w:tcPr>
          <w:p>
            <w:pPr>
              <w:jc w:val="right"/>
              <w:ind w:right="100"/>
              <w:spacing w:after="0"/>
              <w:rPr>
                <w:sz w:val="20"/>
                <w:szCs w:val="20"/>
                <w:color w:val="auto"/>
              </w:rPr>
            </w:pPr>
            <w:r>
              <w:rPr>
                <w:rFonts w:ascii="Arial" w:cs="Arial" w:eastAsia="Arial" w:hAnsi="Arial"/>
                <w:sz w:val="14"/>
                <w:szCs w:val="14"/>
                <w:color w:val="auto"/>
              </w:rPr>
              <w:t>$850,000</w:t>
            </w:r>
          </w:p>
        </w:tc>
        <w:tc>
          <w:tcPr>
            <w:tcW w:w="360" w:type="dxa"/>
            <w:vAlign w:val="bottom"/>
            <w:shd w:val="clear" w:color="auto" w:fill="E9F0F3"/>
          </w:tcPr>
          <w:p>
            <w:pPr>
              <w:ind w:left="100"/>
              <w:spacing w:after="0"/>
              <w:rPr>
                <w:sz w:val="20"/>
                <w:szCs w:val="20"/>
                <w:color w:val="auto"/>
              </w:rPr>
            </w:pPr>
            <w:r>
              <w:rPr>
                <w:rFonts w:ascii="Arial" w:cs="Arial" w:eastAsia="Arial" w:hAnsi="Arial"/>
                <w:sz w:val="14"/>
                <w:szCs w:val="14"/>
                <w:color w:val="auto"/>
              </w:rPr>
              <w:t>x</w:t>
            </w:r>
          </w:p>
        </w:tc>
        <w:tc>
          <w:tcPr>
            <w:tcW w:w="1220" w:type="dxa"/>
            <w:vAlign w:val="bottom"/>
            <w:shd w:val="clear" w:color="auto" w:fill="E9F0F3"/>
          </w:tcPr>
          <w:p>
            <w:pPr>
              <w:jc w:val="center"/>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E9F0F3"/>
          </w:tcPr>
          <w:p>
            <w:pPr>
              <w:ind w:left="120"/>
              <w:spacing w:after="0"/>
              <w:rPr>
                <w:sz w:val="20"/>
                <w:szCs w:val="20"/>
                <w:color w:val="auto"/>
              </w:rPr>
            </w:pPr>
            <w:r>
              <w:rPr>
                <w:rFonts w:ascii="Arial" w:cs="Arial" w:eastAsia="Arial" w:hAnsi="Arial"/>
                <w:sz w:val="14"/>
                <w:szCs w:val="14"/>
                <w:color w:val="auto"/>
              </w:rPr>
              <w:t>x</w:t>
            </w:r>
          </w:p>
        </w:tc>
        <w:tc>
          <w:tcPr>
            <w:tcW w:w="1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E2EAEF"/>
          </w:tcPr>
          <w:p>
            <w:pPr>
              <w:jc w:val="center"/>
              <w:spacing w:after="0"/>
              <w:rPr>
                <w:sz w:val="20"/>
                <w:szCs w:val="20"/>
                <w:color w:val="auto"/>
              </w:rPr>
            </w:pPr>
            <w:r>
              <w:rPr>
                <w:rFonts w:ascii="Arial" w:cs="Arial" w:eastAsia="Arial" w:hAnsi="Arial"/>
                <w:sz w:val="14"/>
                <w:szCs w:val="14"/>
                <w:color w:val="auto"/>
              </w:rPr>
              <w:t>30%</w:t>
            </w:r>
          </w:p>
        </w:tc>
        <w:tc>
          <w:tcPr>
            <w:tcW w:w="200" w:type="dxa"/>
            <w:vAlign w:val="bottom"/>
            <w:shd w:val="clear" w:color="auto" w:fill="E2EAE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2EAEF"/>
          </w:tcPr>
          <w:p>
            <w:pPr>
              <w:jc w:val="right"/>
              <w:ind w:right="329"/>
              <w:spacing w:after="0"/>
              <w:rPr>
                <w:sz w:val="20"/>
                <w:szCs w:val="20"/>
                <w:color w:val="auto"/>
              </w:rPr>
            </w:pPr>
            <w:r>
              <w:rPr>
                <w:rFonts w:ascii="Arial" w:cs="Arial" w:eastAsia="Arial" w:hAnsi="Arial"/>
                <w:sz w:val="14"/>
                <w:szCs w:val="14"/>
                <w:color w:val="auto"/>
              </w:rPr>
              <w:t>70%</w:t>
            </w:r>
          </w:p>
        </w:tc>
        <w:tc>
          <w:tcPr>
            <w:tcW w:w="160" w:type="dxa"/>
            <w:vAlign w:val="bottom"/>
            <w:shd w:val="clear" w:color="auto" w:fill="E2EAE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E9F0F3"/>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60" w:right="180" w:hanging="149"/>
        <w:spacing w:after="0" w:line="252" w:lineRule="auto"/>
        <w:tabs>
          <w:tab w:leader="none" w:pos="167" w:val="left"/>
        </w:tabs>
        <w:numPr>
          <w:ilvl w:val="0"/>
          <w:numId w:val="77"/>
        </w:numPr>
        <w:rPr>
          <w:rFonts w:ascii="Arial" w:cs="Arial" w:eastAsia="Arial" w:hAnsi="Arial"/>
          <w:sz w:val="13"/>
          <w:szCs w:val="13"/>
          <w:color w:val="auto"/>
        </w:rPr>
      </w:pPr>
      <w:r>
        <w:rPr>
          <w:rFonts w:ascii="Arial" w:cs="Arial" w:eastAsia="Arial" w:hAnsi="Arial"/>
          <w:sz w:val="13"/>
          <w:szCs w:val="13"/>
          <w:color w:val="auto"/>
        </w:rPr>
        <w:t>Ms. Stone took on the additional role of Interim Chief Financial Officer on January 1, 2026. As per the Management Incentive Bonus Plan, under which her award was granted, her salary as of October 31, 2025, was used to calculate her bonus payout.</w:t>
      </w:r>
    </w:p>
    <w:p>
      <w:pPr>
        <w:spacing w:after="0" w:line="16" w:lineRule="exact"/>
        <w:rPr>
          <w:sz w:val="20"/>
          <w:szCs w:val="20"/>
          <w:color w:val="auto"/>
        </w:rPr>
      </w:pPr>
    </w:p>
    <w:p>
      <w:pPr>
        <w:ind w:left="160" w:right="80" w:hanging="149"/>
        <w:spacing w:after="0" w:line="236" w:lineRule="auto"/>
        <w:tabs>
          <w:tab w:leader="none" w:pos="167" w:val="left"/>
        </w:tabs>
        <w:numPr>
          <w:ilvl w:val="0"/>
          <w:numId w:val="78"/>
        </w:numPr>
        <w:rPr>
          <w:rFonts w:ascii="Arial" w:cs="Arial" w:eastAsia="Arial" w:hAnsi="Arial"/>
          <w:sz w:val="13"/>
          <w:szCs w:val="13"/>
          <w:color w:val="auto"/>
        </w:rPr>
      </w:pPr>
      <w:r>
        <w:rPr>
          <w:rFonts w:ascii="Arial" w:cs="Arial" w:eastAsia="Arial" w:hAnsi="Arial"/>
          <w:sz w:val="13"/>
          <w:szCs w:val="13"/>
          <w:color w:val="auto"/>
        </w:rPr>
        <w:t>Mr. Savman was appointed the Global Brand President, Calvin Klein effective May 8, 2025. He was the Global Head of Operations and Chief Supply Chain Officer at the time of the appointment and he served in both roles until November 3, 2025. when his successor in the Operations and Supply Chain role commenced her employment. The target bonus and base salary amounts are prorated based on the number of days during the period of February 3, 2025 to May 7, 2025 for the Global Head of Operations and Chief Supply Chain Officer role and during the period from May 8, 2025 to February 1, 2026 for the Global Brand President, Calvin Klein role.</w:t>
      </w:r>
    </w:p>
    <w:p>
      <w:pPr>
        <w:spacing w:after="0" w:line="24" w:lineRule="exact"/>
        <w:rPr>
          <w:sz w:val="20"/>
          <w:szCs w:val="20"/>
          <w:color w:val="auto"/>
        </w:rPr>
      </w:pPr>
    </w:p>
    <w:p>
      <w:pPr>
        <w:ind w:left="180" w:hanging="169"/>
        <w:spacing w:after="0"/>
        <w:tabs>
          <w:tab w:leader="none" w:pos="1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Mr. Coughlin voluntarily resigned without good reason and left the company effective December 31, 2025. Mr. Coughlin forfeited the bonus payout for 2025.</w:t>
      </w:r>
    </w:p>
    <w:p>
      <w:pPr>
        <w:spacing w:after="0" w:line="38"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color w:val="auto"/>
        </w:rPr>
        <w:t>4  Ms. Serrano was separated from the company effective December 31, 2025.</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PVH EBIT and Revenue</w:t>
      </w:r>
    </w:p>
    <w:p>
      <w:pPr>
        <w:spacing w:after="0" w:line="33" w:lineRule="exact"/>
        <w:rPr>
          <w:sz w:val="20"/>
          <w:szCs w:val="20"/>
          <w:color w:val="auto"/>
        </w:rPr>
      </w:pPr>
    </w:p>
    <w:p>
      <w:pPr>
        <w:ind w:left="20" w:right="120"/>
        <w:spacing w:after="0" w:line="251" w:lineRule="auto"/>
        <w:rPr>
          <w:sz w:val="20"/>
          <w:szCs w:val="20"/>
          <w:color w:val="auto"/>
        </w:rPr>
      </w:pPr>
      <w:r>
        <w:rPr>
          <w:rFonts w:ascii="Arial" w:cs="Arial" w:eastAsia="Arial" w:hAnsi="Arial"/>
          <w:sz w:val="14"/>
          <w:szCs w:val="14"/>
          <w:color w:val="auto"/>
        </w:rPr>
        <w:t>Total PVH EBIT and revenue goals (which refer to our consolidated performance) were equal to amounts included in the budget, reviewed with and approved by the Board at the time the goals were established. Determination of actual performance was subject to agreed-upon adjustments and exclusions established when the awards were made. The threshold and maximum performance goals are based upon performance in relation to target. The threshold-to-maximum range can vary from year to year based on the Compensation Committee’s evaluation of business conditions. The range for 2025 was 80% to 115% on EBIT and 93% to 105% on revenue. This range appropriately recognizes the uncertain and volatile market conditions and reflects the role annual bonuses play in incentivizing and retaining senior executives. The performance goals and actual results for the awards made in 2025 are set forth below.</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Business Unit EBIT and Revenue</w:t>
      </w:r>
    </w:p>
    <w:p>
      <w:pPr>
        <w:spacing w:after="0" w:line="39" w:lineRule="exact"/>
        <w:rPr>
          <w:sz w:val="20"/>
          <w:szCs w:val="20"/>
          <w:color w:val="auto"/>
        </w:rPr>
      </w:pPr>
    </w:p>
    <w:p>
      <w:pPr>
        <w:ind w:left="20" w:right="140"/>
        <w:spacing w:after="0" w:line="264" w:lineRule="auto"/>
        <w:rPr>
          <w:sz w:val="20"/>
          <w:szCs w:val="20"/>
          <w:color w:val="auto"/>
        </w:rPr>
      </w:pPr>
      <w:r>
        <w:rPr>
          <w:rFonts w:ascii="Arial" w:cs="Arial" w:eastAsia="Arial" w:hAnsi="Arial"/>
          <w:sz w:val="14"/>
          <w:szCs w:val="14"/>
          <w:color w:val="auto"/>
        </w:rPr>
        <w:t>A majority of the annual bonus opportunities for Mses. Rytz Goldman and Serrano and Messrs. Olsson and Savman were based on the EBIT and revenue of the business units they lead. As with the Total PVH EBIT and revenue goals, the threshold-to-maximum range was 80% to 115% on EBIT and 93% to 105% on revenue. The performance goals applicable to each of these NEOs are set forth below, as well as the actual results for the awards made in 2025.</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Strategic modifier</w:t>
      </w:r>
    </w:p>
    <w:p>
      <w:pPr>
        <w:spacing w:after="0" w:line="39" w:lineRule="exact"/>
        <w:rPr>
          <w:sz w:val="20"/>
          <w:szCs w:val="20"/>
          <w:color w:val="auto"/>
        </w:rPr>
      </w:pPr>
    </w:p>
    <w:p>
      <w:pPr>
        <w:ind w:left="20" w:right="60"/>
        <w:spacing w:after="0" w:line="255" w:lineRule="auto"/>
        <w:rPr>
          <w:sz w:val="20"/>
          <w:szCs w:val="20"/>
          <w:color w:val="auto"/>
        </w:rPr>
      </w:pPr>
      <w:r>
        <w:rPr>
          <w:rFonts w:ascii="Arial" w:cs="Arial" w:eastAsia="Arial" w:hAnsi="Arial"/>
          <w:sz w:val="14"/>
          <w:szCs w:val="14"/>
          <w:color w:val="auto"/>
        </w:rPr>
        <w:t>Payouts for the NEOs are also subject to an evaluation of individual performance against strategic performance criteria established at the time the awards are made. This provides the Compensation Committee some flexibility to modify payouts (up or down) by a maximum of 25% of an NEO’s base salary, so long as an adjusted award does not exceed the NEO’s maximum opportunity. This component encourages and rewards the NEOs’ efforts to improve performance, develop and advance associates under their leadership, and make progress against our PVH+ Plan strategic objectives among other factors. These items typically either do not get captured by the financial goals or are expected to yield benefits only in the future and may not be reflected directly in future bonus calculations.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 xml:space="preserve">48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749CAB"/>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60" w:top="316" w:right="499" w:bottom="1440" w:gutter="0" w:footer="0" w:header="0"/>
        </w:sectPr>
      </w:pPr>
    </w:p>
    <w:bookmarkStart w:id="51" w:name="page52"/>
    <w:bookmarkEnd w:id="51"/>
    <w:p>
      <w:pPr>
        <w:ind w:left="20"/>
        <w:spacing w:after="0"/>
        <w:rPr>
          <w:sz w:val="20"/>
          <w:szCs w:val="20"/>
          <w:color w:val="auto"/>
        </w:rPr>
      </w:pPr>
      <w:r>
        <w:rPr>
          <w:rFonts w:ascii="Arial" w:cs="Arial" w:eastAsia="Arial" w:hAnsi="Arial"/>
          <w:sz w:val="14"/>
          <w:szCs w:val="14"/>
          <w:b w:val="1"/>
          <w:bCs w:val="1"/>
          <w:color w:val="auto"/>
        </w:rPr>
        <w:t>2025 annual bonus payouts</w:t>
      </w:r>
    </w:p>
    <w:p>
      <w:pPr>
        <w:spacing w:after="0" w:line="39" w:lineRule="exact"/>
        <w:rPr>
          <w:sz w:val="20"/>
          <w:szCs w:val="20"/>
          <w:color w:val="auto"/>
        </w:rPr>
      </w:pPr>
    </w:p>
    <w:p>
      <w:pPr>
        <w:ind w:left="20" w:right="20"/>
        <w:spacing w:after="0" w:line="253" w:lineRule="auto"/>
        <w:rPr>
          <w:sz w:val="20"/>
          <w:szCs w:val="20"/>
          <w:color w:val="auto"/>
        </w:rPr>
      </w:pPr>
      <w:r>
        <w:rPr>
          <w:rFonts w:ascii="Arial" w:cs="Arial" w:eastAsia="Arial" w:hAnsi="Arial"/>
          <w:sz w:val="14"/>
          <w:szCs w:val="14"/>
          <w:color w:val="auto"/>
        </w:rPr>
        <w:t xml:space="preserve">In 2025, our EBIT (as calculated for bonus purposes) for both Total PVH performance and for our NEOs’ business units were below target, with performance as a percent of target being 63% for Total PVH, 51% for Calvin Klein Global, 74% for Tommy Hilfiger Global and 54% for PVH Europe. Revenue performance varied as a percentage of target, with Total PVH being 107%, Calvin Klein Global achieving 78%, Tommy Hilfiger Global achieving 91% and PVH Europe achieving 82%. While 2025 EBIT was lower than 2024, influenced by uneven consumer demand and macroeconomic challenges, we made important progress on PVH’s multi-year journey to build </w:t>
      </w:r>
      <w:r>
        <w:rPr>
          <w:rFonts w:ascii="Arial" w:cs="Arial" w:eastAsia="Arial" w:hAnsi="Arial"/>
          <w:sz w:val="14"/>
          <w:szCs w:val="14"/>
          <w:i w:val="1"/>
          <w:iCs w:val="1"/>
          <w:color w:val="auto"/>
        </w:rPr>
        <w:t>Calvin Klein</w:t>
      </w:r>
      <w:r>
        <w:rPr>
          <w:rFonts w:ascii="Arial" w:cs="Arial" w:eastAsia="Arial" w:hAnsi="Arial"/>
          <w:sz w:val="14"/>
          <w:szCs w:val="14"/>
          <w:color w:val="auto"/>
        </w:rPr>
        <w:t xml:space="preserve"> and </w:t>
      </w:r>
      <w:r>
        <w:rPr>
          <w:rFonts w:ascii="Arial" w:cs="Arial" w:eastAsia="Arial" w:hAnsi="Arial"/>
          <w:sz w:val="14"/>
          <w:szCs w:val="14"/>
          <w:i w:val="1"/>
          <w:iCs w:val="1"/>
          <w:color w:val="auto"/>
        </w:rPr>
        <w:t>TOMMY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HILFIGER </w:t>
      </w:r>
      <w:r>
        <w:rPr>
          <w:rFonts w:ascii="Arial" w:cs="Arial" w:eastAsia="Arial" w:hAnsi="Arial"/>
          <w:sz w:val="14"/>
          <w:szCs w:val="14"/>
          <w:color w:val="auto"/>
        </w:rPr>
        <w:t>into their full potential. The resulting payouts, reflected in the second chart below, were 74% of target for the corporate NEOs, 77% of target for Ms. Rytz Goldman,</w:t>
      </w:r>
      <w:r>
        <w:rPr>
          <w:rFonts w:ascii="Arial" w:cs="Arial" w:eastAsia="Arial" w:hAnsi="Arial"/>
          <w:sz w:val="14"/>
          <w:szCs w:val="14"/>
          <w:i w:val="1"/>
          <w:iCs w:val="1"/>
          <w:color w:val="auto"/>
        </w:rPr>
        <w:t xml:space="preserve"> </w:t>
      </w:r>
      <w:r>
        <w:rPr>
          <w:rFonts w:ascii="Arial" w:cs="Arial" w:eastAsia="Arial" w:hAnsi="Arial"/>
          <w:sz w:val="14"/>
          <w:szCs w:val="14"/>
          <w:color w:val="auto"/>
        </w:rPr>
        <w:t>65% of target for Mr. Olsson, 66% of target for Mr. Savman and 63% of target for Ms. Serrano.</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Below are the performance goals established for 2025 and the actual performance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107315</wp:posOffset>
            </wp:positionV>
            <wp:extent cx="1570355" cy="3663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70355" cy="366395"/>
                    </a:xfrm>
                    <a:prstGeom prst="rect">
                      <a:avLst/>
                    </a:prstGeom>
                    <a:noFill/>
                  </pic:spPr>
                </pic:pic>
              </a:graphicData>
            </a:graphic>
          </wp:anchor>
        </w:drawing>
      </w:r>
    </w:p>
    <w:p>
      <w:pPr>
        <w:sectPr>
          <w:pgSz w:w="11900" w:h="16838" w:orient="portrait"/>
          <w:cols w:equalWidth="0" w:num="1">
            <w:col w:w="10960"/>
          </w:cols>
          <w:pgMar w:left="460" w:top="316" w:right="479" w:bottom="1440" w:gutter="0" w:footer="0" w:header="0"/>
        </w:sectPr>
      </w:pP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500" w:type="dxa"/>
            <w:vAlign w:val="bottom"/>
            <w:shd w:val="clear" w:color="auto" w:fill="99B7C6"/>
          </w:tcPr>
          <w:p>
            <w:pPr>
              <w:spacing w:after="0"/>
              <w:rPr>
                <w:sz w:val="24"/>
                <w:szCs w:val="24"/>
                <w:color w:val="auto"/>
              </w:rPr>
            </w:pPr>
          </w:p>
        </w:tc>
        <w:tc>
          <w:tcPr>
            <w:tcW w:w="120" w:type="dxa"/>
            <w:vAlign w:val="bottom"/>
            <w:shd w:val="clear" w:color="auto" w:fill="99B7C6"/>
          </w:tcPr>
          <w:p>
            <w:pPr>
              <w:spacing w:after="0"/>
              <w:rPr>
                <w:sz w:val="24"/>
                <w:szCs w:val="24"/>
                <w:color w:val="auto"/>
              </w:rPr>
            </w:pPr>
          </w:p>
        </w:tc>
        <w:tc>
          <w:tcPr>
            <w:tcW w:w="1380" w:type="dxa"/>
            <w:vAlign w:val="bottom"/>
            <w:shd w:val="clear" w:color="auto" w:fill="99B7C6"/>
          </w:tcPr>
          <w:p>
            <w:pPr>
              <w:spacing w:after="0"/>
              <w:rPr>
                <w:sz w:val="24"/>
                <w:szCs w:val="24"/>
                <w:color w:val="auto"/>
              </w:rPr>
            </w:pPr>
          </w:p>
        </w:tc>
        <w:tc>
          <w:tcPr>
            <w:tcW w:w="1760" w:type="dxa"/>
            <w:vAlign w:val="bottom"/>
            <w:shd w:val="clear" w:color="auto" w:fill="99B7C6"/>
          </w:tcPr>
          <w:p>
            <w:pPr>
              <w:spacing w:after="0"/>
              <w:rPr>
                <w:sz w:val="24"/>
                <w:szCs w:val="24"/>
                <w:color w:val="auto"/>
              </w:rPr>
            </w:pPr>
          </w:p>
        </w:tc>
        <w:tc>
          <w:tcPr>
            <w:tcW w:w="2920" w:type="dxa"/>
            <w:vAlign w:val="bottom"/>
            <w:gridSpan w:val="2"/>
            <w:shd w:val="clear" w:color="auto" w:fill="6D98AD"/>
          </w:tcPr>
          <w:p>
            <w:pPr>
              <w:jc w:val="right"/>
              <w:spacing w:after="0"/>
              <w:rPr>
                <w:sz w:val="20"/>
                <w:szCs w:val="20"/>
                <w:color w:val="auto"/>
              </w:rPr>
            </w:pPr>
            <w:r>
              <w:rPr>
                <w:rFonts w:ascii="Arial" w:cs="Arial" w:eastAsia="Arial" w:hAnsi="Arial"/>
                <w:sz w:val="14"/>
                <w:szCs w:val="14"/>
                <w:b w:val="1"/>
                <w:bCs w:val="1"/>
                <w:color w:val="FFFFFF"/>
              </w:rPr>
              <w:t>Fiscal Year 2025 Award Targets</w:t>
            </w:r>
            <w:r>
              <w:rPr>
                <w:rFonts w:ascii="Arial" w:cs="Arial" w:eastAsia="Arial" w:hAnsi="Arial"/>
                <w:sz w:val="16"/>
                <w:szCs w:val="16"/>
                <w:b w:val="1"/>
                <w:bCs w:val="1"/>
                <w:color w:val="FFFFFF"/>
                <w:vertAlign w:val="superscript"/>
              </w:rPr>
              <w:t>1,2</w:t>
            </w:r>
          </w:p>
        </w:tc>
        <w:tc>
          <w:tcPr>
            <w:tcW w:w="800" w:type="dxa"/>
            <w:vAlign w:val="bottom"/>
            <w:shd w:val="clear" w:color="auto" w:fill="6D98AD"/>
          </w:tcPr>
          <w:p>
            <w:pPr>
              <w:spacing w:after="0"/>
              <w:rPr>
                <w:sz w:val="24"/>
                <w:szCs w:val="24"/>
                <w:color w:val="auto"/>
              </w:rPr>
            </w:pPr>
          </w:p>
        </w:tc>
      </w:tr>
      <w:tr>
        <w:trPr>
          <w:trHeight w:val="294"/>
        </w:trPr>
        <w:tc>
          <w:tcPr>
            <w:tcW w:w="1500" w:type="dxa"/>
            <w:vAlign w:val="bottom"/>
            <w:shd w:val="clear" w:color="auto" w:fill="99B7C6"/>
          </w:tcPr>
          <w:p>
            <w:pPr>
              <w:spacing w:after="0"/>
              <w:rPr>
                <w:sz w:val="24"/>
                <w:szCs w:val="24"/>
                <w:color w:val="auto"/>
              </w:rPr>
            </w:pPr>
          </w:p>
        </w:tc>
        <w:tc>
          <w:tcPr>
            <w:tcW w:w="120" w:type="dxa"/>
            <w:vAlign w:val="bottom"/>
            <w:shd w:val="clear" w:color="auto" w:fill="99B7C6"/>
          </w:tcPr>
          <w:p>
            <w:pPr>
              <w:spacing w:after="0"/>
              <w:rPr>
                <w:sz w:val="24"/>
                <w:szCs w:val="24"/>
                <w:color w:val="auto"/>
              </w:rPr>
            </w:pPr>
          </w:p>
        </w:tc>
        <w:tc>
          <w:tcPr>
            <w:tcW w:w="1380" w:type="dxa"/>
            <w:vAlign w:val="bottom"/>
            <w:shd w:val="clear" w:color="auto" w:fill="99B7C6"/>
          </w:tcPr>
          <w:p>
            <w:pPr>
              <w:spacing w:after="0"/>
              <w:rPr>
                <w:sz w:val="24"/>
                <w:szCs w:val="24"/>
                <w:color w:val="auto"/>
              </w:rPr>
            </w:pPr>
          </w:p>
        </w:tc>
        <w:tc>
          <w:tcPr>
            <w:tcW w:w="1760" w:type="dxa"/>
            <w:vAlign w:val="bottom"/>
            <w:shd w:val="clear" w:color="auto" w:fill="99B7C6"/>
          </w:tcPr>
          <w:p>
            <w:pPr>
              <w:jc w:val="center"/>
              <w:ind w:left="329"/>
              <w:spacing w:after="0"/>
              <w:rPr>
                <w:sz w:val="20"/>
                <w:szCs w:val="20"/>
                <w:color w:val="auto"/>
              </w:rPr>
            </w:pPr>
            <w:r>
              <w:rPr>
                <w:rFonts w:ascii="Arial" w:cs="Arial" w:eastAsia="Arial" w:hAnsi="Arial"/>
                <w:sz w:val="14"/>
                <w:szCs w:val="14"/>
                <w:b w:val="1"/>
                <w:bCs w:val="1"/>
                <w:color w:val="FFFFFF"/>
              </w:rPr>
              <w:t>Weighting</w:t>
            </w:r>
          </w:p>
        </w:tc>
        <w:tc>
          <w:tcPr>
            <w:tcW w:w="1520" w:type="dxa"/>
            <w:vAlign w:val="bottom"/>
            <w:shd w:val="clear" w:color="auto" w:fill="8AADBD"/>
          </w:tcPr>
          <w:p>
            <w:pPr>
              <w:jc w:val="right"/>
              <w:ind w:right="329"/>
              <w:spacing w:after="0"/>
              <w:rPr>
                <w:sz w:val="20"/>
                <w:szCs w:val="20"/>
                <w:color w:val="auto"/>
              </w:rPr>
            </w:pPr>
            <w:r>
              <w:rPr>
                <w:rFonts w:ascii="Arial" w:cs="Arial" w:eastAsia="Arial" w:hAnsi="Arial"/>
                <w:sz w:val="14"/>
                <w:szCs w:val="14"/>
                <w:b w:val="1"/>
                <w:bCs w:val="1"/>
                <w:color w:val="FFFFFF"/>
              </w:rPr>
              <w:t>Threshold</w:t>
            </w:r>
          </w:p>
        </w:tc>
        <w:tc>
          <w:tcPr>
            <w:tcW w:w="1400" w:type="dxa"/>
            <w:vAlign w:val="bottom"/>
            <w:shd w:val="clear" w:color="auto" w:fill="8AADBD"/>
          </w:tcPr>
          <w:p>
            <w:pPr>
              <w:jc w:val="right"/>
              <w:ind w:right="489"/>
              <w:spacing w:after="0"/>
              <w:rPr>
                <w:sz w:val="20"/>
                <w:szCs w:val="20"/>
                <w:color w:val="auto"/>
              </w:rPr>
            </w:pPr>
            <w:r>
              <w:rPr>
                <w:rFonts w:ascii="Arial" w:cs="Arial" w:eastAsia="Arial" w:hAnsi="Arial"/>
                <w:sz w:val="14"/>
                <w:szCs w:val="14"/>
                <w:b w:val="1"/>
                <w:bCs w:val="1"/>
                <w:color w:val="FFFFFF"/>
              </w:rPr>
              <w:t>Target</w:t>
            </w:r>
          </w:p>
        </w:tc>
        <w:tc>
          <w:tcPr>
            <w:tcW w:w="800" w:type="dxa"/>
            <w:vAlign w:val="bottom"/>
            <w:shd w:val="clear" w:color="auto" w:fill="8AADBD"/>
          </w:tcPr>
          <w:p>
            <w:pPr>
              <w:jc w:val="right"/>
              <w:ind w:right="69"/>
              <w:spacing w:after="0"/>
              <w:rPr>
                <w:sz w:val="20"/>
                <w:szCs w:val="20"/>
                <w:color w:val="auto"/>
              </w:rPr>
            </w:pPr>
            <w:r>
              <w:rPr>
                <w:rFonts w:ascii="Arial" w:cs="Arial" w:eastAsia="Arial" w:hAnsi="Arial"/>
                <w:sz w:val="14"/>
                <w:szCs w:val="14"/>
                <w:b w:val="1"/>
                <w:bCs w:val="1"/>
                <w:color w:val="FFFFFF"/>
                <w:w w:val="99"/>
              </w:rPr>
              <w:t>Maximum</w:t>
            </w:r>
          </w:p>
        </w:tc>
      </w:tr>
      <w:tr>
        <w:trPr>
          <w:trHeight w:val="227"/>
        </w:trPr>
        <w:tc>
          <w:tcPr>
            <w:tcW w:w="1500" w:type="dxa"/>
            <w:vAlign w:val="bottom"/>
          </w:tcPr>
          <w:p>
            <w:pPr>
              <w:ind w:left="20"/>
              <w:spacing w:after="0"/>
              <w:rPr>
                <w:sz w:val="20"/>
                <w:szCs w:val="20"/>
                <w:color w:val="auto"/>
              </w:rPr>
            </w:pPr>
            <w:r>
              <w:rPr>
                <w:rFonts w:ascii="Arial" w:cs="Arial" w:eastAsia="Arial" w:hAnsi="Arial"/>
                <w:sz w:val="14"/>
                <w:szCs w:val="14"/>
                <w:b w:val="1"/>
                <w:bCs w:val="1"/>
                <w:color w:val="auto"/>
              </w:rPr>
              <w:t>Total PVH</w:t>
            </w:r>
          </w:p>
        </w:tc>
        <w:tc>
          <w:tcPr>
            <w:tcW w:w="120" w:type="dxa"/>
            <w:vAlign w:val="bottom"/>
          </w:tcPr>
          <w:p>
            <w:pPr>
              <w:spacing w:after="0"/>
              <w:rPr>
                <w:sz w:val="19"/>
                <w:szCs w:val="19"/>
                <w:color w:val="auto"/>
              </w:rPr>
            </w:pPr>
          </w:p>
        </w:tc>
        <w:tc>
          <w:tcPr>
            <w:tcW w:w="138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b w:val="1"/>
                <w:bCs w:val="1"/>
                <w:color w:val="auto"/>
              </w:rPr>
              <w:t>Revenue</w:t>
            </w:r>
          </w:p>
        </w:tc>
        <w:tc>
          <w:tcPr>
            <w:tcW w:w="1760" w:type="dxa"/>
            <w:vAlign w:val="bottom"/>
            <w:tcBorders>
              <w:bottom w:val="single" w:sz="8" w:color="E9F0F3"/>
            </w:tcBorders>
            <w:shd w:val="clear" w:color="auto" w:fill="E9F0F3"/>
          </w:tcPr>
          <w:p>
            <w:pPr>
              <w:jc w:val="center"/>
              <w:ind w:left="329"/>
              <w:spacing w:after="0"/>
              <w:rPr>
                <w:sz w:val="20"/>
                <w:szCs w:val="20"/>
                <w:color w:val="auto"/>
              </w:rPr>
            </w:pPr>
            <w:r>
              <w:rPr>
                <w:rFonts w:ascii="Arial" w:cs="Arial" w:eastAsia="Arial" w:hAnsi="Arial"/>
                <w:sz w:val="14"/>
                <w:szCs w:val="14"/>
                <w:color w:val="auto"/>
                <w:w w:val="99"/>
              </w:rPr>
              <w:t>25%</w:t>
            </w:r>
          </w:p>
        </w:tc>
        <w:tc>
          <w:tcPr>
            <w:tcW w:w="1520" w:type="dxa"/>
            <w:vAlign w:val="bottom"/>
            <w:tcBorders>
              <w:bottom w:val="single" w:sz="8" w:color="E2EAEF"/>
            </w:tcBorders>
            <w:shd w:val="clear" w:color="auto" w:fill="E2EAEF"/>
          </w:tcPr>
          <w:p>
            <w:pPr>
              <w:jc w:val="right"/>
              <w:ind w:right="329"/>
              <w:spacing w:after="0"/>
              <w:rPr>
                <w:sz w:val="20"/>
                <w:szCs w:val="20"/>
                <w:color w:val="auto"/>
              </w:rPr>
            </w:pPr>
            <w:r>
              <w:rPr>
                <w:rFonts w:ascii="Arial" w:cs="Arial" w:eastAsia="Arial" w:hAnsi="Arial"/>
                <w:sz w:val="14"/>
                <w:szCs w:val="14"/>
                <w:color w:val="auto"/>
              </w:rPr>
              <w:t>$8,100</w:t>
            </w:r>
          </w:p>
        </w:tc>
        <w:tc>
          <w:tcPr>
            <w:tcW w:w="1400" w:type="dxa"/>
            <w:vAlign w:val="bottom"/>
            <w:tcBorders>
              <w:bottom w:val="single" w:sz="8" w:color="E2EAEF"/>
            </w:tcBorders>
            <w:shd w:val="clear" w:color="auto" w:fill="E2EAEF"/>
          </w:tcPr>
          <w:p>
            <w:pPr>
              <w:jc w:val="right"/>
              <w:ind w:right="489"/>
              <w:spacing w:after="0"/>
              <w:rPr>
                <w:sz w:val="20"/>
                <w:szCs w:val="20"/>
                <w:color w:val="auto"/>
              </w:rPr>
            </w:pPr>
            <w:r>
              <w:rPr>
                <w:rFonts w:ascii="Arial" w:cs="Arial" w:eastAsia="Arial" w:hAnsi="Arial"/>
                <w:sz w:val="14"/>
                <w:szCs w:val="14"/>
                <w:color w:val="auto"/>
              </w:rPr>
              <w:t>$8,690</w:t>
            </w:r>
          </w:p>
        </w:tc>
        <w:tc>
          <w:tcPr>
            <w:tcW w:w="800" w:type="dxa"/>
            <w:vAlign w:val="bottom"/>
            <w:tcBorders>
              <w:bottom w:val="single" w:sz="8" w:color="E2EAEF"/>
            </w:tcBorders>
            <w:shd w:val="clear" w:color="auto" w:fill="E2EAEF"/>
          </w:tcPr>
          <w:p>
            <w:pPr>
              <w:jc w:val="right"/>
              <w:ind w:right="69"/>
              <w:spacing w:after="0"/>
              <w:rPr>
                <w:sz w:val="20"/>
                <w:szCs w:val="20"/>
                <w:color w:val="auto"/>
              </w:rPr>
            </w:pPr>
            <w:r>
              <w:rPr>
                <w:rFonts w:ascii="Arial" w:cs="Arial" w:eastAsia="Arial" w:hAnsi="Arial"/>
                <w:sz w:val="14"/>
                <w:szCs w:val="14"/>
                <w:color w:val="auto"/>
              </w:rPr>
              <w:t>$9,100</w:t>
            </w:r>
          </w:p>
        </w:tc>
      </w:tr>
      <w:tr>
        <w:trPr>
          <w:trHeight w:val="138"/>
        </w:trPr>
        <w:tc>
          <w:tcPr>
            <w:tcW w:w="1500" w:type="dxa"/>
            <w:vAlign w:val="bottom"/>
          </w:tcPr>
          <w:p>
            <w:pPr>
              <w:ind w:left="20"/>
              <w:spacing w:after="0" w:line="139" w:lineRule="exact"/>
              <w:rPr>
                <w:sz w:val="20"/>
                <w:szCs w:val="20"/>
                <w:color w:val="auto"/>
              </w:rPr>
            </w:pPr>
            <w:r>
              <w:rPr>
                <w:rFonts w:ascii="Arial" w:cs="Arial" w:eastAsia="Arial" w:hAnsi="Arial"/>
                <w:sz w:val="14"/>
                <w:szCs w:val="14"/>
                <w:color w:val="auto"/>
              </w:rPr>
              <w:t>Applied to all</w:t>
            </w:r>
          </w:p>
        </w:tc>
        <w:tc>
          <w:tcPr>
            <w:tcW w:w="120" w:type="dxa"/>
            <w:vAlign w:val="bottom"/>
          </w:tcPr>
          <w:p>
            <w:pPr>
              <w:spacing w:after="0"/>
              <w:rPr>
                <w:sz w:val="12"/>
                <w:szCs w:val="12"/>
                <w:color w:val="auto"/>
              </w:rPr>
            </w:pPr>
          </w:p>
        </w:tc>
        <w:tc>
          <w:tcPr>
            <w:tcW w:w="1380" w:type="dxa"/>
            <w:vAlign w:val="bottom"/>
          </w:tcPr>
          <w:p>
            <w:pPr>
              <w:ind w:left="60"/>
              <w:spacing w:after="0" w:line="131" w:lineRule="exact"/>
              <w:rPr>
                <w:sz w:val="20"/>
                <w:szCs w:val="20"/>
                <w:color w:val="auto"/>
              </w:rPr>
            </w:pPr>
            <w:r>
              <w:rPr>
                <w:rFonts w:ascii="Arial" w:cs="Arial" w:eastAsia="Arial" w:hAnsi="Arial"/>
                <w:sz w:val="14"/>
                <w:szCs w:val="14"/>
                <w:b w:val="1"/>
                <w:bCs w:val="1"/>
                <w:color w:val="auto"/>
              </w:rPr>
              <w:t>EBIT</w:t>
            </w:r>
          </w:p>
        </w:tc>
        <w:tc>
          <w:tcPr>
            <w:tcW w:w="1760" w:type="dxa"/>
            <w:vAlign w:val="bottom"/>
          </w:tcPr>
          <w:p>
            <w:pPr>
              <w:jc w:val="center"/>
              <w:ind w:left="329"/>
              <w:spacing w:after="0" w:line="131" w:lineRule="exact"/>
              <w:rPr>
                <w:sz w:val="20"/>
                <w:szCs w:val="20"/>
                <w:color w:val="auto"/>
              </w:rPr>
            </w:pPr>
            <w:r>
              <w:rPr>
                <w:rFonts w:ascii="Arial" w:cs="Arial" w:eastAsia="Arial" w:hAnsi="Arial"/>
                <w:sz w:val="14"/>
                <w:szCs w:val="14"/>
                <w:color w:val="auto"/>
                <w:w w:val="99"/>
              </w:rPr>
              <w:t>75%</w:t>
            </w:r>
          </w:p>
        </w:tc>
        <w:tc>
          <w:tcPr>
            <w:tcW w:w="1520" w:type="dxa"/>
            <w:vAlign w:val="bottom"/>
          </w:tcPr>
          <w:p>
            <w:pPr>
              <w:jc w:val="right"/>
              <w:ind w:right="329"/>
              <w:spacing w:after="0" w:line="131" w:lineRule="exact"/>
              <w:rPr>
                <w:sz w:val="20"/>
                <w:szCs w:val="20"/>
                <w:color w:val="auto"/>
              </w:rPr>
            </w:pPr>
            <w:r>
              <w:rPr>
                <w:rFonts w:ascii="Arial" w:cs="Arial" w:eastAsia="Arial" w:hAnsi="Arial"/>
                <w:sz w:val="14"/>
                <w:szCs w:val="14"/>
                <w:color w:val="auto"/>
              </w:rPr>
              <w:t>$715</w:t>
            </w:r>
          </w:p>
        </w:tc>
        <w:tc>
          <w:tcPr>
            <w:tcW w:w="1400" w:type="dxa"/>
            <w:vAlign w:val="bottom"/>
          </w:tcPr>
          <w:p>
            <w:pPr>
              <w:jc w:val="right"/>
              <w:ind w:right="489"/>
              <w:spacing w:after="0" w:line="131" w:lineRule="exact"/>
              <w:rPr>
                <w:sz w:val="20"/>
                <w:szCs w:val="20"/>
                <w:color w:val="auto"/>
              </w:rPr>
            </w:pPr>
            <w:r>
              <w:rPr>
                <w:rFonts w:ascii="Arial" w:cs="Arial" w:eastAsia="Arial" w:hAnsi="Arial"/>
                <w:sz w:val="14"/>
                <w:szCs w:val="14"/>
                <w:color w:val="auto"/>
              </w:rPr>
              <w:t>$889</w:t>
            </w:r>
          </w:p>
        </w:tc>
        <w:tc>
          <w:tcPr>
            <w:tcW w:w="800" w:type="dxa"/>
            <w:vAlign w:val="bottom"/>
          </w:tcPr>
          <w:p>
            <w:pPr>
              <w:jc w:val="right"/>
              <w:ind w:right="69"/>
              <w:spacing w:after="0" w:line="131" w:lineRule="exact"/>
              <w:rPr>
                <w:sz w:val="20"/>
                <w:szCs w:val="20"/>
                <w:color w:val="auto"/>
              </w:rPr>
            </w:pPr>
            <w:r>
              <w:rPr>
                <w:rFonts w:ascii="Arial" w:cs="Arial" w:eastAsia="Arial" w:hAnsi="Arial"/>
                <w:sz w:val="14"/>
                <w:szCs w:val="14"/>
                <w:color w:val="auto"/>
              </w:rPr>
              <w:t>$1,025</w:t>
            </w:r>
          </w:p>
        </w:tc>
      </w:tr>
    </w:tbl>
    <w:p>
      <w:pPr>
        <w:ind w:left="20"/>
        <w:spacing w:after="0" w:line="235" w:lineRule="auto"/>
        <w:rPr>
          <w:sz w:val="20"/>
          <w:szCs w:val="20"/>
          <w:color w:val="auto"/>
        </w:rPr>
      </w:pPr>
      <w:r>
        <w:rPr>
          <w:rFonts w:ascii="Arial" w:cs="Arial" w:eastAsia="Arial" w:hAnsi="Arial"/>
          <w:sz w:val="14"/>
          <w:szCs w:val="14"/>
          <w:color w:val="auto"/>
        </w:rPr>
        <w:t>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-30480</wp:posOffset>
            </wp:positionV>
            <wp:extent cx="4352925" cy="261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52925" cy="261620"/>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4"/>
          <w:szCs w:val="14"/>
          <w:b w:val="1"/>
          <w:bCs w:val="1"/>
          <w:color w:val="auto"/>
        </w:rPr>
        <w:t>Weighted average payout</w:t>
      </w:r>
    </w:p>
    <w:p>
      <w:pPr>
        <w:spacing w:after="0" w:line="4"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as % of Target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FFFFFF"/>
        </w:rPr>
        <w:t>Payout as</w:t>
      </w:r>
    </w:p>
    <w:p>
      <w:pPr>
        <w:spacing w:after="0" w:line="18"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3"/>
          <w:szCs w:val="13"/>
          <w:b w:val="1"/>
          <w:bCs w:val="1"/>
          <w:color w:val="FFFFFF"/>
        </w:rPr>
        <w:t>FY25</w:t>
      </w:r>
      <w:r>
        <w:rPr>
          <w:sz w:val="20"/>
          <w:szCs w:val="20"/>
          <w:color w:val="auto"/>
        </w:rPr>
        <w:tab/>
      </w:r>
      <w:r>
        <w:rPr>
          <w:rFonts w:ascii="Arial" w:cs="Arial" w:eastAsia="Arial" w:hAnsi="Arial"/>
          <w:sz w:val="13"/>
          <w:szCs w:val="13"/>
          <w:b w:val="1"/>
          <w:bCs w:val="1"/>
          <w:color w:val="FFFFFF"/>
        </w:rPr>
        <w:t>% of Target</w:t>
      </w:r>
    </w:p>
    <w:p>
      <w:pPr>
        <w:spacing w:after="0" w:line="15"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FFFFFF"/>
        </w:rPr>
        <w:t>Results</w:t>
      </w:r>
      <w:r>
        <w:rPr>
          <w:sz w:val="20"/>
          <w:szCs w:val="20"/>
          <w:color w:val="auto"/>
        </w:rPr>
        <w:tab/>
      </w:r>
      <w:r>
        <w:rPr>
          <w:rFonts w:ascii="Arial" w:cs="Arial" w:eastAsia="Arial" w:hAnsi="Arial"/>
          <w:sz w:val="14"/>
          <w:szCs w:val="14"/>
          <w:b w:val="1"/>
          <w:bCs w:val="1"/>
          <w:color w:val="FFFFFF"/>
        </w:rPr>
        <w:t>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24130</wp:posOffset>
            </wp:positionV>
            <wp:extent cx="1570355" cy="156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70355" cy="156845"/>
                    </a:xfrm>
                    <a:prstGeom prst="rect">
                      <a:avLst/>
                    </a:prstGeom>
                    <a:noFill/>
                  </pic:spPr>
                </pic:pic>
              </a:graphicData>
            </a:graphic>
          </wp:anchor>
        </w:drawing>
      </w:r>
    </w:p>
    <w:p>
      <w:pPr>
        <w:spacing w:after="0" w:line="41" w:lineRule="exact"/>
        <w:rPr>
          <w:sz w:val="20"/>
          <w:szCs w:val="20"/>
          <w:color w:val="auto"/>
        </w:rPr>
      </w:pPr>
    </w:p>
    <w:p>
      <w:pPr>
        <w:ind w:left="80"/>
        <w:spacing w:after="0"/>
        <w:tabs>
          <w:tab w:leader="none" w:pos="1180" w:val="left"/>
        </w:tabs>
        <w:rPr>
          <w:sz w:val="20"/>
          <w:szCs w:val="20"/>
          <w:color w:val="auto"/>
        </w:rPr>
      </w:pPr>
      <w:r>
        <w:rPr>
          <w:rFonts w:ascii="Arial" w:cs="Arial" w:eastAsia="Arial" w:hAnsi="Arial"/>
          <w:sz w:val="14"/>
          <w:szCs w:val="14"/>
          <w:color w:val="auto"/>
        </w:rPr>
        <w:t>$8,718</w:t>
      </w:r>
      <w:r>
        <w:rPr>
          <w:sz w:val="20"/>
          <w:szCs w:val="20"/>
          <w:color w:val="auto"/>
        </w:rPr>
        <w:tab/>
      </w:r>
      <w:r>
        <w:rPr>
          <w:rFonts w:ascii="Arial" w:cs="Arial" w:eastAsia="Arial" w:hAnsi="Arial"/>
          <w:sz w:val="14"/>
          <w:szCs w:val="14"/>
          <w:color w:val="auto"/>
        </w:rPr>
        <w:t>106.84%</w:t>
      </w:r>
    </w:p>
    <w:p>
      <w:pPr>
        <w:spacing w:after="0" w:line="86" w:lineRule="exact"/>
        <w:rPr>
          <w:sz w:val="20"/>
          <w:szCs w:val="20"/>
          <w:color w:val="auto"/>
        </w:rPr>
      </w:pPr>
    </w:p>
    <w:p>
      <w:pPr>
        <w:jc w:val="right"/>
        <w:ind w:right="120"/>
        <w:spacing w:after="0"/>
        <w:tabs>
          <w:tab w:leader="none" w:pos="460" w:val="left"/>
        </w:tabs>
        <w:rPr>
          <w:sz w:val="20"/>
          <w:szCs w:val="20"/>
          <w:color w:val="auto"/>
        </w:rPr>
      </w:pPr>
      <w:r>
        <w:rPr>
          <w:rFonts w:ascii="Arial" w:cs="Arial" w:eastAsia="Arial" w:hAnsi="Arial"/>
          <w:sz w:val="14"/>
          <w:szCs w:val="14"/>
          <w:color w:val="auto"/>
        </w:rPr>
        <w:t>$803</w:t>
      </w:r>
      <w:r>
        <w:rPr>
          <w:sz w:val="20"/>
          <w:szCs w:val="20"/>
          <w:color w:val="auto"/>
        </w:rPr>
        <w:tab/>
      </w:r>
      <w:r>
        <w:rPr>
          <w:rFonts w:ascii="Arial" w:cs="Arial" w:eastAsia="Arial" w:hAnsi="Arial"/>
          <w:sz w:val="14"/>
          <w:szCs w:val="14"/>
          <w:color w:val="auto"/>
        </w:rPr>
        <w:t>62.88%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40005</wp:posOffset>
            </wp:positionV>
            <wp:extent cx="1570355" cy="261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70355" cy="261620"/>
                    </a:xfrm>
                    <a:prstGeom prst="rect">
                      <a:avLst/>
                    </a:prstGeom>
                    <a:noFill/>
                  </pic:spPr>
                </pic:pic>
              </a:graphicData>
            </a:graphic>
          </wp:anchor>
        </w:drawing>
      </w:r>
    </w:p>
    <w:p>
      <w:pPr>
        <w:spacing w:after="0" w:line="66"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73.87%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302260</wp:posOffset>
            </wp:positionV>
            <wp:extent cx="1570355" cy="156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70355" cy="156845"/>
                    </a:xfrm>
                    <a:prstGeom prst="rect">
                      <a:avLst/>
                    </a:prstGeom>
                    <a:noFill/>
                  </pic:spPr>
                </pic:pic>
              </a:graphicData>
            </a:graphic>
          </wp:anchor>
        </w:drawing>
      </w:r>
    </w:p>
    <w:p>
      <w:pPr>
        <w:spacing w:after="0" w:line="390" w:lineRule="exact"/>
        <w:rPr>
          <w:sz w:val="20"/>
          <w:szCs w:val="20"/>
          <w:color w:val="auto"/>
        </w:rPr>
      </w:pPr>
    </w:p>
    <w:p>
      <w:pPr>
        <w:sectPr>
          <w:pgSz w:w="11900" w:h="16838" w:orient="portrait"/>
          <w:cols w:equalWidth="0" w:num="2">
            <w:col w:w="8480" w:space="600"/>
            <w:col w:w="1880"/>
          </w:cols>
          <w:pgMar w:left="460" w:top="316" w:right="479" w:bottom="1440" w:gutter="0" w:footer="0" w:header="0"/>
          <w:type w:val="continuous"/>
        </w:sectPr>
      </w:pPr>
    </w:p>
    <w:p>
      <w:pPr>
        <w:spacing w:after="0" w:line="120" w:lineRule="exact"/>
        <w:rPr>
          <w:sz w:val="20"/>
          <w:szCs w:val="20"/>
          <w:color w:val="auto"/>
        </w:rPr>
      </w:pPr>
    </w:p>
    <w:p>
      <w:pPr>
        <w:ind w:left="20"/>
        <w:spacing w:after="0" w:line="264" w:lineRule="auto"/>
        <w:rPr>
          <w:sz w:val="20"/>
          <w:szCs w:val="20"/>
          <w:color w:val="auto"/>
        </w:rPr>
      </w:pPr>
      <w:r>
        <w:rPr>
          <w:rFonts w:ascii="Arial" w:cs="Arial" w:eastAsia="Arial" w:hAnsi="Arial"/>
          <w:sz w:val="14"/>
          <w:szCs w:val="14"/>
          <w:b w:val="1"/>
          <w:bCs w:val="1"/>
          <w:color w:val="auto"/>
        </w:rPr>
        <w:t xml:space="preserve">Calvin Klein Global </w:t>
      </w:r>
      <w:r>
        <w:rPr>
          <w:rFonts w:ascii="Arial" w:cs="Arial" w:eastAsia="Arial" w:hAnsi="Arial"/>
          <w:sz w:val="14"/>
          <w:szCs w:val="14"/>
          <w:color w:val="auto"/>
        </w:rPr>
        <w:t>Applied to Mr. Savman &amp; Ms. Serrano</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204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Revenue</w:t>
            </w:r>
          </w:p>
        </w:tc>
        <w:tc>
          <w:tcPr>
            <w:tcW w:w="1100" w:type="dxa"/>
            <w:vAlign w:val="bottom"/>
            <w:shd w:val="clear" w:color="auto" w:fill="E9F0F3"/>
          </w:tcPr>
          <w:p>
            <w:pPr>
              <w:jc w:val="right"/>
              <w:ind w:right="469"/>
              <w:spacing w:after="0"/>
              <w:rPr>
                <w:sz w:val="20"/>
                <w:szCs w:val="20"/>
                <w:color w:val="auto"/>
              </w:rPr>
            </w:pPr>
            <w:r>
              <w:rPr>
                <w:rFonts w:ascii="Arial" w:cs="Arial" w:eastAsia="Arial" w:hAnsi="Arial"/>
                <w:sz w:val="14"/>
                <w:szCs w:val="14"/>
                <w:color w:val="auto"/>
              </w:rPr>
              <w:t>25%</w:t>
            </w:r>
          </w:p>
        </w:tc>
        <w:tc>
          <w:tcPr>
            <w:tcW w:w="1520" w:type="dxa"/>
            <w:vAlign w:val="bottom"/>
            <w:shd w:val="clear" w:color="auto" w:fill="E2EAEF"/>
          </w:tcPr>
          <w:p>
            <w:pPr>
              <w:jc w:val="right"/>
              <w:ind w:right="329"/>
              <w:spacing w:after="0"/>
              <w:rPr>
                <w:sz w:val="20"/>
                <w:szCs w:val="20"/>
                <w:color w:val="auto"/>
              </w:rPr>
            </w:pPr>
            <w:r>
              <w:rPr>
                <w:rFonts w:ascii="Arial" w:cs="Arial" w:eastAsia="Arial" w:hAnsi="Arial"/>
                <w:sz w:val="14"/>
                <w:szCs w:val="14"/>
                <w:color w:val="auto"/>
              </w:rPr>
              <w:t>$3,600</w:t>
            </w:r>
          </w:p>
        </w:tc>
        <w:tc>
          <w:tcPr>
            <w:tcW w:w="1240" w:type="dxa"/>
            <w:vAlign w:val="bottom"/>
            <w:shd w:val="clear" w:color="auto" w:fill="E2EAEF"/>
          </w:tcPr>
          <w:p>
            <w:pPr>
              <w:jc w:val="right"/>
              <w:ind w:right="329"/>
              <w:spacing w:after="0"/>
              <w:rPr>
                <w:sz w:val="20"/>
                <w:szCs w:val="20"/>
                <w:color w:val="auto"/>
              </w:rPr>
            </w:pPr>
            <w:r>
              <w:rPr>
                <w:rFonts w:ascii="Arial" w:cs="Arial" w:eastAsia="Arial" w:hAnsi="Arial"/>
                <w:sz w:val="14"/>
                <w:szCs w:val="14"/>
                <w:color w:val="auto"/>
              </w:rPr>
              <w:t>$3,861</w:t>
            </w:r>
          </w:p>
        </w:tc>
        <w:tc>
          <w:tcPr>
            <w:tcW w:w="960" w:type="dxa"/>
            <w:vAlign w:val="bottom"/>
            <w:shd w:val="clear" w:color="auto" w:fill="E2EAEF"/>
          </w:tcPr>
          <w:p>
            <w:pPr>
              <w:jc w:val="right"/>
              <w:ind w:right="69"/>
              <w:spacing w:after="0"/>
              <w:rPr>
                <w:sz w:val="20"/>
                <w:szCs w:val="20"/>
                <w:color w:val="auto"/>
              </w:rPr>
            </w:pPr>
            <w:r>
              <w:rPr>
                <w:rFonts w:ascii="Arial" w:cs="Arial" w:eastAsia="Arial" w:hAnsi="Arial"/>
                <w:sz w:val="14"/>
                <w:szCs w:val="14"/>
                <w:color w:val="auto"/>
              </w:rPr>
              <w:t>$4,050</w:t>
            </w:r>
          </w:p>
        </w:tc>
      </w:tr>
      <w:tr>
        <w:trPr>
          <w:trHeight w:val="238"/>
        </w:trPr>
        <w:tc>
          <w:tcPr>
            <w:tcW w:w="2040" w:type="dxa"/>
            <w:vAlign w:val="bottom"/>
          </w:tcPr>
          <w:p>
            <w:pPr>
              <w:ind w:left="60"/>
              <w:spacing w:after="0"/>
              <w:rPr>
                <w:sz w:val="20"/>
                <w:szCs w:val="20"/>
                <w:color w:val="auto"/>
              </w:rPr>
            </w:pPr>
            <w:r>
              <w:rPr>
                <w:rFonts w:ascii="Arial" w:cs="Arial" w:eastAsia="Arial" w:hAnsi="Arial"/>
                <w:sz w:val="14"/>
                <w:szCs w:val="14"/>
                <w:b w:val="1"/>
                <w:bCs w:val="1"/>
                <w:color w:val="auto"/>
              </w:rPr>
              <w:t>EBIT</w:t>
            </w:r>
          </w:p>
        </w:tc>
        <w:tc>
          <w:tcPr>
            <w:tcW w:w="1100" w:type="dxa"/>
            <w:vAlign w:val="bottom"/>
          </w:tcPr>
          <w:p>
            <w:pPr>
              <w:jc w:val="right"/>
              <w:ind w:right="469"/>
              <w:spacing w:after="0"/>
              <w:rPr>
                <w:sz w:val="20"/>
                <w:szCs w:val="20"/>
                <w:color w:val="auto"/>
              </w:rPr>
            </w:pPr>
            <w:r>
              <w:rPr>
                <w:rFonts w:ascii="Arial" w:cs="Arial" w:eastAsia="Arial" w:hAnsi="Arial"/>
                <w:sz w:val="14"/>
                <w:szCs w:val="14"/>
                <w:color w:val="auto"/>
              </w:rPr>
              <w:t>75%</w:t>
            </w:r>
          </w:p>
        </w:tc>
        <w:tc>
          <w:tcPr>
            <w:tcW w:w="1520" w:type="dxa"/>
            <w:vAlign w:val="bottom"/>
          </w:tcPr>
          <w:p>
            <w:pPr>
              <w:jc w:val="right"/>
              <w:ind w:right="329"/>
              <w:spacing w:after="0"/>
              <w:rPr>
                <w:sz w:val="20"/>
                <w:szCs w:val="20"/>
                <w:color w:val="auto"/>
              </w:rPr>
            </w:pPr>
            <w:r>
              <w:rPr>
                <w:rFonts w:ascii="Arial" w:cs="Arial" w:eastAsia="Arial" w:hAnsi="Arial"/>
                <w:sz w:val="14"/>
                <w:szCs w:val="14"/>
                <w:color w:val="auto"/>
              </w:rPr>
              <w:t>$450</w:t>
            </w:r>
          </w:p>
        </w:tc>
        <w:tc>
          <w:tcPr>
            <w:tcW w:w="1240" w:type="dxa"/>
            <w:vAlign w:val="bottom"/>
          </w:tcPr>
          <w:p>
            <w:pPr>
              <w:jc w:val="right"/>
              <w:ind w:right="329"/>
              <w:spacing w:after="0"/>
              <w:rPr>
                <w:sz w:val="20"/>
                <w:szCs w:val="20"/>
                <w:color w:val="auto"/>
              </w:rPr>
            </w:pPr>
            <w:r>
              <w:rPr>
                <w:rFonts w:ascii="Arial" w:cs="Arial" w:eastAsia="Arial" w:hAnsi="Arial"/>
                <w:sz w:val="14"/>
                <w:szCs w:val="14"/>
                <w:color w:val="auto"/>
              </w:rPr>
              <w:t>$562</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$645</w:t>
            </w:r>
          </w:p>
        </w:tc>
      </w:tr>
      <w:tr>
        <w:trPr>
          <w:trHeight w:val="209"/>
        </w:trPr>
        <w:tc>
          <w:tcPr>
            <w:tcW w:w="204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Weighted average payout</w:t>
            </w:r>
          </w:p>
        </w:tc>
        <w:tc>
          <w:tcPr>
            <w:tcW w:w="1100" w:type="dxa"/>
            <w:vAlign w:val="bottom"/>
            <w:shd w:val="clear" w:color="auto" w:fill="E9F0F3"/>
          </w:tcPr>
          <w:p>
            <w:pPr>
              <w:spacing w:after="0"/>
              <w:rPr>
                <w:sz w:val="18"/>
                <w:szCs w:val="18"/>
                <w:color w:val="auto"/>
              </w:rPr>
            </w:pPr>
          </w:p>
        </w:tc>
        <w:tc>
          <w:tcPr>
            <w:tcW w:w="1520" w:type="dxa"/>
            <w:vAlign w:val="bottom"/>
            <w:shd w:val="clear" w:color="auto" w:fill="E2EAEF"/>
          </w:tcPr>
          <w:p>
            <w:pPr>
              <w:spacing w:after="0"/>
              <w:rPr>
                <w:sz w:val="18"/>
                <w:szCs w:val="18"/>
                <w:color w:val="auto"/>
              </w:rPr>
            </w:pPr>
          </w:p>
        </w:tc>
        <w:tc>
          <w:tcPr>
            <w:tcW w:w="1240" w:type="dxa"/>
            <w:vAlign w:val="bottom"/>
            <w:shd w:val="clear" w:color="auto" w:fill="E2EAEF"/>
          </w:tcPr>
          <w:p>
            <w:pPr>
              <w:spacing w:after="0"/>
              <w:rPr>
                <w:sz w:val="18"/>
                <w:szCs w:val="18"/>
                <w:color w:val="auto"/>
              </w:rPr>
            </w:pPr>
          </w:p>
        </w:tc>
        <w:tc>
          <w:tcPr>
            <w:tcW w:w="960" w:type="dxa"/>
            <w:vAlign w:val="bottom"/>
            <w:shd w:val="clear" w:color="auto" w:fill="E2EAEF"/>
          </w:tcPr>
          <w:p>
            <w:pPr>
              <w:spacing w:after="0"/>
              <w:rPr>
                <w:sz w:val="18"/>
                <w:szCs w:val="18"/>
                <w:color w:val="auto"/>
              </w:rPr>
            </w:pPr>
          </w:p>
        </w:tc>
      </w:tr>
      <w:tr>
        <w:trPr>
          <w:trHeight w:val="213"/>
        </w:trPr>
        <w:tc>
          <w:tcPr>
            <w:tcW w:w="204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as % of Target</w:t>
            </w:r>
          </w:p>
        </w:tc>
        <w:tc>
          <w:tcPr>
            <w:tcW w:w="1100" w:type="dxa"/>
            <w:vAlign w:val="bottom"/>
            <w:shd w:val="clear" w:color="auto" w:fill="E9F0F3"/>
          </w:tcPr>
          <w:p>
            <w:pPr>
              <w:spacing w:after="0"/>
              <w:rPr>
                <w:sz w:val="18"/>
                <w:szCs w:val="18"/>
                <w:color w:val="auto"/>
              </w:rPr>
            </w:pPr>
          </w:p>
        </w:tc>
        <w:tc>
          <w:tcPr>
            <w:tcW w:w="1520" w:type="dxa"/>
            <w:vAlign w:val="bottom"/>
            <w:shd w:val="clear" w:color="auto" w:fill="E2EAEF"/>
          </w:tcPr>
          <w:p>
            <w:pPr>
              <w:spacing w:after="0"/>
              <w:rPr>
                <w:sz w:val="18"/>
                <w:szCs w:val="18"/>
                <w:color w:val="auto"/>
              </w:rPr>
            </w:pPr>
          </w:p>
        </w:tc>
        <w:tc>
          <w:tcPr>
            <w:tcW w:w="1240" w:type="dxa"/>
            <w:vAlign w:val="bottom"/>
            <w:shd w:val="clear" w:color="auto" w:fill="E2EAEF"/>
          </w:tcPr>
          <w:p>
            <w:pPr>
              <w:spacing w:after="0"/>
              <w:rPr>
                <w:sz w:val="18"/>
                <w:szCs w:val="18"/>
                <w:color w:val="auto"/>
              </w:rPr>
            </w:pPr>
          </w:p>
        </w:tc>
        <w:tc>
          <w:tcPr>
            <w:tcW w:w="960" w:type="dxa"/>
            <w:vAlign w:val="bottom"/>
            <w:shd w:val="clear" w:color="auto" w:fill="E2EAEF"/>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color w:val="auto"/>
        </w:rPr>
        <w:t>$3,784</w:t>
      </w:r>
      <w:r>
        <w:rPr>
          <w:sz w:val="20"/>
          <w:szCs w:val="20"/>
          <w:color w:val="auto"/>
        </w:rPr>
        <w:tab/>
      </w:r>
      <w:r>
        <w:rPr>
          <w:rFonts w:ascii="Arial" w:cs="Arial" w:eastAsia="Arial" w:hAnsi="Arial"/>
          <w:sz w:val="14"/>
          <w:szCs w:val="14"/>
          <w:color w:val="auto"/>
        </w:rPr>
        <w:t>77.81%</w:t>
      </w:r>
    </w:p>
    <w:p>
      <w:pPr>
        <w:spacing w:after="0" w:line="86"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4"/>
          <w:szCs w:val="14"/>
          <w:color w:val="auto"/>
        </w:rPr>
        <w:t>$489</w:t>
      </w:r>
      <w:r>
        <w:rPr>
          <w:sz w:val="20"/>
          <w:szCs w:val="20"/>
          <w:color w:val="auto"/>
        </w:rPr>
        <w:tab/>
      </w:r>
      <w:r>
        <w:rPr>
          <w:rFonts w:ascii="Arial" w:cs="Arial" w:eastAsia="Arial" w:hAnsi="Arial"/>
          <w:sz w:val="14"/>
          <w:szCs w:val="14"/>
          <w:color w:val="auto"/>
        </w:rPr>
        <w:t>51.13%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40005</wp:posOffset>
            </wp:positionV>
            <wp:extent cx="1570355" cy="261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570355" cy="261620"/>
                    </a:xfrm>
                    <a:prstGeom prst="rect">
                      <a:avLst/>
                    </a:prstGeom>
                    <a:noFill/>
                  </pic:spPr>
                </pic:pic>
              </a:graphicData>
            </a:graphic>
          </wp:anchor>
        </w:drawing>
      </w:r>
    </w:p>
    <w:p>
      <w:pPr>
        <w:spacing w:after="0" w:line="66"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57.80%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302260</wp:posOffset>
            </wp:positionV>
            <wp:extent cx="1570355" cy="156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70355" cy="156845"/>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3">
            <w:col w:w="1440" w:space="180"/>
            <w:col w:w="6860" w:space="680"/>
            <w:col w:w="1800"/>
          </w:cols>
          <w:pgMar w:left="460" w:top="316" w:right="479" w:bottom="1440" w:gutter="0" w:footer="0" w:header="0"/>
          <w:type w:val="continuous"/>
        </w:sectPr>
      </w:pP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600" w:type="dxa"/>
            <w:vAlign w:val="bottom"/>
          </w:tcPr>
          <w:p>
            <w:pPr>
              <w:spacing w:after="0"/>
              <w:rPr>
                <w:sz w:val="20"/>
                <w:szCs w:val="20"/>
                <w:color w:val="auto"/>
              </w:rPr>
            </w:pPr>
            <w:r>
              <w:rPr>
                <w:rFonts w:ascii="Arial" w:cs="Arial" w:eastAsia="Arial" w:hAnsi="Arial"/>
                <w:sz w:val="14"/>
                <w:szCs w:val="14"/>
                <w:b w:val="1"/>
                <w:bCs w:val="1"/>
                <w:color w:val="auto"/>
              </w:rPr>
              <w:t>Tommy Hilfiger</w:t>
            </w:r>
          </w:p>
        </w:tc>
        <w:tc>
          <w:tcPr>
            <w:tcW w:w="204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b w:val="1"/>
                <w:bCs w:val="1"/>
                <w:color w:val="auto"/>
              </w:rPr>
              <w:t>Revenue</w:t>
            </w:r>
          </w:p>
        </w:tc>
        <w:tc>
          <w:tcPr>
            <w:tcW w:w="1100" w:type="dxa"/>
            <w:vAlign w:val="bottom"/>
            <w:tcBorders>
              <w:bottom w:val="single" w:sz="8" w:color="E9F0F3"/>
            </w:tcBorders>
            <w:shd w:val="clear" w:color="auto" w:fill="E9F0F3"/>
          </w:tcPr>
          <w:p>
            <w:pPr>
              <w:jc w:val="right"/>
              <w:ind w:right="469"/>
              <w:spacing w:after="0"/>
              <w:rPr>
                <w:sz w:val="20"/>
                <w:szCs w:val="20"/>
                <w:color w:val="auto"/>
              </w:rPr>
            </w:pPr>
            <w:r>
              <w:rPr>
                <w:rFonts w:ascii="Arial" w:cs="Arial" w:eastAsia="Arial" w:hAnsi="Arial"/>
                <w:sz w:val="14"/>
                <w:szCs w:val="14"/>
                <w:color w:val="auto"/>
              </w:rPr>
              <w:t>25%</w:t>
            </w:r>
          </w:p>
        </w:tc>
        <w:tc>
          <w:tcPr>
            <w:tcW w:w="1520" w:type="dxa"/>
            <w:vAlign w:val="bottom"/>
            <w:tcBorders>
              <w:bottom w:val="single" w:sz="8" w:color="E2EAEF"/>
            </w:tcBorders>
            <w:shd w:val="clear" w:color="auto" w:fill="E2EAEF"/>
          </w:tcPr>
          <w:p>
            <w:pPr>
              <w:jc w:val="right"/>
              <w:ind w:right="329"/>
              <w:spacing w:after="0"/>
              <w:rPr>
                <w:sz w:val="20"/>
                <w:szCs w:val="20"/>
                <w:color w:val="auto"/>
              </w:rPr>
            </w:pPr>
            <w:r>
              <w:rPr>
                <w:rFonts w:ascii="Arial" w:cs="Arial" w:eastAsia="Arial" w:hAnsi="Arial"/>
                <w:sz w:val="14"/>
                <w:szCs w:val="14"/>
                <w:color w:val="auto"/>
              </w:rPr>
              <w:t>€4,325</w:t>
            </w:r>
          </w:p>
        </w:tc>
        <w:tc>
          <w:tcPr>
            <w:tcW w:w="1240" w:type="dxa"/>
            <w:vAlign w:val="bottom"/>
            <w:tcBorders>
              <w:bottom w:val="single" w:sz="8" w:color="E2EAEF"/>
            </w:tcBorders>
            <w:shd w:val="clear" w:color="auto" w:fill="E2EAEF"/>
          </w:tcPr>
          <w:p>
            <w:pPr>
              <w:jc w:val="right"/>
              <w:ind w:right="329"/>
              <w:spacing w:after="0"/>
              <w:rPr>
                <w:sz w:val="20"/>
                <w:szCs w:val="20"/>
                <w:color w:val="auto"/>
              </w:rPr>
            </w:pPr>
            <w:r>
              <w:rPr>
                <w:rFonts w:ascii="Arial" w:cs="Arial" w:eastAsia="Arial" w:hAnsi="Arial"/>
                <w:sz w:val="14"/>
                <w:szCs w:val="14"/>
                <w:color w:val="auto"/>
              </w:rPr>
              <w:t>€4,643</w:t>
            </w:r>
          </w:p>
        </w:tc>
        <w:tc>
          <w:tcPr>
            <w:tcW w:w="960" w:type="dxa"/>
            <w:vAlign w:val="bottom"/>
            <w:tcBorders>
              <w:bottom w:val="single" w:sz="8" w:color="E2EAEF"/>
            </w:tcBorders>
            <w:shd w:val="clear" w:color="auto" w:fill="E2EAEF"/>
          </w:tcPr>
          <w:p>
            <w:pPr>
              <w:jc w:val="right"/>
              <w:ind w:right="69"/>
              <w:spacing w:after="0"/>
              <w:rPr>
                <w:sz w:val="20"/>
                <w:szCs w:val="20"/>
                <w:color w:val="auto"/>
              </w:rPr>
            </w:pPr>
            <w:r>
              <w:rPr>
                <w:rFonts w:ascii="Arial" w:cs="Arial" w:eastAsia="Arial" w:hAnsi="Arial"/>
                <w:sz w:val="14"/>
                <w:szCs w:val="14"/>
                <w:color w:val="auto"/>
              </w:rPr>
              <w:t>€4,875</w:t>
            </w:r>
          </w:p>
        </w:tc>
        <w:tc>
          <w:tcPr>
            <w:tcW w:w="0" w:type="dxa"/>
            <w:vAlign w:val="bottom"/>
          </w:tcPr>
          <w:p>
            <w:pPr>
              <w:spacing w:after="0"/>
              <w:rPr>
                <w:sz w:val="1"/>
                <w:szCs w:val="1"/>
                <w:color w:val="auto"/>
              </w:rPr>
            </w:pPr>
          </w:p>
        </w:tc>
      </w:tr>
      <w:tr>
        <w:trPr>
          <w:trHeight w:val="117"/>
        </w:trPr>
        <w:tc>
          <w:tcPr>
            <w:tcW w:w="1600" w:type="dxa"/>
            <w:vAlign w:val="bottom"/>
          </w:tcPr>
          <w:p>
            <w:pPr>
              <w:spacing w:after="0" w:line="118" w:lineRule="exact"/>
              <w:rPr>
                <w:sz w:val="20"/>
                <w:szCs w:val="20"/>
                <w:color w:val="auto"/>
              </w:rPr>
            </w:pPr>
            <w:r>
              <w:rPr>
                <w:rFonts w:ascii="Arial" w:cs="Arial" w:eastAsia="Arial" w:hAnsi="Arial"/>
                <w:sz w:val="13"/>
                <w:szCs w:val="13"/>
                <w:b w:val="1"/>
                <w:bCs w:val="1"/>
                <w:color w:val="auto"/>
              </w:rPr>
              <w:t>Global</w:t>
            </w:r>
          </w:p>
        </w:tc>
        <w:tc>
          <w:tcPr>
            <w:tcW w:w="20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EBIT</w:t>
            </w:r>
          </w:p>
        </w:tc>
        <w:tc>
          <w:tcPr>
            <w:tcW w:w="1100" w:type="dxa"/>
            <w:vAlign w:val="bottom"/>
            <w:vMerge w:val="restart"/>
          </w:tcPr>
          <w:p>
            <w:pPr>
              <w:jc w:val="right"/>
              <w:ind w:right="469"/>
              <w:spacing w:after="0"/>
              <w:rPr>
                <w:sz w:val="20"/>
                <w:szCs w:val="20"/>
                <w:color w:val="auto"/>
              </w:rPr>
            </w:pPr>
            <w:r>
              <w:rPr>
                <w:rFonts w:ascii="Arial" w:cs="Arial" w:eastAsia="Arial" w:hAnsi="Arial"/>
                <w:sz w:val="14"/>
                <w:szCs w:val="14"/>
                <w:color w:val="auto"/>
              </w:rPr>
              <w:t>75%</w:t>
            </w:r>
          </w:p>
        </w:tc>
        <w:tc>
          <w:tcPr>
            <w:tcW w:w="1520" w:type="dxa"/>
            <w:vAlign w:val="bottom"/>
            <w:vMerge w:val="restart"/>
          </w:tcPr>
          <w:p>
            <w:pPr>
              <w:jc w:val="right"/>
              <w:ind w:right="329"/>
              <w:spacing w:after="0"/>
              <w:rPr>
                <w:sz w:val="20"/>
                <w:szCs w:val="20"/>
                <w:color w:val="auto"/>
              </w:rPr>
            </w:pPr>
            <w:r>
              <w:rPr>
                <w:rFonts w:ascii="Arial" w:cs="Arial" w:eastAsia="Arial" w:hAnsi="Arial"/>
                <w:sz w:val="14"/>
                <w:szCs w:val="14"/>
                <w:color w:val="auto"/>
              </w:rPr>
              <w:t>€575</w:t>
            </w:r>
          </w:p>
        </w:tc>
        <w:tc>
          <w:tcPr>
            <w:tcW w:w="1240" w:type="dxa"/>
            <w:vAlign w:val="bottom"/>
            <w:vMerge w:val="restart"/>
          </w:tcPr>
          <w:p>
            <w:pPr>
              <w:jc w:val="right"/>
              <w:ind w:right="329"/>
              <w:spacing w:after="0"/>
              <w:rPr>
                <w:sz w:val="20"/>
                <w:szCs w:val="20"/>
                <w:color w:val="auto"/>
              </w:rPr>
            </w:pPr>
            <w:r>
              <w:rPr>
                <w:rFonts w:ascii="Arial" w:cs="Arial" w:eastAsia="Arial" w:hAnsi="Arial"/>
                <w:sz w:val="14"/>
                <w:szCs w:val="14"/>
                <w:color w:val="auto"/>
              </w:rPr>
              <w:t>€715</w:t>
            </w:r>
          </w:p>
        </w:tc>
        <w:tc>
          <w:tcPr>
            <w:tcW w:w="960" w:type="dxa"/>
            <w:vAlign w:val="bottom"/>
            <w:vMerge w:val="restart"/>
          </w:tcPr>
          <w:p>
            <w:pPr>
              <w:jc w:val="right"/>
              <w:ind w:right="69"/>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50"/>
        </w:trPr>
        <w:tc>
          <w:tcPr>
            <w:tcW w:w="1600" w:type="dxa"/>
            <w:vAlign w:val="bottom"/>
          </w:tcPr>
          <w:p>
            <w:pPr>
              <w:spacing w:after="0" w:line="145" w:lineRule="exact"/>
              <w:rPr>
                <w:sz w:val="20"/>
                <w:szCs w:val="20"/>
                <w:color w:val="auto"/>
              </w:rPr>
            </w:pPr>
            <w:r>
              <w:rPr>
                <w:rFonts w:ascii="Arial" w:cs="Arial" w:eastAsia="Arial" w:hAnsi="Arial"/>
                <w:sz w:val="14"/>
                <w:szCs w:val="14"/>
                <w:color w:val="auto"/>
              </w:rPr>
              <w:t>Applied to</w:t>
            </w:r>
          </w:p>
        </w:tc>
        <w:tc>
          <w:tcPr>
            <w:tcW w:w="2040" w:type="dxa"/>
            <w:vAlign w:val="bottom"/>
            <w:tcBorders>
              <w:bottom w:val="single" w:sz="8" w:color="E9F0F3"/>
            </w:tcBorders>
            <w:vMerge w:val="continue"/>
          </w:tcPr>
          <w:p>
            <w:pPr>
              <w:spacing w:after="0"/>
              <w:rPr>
                <w:sz w:val="12"/>
                <w:szCs w:val="12"/>
                <w:color w:val="auto"/>
              </w:rPr>
            </w:pPr>
          </w:p>
        </w:tc>
        <w:tc>
          <w:tcPr>
            <w:tcW w:w="1100" w:type="dxa"/>
            <w:vAlign w:val="bottom"/>
            <w:tcBorders>
              <w:bottom w:val="single" w:sz="8" w:color="E9F0F3"/>
            </w:tcBorders>
            <w:vMerge w:val="continue"/>
          </w:tcPr>
          <w:p>
            <w:pPr>
              <w:spacing w:after="0"/>
              <w:rPr>
                <w:sz w:val="12"/>
                <w:szCs w:val="12"/>
                <w:color w:val="auto"/>
              </w:rPr>
            </w:pPr>
          </w:p>
        </w:tc>
        <w:tc>
          <w:tcPr>
            <w:tcW w:w="1520" w:type="dxa"/>
            <w:vAlign w:val="bottom"/>
            <w:tcBorders>
              <w:bottom w:val="single" w:sz="8" w:color="E2EAEF"/>
            </w:tcBorders>
            <w:vMerge w:val="continue"/>
          </w:tcPr>
          <w:p>
            <w:pPr>
              <w:spacing w:after="0"/>
              <w:rPr>
                <w:sz w:val="12"/>
                <w:szCs w:val="12"/>
                <w:color w:val="auto"/>
              </w:rPr>
            </w:pPr>
          </w:p>
        </w:tc>
        <w:tc>
          <w:tcPr>
            <w:tcW w:w="1240" w:type="dxa"/>
            <w:vAlign w:val="bottom"/>
            <w:tcBorders>
              <w:bottom w:val="single" w:sz="8" w:color="E2EAEF"/>
            </w:tcBorders>
            <w:vMerge w:val="continue"/>
          </w:tcPr>
          <w:p>
            <w:pPr>
              <w:spacing w:after="0"/>
              <w:rPr>
                <w:sz w:val="12"/>
                <w:szCs w:val="12"/>
                <w:color w:val="auto"/>
              </w:rPr>
            </w:pPr>
          </w:p>
        </w:tc>
        <w:tc>
          <w:tcPr>
            <w:tcW w:w="960" w:type="dxa"/>
            <w:vAlign w:val="bottom"/>
            <w:tcBorders>
              <w:bottom w:val="single" w:sz="8" w:color="E2EAE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20"/>
                <w:szCs w:val="20"/>
                <w:color w:val="auto"/>
              </w:rPr>
            </w:pPr>
            <w:r>
              <w:rPr>
                <w:rFonts w:ascii="Arial" w:cs="Arial" w:eastAsia="Arial" w:hAnsi="Arial"/>
                <w:sz w:val="14"/>
                <w:szCs w:val="14"/>
                <w:color w:val="auto"/>
              </w:rPr>
              <w:t>Ms. Rytz Goldman</w:t>
            </w:r>
          </w:p>
        </w:tc>
        <w:tc>
          <w:tcPr>
            <w:tcW w:w="204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Weighted average payout</w:t>
            </w:r>
          </w:p>
        </w:tc>
        <w:tc>
          <w:tcPr>
            <w:tcW w:w="1100" w:type="dxa"/>
            <w:vAlign w:val="bottom"/>
            <w:shd w:val="clear" w:color="auto" w:fill="E9F0F3"/>
          </w:tcPr>
          <w:p>
            <w:pPr>
              <w:spacing w:after="0"/>
              <w:rPr>
                <w:sz w:val="14"/>
                <w:szCs w:val="14"/>
                <w:color w:val="auto"/>
              </w:rPr>
            </w:pPr>
          </w:p>
        </w:tc>
        <w:tc>
          <w:tcPr>
            <w:tcW w:w="1520" w:type="dxa"/>
            <w:vAlign w:val="bottom"/>
            <w:shd w:val="clear" w:color="auto" w:fill="E2EAEF"/>
          </w:tcPr>
          <w:p>
            <w:pPr>
              <w:spacing w:after="0"/>
              <w:rPr>
                <w:sz w:val="14"/>
                <w:szCs w:val="14"/>
                <w:color w:val="auto"/>
              </w:rPr>
            </w:pPr>
          </w:p>
        </w:tc>
        <w:tc>
          <w:tcPr>
            <w:tcW w:w="1240" w:type="dxa"/>
            <w:vAlign w:val="bottom"/>
            <w:shd w:val="clear" w:color="auto" w:fill="E2EAEF"/>
          </w:tcPr>
          <w:p>
            <w:pPr>
              <w:spacing w:after="0"/>
              <w:rPr>
                <w:sz w:val="14"/>
                <w:szCs w:val="14"/>
                <w:color w:val="auto"/>
              </w:rPr>
            </w:pPr>
          </w:p>
        </w:tc>
        <w:tc>
          <w:tcPr>
            <w:tcW w:w="960" w:type="dxa"/>
            <w:vAlign w:val="bottom"/>
            <w:shd w:val="clear" w:color="auto" w:fill="E2EAE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600" w:type="dxa"/>
            <w:vAlign w:val="bottom"/>
          </w:tcPr>
          <w:p>
            <w:pPr>
              <w:spacing w:after="0"/>
              <w:rPr>
                <w:sz w:val="18"/>
                <w:szCs w:val="18"/>
                <w:color w:val="auto"/>
              </w:rPr>
            </w:pPr>
          </w:p>
        </w:tc>
        <w:tc>
          <w:tcPr>
            <w:tcW w:w="204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as % of Target</w:t>
            </w:r>
          </w:p>
        </w:tc>
        <w:tc>
          <w:tcPr>
            <w:tcW w:w="1100" w:type="dxa"/>
            <w:vAlign w:val="bottom"/>
            <w:shd w:val="clear" w:color="auto" w:fill="E9F0F3"/>
          </w:tcPr>
          <w:p>
            <w:pPr>
              <w:spacing w:after="0"/>
              <w:rPr>
                <w:sz w:val="18"/>
                <w:szCs w:val="18"/>
                <w:color w:val="auto"/>
              </w:rPr>
            </w:pPr>
          </w:p>
        </w:tc>
        <w:tc>
          <w:tcPr>
            <w:tcW w:w="1520" w:type="dxa"/>
            <w:vAlign w:val="bottom"/>
            <w:shd w:val="clear" w:color="auto" w:fill="E2EAEF"/>
          </w:tcPr>
          <w:p>
            <w:pPr>
              <w:spacing w:after="0"/>
              <w:rPr>
                <w:sz w:val="18"/>
                <w:szCs w:val="18"/>
                <w:color w:val="auto"/>
              </w:rPr>
            </w:pPr>
          </w:p>
        </w:tc>
        <w:tc>
          <w:tcPr>
            <w:tcW w:w="1240" w:type="dxa"/>
            <w:vAlign w:val="bottom"/>
            <w:shd w:val="clear" w:color="auto" w:fill="E2EAEF"/>
          </w:tcPr>
          <w:p>
            <w:pPr>
              <w:spacing w:after="0"/>
              <w:rPr>
                <w:sz w:val="18"/>
                <w:szCs w:val="18"/>
                <w:color w:val="auto"/>
              </w:rPr>
            </w:pPr>
          </w:p>
        </w:tc>
        <w:tc>
          <w:tcPr>
            <w:tcW w:w="960" w:type="dxa"/>
            <w:vAlign w:val="bottom"/>
            <w:shd w:val="clear" w:color="auto" w:fill="E2EAE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6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600" w:type="dxa"/>
            <w:vAlign w:val="bottom"/>
          </w:tcPr>
          <w:p>
            <w:pPr>
              <w:spacing w:after="0"/>
              <w:rPr>
                <w:sz w:val="20"/>
                <w:szCs w:val="20"/>
                <w:color w:val="auto"/>
              </w:rPr>
            </w:pPr>
            <w:r>
              <w:rPr>
                <w:rFonts w:ascii="Arial" w:cs="Arial" w:eastAsia="Arial" w:hAnsi="Arial"/>
                <w:sz w:val="14"/>
                <w:szCs w:val="14"/>
                <w:b w:val="1"/>
                <w:bCs w:val="1"/>
                <w:color w:val="auto"/>
              </w:rPr>
              <w:t>PVH Europe</w:t>
            </w:r>
          </w:p>
        </w:tc>
        <w:tc>
          <w:tcPr>
            <w:tcW w:w="204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b w:val="1"/>
                <w:bCs w:val="1"/>
                <w:color w:val="auto"/>
              </w:rPr>
              <w:t>Revenue</w:t>
            </w:r>
          </w:p>
        </w:tc>
        <w:tc>
          <w:tcPr>
            <w:tcW w:w="1100" w:type="dxa"/>
            <w:vAlign w:val="bottom"/>
            <w:tcBorders>
              <w:bottom w:val="single" w:sz="8" w:color="E9F0F3"/>
            </w:tcBorders>
            <w:shd w:val="clear" w:color="auto" w:fill="E9F0F3"/>
          </w:tcPr>
          <w:p>
            <w:pPr>
              <w:jc w:val="right"/>
              <w:ind w:right="469"/>
              <w:spacing w:after="0"/>
              <w:rPr>
                <w:sz w:val="20"/>
                <w:szCs w:val="20"/>
                <w:color w:val="auto"/>
              </w:rPr>
            </w:pPr>
            <w:r>
              <w:rPr>
                <w:rFonts w:ascii="Arial" w:cs="Arial" w:eastAsia="Arial" w:hAnsi="Arial"/>
                <w:sz w:val="14"/>
                <w:szCs w:val="14"/>
                <w:color w:val="auto"/>
              </w:rPr>
              <w:t>25%</w:t>
            </w:r>
          </w:p>
        </w:tc>
        <w:tc>
          <w:tcPr>
            <w:tcW w:w="1520" w:type="dxa"/>
            <w:vAlign w:val="bottom"/>
            <w:tcBorders>
              <w:bottom w:val="single" w:sz="8" w:color="E2EAEF"/>
            </w:tcBorders>
            <w:shd w:val="clear" w:color="auto" w:fill="E2EAEF"/>
          </w:tcPr>
          <w:p>
            <w:pPr>
              <w:jc w:val="right"/>
              <w:ind w:right="329"/>
              <w:spacing w:after="0"/>
              <w:rPr>
                <w:sz w:val="20"/>
                <w:szCs w:val="20"/>
                <w:color w:val="auto"/>
              </w:rPr>
            </w:pPr>
            <w:r>
              <w:rPr>
                <w:rFonts w:ascii="Arial" w:cs="Arial" w:eastAsia="Arial" w:hAnsi="Arial"/>
                <w:sz w:val="14"/>
                <w:szCs w:val="14"/>
                <w:color w:val="auto"/>
              </w:rPr>
              <w:t>€3,600</w:t>
            </w:r>
          </w:p>
        </w:tc>
        <w:tc>
          <w:tcPr>
            <w:tcW w:w="1240" w:type="dxa"/>
            <w:vAlign w:val="bottom"/>
            <w:tcBorders>
              <w:bottom w:val="single" w:sz="8" w:color="E2EAEF"/>
            </w:tcBorders>
            <w:shd w:val="clear" w:color="auto" w:fill="E2EAEF"/>
          </w:tcPr>
          <w:p>
            <w:pPr>
              <w:jc w:val="right"/>
              <w:ind w:right="329"/>
              <w:spacing w:after="0"/>
              <w:rPr>
                <w:sz w:val="20"/>
                <w:szCs w:val="20"/>
                <w:color w:val="auto"/>
              </w:rPr>
            </w:pPr>
            <w:r>
              <w:rPr>
                <w:rFonts w:ascii="Arial" w:cs="Arial" w:eastAsia="Arial" w:hAnsi="Arial"/>
                <w:sz w:val="14"/>
                <w:szCs w:val="14"/>
                <w:color w:val="auto"/>
              </w:rPr>
              <w:t>€3,859</w:t>
            </w:r>
          </w:p>
        </w:tc>
        <w:tc>
          <w:tcPr>
            <w:tcW w:w="960" w:type="dxa"/>
            <w:vAlign w:val="bottom"/>
            <w:tcBorders>
              <w:bottom w:val="single" w:sz="8" w:color="E2EAEF"/>
            </w:tcBorders>
            <w:shd w:val="clear" w:color="auto" w:fill="E2EAEF"/>
          </w:tcPr>
          <w:p>
            <w:pPr>
              <w:jc w:val="right"/>
              <w:ind w:right="69"/>
              <w:spacing w:after="0"/>
              <w:rPr>
                <w:sz w:val="20"/>
                <w:szCs w:val="20"/>
                <w:color w:val="auto"/>
              </w:rPr>
            </w:pPr>
            <w:r>
              <w:rPr>
                <w:rFonts w:ascii="Arial" w:cs="Arial" w:eastAsia="Arial" w:hAnsi="Arial"/>
                <w:sz w:val="14"/>
                <w:szCs w:val="14"/>
                <w:color w:val="auto"/>
              </w:rPr>
              <w:t>€4,050</w:t>
            </w:r>
          </w:p>
        </w:tc>
        <w:tc>
          <w:tcPr>
            <w:tcW w:w="0" w:type="dxa"/>
            <w:vAlign w:val="bottom"/>
          </w:tcPr>
          <w:p>
            <w:pPr>
              <w:spacing w:after="0"/>
              <w:rPr>
                <w:sz w:val="1"/>
                <w:szCs w:val="1"/>
                <w:color w:val="auto"/>
              </w:rPr>
            </w:pPr>
          </w:p>
        </w:tc>
      </w:tr>
      <w:tr>
        <w:trPr>
          <w:trHeight w:val="138"/>
        </w:trPr>
        <w:tc>
          <w:tcPr>
            <w:tcW w:w="1600" w:type="dxa"/>
            <w:vAlign w:val="bottom"/>
          </w:tcPr>
          <w:p>
            <w:pPr>
              <w:spacing w:after="0" w:line="139" w:lineRule="exact"/>
              <w:rPr>
                <w:sz w:val="20"/>
                <w:szCs w:val="20"/>
                <w:color w:val="auto"/>
              </w:rPr>
            </w:pPr>
            <w:r>
              <w:rPr>
                <w:rFonts w:ascii="Arial" w:cs="Arial" w:eastAsia="Arial" w:hAnsi="Arial"/>
                <w:sz w:val="14"/>
                <w:szCs w:val="14"/>
                <w:color w:val="auto"/>
              </w:rPr>
              <w:t>Applied to Mr. Olsson</w:t>
            </w:r>
          </w:p>
        </w:tc>
        <w:tc>
          <w:tcPr>
            <w:tcW w:w="20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EBIT</w:t>
            </w:r>
          </w:p>
        </w:tc>
        <w:tc>
          <w:tcPr>
            <w:tcW w:w="1100" w:type="dxa"/>
            <w:vAlign w:val="bottom"/>
            <w:vMerge w:val="restart"/>
          </w:tcPr>
          <w:p>
            <w:pPr>
              <w:jc w:val="right"/>
              <w:ind w:right="469"/>
              <w:spacing w:after="0"/>
              <w:rPr>
                <w:sz w:val="20"/>
                <w:szCs w:val="20"/>
                <w:color w:val="auto"/>
              </w:rPr>
            </w:pPr>
            <w:r>
              <w:rPr>
                <w:rFonts w:ascii="Arial" w:cs="Arial" w:eastAsia="Arial" w:hAnsi="Arial"/>
                <w:sz w:val="14"/>
                <w:szCs w:val="14"/>
                <w:color w:val="auto"/>
              </w:rPr>
              <w:t>75%</w:t>
            </w:r>
          </w:p>
        </w:tc>
        <w:tc>
          <w:tcPr>
            <w:tcW w:w="1520" w:type="dxa"/>
            <w:vAlign w:val="bottom"/>
            <w:vMerge w:val="restart"/>
          </w:tcPr>
          <w:p>
            <w:pPr>
              <w:jc w:val="right"/>
              <w:ind w:right="329"/>
              <w:spacing w:after="0"/>
              <w:rPr>
                <w:sz w:val="20"/>
                <w:szCs w:val="20"/>
                <w:color w:val="auto"/>
              </w:rPr>
            </w:pPr>
            <w:r>
              <w:rPr>
                <w:rFonts w:ascii="Arial" w:cs="Arial" w:eastAsia="Arial" w:hAnsi="Arial"/>
                <w:sz w:val="14"/>
                <w:szCs w:val="14"/>
                <w:color w:val="auto"/>
              </w:rPr>
              <w:t>€610</w:t>
            </w:r>
          </w:p>
        </w:tc>
        <w:tc>
          <w:tcPr>
            <w:tcW w:w="1240" w:type="dxa"/>
            <w:vAlign w:val="bottom"/>
            <w:vMerge w:val="restart"/>
          </w:tcPr>
          <w:p>
            <w:pPr>
              <w:jc w:val="right"/>
              <w:ind w:right="329"/>
              <w:spacing w:after="0"/>
              <w:rPr>
                <w:sz w:val="20"/>
                <w:szCs w:val="20"/>
                <w:color w:val="auto"/>
              </w:rPr>
            </w:pPr>
            <w:r>
              <w:rPr>
                <w:rFonts w:ascii="Arial" w:cs="Arial" w:eastAsia="Arial" w:hAnsi="Arial"/>
                <w:sz w:val="14"/>
                <w:szCs w:val="14"/>
                <w:color w:val="auto"/>
              </w:rPr>
              <w:t>€759</w:t>
            </w:r>
          </w:p>
        </w:tc>
        <w:tc>
          <w:tcPr>
            <w:tcW w:w="960" w:type="dxa"/>
            <w:vAlign w:val="bottom"/>
            <w:vMerge w:val="restart"/>
          </w:tcPr>
          <w:p>
            <w:pPr>
              <w:jc w:val="right"/>
              <w:ind w:right="69"/>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90"/>
        </w:trPr>
        <w:tc>
          <w:tcPr>
            <w:tcW w:w="160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12065</wp:posOffset>
            </wp:positionV>
            <wp:extent cx="4352925" cy="261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52925" cy="261620"/>
                    </a:xfrm>
                    <a:prstGeom prst="rect">
                      <a:avLst/>
                    </a:prstGeom>
                    <a:noFill/>
                  </pic:spPr>
                </pic:pic>
              </a:graphicData>
            </a:graphic>
          </wp:anchor>
        </w:drawing>
      </w:r>
    </w:p>
    <w:p>
      <w:pPr>
        <w:spacing w:after="0" w:line="33"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Weighted average payout</w:t>
      </w:r>
    </w:p>
    <w:p>
      <w:pPr>
        <w:spacing w:after="0" w:line="18"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as % of Target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color w:val="auto"/>
        </w:rPr>
        <w:t>€4,604</w:t>
      </w:r>
      <w:r>
        <w:rPr>
          <w:sz w:val="20"/>
          <w:szCs w:val="20"/>
          <w:color w:val="auto"/>
        </w:rPr>
        <w:tab/>
      </w:r>
      <w:r>
        <w:rPr>
          <w:rFonts w:ascii="Arial" w:cs="Arial" w:eastAsia="Arial" w:hAnsi="Arial"/>
          <w:sz w:val="14"/>
          <w:szCs w:val="14"/>
          <w:color w:val="auto"/>
        </w:rPr>
        <w:t>90.90%</w:t>
      </w:r>
    </w:p>
    <w:p>
      <w:pPr>
        <w:spacing w:after="0" w:line="86"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4"/>
          <w:szCs w:val="14"/>
          <w:color w:val="auto"/>
        </w:rPr>
        <w:t>€666</w:t>
      </w:r>
      <w:r>
        <w:rPr>
          <w:sz w:val="20"/>
          <w:szCs w:val="20"/>
          <w:color w:val="auto"/>
        </w:rPr>
        <w:tab/>
      </w:r>
      <w:r>
        <w:rPr>
          <w:rFonts w:ascii="Arial" w:cs="Arial" w:eastAsia="Arial" w:hAnsi="Arial"/>
          <w:sz w:val="14"/>
          <w:szCs w:val="14"/>
          <w:color w:val="auto"/>
        </w:rPr>
        <w:t>73.90%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40005</wp:posOffset>
            </wp:positionV>
            <wp:extent cx="1570355" cy="261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70355" cy="261620"/>
                    </a:xfrm>
                    <a:prstGeom prst="rect">
                      <a:avLst/>
                    </a:prstGeom>
                    <a:noFill/>
                  </pic:spPr>
                </pic:pic>
              </a:graphicData>
            </a:graphic>
          </wp:anchor>
        </w:drawing>
      </w:r>
    </w:p>
    <w:p>
      <w:pPr>
        <w:spacing w:after="0" w:line="66"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78.15%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302260</wp:posOffset>
            </wp:positionV>
            <wp:extent cx="1570355" cy="156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70355" cy="156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color w:val="auto"/>
        </w:rPr>
        <w:t>€3,798</w:t>
      </w:r>
      <w:r>
        <w:rPr>
          <w:sz w:val="20"/>
          <w:szCs w:val="20"/>
          <w:color w:val="auto"/>
        </w:rPr>
        <w:tab/>
      </w:r>
      <w:r>
        <w:rPr>
          <w:rFonts w:ascii="Arial" w:cs="Arial" w:eastAsia="Arial" w:hAnsi="Arial"/>
          <w:sz w:val="14"/>
          <w:szCs w:val="14"/>
          <w:color w:val="auto"/>
        </w:rPr>
        <w:t>82.48%</w:t>
      </w:r>
    </w:p>
    <w:p>
      <w:pPr>
        <w:spacing w:after="0" w:line="86"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4"/>
          <w:szCs w:val="14"/>
          <w:color w:val="auto"/>
        </w:rPr>
        <w:t>€668</w:t>
      </w:r>
      <w:r>
        <w:rPr>
          <w:sz w:val="20"/>
          <w:szCs w:val="20"/>
          <w:color w:val="auto"/>
        </w:rPr>
        <w:tab/>
      </w:r>
      <w:r>
        <w:rPr>
          <w:rFonts w:ascii="Arial" w:cs="Arial" w:eastAsia="Arial" w:hAnsi="Arial"/>
          <w:sz w:val="14"/>
          <w:szCs w:val="14"/>
          <w:color w:val="auto"/>
        </w:rPr>
        <w:t>53.93%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40005</wp:posOffset>
            </wp:positionV>
            <wp:extent cx="1570355" cy="261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70355" cy="261620"/>
                    </a:xfrm>
                    <a:prstGeom prst="rect">
                      <a:avLst/>
                    </a:prstGeom>
                    <a:noFill/>
                  </pic:spPr>
                </pic:pic>
              </a:graphicData>
            </a:graphic>
          </wp:anchor>
        </w:drawing>
      </w:r>
    </w:p>
    <w:p>
      <w:pPr>
        <w:spacing w:after="0" w:line="66"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61.07%</w:t>
      </w:r>
    </w:p>
    <w:p>
      <w:pPr>
        <w:spacing w:after="0" w:line="385" w:lineRule="exact"/>
        <w:rPr>
          <w:sz w:val="20"/>
          <w:szCs w:val="20"/>
          <w:color w:val="auto"/>
        </w:rPr>
      </w:pPr>
    </w:p>
    <w:p>
      <w:pPr>
        <w:sectPr>
          <w:pgSz w:w="11900" w:h="16838" w:orient="portrait"/>
          <w:cols w:equalWidth="0" w:num="2">
            <w:col w:w="8480" w:space="680"/>
            <w:col w:w="1800"/>
          </w:cols>
          <w:pgMar w:left="460" w:top="316" w:right="47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1  All revenue and EBIT values are expressed in millions.</w:t>
      </w:r>
    </w:p>
    <w:p>
      <w:pPr>
        <w:spacing w:after="0" w:line="39" w:lineRule="exact"/>
        <w:rPr>
          <w:sz w:val="20"/>
          <w:szCs w:val="20"/>
          <w:color w:val="auto"/>
        </w:rPr>
      </w:pPr>
    </w:p>
    <w:p>
      <w:pPr>
        <w:ind w:left="160" w:right="140" w:hanging="149"/>
        <w:spacing w:after="0" w:line="252" w:lineRule="auto"/>
        <w:tabs>
          <w:tab w:leader="none" w:pos="167" w:val="left"/>
        </w:tabs>
        <w:numPr>
          <w:ilvl w:val="0"/>
          <w:numId w:val="80"/>
        </w:numPr>
        <w:rPr>
          <w:rFonts w:ascii="Arial" w:cs="Arial" w:eastAsia="Arial" w:hAnsi="Arial"/>
          <w:sz w:val="13"/>
          <w:szCs w:val="13"/>
          <w:color w:val="auto"/>
        </w:rPr>
      </w:pPr>
      <w:r>
        <w:rPr>
          <w:rFonts w:ascii="Arial" w:cs="Arial" w:eastAsia="Arial" w:hAnsi="Arial"/>
          <w:sz w:val="13"/>
          <w:szCs w:val="13"/>
          <w:color w:val="auto"/>
        </w:rPr>
        <w:t>For both metrics, there are no payouts below threshold performance, no additional payouts above maximum performance, and payouts between performance levels are on a curve between the payout percentages, each of which is established at the time when the awards are granted.</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49CAB"/>
        </w:rPr>
        <w:t xml:space="preserve">COMPENSATION DISCUSSION &amp; ANALYSIS </w:t>
      </w:r>
      <w:r>
        <w:rPr>
          <w:rFonts w:ascii="Arial" w:cs="Arial" w:eastAsia="Arial" w:hAnsi="Arial"/>
          <w:sz w:val="11"/>
          <w:szCs w:val="11"/>
          <w:color w:val="000000"/>
        </w:rPr>
        <w:t>/ PVH CORP. 2026 PROXY STATEMENT /</w:t>
      </w:r>
      <w:r>
        <w:rPr>
          <w:rFonts w:ascii="Arial" w:cs="Arial" w:eastAsia="Arial" w:hAnsi="Arial"/>
          <w:sz w:val="11"/>
          <w:szCs w:val="11"/>
          <w:b w:val="1"/>
          <w:bCs w:val="1"/>
          <w:color w:val="749CAB"/>
        </w:rPr>
        <w:t xml:space="preserve"> </w:t>
      </w:r>
      <w:r>
        <w:rPr>
          <w:rFonts w:ascii="Arial" w:cs="Arial" w:eastAsia="Arial" w:hAnsi="Arial"/>
          <w:sz w:val="11"/>
          <w:szCs w:val="11"/>
          <w:b w:val="1"/>
          <w:bCs w:val="1"/>
          <w:color w:val="00000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316" w:right="479" w:bottom="1440" w:gutter="0" w:footer="0" w:header="0"/>
          <w:type w:val="continuous"/>
        </w:sectPr>
      </w:pPr>
    </w:p>
    <w:bookmarkStart w:id="52" w:name="page53"/>
    <w:bookmarkEnd w:id="52"/>
    <w:p>
      <w:pPr>
        <w:ind w:left="20"/>
        <w:spacing w:after="0"/>
        <w:rPr>
          <w:sz w:val="20"/>
          <w:szCs w:val="20"/>
          <w:color w:val="auto"/>
        </w:rPr>
      </w:pPr>
      <w:r>
        <w:rPr>
          <w:rFonts w:ascii="Arial" w:cs="Arial" w:eastAsia="Arial" w:hAnsi="Arial"/>
          <w:sz w:val="14"/>
          <w:szCs w:val="14"/>
          <w:b w:val="1"/>
          <w:bCs w:val="1"/>
          <w:color w:val="auto"/>
        </w:rPr>
        <w:t>2025 Strategic Modifier Awards</w:t>
      </w:r>
    </w:p>
    <w:p>
      <w:pPr>
        <w:spacing w:after="0" w:line="33" w:lineRule="exact"/>
        <w:rPr>
          <w:sz w:val="20"/>
          <w:szCs w:val="20"/>
          <w:color w:val="auto"/>
        </w:rPr>
      </w:pPr>
    </w:p>
    <w:p>
      <w:pPr>
        <w:ind w:left="20" w:right="360"/>
        <w:spacing w:after="0" w:line="274" w:lineRule="auto"/>
        <w:rPr>
          <w:sz w:val="20"/>
          <w:szCs w:val="20"/>
          <w:color w:val="auto"/>
        </w:rPr>
      </w:pPr>
      <w:r>
        <w:rPr>
          <w:rFonts w:ascii="Arial" w:cs="Arial" w:eastAsia="Arial" w:hAnsi="Arial"/>
          <w:sz w:val="14"/>
          <w:szCs w:val="14"/>
          <w:color w:val="auto"/>
        </w:rPr>
        <w:t>In addition to the financial goals discussed above, each NEO’s bonus award potentially was subject to adjustment based on the NEO’s performance against non-financial strategic and performance criteria. The Compensation Committee adjusted Mr. Savman’s bonus upward based upon certain efforts he made in 2025.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60" w:type="dxa"/>
            <w:vAlign w:val="bottom"/>
            <w:shd w:val="clear" w:color="auto" w:fill="99B7C6"/>
          </w:tcPr>
          <w:p>
            <w:pPr>
              <w:spacing w:after="0"/>
              <w:rPr>
                <w:sz w:val="21"/>
                <w:szCs w:val="21"/>
                <w:color w:val="auto"/>
              </w:rPr>
            </w:pPr>
          </w:p>
        </w:tc>
        <w:tc>
          <w:tcPr>
            <w:tcW w:w="1480" w:type="dxa"/>
            <w:vAlign w:val="bottom"/>
            <w:shd w:val="clear" w:color="auto" w:fill="99B7C6"/>
          </w:tcPr>
          <w:p>
            <w:pPr>
              <w:spacing w:after="0"/>
              <w:rPr>
                <w:sz w:val="21"/>
                <w:szCs w:val="21"/>
                <w:color w:val="auto"/>
              </w:rPr>
            </w:pPr>
          </w:p>
        </w:tc>
        <w:tc>
          <w:tcPr>
            <w:tcW w:w="140" w:type="dxa"/>
            <w:vAlign w:val="bottom"/>
            <w:shd w:val="clear" w:color="auto" w:fill="99B7C6"/>
          </w:tcPr>
          <w:p>
            <w:pPr>
              <w:spacing w:after="0"/>
              <w:rPr>
                <w:sz w:val="21"/>
                <w:szCs w:val="21"/>
                <w:color w:val="auto"/>
              </w:rPr>
            </w:pPr>
          </w:p>
        </w:tc>
        <w:tc>
          <w:tcPr>
            <w:tcW w:w="1140" w:type="dxa"/>
            <w:vAlign w:val="bottom"/>
            <w:shd w:val="clear" w:color="auto" w:fill="99B7C6"/>
          </w:tcPr>
          <w:p>
            <w:pPr>
              <w:spacing w:after="0"/>
              <w:rPr>
                <w:sz w:val="21"/>
                <w:szCs w:val="21"/>
                <w:color w:val="auto"/>
              </w:rPr>
            </w:pPr>
          </w:p>
        </w:tc>
        <w:tc>
          <w:tcPr>
            <w:tcW w:w="60" w:type="dxa"/>
            <w:vAlign w:val="bottom"/>
            <w:shd w:val="clear" w:color="auto" w:fill="99B7C6"/>
          </w:tcPr>
          <w:p>
            <w:pPr>
              <w:spacing w:after="0"/>
              <w:rPr>
                <w:sz w:val="21"/>
                <w:szCs w:val="21"/>
                <w:color w:val="auto"/>
              </w:rPr>
            </w:pPr>
          </w:p>
        </w:tc>
        <w:tc>
          <w:tcPr>
            <w:tcW w:w="280" w:type="dxa"/>
            <w:vAlign w:val="bottom"/>
            <w:shd w:val="clear" w:color="auto" w:fill="99B7C6"/>
          </w:tcPr>
          <w:p>
            <w:pPr>
              <w:spacing w:after="0"/>
              <w:rPr>
                <w:sz w:val="21"/>
                <w:szCs w:val="21"/>
                <w:color w:val="auto"/>
              </w:rPr>
            </w:pPr>
          </w:p>
        </w:tc>
        <w:tc>
          <w:tcPr>
            <w:tcW w:w="1200" w:type="dxa"/>
            <w:vAlign w:val="bottom"/>
            <w:shd w:val="clear" w:color="auto" w:fill="99B7C6"/>
          </w:tcPr>
          <w:p>
            <w:pPr>
              <w:spacing w:after="0"/>
              <w:rPr>
                <w:sz w:val="21"/>
                <w:szCs w:val="21"/>
                <w:color w:val="auto"/>
              </w:rPr>
            </w:pPr>
          </w:p>
        </w:tc>
        <w:tc>
          <w:tcPr>
            <w:tcW w:w="320" w:type="dxa"/>
            <w:vAlign w:val="bottom"/>
            <w:shd w:val="clear" w:color="auto" w:fill="99B7C6"/>
          </w:tcPr>
          <w:p>
            <w:pPr>
              <w:spacing w:after="0"/>
              <w:rPr>
                <w:sz w:val="21"/>
                <w:szCs w:val="21"/>
                <w:color w:val="auto"/>
              </w:rPr>
            </w:pPr>
          </w:p>
        </w:tc>
        <w:tc>
          <w:tcPr>
            <w:tcW w:w="2620" w:type="dxa"/>
            <w:vAlign w:val="bottom"/>
            <w:gridSpan w:val="3"/>
            <w:shd w:val="clear" w:color="auto" w:fill="6D98AD"/>
          </w:tcPr>
          <w:p>
            <w:pPr>
              <w:jc w:val="center"/>
              <w:ind w:right="89"/>
              <w:spacing w:after="0"/>
              <w:rPr>
                <w:sz w:val="20"/>
                <w:szCs w:val="20"/>
                <w:color w:val="auto"/>
              </w:rPr>
            </w:pPr>
            <w:r>
              <w:rPr>
                <w:rFonts w:ascii="Arial" w:cs="Arial" w:eastAsia="Arial" w:hAnsi="Arial"/>
                <w:sz w:val="14"/>
                <w:szCs w:val="14"/>
                <w:b w:val="1"/>
                <w:bCs w:val="1"/>
                <w:color w:val="FFFFFF"/>
              </w:rPr>
              <w:t>Financial Metrics and Weights as</w:t>
            </w:r>
          </w:p>
        </w:tc>
        <w:tc>
          <w:tcPr>
            <w:tcW w:w="240" w:type="dxa"/>
            <w:vAlign w:val="bottom"/>
            <w:shd w:val="clear" w:color="auto" w:fill="99B7C6"/>
          </w:tcPr>
          <w:p>
            <w:pPr>
              <w:spacing w:after="0"/>
              <w:rPr>
                <w:sz w:val="21"/>
                <w:szCs w:val="21"/>
                <w:color w:val="auto"/>
              </w:rPr>
            </w:pPr>
          </w:p>
        </w:tc>
        <w:tc>
          <w:tcPr>
            <w:tcW w:w="1400" w:type="dxa"/>
            <w:vAlign w:val="bottom"/>
            <w:shd w:val="clear" w:color="auto" w:fill="99B7C6"/>
          </w:tcPr>
          <w:p>
            <w:pPr>
              <w:spacing w:after="0"/>
              <w:rPr>
                <w:sz w:val="21"/>
                <w:szCs w:val="21"/>
                <w:color w:val="auto"/>
              </w:rPr>
            </w:pPr>
          </w:p>
        </w:tc>
      </w:tr>
      <w:tr>
        <w:trPr>
          <w:trHeight w:val="165"/>
        </w:trPr>
        <w:tc>
          <w:tcPr>
            <w:tcW w:w="2060" w:type="dxa"/>
            <w:vAlign w:val="bottom"/>
            <w:shd w:val="clear" w:color="auto" w:fill="99B7C6"/>
          </w:tcPr>
          <w:p>
            <w:pPr>
              <w:spacing w:after="0"/>
              <w:rPr>
                <w:sz w:val="14"/>
                <w:szCs w:val="14"/>
                <w:color w:val="auto"/>
              </w:rPr>
            </w:pPr>
          </w:p>
        </w:tc>
        <w:tc>
          <w:tcPr>
            <w:tcW w:w="1480" w:type="dxa"/>
            <w:vAlign w:val="bottom"/>
            <w:shd w:val="clear" w:color="auto" w:fill="99B7C6"/>
          </w:tcPr>
          <w:p>
            <w:pPr>
              <w:spacing w:after="0"/>
              <w:rPr>
                <w:sz w:val="14"/>
                <w:szCs w:val="14"/>
                <w:color w:val="auto"/>
              </w:rPr>
            </w:pPr>
          </w:p>
        </w:tc>
        <w:tc>
          <w:tcPr>
            <w:tcW w:w="140" w:type="dxa"/>
            <w:vAlign w:val="bottom"/>
            <w:shd w:val="clear" w:color="auto" w:fill="99B7C6"/>
          </w:tcPr>
          <w:p>
            <w:pPr>
              <w:spacing w:after="0"/>
              <w:rPr>
                <w:sz w:val="14"/>
                <w:szCs w:val="14"/>
                <w:color w:val="auto"/>
              </w:rPr>
            </w:pPr>
          </w:p>
        </w:tc>
        <w:tc>
          <w:tcPr>
            <w:tcW w:w="1140" w:type="dxa"/>
            <w:vAlign w:val="bottom"/>
            <w:shd w:val="clear" w:color="auto" w:fill="99B7C6"/>
          </w:tcPr>
          <w:p>
            <w:pPr>
              <w:spacing w:after="0"/>
              <w:rPr>
                <w:sz w:val="14"/>
                <w:szCs w:val="14"/>
                <w:color w:val="auto"/>
              </w:rPr>
            </w:pPr>
          </w:p>
        </w:tc>
        <w:tc>
          <w:tcPr>
            <w:tcW w:w="60" w:type="dxa"/>
            <w:vAlign w:val="bottom"/>
            <w:shd w:val="clear" w:color="auto" w:fill="99B7C6"/>
          </w:tcPr>
          <w:p>
            <w:pPr>
              <w:spacing w:after="0"/>
              <w:rPr>
                <w:sz w:val="14"/>
                <w:szCs w:val="14"/>
                <w:color w:val="auto"/>
              </w:rPr>
            </w:pPr>
          </w:p>
        </w:tc>
        <w:tc>
          <w:tcPr>
            <w:tcW w:w="280" w:type="dxa"/>
            <w:vAlign w:val="bottom"/>
            <w:shd w:val="clear" w:color="auto" w:fill="99B7C6"/>
          </w:tcPr>
          <w:p>
            <w:pPr>
              <w:spacing w:after="0"/>
              <w:rPr>
                <w:sz w:val="14"/>
                <w:szCs w:val="14"/>
                <w:color w:val="auto"/>
              </w:rPr>
            </w:pPr>
          </w:p>
        </w:tc>
        <w:tc>
          <w:tcPr>
            <w:tcW w:w="1200" w:type="dxa"/>
            <w:vAlign w:val="bottom"/>
            <w:shd w:val="clear" w:color="auto" w:fill="99B7C6"/>
          </w:tcPr>
          <w:p>
            <w:pPr>
              <w:spacing w:after="0"/>
              <w:rPr>
                <w:sz w:val="14"/>
                <w:szCs w:val="14"/>
                <w:color w:val="auto"/>
              </w:rPr>
            </w:pPr>
          </w:p>
        </w:tc>
        <w:tc>
          <w:tcPr>
            <w:tcW w:w="320" w:type="dxa"/>
            <w:vAlign w:val="bottom"/>
            <w:shd w:val="clear" w:color="auto" w:fill="99B7C6"/>
          </w:tcPr>
          <w:p>
            <w:pPr>
              <w:spacing w:after="0"/>
              <w:rPr>
                <w:sz w:val="14"/>
                <w:szCs w:val="14"/>
                <w:color w:val="auto"/>
              </w:rPr>
            </w:pPr>
          </w:p>
        </w:tc>
        <w:tc>
          <w:tcPr>
            <w:tcW w:w="2620" w:type="dxa"/>
            <w:vAlign w:val="bottom"/>
            <w:gridSpan w:val="3"/>
            <w:shd w:val="clear" w:color="auto" w:fill="6D98AD"/>
          </w:tcPr>
          <w:p>
            <w:pPr>
              <w:jc w:val="center"/>
              <w:ind w:right="89"/>
              <w:spacing w:after="0"/>
              <w:rPr>
                <w:sz w:val="20"/>
                <w:szCs w:val="20"/>
                <w:color w:val="auto"/>
              </w:rPr>
            </w:pPr>
            <w:r>
              <w:rPr>
                <w:rFonts w:ascii="Arial" w:cs="Arial" w:eastAsia="Arial" w:hAnsi="Arial"/>
                <w:sz w:val="14"/>
                <w:szCs w:val="14"/>
                <w:b w:val="1"/>
                <w:bCs w:val="1"/>
                <w:color w:val="FFFFFF"/>
                <w:w w:val="99"/>
              </w:rPr>
              <w:t>a Percent of Each NEOs Target</w:t>
            </w:r>
          </w:p>
        </w:tc>
        <w:tc>
          <w:tcPr>
            <w:tcW w:w="240" w:type="dxa"/>
            <w:vAlign w:val="bottom"/>
            <w:shd w:val="clear" w:color="auto" w:fill="99B7C6"/>
          </w:tcPr>
          <w:p>
            <w:pPr>
              <w:spacing w:after="0"/>
              <w:rPr>
                <w:sz w:val="14"/>
                <w:szCs w:val="14"/>
                <w:color w:val="auto"/>
              </w:rPr>
            </w:pPr>
          </w:p>
        </w:tc>
        <w:tc>
          <w:tcPr>
            <w:tcW w:w="1400" w:type="dxa"/>
            <w:vAlign w:val="bottom"/>
            <w:shd w:val="clear" w:color="auto" w:fill="99B7C6"/>
          </w:tcPr>
          <w:p>
            <w:pPr>
              <w:spacing w:after="0"/>
              <w:rPr>
                <w:sz w:val="14"/>
                <w:szCs w:val="14"/>
                <w:color w:val="auto"/>
              </w:rPr>
            </w:pPr>
          </w:p>
        </w:tc>
      </w:tr>
      <w:tr>
        <w:trPr>
          <w:trHeight w:val="227"/>
        </w:trPr>
        <w:tc>
          <w:tcPr>
            <w:tcW w:w="2060" w:type="dxa"/>
            <w:vAlign w:val="bottom"/>
            <w:tcBorders>
              <w:bottom w:val="single" w:sz="8" w:color="99B7C6"/>
            </w:tcBorders>
            <w:shd w:val="clear" w:color="auto" w:fill="99B7C6"/>
          </w:tcPr>
          <w:p>
            <w:pPr>
              <w:spacing w:after="0"/>
              <w:rPr>
                <w:sz w:val="19"/>
                <w:szCs w:val="19"/>
                <w:color w:val="auto"/>
              </w:rPr>
            </w:pPr>
          </w:p>
        </w:tc>
        <w:tc>
          <w:tcPr>
            <w:tcW w:w="1480" w:type="dxa"/>
            <w:vAlign w:val="bottom"/>
            <w:tcBorders>
              <w:bottom w:val="single" w:sz="8" w:color="99B7C6"/>
            </w:tcBorders>
            <w:shd w:val="clear" w:color="auto" w:fill="99B7C6"/>
          </w:tcPr>
          <w:p>
            <w:pPr>
              <w:spacing w:after="0"/>
              <w:rPr>
                <w:sz w:val="19"/>
                <w:szCs w:val="19"/>
                <w:color w:val="auto"/>
              </w:rPr>
            </w:pPr>
          </w:p>
        </w:tc>
        <w:tc>
          <w:tcPr>
            <w:tcW w:w="140" w:type="dxa"/>
            <w:vAlign w:val="bottom"/>
            <w:tcBorders>
              <w:bottom w:val="single" w:sz="8" w:color="99B7C6"/>
            </w:tcBorders>
            <w:shd w:val="clear" w:color="auto" w:fill="99B7C6"/>
          </w:tcPr>
          <w:p>
            <w:pPr>
              <w:spacing w:after="0"/>
              <w:rPr>
                <w:sz w:val="19"/>
                <w:szCs w:val="19"/>
                <w:color w:val="auto"/>
              </w:rPr>
            </w:pPr>
          </w:p>
        </w:tc>
        <w:tc>
          <w:tcPr>
            <w:tcW w:w="1140" w:type="dxa"/>
            <w:vAlign w:val="bottom"/>
            <w:tcBorders>
              <w:bottom w:val="single" w:sz="8" w:color="99B7C6"/>
            </w:tcBorders>
            <w:shd w:val="clear" w:color="auto" w:fill="99B7C6"/>
          </w:tcPr>
          <w:p>
            <w:pPr>
              <w:spacing w:after="0"/>
              <w:rPr>
                <w:sz w:val="19"/>
                <w:szCs w:val="19"/>
                <w:color w:val="auto"/>
              </w:rPr>
            </w:pPr>
          </w:p>
        </w:tc>
        <w:tc>
          <w:tcPr>
            <w:tcW w:w="60" w:type="dxa"/>
            <w:vAlign w:val="bottom"/>
            <w:tcBorders>
              <w:bottom w:val="single" w:sz="8" w:color="99B7C6"/>
            </w:tcBorders>
            <w:shd w:val="clear" w:color="auto" w:fill="99B7C6"/>
          </w:tcPr>
          <w:p>
            <w:pPr>
              <w:spacing w:after="0"/>
              <w:rPr>
                <w:sz w:val="19"/>
                <w:szCs w:val="19"/>
                <w:color w:val="auto"/>
              </w:rPr>
            </w:pPr>
          </w:p>
        </w:tc>
        <w:tc>
          <w:tcPr>
            <w:tcW w:w="280" w:type="dxa"/>
            <w:vAlign w:val="bottom"/>
            <w:tcBorders>
              <w:bottom w:val="single" w:sz="8" w:color="99B7C6"/>
            </w:tcBorders>
            <w:shd w:val="clear" w:color="auto" w:fill="99B7C6"/>
          </w:tcPr>
          <w:p>
            <w:pPr>
              <w:spacing w:after="0"/>
              <w:rPr>
                <w:sz w:val="19"/>
                <w:szCs w:val="19"/>
                <w:color w:val="auto"/>
              </w:rPr>
            </w:pPr>
          </w:p>
        </w:tc>
        <w:tc>
          <w:tcPr>
            <w:tcW w:w="1200" w:type="dxa"/>
            <w:vAlign w:val="bottom"/>
            <w:tcBorders>
              <w:bottom w:val="single" w:sz="8" w:color="99B7C6"/>
            </w:tcBorders>
            <w:shd w:val="clear" w:color="auto" w:fill="99B7C6"/>
          </w:tcPr>
          <w:p>
            <w:pPr>
              <w:jc w:val="center"/>
              <w:spacing w:after="0"/>
              <w:rPr>
                <w:sz w:val="20"/>
                <w:szCs w:val="20"/>
                <w:color w:val="auto"/>
              </w:rPr>
            </w:pPr>
            <w:r>
              <w:rPr>
                <w:rFonts w:ascii="Arial" w:cs="Arial" w:eastAsia="Arial" w:hAnsi="Arial"/>
                <w:sz w:val="14"/>
                <w:szCs w:val="14"/>
                <w:b w:val="1"/>
                <w:bCs w:val="1"/>
                <w:color w:val="FFFFFF"/>
                <w:w w:val="99"/>
              </w:rPr>
              <w:t>Target Annual</w:t>
            </w:r>
          </w:p>
        </w:tc>
        <w:tc>
          <w:tcPr>
            <w:tcW w:w="320" w:type="dxa"/>
            <w:vAlign w:val="bottom"/>
            <w:tcBorders>
              <w:bottom w:val="single" w:sz="8" w:color="99B7C6"/>
            </w:tcBorders>
            <w:shd w:val="clear" w:color="auto" w:fill="99B7C6"/>
          </w:tcPr>
          <w:p>
            <w:pPr>
              <w:spacing w:after="0"/>
              <w:rPr>
                <w:sz w:val="19"/>
                <w:szCs w:val="19"/>
                <w:color w:val="auto"/>
              </w:rPr>
            </w:pPr>
          </w:p>
        </w:tc>
        <w:tc>
          <w:tcPr>
            <w:tcW w:w="2620" w:type="dxa"/>
            <w:vAlign w:val="bottom"/>
            <w:tcBorders>
              <w:bottom w:val="single" w:sz="8" w:color="8AADBD"/>
            </w:tcBorders>
            <w:gridSpan w:val="3"/>
            <w:shd w:val="clear" w:color="auto" w:fill="6D98AD"/>
          </w:tcPr>
          <w:p>
            <w:pPr>
              <w:jc w:val="center"/>
              <w:ind w:right="49"/>
              <w:spacing w:after="0"/>
              <w:rPr>
                <w:sz w:val="20"/>
                <w:szCs w:val="20"/>
                <w:color w:val="auto"/>
              </w:rPr>
            </w:pPr>
            <w:r>
              <w:rPr>
                <w:rFonts w:ascii="Arial" w:cs="Arial" w:eastAsia="Arial" w:hAnsi="Arial"/>
                <w:sz w:val="14"/>
                <w:szCs w:val="14"/>
                <w:b w:val="1"/>
                <w:bCs w:val="1"/>
                <w:color w:val="FFFFFF"/>
              </w:rPr>
              <w:t>Annual Incentive</w:t>
            </w:r>
          </w:p>
        </w:tc>
        <w:tc>
          <w:tcPr>
            <w:tcW w:w="240" w:type="dxa"/>
            <w:vAlign w:val="bottom"/>
            <w:tcBorders>
              <w:bottom w:val="single" w:sz="8" w:color="A7C1CE"/>
            </w:tcBorders>
            <w:shd w:val="clear" w:color="auto" w:fill="99B7C6"/>
          </w:tcPr>
          <w:p>
            <w:pPr>
              <w:spacing w:after="0"/>
              <w:rPr>
                <w:sz w:val="19"/>
                <w:szCs w:val="19"/>
                <w:color w:val="auto"/>
              </w:rPr>
            </w:pPr>
          </w:p>
        </w:tc>
        <w:tc>
          <w:tcPr>
            <w:tcW w:w="1400" w:type="dxa"/>
            <w:vAlign w:val="bottom"/>
            <w:tcBorders>
              <w:bottom w:val="single" w:sz="8" w:color="A7C1CE"/>
            </w:tcBorders>
            <w:shd w:val="clear" w:color="auto" w:fill="99B7C6"/>
          </w:tcPr>
          <w:p>
            <w:pPr>
              <w:spacing w:after="0"/>
              <w:rPr>
                <w:sz w:val="19"/>
                <w:szCs w:val="19"/>
                <w:color w:val="auto"/>
              </w:rPr>
            </w:pPr>
          </w:p>
        </w:tc>
      </w:tr>
      <w:tr>
        <w:trPr>
          <w:trHeight w:val="165"/>
        </w:trPr>
        <w:tc>
          <w:tcPr>
            <w:tcW w:w="2060" w:type="dxa"/>
            <w:vAlign w:val="bottom"/>
            <w:shd w:val="clear" w:color="auto" w:fill="99B7C6"/>
          </w:tcPr>
          <w:p>
            <w:pPr>
              <w:spacing w:after="0"/>
              <w:rPr>
                <w:sz w:val="14"/>
                <w:szCs w:val="14"/>
                <w:color w:val="auto"/>
              </w:rPr>
            </w:pPr>
          </w:p>
        </w:tc>
        <w:tc>
          <w:tcPr>
            <w:tcW w:w="1480" w:type="dxa"/>
            <w:vAlign w:val="bottom"/>
            <w:shd w:val="clear" w:color="auto" w:fill="99B7C6"/>
          </w:tcPr>
          <w:p>
            <w:pPr>
              <w:spacing w:after="0"/>
              <w:rPr>
                <w:sz w:val="14"/>
                <w:szCs w:val="14"/>
                <w:color w:val="auto"/>
              </w:rPr>
            </w:pPr>
          </w:p>
        </w:tc>
        <w:tc>
          <w:tcPr>
            <w:tcW w:w="140" w:type="dxa"/>
            <w:vAlign w:val="bottom"/>
            <w:shd w:val="clear" w:color="auto" w:fill="99B7C6"/>
          </w:tcPr>
          <w:p>
            <w:pPr>
              <w:spacing w:after="0"/>
              <w:rPr>
                <w:sz w:val="14"/>
                <w:szCs w:val="14"/>
                <w:color w:val="auto"/>
              </w:rPr>
            </w:pPr>
          </w:p>
        </w:tc>
        <w:tc>
          <w:tcPr>
            <w:tcW w:w="1140" w:type="dxa"/>
            <w:vAlign w:val="bottom"/>
            <w:shd w:val="clear" w:color="auto" w:fill="99B7C6"/>
          </w:tcPr>
          <w:p>
            <w:pPr>
              <w:spacing w:after="0"/>
              <w:rPr>
                <w:sz w:val="14"/>
                <w:szCs w:val="14"/>
                <w:color w:val="auto"/>
              </w:rPr>
            </w:pPr>
          </w:p>
        </w:tc>
        <w:tc>
          <w:tcPr>
            <w:tcW w:w="60" w:type="dxa"/>
            <w:vAlign w:val="bottom"/>
            <w:shd w:val="clear" w:color="auto" w:fill="99B7C6"/>
          </w:tcPr>
          <w:p>
            <w:pPr>
              <w:spacing w:after="0"/>
              <w:rPr>
                <w:sz w:val="14"/>
                <w:szCs w:val="14"/>
                <w:color w:val="auto"/>
              </w:rPr>
            </w:pPr>
          </w:p>
        </w:tc>
        <w:tc>
          <w:tcPr>
            <w:tcW w:w="280" w:type="dxa"/>
            <w:vAlign w:val="bottom"/>
            <w:shd w:val="clear" w:color="auto" w:fill="99B7C6"/>
          </w:tcPr>
          <w:p>
            <w:pPr>
              <w:spacing w:after="0"/>
              <w:rPr>
                <w:sz w:val="14"/>
                <w:szCs w:val="14"/>
                <w:color w:val="auto"/>
              </w:rPr>
            </w:pPr>
          </w:p>
        </w:tc>
        <w:tc>
          <w:tcPr>
            <w:tcW w:w="1200" w:type="dxa"/>
            <w:vAlign w:val="bottom"/>
            <w:shd w:val="clear" w:color="auto" w:fill="99B7C6"/>
          </w:tcPr>
          <w:p>
            <w:pPr>
              <w:jc w:val="center"/>
              <w:spacing w:after="0"/>
              <w:rPr>
                <w:sz w:val="20"/>
                <w:szCs w:val="20"/>
                <w:color w:val="auto"/>
              </w:rPr>
            </w:pPr>
            <w:r>
              <w:rPr>
                <w:rFonts w:ascii="Arial" w:cs="Arial" w:eastAsia="Arial" w:hAnsi="Arial"/>
                <w:sz w:val="14"/>
                <w:szCs w:val="14"/>
                <w:b w:val="1"/>
                <w:bCs w:val="1"/>
                <w:color w:val="FFFFFF"/>
              </w:rPr>
              <w:t>Incentive as a</w:t>
            </w:r>
          </w:p>
        </w:tc>
        <w:tc>
          <w:tcPr>
            <w:tcW w:w="320" w:type="dxa"/>
            <w:vAlign w:val="bottom"/>
            <w:shd w:val="clear" w:color="auto" w:fill="99B7C6"/>
          </w:tcPr>
          <w:p>
            <w:pPr>
              <w:spacing w:after="0"/>
              <w:rPr>
                <w:sz w:val="14"/>
                <w:szCs w:val="14"/>
                <w:color w:val="auto"/>
              </w:rPr>
            </w:pPr>
          </w:p>
        </w:tc>
        <w:tc>
          <w:tcPr>
            <w:tcW w:w="960" w:type="dxa"/>
            <w:vAlign w:val="bottom"/>
            <w:shd w:val="clear" w:color="auto" w:fill="8AADBD"/>
          </w:tcPr>
          <w:p>
            <w:pPr>
              <w:jc w:val="center"/>
              <w:spacing w:after="0"/>
              <w:rPr>
                <w:sz w:val="20"/>
                <w:szCs w:val="20"/>
                <w:color w:val="auto"/>
              </w:rPr>
            </w:pPr>
            <w:r>
              <w:rPr>
                <w:rFonts w:ascii="Arial" w:cs="Arial" w:eastAsia="Arial" w:hAnsi="Arial"/>
                <w:sz w:val="14"/>
                <w:szCs w:val="14"/>
                <w:b w:val="1"/>
                <w:bCs w:val="1"/>
                <w:color w:val="FFFFFF"/>
                <w:w w:val="99"/>
              </w:rPr>
              <w:t>Total PVH</w:t>
            </w:r>
          </w:p>
        </w:tc>
        <w:tc>
          <w:tcPr>
            <w:tcW w:w="320" w:type="dxa"/>
            <w:vAlign w:val="bottom"/>
            <w:shd w:val="clear" w:color="auto" w:fill="8AADBD"/>
          </w:tcPr>
          <w:p>
            <w:pPr>
              <w:spacing w:after="0"/>
              <w:rPr>
                <w:sz w:val="14"/>
                <w:szCs w:val="14"/>
                <w:color w:val="auto"/>
              </w:rPr>
            </w:pPr>
          </w:p>
        </w:tc>
        <w:tc>
          <w:tcPr>
            <w:tcW w:w="1340" w:type="dxa"/>
            <w:vAlign w:val="bottom"/>
            <w:shd w:val="clear" w:color="auto" w:fill="8AADBD"/>
          </w:tcPr>
          <w:p>
            <w:pPr>
              <w:jc w:val="center"/>
              <w:spacing w:after="0"/>
              <w:rPr>
                <w:sz w:val="20"/>
                <w:szCs w:val="20"/>
                <w:color w:val="auto"/>
              </w:rPr>
            </w:pPr>
            <w:r>
              <w:rPr>
                <w:rFonts w:ascii="Arial" w:cs="Arial" w:eastAsia="Arial" w:hAnsi="Arial"/>
                <w:sz w:val="14"/>
                <w:szCs w:val="14"/>
                <w:b w:val="1"/>
                <w:bCs w:val="1"/>
                <w:color w:val="FFFFFF"/>
              </w:rPr>
              <w:t>Business Unit</w:t>
            </w:r>
          </w:p>
        </w:tc>
        <w:tc>
          <w:tcPr>
            <w:tcW w:w="240" w:type="dxa"/>
            <w:vAlign w:val="bottom"/>
            <w:shd w:val="clear" w:color="auto" w:fill="A7C1CE"/>
          </w:tcPr>
          <w:p>
            <w:pPr>
              <w:spacing w:after="0"/>
              <w:rPr>
                <w:sz w:val="14"/>
                <w:szCs w:val="14"/>
                <w:color w:val="auto"/>
              </w:rPr>
            </w:pPr>
          </w:p>
        </w:tc>
        <w:tc>
          <w:tcPr>
            <w:tcW w:w="1400" w:type="dxa"/>
            <w:vAlign w:val="bottom"/>
            <w:shd w:val="clear" w:color="auto" w:fill="A7C1CE"/>
          </w:tcPr>
          <w:p>
            <w:pPr>
              <w:jc w:val="right"/>
              <w:spacing w:after="0"/>
              <w:rPr>
                <w:sz w:val="20"/>
                <w:szCs w:val="20"/>
                <w:color w:val="auto"/>
              </w:rPr>
            </w:pPr>
            <w:r>
              <w:rPr>
                <w:rFonts w:ascii="Arial" w:cs="Arial" w:eastAsia="Arial" w:hAnsi="Arial"/>
                <w:sz w:val="14"/>
                <w:szCs w:val="14"/>
                <w:b w:val="1"/>
                <w:bCs w:val="1"/>
                <w:color w:val="FFFFFF"/>
              </w:rPr>
              <w:t>Actual Annual</w:t>
            </w:r>
          </w:p>
        </w:tc>
      </w:tr>
      <w:tr>
        <w:trPr>
          <w:trHeight w:val="213"/>
        </w:trPr>
        <w:tc>
          <w:tcPr>
            <w:tcW w:w="2060" w:type="dxa"/>
            <w:vAlign w:val="bottom"/>
            <w:shd w:val="clear" w:color="auto" w:fill="99B7C6"/>
          </w:tcPr>
          <w:p>
            <w:pPr>
              <w:ind w:left="60"/>
              <w:spacing w:after="0"/>
              <w:rPr>
                <w:sz w:val="20"/>
                <w:szCs w:val="20"/>
                <w:color w:val="auto"/>
              </w:rPr>
            </w:pPr>
            <w:r>
              <w:rPr>
                <w:rFonts w:ascii="Arial" w:cs="Arial" w:eastAsia="Arial" w:hAnsi="Arial"/>
                <w:sz w:val="14"/>
                <w:szCs w:val="14"/>
                <w:b w:val="1"/>
                <w:bCs w:val="1"/>
                <w:color w:val="FFFFFF"/>
              </w:rPr>
              <w:t>NEO</w:t>
            </w:r>
          </w:p>
        </w:tc>
        <w:tc>
          <w:tcPr>
            <w:tcW w:w="1480" w:type="dxa"/>
            <w:vAlign w:val="bottom"/>
            <w:shd w:val="clear" w:color="auto" w:fill="99B7C6"/>
          </w:tcPr>
          <w:p>
            <w:pPr>
              <w:ind w:left="60"/>
              <w:spacing w:after="0"/>
              <w:rPr>
                <w:sz w:val="20"/>
                <w:szCs w:val="20"/>
                <w:color w:val="auto"/>
              </w:rPr>
            </w:pPr>
            <w:r>
              <w:rPr>
                <w:rFonts w:ascii="Arial" w:cs="Arial" w:eastAsia="Arial" w:hAnsi="Arial"/>
                <w:sz w:val="14"/>
                <w:szCs w:val="14"/>
                <w:b w:val="1"/>
                <w:bCs w:val="1"/>
                <w:color w:val="FFFFFF"/>
              </w:rPr>
              <w:t>Business Unit</w:t>
            </w:r>
            <w:r>
              <w:rPr>
                <w:rFonts w:ascii="Arial" w:cs="Arial" w:eastAsia="Arial" w:hAnsi="Arial"/>
                <w:sz w:val="16"/>
                <w:szCs w:val="16"/>
                <w:b w:val="1"/>
                <w:bCs w:val="1"/>
                <w:color w:val="FFFFFF"/>
                <w:vertAlign w:val="superscript"/>
              </w:rPr>
              <w:t>1</w:t>
            </w:r>
          </w:p>
        </w:tc>
        <w:tc>
          <w:tcPr>
            <w:tcW w:w="140" w:type="dxa"/>
            <w:vAlign w:val="bottom"/>
            <w:shd w:val="clear" w:color="auto" w:fill="99B7C6"/>
          </w:tcPr>
          <w:p>
            <w:pPr>
              <w:spacing w:after="0"/>
              <w:rPr>
                <w:sz w:val="18"/>
                <w:szCs w:val="18"/>
                <w:color w:val="auto"/>
              </w:rPr>
            </w:pPr>
          </w:p>
        </w:tc>
        <w:tc>
          <w:tcPr>
            <w:tcW w:w="1200" w:type="dxa"/>
            <w:vAlign w:val="bottom"/>
            <w:gridSpan w:val="2"/>
            <w:shd w:val="clear" w:color="auto" w:fill="99B7C6"/>
          </w:tcPr>
          <w:p>
            <w:pPr>
              <w:jc w:val="right"/>
              <w:ind w:right="60"/>
              <w:spacing w:after="0"/>
              <w:rPr>
                <w:sz w:val="20"/>
                <w:szCs w:val="20"/>
                <w:color w:val="auto"/>
              </w:rPr>
            </w:pPr>
            <w:r>
              <w:rPr>
                <w:rFonts w:ascii="Arial" w:cs="Arial" w:eastAsia="Arial" w:hAnsi="Arial"/>
                <w:sz w:val="14"/>
                <w:szCs w:val="14"/>
                <w:b w:val="1"/>
                <w:bCs w:val="1"/>
                <w:color w:val="FFFFFF"/>
              </w:rPr>
              <w:t>Base Salary</w:t>
            </w:r>
          </w:p>
        </w:tc>
        <w:tc>
          <w:tcPr>
            <w:tcW w:w="280" w:type="dxa"/>
            <w:vAlign w:val="bottom"/>
            <w:shd w:val="clear" w:color="auto" w:fill="99B7C6"/>
          </w:tcPr>
          <w:p>
            <w:pPr>
              <w:ind w:left="60"/>
              <w:spacing w:after="0"/>
              <w:rPr>
                <w:sz w:val="20"/>
                <w:szCs w:val="20"/>
                <w:color w:val="auto"/>
              </w:rPr>
            </w:pPr>
            <w:r>
              <w:rPr>
                <w:rFonts w:ascii="Arial" w:cs="Arial" w:eastAsia="Arial" w:hAnsi="Arial"/>
                <w:sz w:val="14"/>
                <w:szCs w:val="14"/>
                <w:b w:val="1"/>
                <w:bCs w:val="1"/>
                <w:color w:val="FFFFFF"/>
              </w:rPr>
              <w:t>x</w:t>
            </w:r>
          </w:p>
        </w:tc>
        <w:tc>
          <w:tcPr>
            <w:tcW w:w="1200" w:type="dxa"/>
            <w:vAlign w:val="bottom"/>
            <w:shd w:val="clear" w:color="auto" w:fill="99B7C6"/>
          </w:tcPr>
          <w:p>
            <w:pPr>
              <w:jc w:val="center"/>
              <w:spacing w:after="0"/>
              <w:rPr>
                <w:sz w:val="20"/>
                <w:szCs w:val="20"/>
                <w:color w:val="auto"/>
              </w:rPr>
            </w:pPr>
            <w:r>
              <w:rPr>
                <w:rFonts w:ascii="Arial" w:cs="Arial" w:eastAsia="Arial" w:hAnsi="Arial"/>
                <w:sz w:val="14"/>
                <w:szCs w:val="14"/>
                <w:b w:val="1"/>
                <w:bCs w:val="1"/>
                <w:color w:val="FFFFFF"/>
              </w:rPr>
              <w:t>% of Salary</w:t>
            </w:r>
          </w:p>
        </w:tc>
        <w:tc>
          <w:tcPr>
            <w:tcW w:w="320" w:type="dxa"/>
            <w:vAlign w:val="bottom"/>
            <w:shd w:val="clear" w:color="auto" w:fill="99B7C6"/>
          </w:tcPr>
          <w:p>
            <w:pPr>
              <w:ind w:left="120"/>
              <w:spacing w:after="0"/>
              <w:rPr>
                <w:sz w:val="20"/>
                <w:szCs w:val="20"/>
                <w:color w:val="auto"/>
              </w:rPr>
            </w:pPr>
            <w:r>
              <w:rPr>
                <w:rFonts w:ascii="Arial" w:cs="Arial" w:eastAsia="Arial" w:hAnsi="Arial"/>
                <w:sz w:val="14"/>
                <w:szCs w:val="14"/>
                <w:b w:val="1"/>
                <w:bCs w:val="1"/>
                <w:color w:val="FFFFFF"/>
              </w:rPr>
              <w:t>x</w:t>
            </w:r>
          </w:p>
        </w:tc>
        <w:tc>
          <w:tcPr>
            <w:tcW w:w="960" w:type="dxa"/>
            <w:vAlign w:val="bottom"/>
            <w:shd w:val="clear" w:color="auto" w:fill="8AADBD"/>
          </w:tcPr>
          <w:p>
            <w:pPr>
              <w:jc w:val="center"/>
              <w:ind w:left="9"/>
              <w:spacing w:after="0"/>
              <w:rPr>
                <w:sz w:val="20"/>
                <w:szCs w:val="20"/>
                <w:color w:val="auto"/>
              </w:rPr>
            </w:pPr>
            <w:r>
              <w:rPr>
                <w:rFonts w:ascii="Arial" w:cs="Arial" w:eastAsia="Arial" w:hAnsi="Arial"/>
                <w:sz w:val="14"/>
                <w:szCs w:val="14"/>
                <w:b w:val="1"/>
                <w:bCs w:val="1"/>
                <w:color w:val="FFFFFF"/>
              </w:rPr>
              <w:t>Component</w:t>
            </w:r>
          </w:p>
        </w:tc>
        <w:tc>
          <w:tcPr>
            <w:tcW w:w="320" w:type="dxa"/>
            <w:vAlign w:val="bottom"/>
            <w:shd w:val="clear" w:color="auto" w:fill="8AADBD"/>
          </w:tcPr>
          <w:p>
            <w:pPr>
              <w:jc w:val="center"/>
              <w:ind w:left="129"/>
              <w:spacing w:after="0"/>
              <w:rPr>
                <w:sz w:val="20"/>
                <w:szCs w:val="20"/>
                <w:color w:val="auto"/>
              </w:rPr>
            </w:pPr>
            <w:r>
              <w:rPr>
                <w:rFonts w:ascii="Arial" w:cs="Arial" w:eastAsia="Arial" w:hAnsi="Arial"/>
                <w:sz w:val="14"/>
                <w:szCs w:val="14"/>
                <w:b w:val="1"/>
                <w:bCs w:val="1"/>
                <w:color w:val="FFFFFF"/>
                <w:w w:val="97"/>
              </w:rPr>
              <w:t>+</w:t>
            </w:r>
          </w:p>
        </w:tc>
        <w:tc>
          <w:tcPr>
            <w:tcW w:w="1340" w:type="dxa"/>
            <w:vAlign w:val="bottom"/>
            <w:shd w:val="clear" w:color="auto" w:fill="8AADBD"/>
          </w:tcPr>
          <w:p>
            <w:pPr>
              <w:jc w:val="center"/>
              <w:ind w:left="9"/>
              <w:spacing w:after="0"/>
              <w:rPr>
                <w:sz w:val="20"/>
                <w:szCs w:val="20"/>
                <w:color w:val="auto"/>
              </w:rPr>
            </w:pPr>
            <w:r>
              <w:rPr>
                <w:rFonts w:ascii="Arial" w:cs="Arial" w:eastAsia="Arial" w:hAnsi="Arial"/>
                <w:sz w:val="14"/>
                <w:szCs w:val="14"/>
                <w:b w:val="1"/>
                <w:bCs w:val="1"/>
                <w:color w:val="FFFFFF"/>
              </w:rPr>
              <w:t>Component</w:t>
            </w:r>
          </w:p>
        </w:tc>
        <w:tc>
          <w:tcPr>
            <w:tcW w:w="240" w:type="dxa"/>
            <w:vAlign w:val="bottom"/>
            <w:shd w:val="clear" w:color="auto" w:fill="A7C1CE"/>
          </w:tcPr>
          <w:p>
            <w:pPr>
              <w:jc w:val="right"/>
              <w:ind w:right="49"/>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A7C1CE"/>
          </w:tcPr>
          <w:p>
            <w:pPr>
              <w:jc w:val="right"/>
              <w:spacing w:after="0"/>
              <w:rPr>
                <w:sz w:val="20"/>
                <w:szCs w:val="20"/>
                <w:color w:val="auto"/>
              </w:rPr>
            </w:pPr>
            <w:r>
              <w:rPr>
                <w:rFonts w:ascii="Arial" w:cs="Arial" w:eastAsia="Arial" w:hAnsi="Arial"/>
                <w:sz w:val="14"/>
                <w:szCs w:val="14"/>
                <w:b w:val="1"/>
                <w:bCs w:val="1"/>
                <w:color w:val="FFFFFF"/>
              </w:rPr>
              <w:t>Incentive Payout</w:t>
            </w:r>
          </w:p>
        </w:tc>
      </w:tr>
      <w:tr>
        <w:trPr>
          <w:trHeight w:val="227"/>
        </w:trPr>
        <w:tc>
          <w:tcPr>
            <w:tcW w:w="206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b w:val="1"/>
                <w:bCs w:val="1"/>
                <w:color w:val="auto"/>
              </w:rPr>
              <w:t>Stefan Larsson</w:t>
            </w:r>
          </w:p>
        </w:tc>
        <w:tc>
          <w:tcPr>
            <w:tcW w:w="148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Total PVH</w:t>
            </w:r>
          </w:p>
        </w:tc>
        <w:tc>
          <w:tcPr>
            <w:tcW w:w="1340" w:type="dxa"/>
            <w:vAlign w:val="bottom"/>
            <w:tcBorders>
              <w:bottom w:val="single" w:sz="8" w:color="E9F0F3"/>
            </w:tcBorders>
            <w:gridSpan w:val="3"/>
            <w:shd w:val="clear" w:color="auto" w:fill="E9F0F3"/>
          </w:tcPr>
          <w:p>
            <w:pPr>
              <w:jc w:val="right"/>
              <w:ind w:right="60"/>
              <w:spacing w:after="0"/>
              <w:rPr>
                <w:sz w:val="20"/>
                <w:szCs w:val="20"/>
                <w:color w:val="auto"/>
              </w:rPr>
            </w:pPr>
            <w:r>
              <w:rPr>
                <w:rFonts w:ascii="Arial" w:cs="Arial" w:eastAsia="Arial" w:hAnsi="Arial"/>
                <w:sz w:val="14"/>
                <w:szCs w:val="14"/>
                <w:color w:val="auto"/>
              </w:rPr>
              <w:t>$1,450,000</w:t>
            </w:r>
          </w:p>
        </w:tc>
        <w:tc>
          <w:tcPr>
            <w:tcW w:w="280" w:type="dxa"/>
            <w:vAlign w:val="bottom"/>
            <w:tcBorders>
              <w:bottom w:val="single" w:sz="8" w:color="E9F0F3"/>
            </w:tcBorders>
            <w:shd w:val="clear" w:color="auto" w:fill="E9F0F3"/>
          </w:tcPr>
          <w:p>
            <w:pPr>
              <w:ind w:left="80"/>
              <w:spacing w:after="0"/>
              <w:rPr>
                <w:sz w:val="20"/>
                <w:szCs w:val="20"/>
                <w:color w:val="auto"/>
              </w:rPr>
            </w:pPr>
            <w:r>
              <w:rPr>
                <w:rFonts w:ascii="Arial" w:cs="Arial" w:eastAsia="Arial" w:hAnsi="Arial"/>
                <w:sz w:val="14"/>
                <w:szCs w:val="14"/>
                <w:color w:val="auto"/>
              </w:rPr>
              <w:t>x</w:t>
            </w:r>
          </w:p>
        </w:tc>
        <w:tc>
          <w:tcPr>
            <w:tcW w:w="1200" w:type="dxa"/>
            <w:vAlign w:val="bottom"/>
            <w:tcBorders>
              <w:bottom w:val="single" w:sz="8" w:color="E9F0F3"/>
            </w:tcBorders>
            <w:shd w:val="clear" w:color="auto" w:fill="E9F0F3"/>
          </w:tcPr>
          <w:p>
            <w:pPr>
              <w:jc w:val="center"/>
              <w:spacing w:after="0"/>
              <w:rPr>
                <w:sz w:val="20"/>
                <w:szCs w:val="20"/>
                <w:color w:val="auto"/>
              </w:rPr>
            </w:pPr>
            <w:r>
              <w:rPr>
                <w:rFonts w:ascii="Arial" w:cs="Arial" w:eastAsia="Arial" w:hAnsi="Arial"/>
                <w:sz w:val="14"/>
                <w:szCs w:val="14"/>
                <w:color w:val="auto"/>
              </w:rPr>
              <w:t>200%</w:t>
            </w:r>
          </w:p>
        </w:tc>
        <w:tc>
          <w:tcPr>
            <w:tcW w:w="320" w:type="dxa"/>
            <w:vAlign w:val="bottom"/>
            <w:tcBorders>
              <w:bottom w:val="single" w:sz="8" w:color="E9F0F3"/>
            </w:tcBorders>
            <w:shd w:val="clear" w:color="auto" w:fill="E9F0F3"/>
          </w:tcPr>
          <w:p>
            <w:pPr>
              <w:ind w:left="120"/>
              <w:spacing w:after="0"/>
              <w:rPr>
                <w:sz w:val="20"/>
                <w:szCs w:val="20"/>
                <w:color w:val="auto"/>
              </w:rPr>
            </w:pPr>
            <w:r>
              <w:rPr>
                <w:rFonts w:ascii="Arial" w:cs="Arial" w:eastAsia="Arial" w:hAnsi="Arial"/>
                <w:sz w:val="14"/>
                <w:szCs w:val="14"/>
                <w:color w:val="auto"/>
              </w:rPr>
              <w:t>x</w:t>
            </w:r>
          </w:p>
        </w:tc>
        <w:tc>
          <w:tcPr>
            <w:tcW w:w="960" w:type="dxa"/>
            <w:vAlign w:val="bottom"/>
            <w:tcBorders>
              <w:bottom w:val="single" w:sz="8" w:color="E2EAEF"/>
            </w:tcBorders>
            <w:shd w:val="clear" w:color="auto" w:fill="E2EAEF"/>
          </w:tcPr>
          <w:p>
            <w:pPr>
              <w:jc w:val="center"/>
              <w:ind w:left="9"/>
              <w:spacing w:after="0"/>
              <w:rPr>
                <w:sz w:val="20"/>
                <w:szCs w:val="20"/>
                <w:color w:val="auto"/>
              </w:rPr>
            </w:pPr>
            <w:r>
              <w:rPr>
                <w:rFonts w:ascii="Arial" w:cs="Arial" w:eastAsia="Arial" w:hAnsi="Arial"/>
                <w:sz w:val="14"/>
                <w:szCs w:val="14"/>
                <w:color w:val="auto"/>
              </w:rPr>
              <w:t>73.87%</w:t>
            </w:r>
          </w:p>
        </w:tc>
        <w:tc>
          <w:tcPr>
            <w:tcW w:w="320" w:type="dxa"/>
            <w:vAlign w:val="bottom"/>
            <w:tcBorders>
              <w:bottom w:val="single" w:sz="8" w:color="E2EAEF"/>
            </w:tcBorders>
            <w:shd w:val="clear" w:color="auto" w:fill="E2EAEF"/>
          </w:tcPr>
          <w:p>
            <w:pPr>
              <w:spacing w:after="0"/>
              <w:rPr>
                <w:sz w:val="19"/>
                <w:szCs w:val="19"/>
                <w:color w:val="auto"/>
              </w:rPr>
            </w:pPr>
          </w:p>
        </w:tc>
        <w:tc>
          <w:tcPr>
            <w:tcW w:w="1340" w:type="dxa"/>
            <w:vAlign w:val="bottom"/>
            <w:tcBorders>
              <w:bottom w:val="single" w:sz="8" w:color="E2EAEF"/>
            </w:tcBorders>
            <w:shd w:val="clear" w:color="auto" w:fill="E2EAEF"/>
          </w:tcPr>
          <w:p>
            <w:pPr>
              <w:jc w:val="center"/>
              <w:ind w:left="9"/>
              <w:spacing w:after="0"/>
              <w:rPr>
                <w:sz w:val="20"/>
                <w:szCs w:val="20"/>
                <w:color w:val="auto"/>
              </w:rPr>
            </w:pPr>
            <w:r>
              <w:rPr>
                <w:rFonts w:ascii="Arial" w:cs="Arial" w:eastAsia="Arial" w:hAnsi="Arial"/>
                <w:sz w:val="14"/>
                <w:szCs w:val="14"/>
                <w:color w:val="auto"/>
                <w:w w:val="94"/>
              </w:rPr>
              <w:t>N/A</w:t>
            </w:r>
          </w:p>
        </w:tc>
        <w:tc>
          <w:tcPr>
            <w:tcW w:w="240" w:type="dxa"/>
            <w:vAlign w:val="bottom"/>
            <w:tcBorders>
              <w:bottom w:val="single" w:sz="8" w:color="E9F0F3"/>
            </w:tcBorders>
            <w:shd w:val="clear" w:color="auto" w:fill="E9F0F3"/>
          </w:tcPr>
          <w:p>
            <w:pPr>
              <w:jc w:val="right"/>
              <w:ind w:right="49"/>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E9F0F3"/>
            </w:tcBorders>
            <w:shd w:val="clear" w:color="auto" w:fill="E9F0F3"/>
          </w:tcPr>
          <w:p>
            <w:pPr>
              <w:jc w:val="right"/>
              <w:spacing w:after="0"/>
              <w:rPr>
                <w:sz w:val="20"/>
                <w:szCs w:val="20"/>
                <w:color w:val="auto"/>
              </w:rPr>
            </w:pPr>
            <w:r>
              <w:rPr>
                <w:rFonts w:ascii="Arial" w:cs="Arial" w:eastAsia="Arial" w:hAnsi="Arial"/>
                <w:sz w:val="14"/>
                <w:szCs w:val="14"/>
                <w:color w:val="auto"/>
              </w:rPr>
              <w:t>$2,142,230</w:t>
            </w:r>
          </w:p>
        </w:tc>
      </w:tr>
      <w:tr>
        <w:trPr>
          <w:trHeight w:val="205"/>
        </w:trPr>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Melissa Stone</w:t>
            </w:r>
          </w:p>
        </w:tc>
        <w:tc>
          <w:tcPr>
            <w:tcW w:w="1480" w:type="dxa"/>
            <w:vAlign w:val="bottom"/>
          </w:tcPr>
          <w:p>
            <w:pPr>
              <w:ind w:left="60"/>
              <w:spacing w:after="0"/>
              <w:rPr>
                <w:sz w:val="20"/>
                <w:szCs w:val="20"/>
                <w:color w:val="auto"/>
              </w:rPr>
            </w:pPr>
            <w:r>
              <w:rPr>
                <w:rFonts w:ascii="Arial" w:cs="Arial" w:eastAsia="Arial" w:hAnsi="Arial"/>
                <w:sz w:val="14"/>
                <w:szCs w:val="14"/>
                <w:color w:val="auto"/>
              </w:rPr>
              <w:t>Total PVH</w:t>
            </w:r>
          </w:p>
        </w:tc>
        <w:tc>
          <w:tcPr>
            <w:tcW w:w="1340" w:type="dxa"/>
            <w:vAlign w:val="bottom"/>
            <w:gridSpan w:val="3"/>
          </w:tcPr>
          <w:p>
            <w:pPr>
              <w:jc w:val="right"/>
              <w:ind w:right="60"/>
              <w:spacing w:after="0"/>
              <w:rPr>
                <w:sz w:val="20"/>
                <w:szCs w:val="20"/>
                <w:color w:val="auto"/>
              </w:rPr>
            </w:pPr>
            <w:r>
              <w:rPr>
                <w:rFonts w:ascii="Arial" w:cs="Arial" w:eastAsia="Arial" w:hAnsi="Arial"/>
                <w:sz w:val="14"/>
                <w:szCs w:val="14"/>
                <w:color w:val="auto"/>
              </w:rPr>
              <w:t>$550,000</w:t>
            </w:r>
          </w:p>
        </w:tc>
        <w:tc>
          <w:tcPr>
            <w:tcW w:w="280" w:type="dxa"/>
            <w:vAlign w:val="bottom"/>
          </w:tcPr>
          <w:p>
            <w:pPr>
              <w:ind w:left="80"/>
              <w:spacing w:after="0"/>
              <w:rPr>
                <w:sz w:val="20"/>
                <w:szCs w:val="20"/>
                <w:color w:val="auto"/>
              </w:rPr>
            </w:pPr>
            <w:r>
              <w:rPr>
                <w:rFonts w:ascii="Arial" w:cs="Arial" w:eastAsia="Arial" w:hAnsi="Arial"/>
                <w:sz w:val="14"/>
                <w:szCs w:val="14"/>
                <w:color w:val="auto"/>
              </w:rPr>
              <w:t>x</w:t>
            </w:r>
          </w:p>
        </w:tc>
        <w:tc>
          <w:tcPr>
            <w:tcW w:w="1200" w:type="dxa"/>
            <w:vAlign w:val="bottom"/>
          </w:tcPr>
          <w:p>
            <w:pPr>
              <w:jc w:val="center"/>
              <w:spacing w:after="0"/>
              <w:rPr>
                <w:sz w:val="20"/>
                <w:szCs w:val="20"/>
                <w:color w:val="auto"/>
              </w:rPr>
            </w:pPr>
            <w:r>
              <w:rPr>
                <w:rFonts w:ascii="Arial" w:cs="Arial" w:eastAsia="Arial" w:hAnsi="Arial"/>
                <w:sz w:val="14"/>
                <w:szCs w:val="14"/>
                <w:color w:val="auto"/>
                <w:w w:val="99"/>
              </w:rPr>
              <w:t>50%</w:t>
            </w:r>
          </w:p>
        </w:tc>
        <w:tc>
          <w:tcPr>
            <w:tcW w:w="320" w:type="dxa"/>
            <w:vAlign w:val="bottom"/>
          </w:tcPr>
          <w:p>
            <w:pPr>
              <w:ind w:left="120"/>
              <w:spacing w:after="0"/>
              <w:rPr>
                <w:sz w:val="20"/>
                <w:szCs w:val="20"/>
                <w:color w:val="auto"/>
              </w:rPr>
            </w:pPr>
            <w:r>
              <w:rPr>
                <w:rFonts w:ascii="Arial" w:cs="Arial" w:eastAsia="Arial" w:hAnsi="Arial"/>
                <w:sz w:val="14"/>
                <w:szCs w:val="14"/>
                <w:color w:val="auto"/>
              </w:rPr>
              <w:t>x</w:t>
            </w:r>
          </w:p>
        </w:tc>
        <w:tc>
          <w:tcPr>
            <w:tcW w:w="960" w:type="dxa"/>
            <w:vAlign w:val="bottom"/>
          </w:tcPr>
          <w:p>
            <w:pPr>
              <w:jc w:val="center"/>
              <w:ind w:left="9"/>
              <w:spacing w:after="0"/>
              <w:rPr>
                <w:sz w:val="20"/>
                <w:szCs w:val="20"/>
                <w:color w:val="auto"/>
              </w:rPr>
            </w:pPr>
            <w:r>
              <w:rPr>
                <w:rFonts w:ascii="Arial" w:cs="Arial" w:eastAsia="Arial" w:hAnsi="Arial"/>
                <w:sz w:val="14"/>
                <w:szCs w:val="14"/>
                <w:color w:val="auto"/>
              </w:rPr>
              <w:t>73.87%</w:t>
            </w:r>
          </w:p>
        </w:tc>
        <w:tc>
          <w:tcPr>
            <w:tcW w:w="320" w:type="dxa"/>
            <w:vAlign w:val="bottom"/>
          </w:tcPr>
          <w:p>
            <w:pPr>
              <w:spacing w:after="0"/>
              <w:rPr>
                <w:sz w:val="17"/>
                <w:szCs w:val="17"/>
                <w:color w:val="auto"/>
              </w:rPr>
            </w:pPr>
          </w:p>
        </w:tc>
        <w:tc>
          <w:tcPr>
            <w:tcW w:w="1340" w:type="dxa"/>
            <w:vAlign w:val="bottom"/>
          </w:tcPr>
          <w:p>
            <w:pPr>
              <w:jc w:val="center"/>
              <w:ind w:left="9"/>
              <w:spacing w:after="0"/>
              <w:rPr>
                <w:sz w:val="20"/>
                <w:szCs w:val="20"/>
                <w:color w:val="auto"/>
              </w:rPr>
            </w:pPr>
            <w:r>
              <w:rPr>
                <w:rFonts w:ascii="Arial" w:cs="Arial" w:eastAsia="Arial" w:hAnsi="Arial"/>
                <w:sz w:val="14"/>
                <w:szCs w:val="14"/>
                <w:color w:val="auto"/>
                <w:w w:val="94"/>
              </w:rPr>
              <w:t>N/A</w:t>
            </w:r>
          </w:p>
        </w:tc>
        <w:tc>
          <w:tcPr>
            <w:tcW w:w="2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$203,143</w:t>
            </w:r>
          </w:p>
        </w:tc>
      </w:tr>
      <w:tr>
        <w:trPr>
          <w:trHeight w:val="42"/>
        </w:trPr>
        <w:tc>
          <w:tcPr>
            <w:tcW w:w="20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27"/>
        </w:trPr>
        <w:tc>
          <w:tcPr>
            <w:tcW w:w="206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b w:val="1"/>
                <w:bCs w:val="1"/>
                <w:color w:val="auto"/>
              </w:rPr>
              <w:t>Lea Rytz Goldman</w:t>
            </w:r>
          </w:p>
        </w:tc>
        <w:tc>
          <w:tcPr>
            <w:tcW w:w="148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Tommy Hilfiger Global</w:t>
            </w:r>
          </w:p>
        </w:tc>
        <w:tc>
          <w:tcPr>
            <w:tcW w:w="140" w:type="dxa"/>
            <w:vAlign w:val="bottom"/>
            <w:tcBorders>
              <w:bottom w:val="single" w:sz="8" w:color="E9F0F3"/>
            </w:tcBorders>
            <w:shd w:val="clear" w:color="auto" w:fill="E9F0F3"/>
          </w:tcPr>
          <w:p>
            <w:pPr>
              <w:spacing w:after="0"/>
              <w:rPr>
                <w:sz w:val="19"/>
                <w:szCs w:val="19"/>
                <w:color w:val="auto"/>
              </w:rPr>
            </w:pPr>
          </w:p>
        </w:tc>
        <w:tc>
          <w:tcPr>
            <w:tcW w:w="1200" w:type="dxa"/>
            <w:vAlign w:val="bottom"/>
            <w:tcBorders>
              <w:bottom w:val="single" w:sz="8" w:color="E9F0F3"/>
            </w:tcBorders>
            <w:gridSpan w:val="2"/>
            <w:shd w:val="clear" w:color="auto" w:fill="E9F0F3"/>
          </w:tcPr>
          <w:p>
            <w:pPr>
              <w:jc w:val="right"/>
              <w:ind w:right="60"/>
              <w:spacing w:after="0"/>
              <w:rPr>
                <w:sz w:val="20"/>
                <w:szCs w:val="20"/>
                <w:color w:val="auto"/>
              </w:rPr>
            </w:pPr>
            <w:r>
              <w:rPr>
                <w:rFonts w:ascii="Arial" w:cs="Arial" w:eastAsia="Arial" w:hAnsi="Arial"/>
                <w:sz w:val="14"/>
                <w:szCs w:val="14"/>
                <w:color w:val="auto"/>
              </w:rPr>
              <w:t>€750,000</w:t>
            </w:r>
          </w:p>
        </w:tc>
        <w:tc>
          <w:tcPr>
            <w:tcW w:w="280" w:type="dxa"/>
            <w:vAlign w:val="bottom"/>
            <w:tcBorders>
              <w:bottom w:val="single" w:sz="8" w:color="E9F0F3"/>
            </w:tcBorders>
            <w:shd w:val="clear" w:color="auto" w:fill="E9F0F3"/>
          </w:tcPr>
          <w:p>
            <w:pPr>
              <w:ind w:left="80"/>
              <w:spacing w:after="0"/>
              <w:rPr>
                <w:sz w:val="20"/>
                <w:szCs w:val="20"/>
                <w:color w:val="auto"/>
              </w:rPr>
            </w:pPr>
            <w:r>
              <w:rPr>
                <w:rFonts w:ascii="Arial" w:cs="Arial" w:eastAsia="Arial" w:hAnsi="Arial"/>
                <w:sz w:val="14"/>
                <w:szCs w:val="14"/>
                <w:color w:val="auto"/>
              </w:rPr>
              <w:t>x</w:t>
            </w:r>
          </w:p>
        </w:tc>
        <w:tc>
          <w:tcPr>
            <w:tcW w:w="1200" w:type="dxa"/>
            <w:vAlign w:val="bottom"/>
            <w:tcBorders>
              <w:bottom w:val="single" w:sz="8" w:color="E9F0F3"/>
            </w:tcBorders>
            <w:shd w:val="clear" w:color="auto" w:fill="E9F0F3"/>
          </w:tcPr>
          <w:p>
            <w:pPr>
              <w:jc w:val="center"/>
              <w:spacing w:after="0"/>
              <w:rPr>
                <w:sz w:val="20"/>
                <w:szCs w:val="20"/>
                <w:color w:val="auto"/>
              </w:rPr>
            </w:pPr>
            <w:r>
              <w:rPr>
                <w:rFonts w:ascii="Arial" w:cs="Arial" w:eastAsia="Arial" w:hAnsi="Arial"/>
                <w:sz w:val="14"/>
                <w:szCs w:val="14"/>
                <w:color w:val="auto"/>
              </w:rPr>
              <w:t>100%</w:t>
            </w:r>
          </w:p>
        </w:tc>
        <w:tc>
          <w:tcPr>
            <w:tcW w:w="320" w:type="dxa"/>
            <w:vAlign w:val="bottom"/>
            <w:tcBorders>
              <w:bottom w:val="single" w:sz="8" w:color="E9F0F3"/>
            </w:tcBorders>
            <w:shd w:val="clear" w:color="auto" w:fill="E9F0F3"/>
          </w:tcPr>
          <w:p>
            <w:pPr>
              <w:ind w:left="120"/>
              <w:spacing w:after="0"/>
              <w:rPr>
                <w:sz w:val="20"/>
                <w:szCs w:val="20"/>
                <w:color w:val="auto"/>
              </w:rPr>
            </w:pPr>
            <w:r>
              <w:rPr>
                <w:rFonts w:ascii="Arial" w:cs="Arial" w:eastAsia="Arial" w:hAnsi="Arial"/>
                <w:sz w:val="14"/>
                <w:szCs w:val="14"/>
                <w:color w:val="auto"/>
              </w:rPr>
              <w:t>x</w:t>
            </w:r>
          </w:p>
        </w:tc>
        <w:tc>
          <w:tcPr>
            <w:tcW w:w="960" w:type="dxa"/>
            <w:vAlign w:val="bottom"/>
            <w:tcBorders>
              <w:bottom w:val="single" w:sz="8" w:color="E2EAEF"/>
            </w:tcBorders>
            <w:shd w:val="clear" w:color="auto" w:fill="E2EAEF"/>
          </w:tcPr>
          <w:p>
            <w:pPr>
              <w:jc w:val="center"/>
              <w:ind w:left="9"/>
              <w:spacing w:after="0"/>
              <w:rPr>
                <w:sz w:val="20"/>
                <w:szCs w:val="20"/>
                <w:color w:val="auto"/>
              </w:rPr>
            </w:pPr>
            <w:r>
              <w:rPr>
                <w:rFonts w:ascii="Arial" w:cs="Arial" w:eastAsia="Arial" w:hAnsi="Arial"/>
                <w:sz w:val="14"/>
                <w:szCs w:val="14"/>
                <w:color w:val="auto"/>
              </w:rPr>
              <w:t>22.16%</w:t>
            </w:r>
          </w:p>
        </w:tc>
        <w:tc>
          <w:tcPr>
            <w:tcW w:w="320" w:type="dxa"/>
            <w:vAlign w:val="bottom"/>
            <w:tcBorders>
              <w:bottom w:val="single" w:sz="8" w:color="E2EAEF"/>
            </w:tcBorders>
            <w:shd w:val="clear" w:color="auto" w:fill="E2EAEF"/>
          </w:tcPr>
          <w:p>
            <w:pPr>
              <w:jc w:val="center"/>
              <w:ind w:left="129"/>
              <w:spacing w:after="0"/>
              <w:rPr>
                <w:sz w:val="20"/>
                <w:szCs w:val="20"/>
                <w:color w:val="auto"/>
              </w:rPr>
            </w:pPr>
            <w:r>
              <w:rPr>
                <w:rFonts w:ascii="Arial" w:cs="Arial" w:eastAsia="Arial" w:hAnsi="Arial"/>
                <w:sz w:val="14"/>
                <w:szCs w:val="14"/>
                <w:color w:val="auto"/>
                <w:w w:val="97"/>
              </w:rPr>
              <w:t>+</w:t>
            </w:r>
          </w:p>
        </w:tc>
        <w:tc>
          <w:tcPr>
            <w:tcW w:w="1340" w:type="dxa"/>
            <w:vAlign w:val="bottom"/>
            <w:tcBorders>
              <w:bottom w:val="single" w:sz="8" w:color="E2EAEF"/>
            </w:tcBorders>
            <w:shd w:val="clear" w:color="auto" w:fill="E2EAEF"/>
          </w:tcPr>
          <w:p>
            <w:pPr>
              <w:jc w:val="center"/>
              <w:ind w:left="9"/>
              <w:spacing w:after="0"/>
              <w:rPr>
                <w:sz w:val="20"/>
                <w:szCs w:val="20"/>
                <w:color w:val="auto"/>
              </w:rPr>
            </w:pPr>
            <w:r>
              <w:rPr>
                <w:rFonts w:ascii="Arial" w:cs="Arial" w:eastAsia="Arial" w:hAnsi="Arial"/>
                <w:sz w:val="14"/>
                <w:szCs w:val="14"/>
                <w:color w:val="auto"/>
                <w:w w:val="96"/>
              </w:rPr>
              <w:t>54.71%</w:t>
            </w:r>
          </w:p>
        </w:tc>
        <w:tc>
          <w:tcPr>
            <w:tcW w:w="240" w:type="dxa"/>
            <w:vAlign w:val="bottom"/>
            <w:tcBorders>
              <w:bottom w:val="single" w:sz="8" w:color="E9F0F3"/>
            </w:tcBorders>
            <w:shd w:val="clear" w:color="auto" w:fill="E9F0F3"/>
          </w:tcPr>
          <w:p>
            <w:pPr>
              <w:jc w:val="right"/>
              <w:ind w:right="49"/>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E9F0F3"/>
            </w:tcBorders>
            <w:shd w:val="clear" w:color="auto" w:fill="E9F0F3"/>
          </w:tcPr>
          <w:p>
            <w:pPr>
              <w:jc w:val="right"/>
              <w:spacing w:after="0"/>
              <w:rPr>
                <w:sz w:val="20"/>
                <w:szCs w:val="20"/>
                <w:color w:val="auto"/>
              </w:rPr>
            </w:pPr>
            <w:r>
              <w:rPr>
                <w:rFonts w:ascii="Arial" w:cs="Arial" w:eastAsia="Arial" w:hAnsi="Arial"/>
                <w:sz w:val="14"/>
                <w:szCs w:val="14"/>
                <w:color w:val="auto"/>
              </w:rPr>
              <w:t>€576,495</w:t>
            </w:r>
          </w:p>
        </w:tc>
      </w:tr>
      <w:tr>
        <w:trPr>
          <w:trHeight w:val="205"/>
        </w:trPr>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Fredrik Olsson</w:t>
            </w:r>
          </w:p>
        </w:tc>
        <w:tc>
          <w:tcPr>
            <w:tcW w:w="1480" w:type="dxa"/>
            <w:vAlign w:val="bottom"/>
          </w:tcPr>
          <w:p>
            <w:pPr>
              <w:ind w:left="60"/>
              <w:spacing w:after="0"/>
              <w:rPr>
                <w:sz w:val="20"/>
                <w:szCs w:val="20"/>
                <w:color w:val="auto"/>
              </w:rPr>
            </w:pPr>
            <w:r>
              <w:rPr>
                <w:rFonts w:ascii="Arial" w:cs="Arial" w:eastAsia="Arial" w:hAnsi="Arial"/>
                <w:sz w:val="14"/>
                <w:szCs w:val="14"/>
                <w:color w:val="auto"/>
              </w:rPr>
              <w:t>PVH Europe</w:t>
            </w:r>
          </w:p>
        </w:tc>
        <w:tc>
          <w:tcPr>
            <w:tcW w:w="14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€900,000</w:t>
            </w:r>
          </w:p>
        </w:tc>
        <w:tc>
          <w:tcPr>
            <w:tcW w:w="280" w:type="dxa"/>
            <w:vAlign w:val="bottom"/>
          </w:tcPr>
          <w:p>
            <w:pPr>
              <w:ind w:left="80"/>
              <w:spacing w:after="0"/>
              <w:rPr>
                <w:sz w:val="20"/>
                <w:szCs w:val="20"/>
                <w:color w:val="auto"/>
              </w:rPr>
            </w:pPr>
            <w:r>
              <w:rPr>
                <w:rFonts w:ascii="Arial" w:cs="Arial" w:eastAsia="Arial" w:hAnsi="Arial"/>
                <w:sz w:val="14"/>
                <w:szCs w:val="14"/>
                <w:color w:val="auto"/>
              </w:rPr>
              <w:t>x</w:t>
            </w:r>
          </w:p>
        </w:tc>
        <w:tc>
          <w:tcPr>
            <w:tcW w:w="1200" w:type="dxa"/>
            <w:vAlign w:val="bottom"/>
          </w:tcPr>
          <w:p>
            <w:pPr>
              <w:jc w:val="center"/>
              <w:spacing w:after="0"/>
              <w:rPr>
                <w:sz w:val="20"/>
                <w:szCs w:val="20"/>
                <w:color w:val="auto"/>
              </w:rPr>
            </w:pPr>
            <w:r>
              <w:rPr>
                <w:rFonts w:ascii="Arial" w:cs="Arial" w:eastAsia="Arial" w:hAnsi="Arial"/>
                <w:sz w:val="14"/>
                <w:szCs w:val="14"/>
                <w:color w:val="auto"/>
              </w:rPr>
              <w:t>100%</w:t>
            </w:r>
          </w:p>
        </w:tc>
        <w:tc>
          <w:tcPr>
            <w:tcW w:w="320" w:type="dxa"/>
            <w:vAlign w:val="bottom"/>
          </w:tcPr>
          <w:p>
            <w:pPr>
              <w:ind w:left="120"/>
              <w:spacing w:after="0"/>
              <w:rPr>
                <w:sz w:val="20"/>
                <w:szCs w:val="20"/>
                <w:color w:val="auto"/>
              </w:rPr>
            </w:pPr>
            <w:r>
              <w:rPr>
                <w:rFonts w:ascii="Arial" w:cs="Arial" w:eastAsia="Arial" w:hAnsi="Arial"/>
                <w:sz w:val="14"/>
                <w:szCs w:val="14"/>
                <w:color w:val="auto"/>
              </w:rPr>
              <w:t>x</w:t>
            </w:r>
          </w:p>
        </w:tc>
        <w:tc>
          <w:tcPr>
            <w:tcW w:w="960" w:type="dxa"/>
            <w:vAlign w:val="bottom"/>
          </w:tcPr>
          <w:p>
            <w:pPr>
              <w:jc w:val="center"/>
              <w:ind w:left="9"/>
              <w:spacing w:after="0"/>
              <w:rPr>
                <w:sz w:val="20"/>
                <w:szCs w:val="20"/>
                <w:color w:val="auto"/>
              </w:rPr>
            </w:pPr>
            <w:r>
              <w:rPr>
                <w:rFonts w:ascii="Arial" w:cs="Arial" w:eastAsia="Arial" w:hAnsi="Arial"/>
                <w:sz w:val="14"/>
                <w:szCs w:val="14"/>
                <w:color w:val="auto"/>
              </w:rPr>
              <w:t>22.16%</w:t>
            </w:r>
          </w:p>
        </w:tc>
        <w:tc>
          <w:tcPr>
            <w:tcW w:w="320" w:type="dxa"/>
            <w:vAlign w:val="bottom"/>
          </w:tcPr>
          <w:p>
            <w:pPr>
              <w:jc w:val="center"/>
              <w:ind w:left="129"/>
              <w:spacing w:after="0"/>
              <w:rPr>
                <w:sz w:val="20"/>
                <w:szCs w:val="20"/>
                <w:color w:val="auto"/>
              </w:rPr>
            </w:pPr>
            <w:r>
              <w:rPr>
                <w:rFonts w:ascii="Arial" w:cs="Arial" w:eastAsia="Arial" w:hAnsi="Arial"/>
                <w:sz w:val="14"/>
                <w:szCs w:val="14"/>
                <w:color w:val="auto"/>
                <w:w w:val="97"/>
              </w:rPr>
              <w:t>+</w:t>
            </w:r>
          </w:p>
        </w:tc>
        <w:tc>
          <w:tcPr>
            <w:tcW w:w="1340" w:type="dxa"/>
            <w:vAlign w:val="bottom"/>
          </w:tcPr>
          <w:p>
            <w:pPr>
              <w:jc w:val="center"/>
              <w:ind w:left="9"/>
              <w:spacing w:after="0"/>
              <w:rPr>
                <w:sz w:val="20"/>
                <w:szCs w:val="20"/>
                <w:color w:val="auto"/>
              </w:rPr>
            </w:pPr>
            <w:r>
              <w:rPr>
                <w:rFonts w:ascii="Arial" w:cs="Arial" w:eastAsia="Arial" w:hAnsi="Arial"/>
                <w:sz w:val="14"/>
                <w:szCs w:val="14"/>
                <w:color w:val="auto"/>
                <w:w w:val="96"/>
              </w:rPr>
              <w:t>42.75%</w:t>
            </w:r>
          </w:p>
        </w:tc>
        <w:tc>
          <w:tcPr>
            <w:tcW w:w="2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€584,190</w:t>
            </w:r>
          </w:p>
        </w:tc>
      </w:tr>
      <w:tr>
        <w:trPr>
          <w:trHeight w:val="42"/>
        </w:trPr>
        <w:tc>
          <w:tcPr>
            <w:tcW w:w="20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36"/>
        </w:trPr>
        <w:tc>
          <w:tcPr>
            <w:tcW w:w="206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David Savman</w:t>
            </w:r>
            <w:r>
              <w:rPr>
                <w:rFonts w:ascii="Arial" w:cs="Arial" w:eastAsia="Arial" w:hAnsi="Arial"/>
                <w:sz w:val="16"/>
                <w:szCs w:val="16"/>
                <w:b w:val="1"/>
                <w:bCs w:val="1"/>
                <w:color w:val="auto"/>
                <w:vertAlign w:val="superscript"/>
              </w:rPr>
              <w:t>1</w:t>
            </w:r>
          </w:p>
        </w:tc>
        <w:tc>
          <w:tcPr>
            <w:tcW w:w="1480" w:type="dxa"/>
            <w:vAlign w:val="bottom"/>
            <w:shd w:val="clear" w:color="auto" w:fill="E9F0F3"/>
          </w:tcPr>
          <w:p>
            <w:pPr>
              <w:ind w:left="60"/>
              <w:spacing w:after="0"/>
              <w:rPr>
                <w:sz w:val="20"/>
                <w:szCs w:val="20"/>
                <w:color w:val="auto"/>
              </w:rPr>
            </w:pPr>
            <w:r>
              <w:rPr>
                <w:rFonts w:ascii="Arial" w:cs="Arial" w:eastAsia="Arial" w:hAnsi="Arial"/>
                <w:sz w:val="14"/>
                <w:szCs w:val="14"/>
                <w:color w:val="auto"/>
              </w:rPr>
              <w:t>Total PVH</w:t>
            </w:r>
          </w:p>
        </w:tc>
        <w:tc>
          <w:tcPr>
            <w:tcW w:w="1340" w:type="dxa"/>
            <w:vAlign w:val="bottom"/>
            <w:gridSpan w:val="3"/>
            <w:shd w:val="clear" w:color="auto" w:fill="E9F0F3"/>
          </w:tcPr>
          <w:p>
            <w:pPr>
              <w:jc w:val="right"/>
              <w:ind w:right="60"/>
              <w:spacing w:after="0"/>
              <w:rPr>
                <w:sz w:val="20"/>
                <w:szCs w:val="20"/>
                <w:color w:val="auto"/>
              </w:rPr>
            </w:pPr>
            <w:r>
              <w:rPr>
                <w:rFonts w:ascii="Arial" w:cs="Arial" w:eastAsia="Arial" w:hAnsi="Arial"/>
                <w:sz w:val="14"/>
                <w:szCs w:val="14"/>
                <w:color w:val="auto"/>
              </w:rPr>
              <w:t>$213,049</w:t>
            </w:r>
          </w:p>
        </w:tc>
        <w:tc>
          <w:tcPr>
            <w:tcW w:w="280" w:type="dxa"/>
            <w:vAlign w:val="bottom"/>
            <w:shd w:val="clear" w:color="auto" w:fill="E9F0F3"/>
          </w:tcPr>
          <w:p>
            <w:pPr>
              <w:ind w:left="80"/>
              <w:spacing w:after="0"/>
              <w:rPr>
                <w:sz w:val="20"/>
                <w:szCs w:val="20"/>
                <w:color w:val="auto"/>
              </w:rPr>
            </w:pPr>
            <w:r>
              <w:rPr>
                <w:rFonts w:ascii="Arial" w:cs="Arial" w:eastAsia="Arial" w:hAnsi="Arial"/>
                <w:sz w:val="14"/>
                <w:szCs w:val="14"/>
                <w:color w:val="auto"/>
              </w:rPr>
              <w:t>x</w:t>
            </w:r>
          </w:p>
        </w:tc>
        <w:tc>
          <w:tcPr>
            <w:tcW w:w="1200" w:type="dxa"/>
            <w:vAlign w:val="bottom"/>
            <w:shd w:val="clear" w:color="auto" w:fill="E9F0F3"/>
          </w:tcPr>
          <w:p>
            <w:pPr>
              <w:jc w:val="center"/>
              <w:spacing w:after="0"/>
              <w:rPr>
                <w:sz w:val="20"/>
                <w:szCs w:val="20"/>
                <w:color w:val="auto"/>
              </w:rPr>
            </w:pPr>
            <w:r>
              <w:rPr>
                <w:rFonts w:ascii="Arial" w:cs="Arial" w:eastAsia="Arial" w:hAnsi="Arial"/>
                <w:sz w:val="14"/>
                <w:szCs w:val="14"/>
                <w:color w:val="auto"/>
              </w:rPr>
              <w:t>100%</w:t>
            </w:r>
          </w:p>
        </w:tc>
        <w:tc>
          <w:tcPr>
            <w:tcW w:w="320" w:type="dxa"/>
            <w:vAlign w:val="bottom"/>
            <w:shd w:val="clear" w:color="auto" w:fill="E9F0F3"/>
          </w:tcPr>
          <w:p>
            <w:pPr>
              <w:ind w:left="120"/>
              <w:spacing w:after="0"/>
              <w:rPr>
                <w:sz w:val="20"/>
                <w:szCs w:val="20"/>
                <w:color w:val="auto"/>
              </w:rPr>
            </w:pPr>
            <w:r>
              <w:rPr>
                <w:rFonts w:ascii="Arial" w:cs="Arial" w:eastAsia="Arial" w:hAnsi="Arial"/>
                <w:sz w:val="14"/>
                <w:szCs w:val="14"/>
                <w:color w:val="auto"/>
              </w:rPr>
              <w:t>x</w:t>
            </w:r>
          </w:p>
        </w:tc>
        <w:tc>
          <w:tcPr>
            <w:tcW w:w="960" w:type="dxa"/>
            <w:vAlign w:val="bottom"/>
            <w:shd w:val="clear" w:color="auto" w:fill="E2EAEF"/>
          </w:tcPr>
          <w:p>
            <w:pPr>
              <w:jc w:val="center"/>
              <w:ind w:left="9"/>
              <w:spacing w:after="0"/>
              <w:rPr>
                <w:sz w:val="20"/>
                <w:szCs w:val="20"/>
                <w:color w:val="auto"/>
              </w:rPr>
            </w:pPr>
            <w:r>
              <w:rPr>
                <w:rFonts w:ascii="Arial" w:cs="Arial" w:eastAsia="Arial" w:hAnsi="Arial"/>
                <w:sz w:val="14"/>
                <w:szCs w:val="14"/>
                <w:color w:val="auto"/>
              </w:rPr>
              <w:t>73.87%</w:t>
            </w:r>
          </w:p>
        </w:tc>
        <w:tc>
          <w:tcPr>
            <w:tcW w:w="320" w:type="dxa"/>
            <w:vAlign w:val="bottom"/>
            <w:shd w:val="clear" w:color="auto" w:fill="E2EAEF"/>
          </w:tcPr>
          <w:p>
            <w:pPr>
              <w:spacing w:after="0"/>
              <w:rPr>
                <w:sz w:val="20"/>
                <w:szCs w:val="20"/>
                <w:color w:val="auto"/>
              </w:rPr>
            </w:pPr>
          </w:p>
        </w:tc>
        <w:tc>
          <w:tcPr>
            <w:tcW w:w="1340" w:type="dxa"/>
            <w:vAlign w:val="bottom"/>
            <w:shd w:val="clear" w:color="auto" w:fill="E2EAEF"/>
          </w:tcPr>
          <w:p>
            <w:pPr>
              <w:jc w:val="center"/>
              <w:ind w:left="9"/>
              <w:spacing w:after="0"/>
              <w:rPr>
                <w:sz w:val="20"/>
                <w:szCs w:val="20"/>
                <w:color w:val="auto"/>
              </w:rPr>
            </w:pPr>
            <w:r>
              <w:rPr>
                <w:rFonts w:ascii="Arial" w:cs="Arial" w:eastAsia="Arial" w:hAnsi="Arial"/>
                <w:sz w:val="14"/>
                <w:szCs w:val="14"/>
                <w:color w:val="auto"/>
                <w:w w:val="94"/>
              </w:rPr>
              <w:t>N/A</w:t>
            </w:r>
          </w:p>
        </w:tc>
        <w:tc>
          <w:tcPr>
            <w:tcW w:w="2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w:t>
            </w:r>
          </w:p>
        </w:tc>
        <w:tc>
          <w:tcPr>
            <w:tcW w:w="1400" w:type="dxa"/>
            <w:vAlign w:val="bottom"/>
            <w:shd w:val="clear" w:color="auto" w:fill="E9F0F3"/>
          </w:tcPr>
          <w:p>
            <w:pPr>
              <w:jc w:val="right"/>
              <w:spacing w:after="0"/>
              <w:rPr>
                <w:sz w:val="20"/>
                <w:szCs w:val="20"/>
                <w:color w:val="auto"/>
              </w:rPr>
            </w:pPr>
            <w:r>
              <w:rPr>
                <w:rFonts w:ascii="Arial" w:cs="Arial" w:eastAsia="Arial" w:hAnsi="Arial"/>
                <w:sz w:val="14"/>
                <w:szCs w:val="14"/>
                <w:color w:val="auto"/>
              </w:rPr>
              <w:t>$157,380</w:t>
            </w:r>
          </w:p>
        </w:tc>
      </w:tr>
      <w:tr>
        <w:trPr>
          <w:trHeight w:val="209"/>
        </w:trPr>
        <w:tc>
          <w:tcPr>
            <w:tcW w:w="2060" w:type="dxa"/>
            <w:vAlign w:val="bottom"/>
            <w:shd w:val="clear" w:color="auto" w:fill="E9F0F3"/>
          </w:tcPr>
          <w:p>
            <w:pPr>
              <w:spacing w:after="0"/>
              <w:rPr>
                <w:sz w:val="18"/>
                <w:szCs w:val="18"/>
                <w:color w:val="auto"/>
              </w:rPr>
            </w:pPr>
          </w:p>
        </w:tc>
        <w:tc>
          <w:tcPr>
            <w:tcW w:w="1480" w:type="dxa"/>
            <w:vAlign w:val="bottom"/>
            <w:shd w:val="clear" w:color="auto" w:fill="E9F0F3"/>
          </w:tcPr>
          <w:p>
            <w:pPr>
              <w:ind w:left="60"/>
              <w:spacing w:after="0"/>
              <w:rPr>
                <w:sz w:val="20"/>
                <w:szCs w:val="20"/>
                <w:color w:val="auto"/>
              </w:rPr>
            </w:pPr>
            <w:r>
              <w:rPr>
                <w:rFonts w:ascii="Arial" w:cs="Arial" w:eastAsia="Arial" w:hAnsi="Arial"/>
                <w:sz w:val="14"/>
                <w:szCs w:val="14"/>
                <w:color w:val="auto"/>
              </w:rPr>
              <w:t>Calvin Klein Global</w:t>
            </w:r>
          </w:p>
        </w:tc>
        <w:tc>
          <w:tcPr>
            <w:tcW w:w="1340" w:type="dxa"/>
            <w:vAlign w:val="bottom"/>
            <w:gridSpan w:val="3"/>
            <w:shd w:val="clear" w:color="auto" w:fill="E9F0F3"/>
          </w:tcPr>
          <w:p>
            <w:pPr>
              <w:jc w:val="right"/>
              <w:ind w:right="60"/>
              <w:spacing w:after="0"/>
              <w:rPr>
                <w:sz w:val="20"/>
                <w:szCs w:val="20"/>
                <w:color w:val="auto"/>
              </w:rPr>
            </w:pPr>
            <w:r>
              <w:rPr>
                <w:rFonts w:ascii="Arial" w:cs="Arial" w:eastAsia="Arial" w:hAnsi="Arial"/>
                <w:sz w:val="14"/>
                <w:szCs w:val="14"/>
                <w:color w:val="auto"/>
              </w:rPr>
              <w:t>$611,951</w:t>
            </w:r>
          </w:p>
        </w:tc>
        <w:tc>
          <w:tcPr>
            <w:tcW w:w="280" w:type="dxa"/>
            <w:vAlign w:val="bottom"/>
            <w:shd w:val="clear" w:color="auto" w:fill="E9F0F3"/>
          </w:tcPr>
          <w:p>
            <w:pPr>
              <w:ind w:left="80"/>
              <w:spacing w:after="0"/>
              <w:rPr>
                <w:sz w:val="20"/>
                <w:szCs w:val="20"/>
                <w:color w:val="auto"/>
              </w:rPr>
            </w:pPr>
            <w:r>
              <w:rPr>
                <w:rFonts w:ascii="Arial" w:cs="Arial" w:eastAsia="Arial" w:hAnsi="Arial"/>
                <w:sz w:val="14"/>
                <w:szCs w:val="14"/>
                <w:color w:val="auto"/>
              </w:rPr>
              <w:t>x</w:t>
            </w:r>
          </w:p>
        </w:tc>
        <w:tc>
          <w:tcPr>
            <w:tcW w:w="1200" w:type="dxa"/>
            <w:vAlign w:val="bottom"/>
            <w:shd w:val="clear" w:color="auto" w:fill="E9F0F3"/>
          </w:tcPr>
          <w:p>
            <w:pPr>
              <w:jc w:val="center"/>
              <w:spacing w:after="0"/>
              <w:rPr>
                <w:sz w:val="20"/>
                <w:szCs w:val="20"/>
                <w:color w:val="auto"/>
              </w:rPr>
            </w:pPr>
            <w:r>
              <w:rPr>
                <w:rFonts w:ascii="Arial" w:cs="Arial" w:eastAsia="Arial" w:hAnsi="Arial"/>
                <w:sz w:val="14"/>
                <w:szCs w:val="14"/>
                <w:color w:val="auto"/>
              </w:rPr>
              <w:t>100%</w:t>
            </w:r>
          </w:p>
        </w:tc>
        <w:tc>
          <w:tcPr>
            <w:tcW w:w="320" w:type="dxa"/>
            <w:vAlign w:val="bottom"/>
            <w:shd w:val="clear" w:color="auto" w:fill="E9F0F3"/>
          </w:tcPr>
          <w:p>
            <w:pPr>
              <w:ind w:left="120"/>
              <w:spacing w:after="0"/>
              <w:rPr>
                <w:sz w:val="20"/>
                <w:szCs w:val="20"/>
                <w:color w:val="auto"/>
              </w:rPr>
            </w:pPr>
            <w:r>
              <w:rPr>
                <w:rFonts w:ascii="Arial" w:cs="Arial" w:eastAsia="Arial" w:hAnsi="Arial"/>
                <w:sz w:val="14"/>
                <w:szCs w:val="14"/>
                <w:color w:val="auto"/>
              </w:rPr>
              <w:t>x</w:t>
            </w:r>
          </w:p>
        </w:tc>
        <w:tc>
          <w:tcPr>
            <w:tcW w:w="960" w:type="dxa"/>
            <w:vAlign w:val="bottom"/>
            <w:shd w:val="clear" w:color="auto" w:fill="E2EAEF"/>
          </w:tcPr>
          <w:p>
            <w:pPr>
              <w:jc w:val="center"/>
              <w:ind w:left="9"/>
              <w:spacing w:after="0"/>
              <w:rPr>
                <w:sz w:val="20"/>
                <w:szCs w:val="20"/>
                <w:color w:val="auto"/>
              </w:rPr>
            </w:pPr>
            <w:r>
              <w:rPr>
                <w:rFonts w:ascii="Arial" w:cs="Arial" w:eastAsia="Arial" w:hAnsi="Arial"/>
                <w:sz w:val="14"/>
                <w:szCs w:val="14"/>
                <w:color w:val="auto"/>
              </w:rPr>
              <w:t>22.16%</w:t>
            </w:r>
          </w:p>
        </w:tc>
        <w:tc>
          <w:tcPr>
            <w:tcW w:w="320" w:type="dxa"/>
            <w:vAlign w:val="bottom"/>
            <w:shd w:val="clear" w:color="auto" w:fill="E2EAEF"/>
          </w:tcPr>
          <w:p>
            <w:pPr>
              <w:jc w:val="center"/>
              <w:ind w:left="129"/>
              <w:spacing w:after="0"/>
              <w:rPr>
                <w:sz w:val="20"/>
                <w:szCs w:val="20"/>
                <w:color w:val="auto"/>
              </w:rPr>
            </w:pPr>
            <w:r>
              <w:rPr>
                <w:rFonts w:ascii="Arial" w:cs="Arial" w:eastAsia="Arial" w:hAnsi="Arial"/>
                <w:sz w:val="14"/>
                <w:szCs w:val="14"/>
                <w:color w:val="auto"/>
                <w:w w:val="97"/>
              </w:rPr>
              <w:t>+</w:t>
            </w:r>
          </w:p>
        </w:tc>
        <w:tc>
          <w:tcPr>
            <w:tcW w:w="1340" w:type="dxa"/>
            <w:vAlign w:val="bottom"/>
            <w:shd w:val="clear" w:color="auto" w:fill="E2EAEF"/>
          </w:tcPr>
          <w:p>
            <w:pPr>
              <w:jc w:val="center"/>
              <w:ind w:left="9"/>
              <w:spacing w:after="0"/>
              <w:rPr>
                <w:sz w:val="20"/>
                <w:szCs w:val="20"/>
                <w:color w:val="auto"/>
              </w:rPr>
            </w:pPr>
            <w:r>
              <w:rPr>
                <w:rFonts w:ascii="Arial" w:cs="Arial" w:eastAsia="Arial" w:hAnsi="Arial"/>
                <w:sz w:val="14"/>
                <w:szCs w:val="14"/>
                <w:color w:val="auto"/>
                <w:w w:val="96"/>
              </w:rPr>
              <w:t>40.46%</w:t>
            </w:r>
          </w:p>
        </w:tc>
        <w:tc>
          <w:tcPr>
            <w:tcW w:w="2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w:t>
            </w:r>
          </w:p>
        </w:tc>
        <w:tc>
          <w:tcPr>
            <w:tcW w:w="1400" w:type="dxa"/>
            <w:vAlign w:val="bottom"/>
            <w:shd w:val="clear" w:color="auto" w:fill="E9F0F3"/>
          </w:tcPr>
          <w:p>
            <w:pPr>
              <w:jc w:val="right"/>
              <w:spacing w:after="0"/>
              <w:rPr>
                <w:sz w:val="20"/>
                <w:szCs w:val="20"/>
                <w:color w:val="auto"/>
              </w:rPr>
            </w:pPr>
            <w:r>
              <w:rPr>
                <w:rFonts w:ascii="Arial" w:cs="Arial" w:eastAsia="Arial" w:hAnsi="Arial"/>
                <w:sz w:val="14"/>
                <w:szCs w:val="14"/>
                <w:color w:val="auto"/>
              </w:rPr>
              <w:t>$383,209</w:t>
            </w:r>
          </w:p>
        </w:tc>
      </w:tr>
      <w:tr>
        <w:trPr>
          <w:trHeight w:val="303"/>
        </w:trPr>
        <w:tc>
          <w:tcPr>
            <w:tcW w:w="2060" w:type="dxa"/>
            <w:vAlign w:val="bottom"/>
            <w:tcBorders>
              <w:bottom w:val="single" w:sz="8" w:color="E9F0F3"/>
            </w:tcBorders>
            <w:shd w:val="clear" w:color="auto" w:fill="E9F0F3"/>
          </w:tcPr>
          <w:p>
            <w:pPr>
              <w:spacing w:after="0"/>
              <w:rPr>
                <w:sz w:val="24"/>
                <w:szCs w:val="24"/>
                <w:color w:val="auto"/>
              </w:rPr>
            </w:pPr>
          </w:p>
        </w:tc>
        <w:tc>
          <w:tcPr>
            <w:tcW w:w="148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Strategic Modifier</w:t>
            </w:r>
          </w:p>
        </w:tc>
        <w:tc>
          <w:tcPr>
            <w:tcW w:w="140" w:type="dxa"/>
            <w:vAlign w:val="bottom"/>
            <w:tcBorders>
              <w:bottom w:val="single" w:sz="8" w:color="E9F0F3"/>
            </w:tcBorders>
            <w:shd w:val="clear" w:color="auto" w:fill="E9F0F3"/>
          </w:tcPr>
          <w:p>
            <w:pPr>
              <w:spacing w:after="0"/>
              <w:rPr>
                <w:sz w:val="24"/>
                <w:szCs w:val="24"/>
                <w:color w:val="auto"/>
              </w:rPr>
            </w:pPr>
          </w:p>
        </w:tc>
        <w:tc>
          <w:tcPr>
            <w:tcW w:w="1200" w:type="dxa"/>
            <w:vAlign w:val="bottom"/>
            <w:tcBorders>
              <w:bottom w:val="single" w:sz="8" w:color="E9F0F3"/>
            </w:tcBorders>
            <w:gridSpan w:val="2"/>
            <w:shd w:val="clear" w:color="auto" w:fill="E9F0F3"/>
          </w:tcPr>
          <w:p>
            <w:pPr>
              <w:jc w:val="right"/>
              <w:ind w:right="60"/>
              <w:spacing w:after="0"/>
              <w:rPr>
                <w:sz w:val="20"/>
                <w:szCs w:val="20"/>
                <w:color w:val="auto"/>
              </w:rPr>
            </w:pPr>
            <w:r>
              <w:rPr>
                <w:rFonts w:ascii="Arial" w:cs="Arial" w:eastAsia="Arial" w:hAnsi="Arial"/>
                <w:sz w:val="14"/>
                <w:szCs w:val="14"/>
                <w:color w:val="auto"/>
              </w:rPr>
              <w:t>N/A</w:t>
            </w:r>
          </w:p>
        </w:tc>
        <w:tc>
          <w:tcPr>
            <w:tcW w:w="280" w:type="dxa"/>
            <w:vAlign w:val="bottom"/>
            <w:tcBorders>
              <w:bottom w:val="single" w:sz="8" w:color="E9F0F3"/>
            </w:tcBorders>
            <w:shd w:val="clear" w:color="auto" w:fill="E9F0F3"/>
          </w:tcPr>
          <w:p>
            <w:pPr>
              <w:spacing w:after="0"/>
              <w:rPr>
                <w:sz w:val="24"/>
                <w:szCs w:val="24"/>
                <w:color w:val="auto"/>
              </w:rPr>
            </w:pPr>
          </w:p>
        </w:tc>
        <w:tc>
          <w:tcPr>
            <w:tcW w:w="1200" w:type="dxa"/>
            <w:vAlign w:val="bottom"/>
            <w:tcBorders>
              <w:bottom w:val="single" w:sz="8" w:color="E9F0F3"/>
            </w:tcBorders>
            <w:shd w:val="clear" w:color="auto" w:fill="E9F0F3"/>
          </w:tcPr>
          <w:p>
            <w:pPr>
              <w:spacing w:after="0"/>
              <w:rPr>
                <w:sz w:val="24"/>
                <w:szCs w:val="24"/>
                <w:color w:val="auto"/>
              </w:rPr>
            </w:pPr>
          </w:p>
        </w:tc>
        <w:tc>
          <w:tcPr>
            <w:tcW w:w="320" w:type="dxa"/>
            <w:vAlign w:val="bottom"/>
            <w:tcBorders>
              <w:bottom w:val="single" w:sz="8" w:color="E9F0F3"/>
            </w:tcBorders>
            <w:shd w:val="clear" w:color="auto" w:fill="E9F0F3"/>
          </w:tcPr>
          <w:p>
            <w:pPr>
              <w:spacing w:after="0"/>
              <w:rPr>
                <w:sz w:val="24"/>
                <w:szCs w:val="24"/>
                <w:color w:val="auto"/>
              </w:rPr>
            </w:pPr>
          </w:p>
        </w:tc>
        <w:tc>
          <w:tcPr>
            <w:tcW w:w="960" w:type="dxa"/>
            <w:vAlign w:val="bottom"/>
            <w:tcBorders>
              <w:bottom w:val="single" w:sz="8" w:color="E2EAEF"/>
            </w:tcBorders>
            <w:shd w:val="clear" w:color="auto" w:fill="E2EAEF"/>
          </w:tcPr>
          <w:p>
            <w:pPr>
              <w:spacing w:after="0"/>
              <w:rPr>
                <w:sz w:val="24"/>
                <w:szCs w:val="24"/>
                <w:color w:val="auto"/>
              </w:rPr>
            </w:pPr>
          </w:p>
        </w:tc>
        <w:tc>
          <w:tcPr>
            <w:tcW w:w="320" w:type="dxa"/>
            <w:vAlign w:val="bottom"/>
            <w:tcBorders>
              <w:bottom w:val="single" w:sz="8" w:color="E2EAEF"/>
            </w:tcBorders>
            <w:shd w:val="clear" w:color="auto" w:fill="E2EAEF"/>
          </w:tcPr>
          <w:p>
            <w:pPr>
              <w:spacing w:after="0"/>
              <w:rPr>
                <w:sz w:val="24"/>
                <w:szCs w:val="24"/>
                <w:color w:val="auto"/>
              </w:rPr>
            </w:pPr>
          </w:p>
        </w:tc>
        <w:tc>
          <w:tcPr>
            <w:tcW w:w="1340" w:type="dxa"/>
            <w:vAlign w:val="bottom"/>
            <w:tcBorders>
              <w:bottom w:val="single" w:sz="8" w:color="E2EAEF"/>
            </w:tcBorders>
            <w:shd w:val="clear" w:color="auto" w:fill="E2EAEF"/>
          </w:tcPr>
          <w:p>
            <w:pPr>
              <w:spacing w:after="0"/>
              <w:rPr>
                <w:sz w:val="24"/>
                <w:szCs w:val="24"/>
                <w:color w:val="auto"/>
              </w:rPr>
            </w:pPr>
          </w:p>
        </w:tc>
        <w:tc>
          <w:tcPr>
            <w:tcW w:w="240" w:type="dxa"/>
            <w:vAlign w:val="bottom"/>
            <w:tcBorders>
              <w:bottom w:val="single" w:sz="8" w:color="E9F0F3"/>
            </w:tcBorders>
            <w:shd w:val="clear" w:color="auto" w:fill="E9F0F3"/>
          </w:tcPr>
          <w:p>
            <w:pPr>
              <w:spacing w:after="0"/>
              <w:rPr>
                <w:sz w:val="24"/>
                <w:szCs w:val="24"/>
                <w:color w:val="auto"/>
              </w:rPr>
            </w:pPr>
          </w:p>
        </w:tc>
        <w:tc>
          <w:tcPr>
            <w:tcW w:w="1400" w:type="dxa"/>
            <w:vAlign w:val="bottom"/>
            <w:tcBorders>
              <w:bottom w:val="single" w:sz="8" w:color="E9F0F3"/>
            </w:tcBorders>
            <w:shd w:val="clear" w:color="auto" w:fill="E9F0F3"/>
          </w:tcPr>
          <w:p>
            <w:pPr>
              <w:jc w:val="right"/>
              <w:spacing w:after="0"/>
              <w:rPr>
                <w:sz w:val="20"/>
                <w:szCs w:val="20"/>
                <w:color w:val="auto"/>
              </w:rPr>
            </w:pPr>
            <w:r>
              <w:rPr>
                <w:rFonts w:ascii="Arial" w:cs="Arial" w:eastAsia="Arial" w:hAnsi="Arial"/>
                <w:sz w:val="14"/>
                <w:szCs w:val="14"/>
                <w:color w:val="auto"/>
              </w:rPr>
              <w:t>$200,000</w:t>
            </w:r>
          </w:p>
        </w:tc>
      </w:tr>
      <w:tr>
        <w:trPr>
          <w:trHeight w:val="207"/>
        </w:trPr>
        <w:tc>
          <w:tcPr>
            <w:tcW w:w="2060" w:type="dxa"/>
            <w:vAlign w:val="bottom"/>
            <w:tcBorders>
              <w:top w:val="single" w:sz="8" w:color="E9F0F3"/>
              <w:bottom w:val="single" w:sz="8" w:color="E9F0F3"/>
            </w:tcBorders>
            <w:shd w:val="clear" w:color="auto" w:fill="E9F0F3"/>
          </w:tcPr>
          <w:p>
            <w:pPr>
              <w:spacing w:after="0"/>
              <w:rPr>
                <w:sz w:val="18"/>
                <w:szCs w:val="18"/>
                <w:color w:val="auto"/>
              </w:rPr>
            </w:pPr>
          </w:p>
        </w:tc>
        <w:tc>
          <w:tcPr>
            <w:tcW w:w="1480" w:type="dxa"/>
            <w:vAlign w:val="bottom"/>
            <w:tcBorders>
              <w:top w:val="single" w:sz="8" w:color="E9F0F3"/>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E9F0F3"/>
              <w:bottom w:val="single" w:sz="8" w:color="E9F0F3"/>
            </w:tcBorders>
            <w:shd w:val="clear" w:color="auto" w:fill="E9F0F3"/>
          </w:tcPr>
          <w:p>
            <w:pPr>
              <w:spacing w:after="0"/>
              <w:rPr>
                <w:sz w:val="18"/>
                <w:szCs w:val="18"/>
                <w:color w:val="auto"/>
              </w:rPr>
            </w:pPr>
          </w:p>
        </w:tc>
        <w:tc>
          <w:tcPr>
            <w:tcW w:w="1140" w:type="dxa"/>
            <w:vAlign w:val="bottom"/>
            <w:tcBorders>
              <w:top w:val="single" w:sz="8" w:color="auto"/>
              <w:bottom w:val="single" w:sz="8" w:color="E9F0F3"/>
            </w:tcBorders>
            <w:shd w:val="clear" w:color="auto" w:fill="E9F0F3"/>
          </w:tcPr>
          <w:p>
            <w:pPr>
              <w:jc w:val="right"/>
              <w:spacing w:after="0"/>
              <w:rPr>
                <w:sz w:val="20"/>
                <w:szCs w:val="20"/>
                <w:color w:val="auto"/>
              </w:rPr>
            </w:pPr>
            <w:r>
              <w:rPr>
                <w:rFonts w:ascii="Arial" w:cs="Arial" w:eastAsia="Arial" w:hAnsi="Arial"/>
                <w:sz w:val="14"/>
                <w:szCs w:val="14"/>
                <w:color w:val="auto"/>
              </w:rPr>
              <w:t>$825,000</w:t>
            </w:r>
          </w:p>
        </w:tc>
        <w:tc>
          <w:tcPr>
            <w:tcW w:w="60" w:type="dxa"/>
            <w:vAlign w:val="bottom"/>
            <w:tcBorders>
              <w:top w:val="single" w:sz="8" w:color="E9F0F3"/>
              <w:bottom w:val="single" w:sz="8" w:color="E9F0F3"/>
            </w:tcBorders>
            <w:shd w:val="clear" w:color="auto" w:fill="E9F0F3"/>
          </w:tcPr>
          <w:p>
            <w:pPr>
              <w:spacing w:after="0"/>
              <w:rPr>
                <w:sz w:val="18"/>
                <w:szCs w:val="18"/>
                <w:color w:val="auto"/>
              </w:rPr>
            </w:pPr>
          </w:p>
        </w:tc>
        <w:tc>
          <w:tcPr>
            <w:tcW w:w="280" w:type="dxa"/>
            <w:vAlign w:val="bottom"/>
            <w:tcBorders>
              <w:top w:val="single" w:sz="8" w:color="E9F0F3"/>
              <w:bottom w:val="single" w:sz="8" w:color="E9F0F3"/>
            </w:tcBorders>
            <w:shd w:val="clear" w:color="auto" w:fill="E9F0F3"/>
          </w:tcPr>
          <w:p>
            <w:pPr>
              <w:spacing w:after="0"/>
              <w:rPr>
                <w:sz w:val="18"/>
                <w:szCs w:val="18"/>
                <w:color w:val="auto"/>
              </w:rPr>
            </w:pPr>
          </w:p>
        </w:tc>
        <w:tc>
          <w:tcPr>
            <w:tcW w:w="1200" w:type="dxa"/>
            <w:vAlign w:val="bottom"/>
            <w:tcBorders>
              <w:top w:val="single" w:sz="8" w:color="E9F0F3"/>
              <w:bottom w:val="single" w:sz="8" w:color="E9F0F3"/>
            </w:tcBorders>
            <w:shd w:val="clear" w:color="auto" w:fill="E9F0F3"/>
          </w:tcPr>
          <w:p>
            <w:pPr>
              <w:spacing w:after="0"/>
              <w:rPr>
                <w:sz w:val="18"/>
                <w:szCs w:val="18"/>
                <w:color w:val="auto"/>
              </w:rPr>
            </w:pPr>
          </w:p>
        </w:tc>
        <w:tc>
          <w:tcPr>
            <w:tcW w:w="320" w:type="dxa"/>
            <w:vAlign w:val="bottom"/>
            <w:tcBorders>
              <w:top w:val="single" w:sz="8" w:color="E9F0F3"/>
              <w:bottom w:val="single" w:sz="8" w:color="E9F0F3"/>
            </w:tcBorders>
            <w:shd w:val="clear" w:color="auto" w:fill="E9F0F3"/>
          </w:tcPr>
          <w:p>
            <w:pPr>
              <w:spacing w:after="0"/>
              <w:rPr>
                <w:sz w:val="18"/>
                <w:szCs w:val="18"/>
                <w:color w:val="auto"/>
              </w:rPr>
            </w:pPr>
          </w:p>
        </w:tc>
        <w:tc>
          <w:tcPr>
            <w:tcW w:w="960" w:type="dxa"/>
            <w:vAlign w:val="bottom"/>
            <w:tcBorders>
              <w:top w:val="single" w:sz="8" w:color="E2EAEF"/>
              <w:bottom w:val="single" w:sz="8" w:color="E2EAEF"/>
            </w:tcBorders>
            <w:shd w:val="clear" w:color="auto" w:fill="E2EAEF"/>
          </w:tcPr>
          <w:p>
            <w:pPr>
              <w:spacing w:after="0"/>
              <w:rPr>
                <w:sz w:val="18"/>
                <w:szCs w:val="18"/>
                <w:color w:val="auto"/>
              </w:rPr>
            </w:pPr>
          </w:p>
        </w:tc>
        <w:tc>
          <w:tcPr>
            <w:tcW w:w="320" w:type="dxa"/>
            <w:vAlign w:val="bottom"/>
            <w:tcBorders>
              <w:top w:val="single" w:sz="8" w:color="E2EAEF"/>
              <w:bottom w:val="single" w:sz="8" w:color="E2EAEF"/>
            </w:tcBorders>
            <w:shd w:val="clear" w:color="auto" w:fill="E2EAEF"/>
          </w:tcPr>
          <w:p>
            <w:pPr>
              <w:spacing w:after="0"/>
              <w:rPr>
                <w:sz w:val="18"/>
                <w:szCs w:val="18"/>
                <w:color w:val="auto"/>
              </w:rPr>
            </w:pPr>
          </w:p>
        </w:tc>
        <w:tc>
          <w:tcPr>
            <w:tcW w:w="1340" w:type="dxa"/>
            <w:vAlign w:val="bottom"/>
            <w:tcBorders>
              <w:top w:val="single" w:sz="8" w:color="E2EAEF"/>
              <w:bottom w:val="single" w:sz="8" w:color="E2EAEF"/>
            </w:tcBorders>
            <w:shd w:val="clear" w:color="auto" w:fill="E2EAEF"/>
          </w:tcPr>
          <w:p>
            <w:pPr>
              <w:spacing w:after="0"/>
              <w:rPr>
                <w:sz w:val="18"/>
                <w:szCs w:val="18"/>
                <w:color w:val="auto"/>
              </w:rPr>
            </w:pPr>
          </w:p>
        </w:tc>
        <w:tc>
          <w:tcPr>
            <w:tcW w:w="240" w:type="dxa"/>
            <w:vAlign w:val="bottom"/>
            <w:tcBorders>
              <w:top w:val="single" w:sz="8" w:color="E9F0F3"/>
              <w:bottom w:val="single" w:sz="8" w:color="E9F0F3"/>
            </w:tcBorders>
            <w:shd w:val="clear" w:color="auto" w:fill="E9F0F3"/>
          </w:tcPr>
          <w:p>
            <w:pPr>
              <w:spacing w:after="0"/>
              <w:rPr>
                <w:sz w:val="18"/>
                <w:szCs w:val="18"/>
                <w:color w:val="auto"/>
              </w:rPr>
            </w:pPr>
          </w:p>
        </w:tc>
        <w:tc>
          <w:tcPr>
            <w:tcW w:w="1400" w:type="dxa"/>
            <w:vAlign w:val="bottom"/>
            <w:tcBorders>
              <w:top w:val="single" w:sz="8" w:color="auto"/>
              <w:bottom w:val="single" w:sz="8" w:color="E9F0F3"/>
            </w:tcBorders>
            <w:shd w:val="clear" w:color="auto" w:fill="E9F0F3"/>
          </w:tcPr>
          <w:p>
            <w:pPr>
              <w:jc w:val="right"/>
              <w:spacing w:after="0"/>
              <w:rPr>
                <w:sz w:val="20"/>
                <w:szCs w:val="20"/>
                <w:color w:val="auto"/>
              </w:rPr>
            </w:pPr>
            <w:r>
              <w:rPr>
                <w:rFonts w:ascii="Arial" w:cs="Arial" w:eastAsia="Arial" w:hAnsi="Arial"/>
                <w:sz w:val="14"/>
                <w:szCs w:val="14"/>
                <w:color w:val="auto"/>
              </w:rPr>
              <w:t>$740,589</w:t>
            </w:r>
          </w:p>
        </w:tc>
      </w:tr>
      <w:tr>
        <w:trPr>
          <w:trHeight w:val="236"/>
        </w:trPr>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Eva Serrano</w:t>
            </w:r>
            <w:r>
              <w:rPr>
                <w:rFonts w:ascii="Arial" w:cs="Arial" w:eastAsia="Arial" w:hAnsi="Arial"/>
                <w:sz w:val="16"/>
                <w:szCs w:val="16"/>
                <w:b w:val="1"/>
                <w:bCs w:val="1"/>
                <w:color w:val="auto"/>
                <w:vertAlign w:val="superscript"/>
              </w:rPr>
              <w:t>2</w:t>
            </w:r>
          </w:p>
        </w:tc>
        <w:tc>
          <w:tcPr>
            <w:tcW w:w="1480" w:type="dxa"/>
            <w:vAlign w:val="bottom"/>
          </w:tcPr>
          <w:p>
            <w:pPr>
              <w:ind w:left="60"/>
              <w:spacing w:after="0"/>
              <w:rPr>
                <w:sz w:val="20"/>
                <w:szCs w:val="20"/>
                <w:color w:val="auto"/>
              </w:rPr>
            </w:pPr>
            <w:r>
              <w:rPr>
                <w:rFonts w:ascii="Arial" w:cs="Arial" w:eastAsia="Arial" w:hAnsi="Arial"/>
                <w:sz w:val="14"/>
                <w:szCs w:val="14"/>
                <w:color w:val="auto"/>
              </w:rPr>
              <w:t>Calvin Klein Global</w:t>
            </w:r>
          </w:p>
        </w:tc>
        <w:tc>
          <w:tcPr>
            <w:tcW w:w="1340" w:type="dxa"/>
            <w:vAlign w:val="bottom"/>
            <w:gridSpan w:val="3"/>
          </w:tcPr>
          <w:p>
            <w:pPr>
              <w:jc w:val="right"/>
              <w:ind w:right="60"/>
              <w:spacing w:after="0"/>
              <w:rPr>
                <w:sz w:val="20"/>
                <w:szCs w:val="20"/>
                <w:color w:val="auto"/>
              </w:rPr>
            </w:pPr>
            <w:r>
              <w:rPr>
                <w:rFonts w:ascii="Arial" w:cs="Arial" w:eastAsia="Arial" w:hAnsi="Arial"/>
                <w:sz w:val="14"/>
                <w:szCs w:val="14"/>
                <w:color w:val="auto"/>
              </w:rPr>
              <w:t>$775,275</w:t>
            </w:r>
          </w:p>
        </w:tc>
        <w:tc>
          <w:tcPr>
            <w:tcW w:w="280" w:type="dxa"/>
            <w:vAlign w:val="bottom"/>
          </w:tcPr>
          <w:p>
            <w:pPr>
              <w:ind w:left="80"/>
              <w:spacing w:after="0"/>
              <w:rPr>
                <w:sz w:val="20"/>
                <w:szCs w:val="20"/>
                <w:color w:val="auto"/>
              </w:rPr>
            </w:pPr>
            <w:r>
              <w:rPr>
                <w:rFonts w:ascii="Arial" w:cs="Arial" w:eastAsia="Arial" w:hAnsi="Arial"/>
                <w:sz w:val="14"/>
                <w:szCs w:val="14"/>
                <w:color w:val="auto"/>
              </w:rPr>
              <w:t>x</w:t>
            </w:r>
          </w:p>
        </w:tc>
        <w:tc>
          <w:tcPr>
            <w:tcW w:w="1200" w:type="dxa"/>
            <w:vAlign w:val="bottom"/>
          </w:tcPr>
          <w:p>
            <w:pPr>
              <w:jc w:val="center"/>
              <w:spacing w:after="0"/>
              <w:rPr>
                <w:sz w:val="20"/>
                <w:szCs w:val="20"/>
                <w:color w:val="auto"/>
              </w:rPr>
            </w:pPr>
            <w:r>
              <w:rPr>
                <w:rFonts w:ascii="Arial" w:cs="Arial" w:eastAsia="Arial" w:hAnsi="Arial"/>
                <w:sz w:val="14"/>
                <w:szCs w:val="14"/>
                <w:color w:val="auto"/>
              </w:rPr>
              <w:t>100%</w:t>
            </w:r>
          </w:p>
        </w:tc>
        <w:tc>
          <w:tcPr>
            <w:tcW w:w="320" w:type="dxa"/>
            <w:vAlign w:val="bottom"/>
          </w:tcPr>
          <w:p>
            <w:pPr>
              <w:ind w:left="120"/>
              <w:spacing w:after="0"/>
              <w:rPr>
                <w:sz w:val="20"/>
                <w:szCs w:val="20"/>
                <w:color w:val="auto"/>
              </w:rPr>
            </w:pPr>
            <w:r>
              <w:rPr>
                <w:rFonts w:ascii="Arial" w:cs="Arial" w:eastAsia="Arial" w:hAnsi="Arial"/>
                <w:sz w:val="14"/>
                <w:szCs w:val="14"/>
                <w:color w:val="auto"/>
              </w:rPr>
              <w:t>x</w:t>
            </w:r>
          </w:p>
        </w:tc>
        <w:tc>
          <w:tcPr>
            <w:tcW w:w="960" w:type="dxa"/>
            <w:vAlign w:val="bottom"/>
          </w:tcPr>
          <w:p>
            <w:pPr>
              <w:jc w:val="center"/>
              <w:ind w:left="9"/>
              <w:spacing w:after="0"/>
              <w:rPr>
                <w:sz w:val="20"/>
                <w:szCs w:val="20"/>
                <w:color w:val="auto"/>
              </w:rPr>
            </w:pPr>
            <w:r>
              <w:rPr>
                <w:rFonts w:ascii="Arial" w:cs="Arial" w:eastAsia="Arial" w:hAnsi="Arial"/>
                <w:sz w:val="14"/>
                <w:szCs w:val="14"/>
                <w:color w:val="auto"/>
              </w:rPr>
              <w:t>22.16%</w:t>
            </w:r>
          </w:p>
        </w:tc>
        <w:tc>
          <w:tcPr>
            <w:tcW w:w="320" w:type="dxa"/>
            <w:vAlign w:val="bottom"/>
          </w:tcPr>
          <w:p>
            <w:pPr>
              <w:jc w:val="center"/>
              <w:ind w:left="129"/>
              <w:spacing w:after="0"/>
              <w:rPr>
                <w:sz w:val="20"/>
                <w:szCs w:val="20"/>
                <w:color w:val="auto"/>
              </w:rPr>
            </w:pPr>
            <w:r>
              <w:rPr>
                <w:rFonts w:ascii="Arial" w:cs="Arial" w:eastAsia="Arial" w:hAnsi="Arial"/>
                <w:sz w:val="14"/>
                <w:szCs w:val="14"/>
                <w:color w:val="auto"/>
                <w:w w:val="97"/>
              </w:rPr>
              <w:t>+</w:t>
            </w:r>
          </w:p>
        </w:tc>
        <w:tc>
          <w:tcPr>
            <w:tcW w:w="1340" w:type="dxa"/>
            <w:vAlign w:val="bottom"/>
          </w:tcPr>
          <w:p>
            <w:pPr>
              <w:jc w:val="center"/>
              <w:ind w:left="9"/>
              <w:spacing w:after="0"/>
              <w:rPr>
                <w:sz w:val="20"/>
                <w:szCs w:val="20"/>
                <w:color w:val="auto"/>
              </w:rPr>
            </w:pPr>
            <w:r>
              <w:rPr>
                <w:rFonts w:ascii="Arial" w:cs="Arial" w:eastAsia="Arial" w:hAnsi="Arial"/>
                <w:sz w:val="14"/>
                <w:szCs w:val="14"/>
                <w:color w:val="auto"/>
                <w:w w:val="96"/>
              </w:rPr>
              <w:t>40.46%</w:t>
            </w:r>
          </w:p>
        </w:tc>
        <w:tc>
          <w:tcPr>
            <w:tcW w:w="2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$485,485</w:t>
            </w:r>
          </w:p>
        </w:tc>
      </w:tr>
    </w:tbl>
    <w:p>
      <w:pPr>
        <w:spacing w:after="0" w:line="157" w:lineRule="exact"/>
        <w:rPr>
          <w:sz w:val="20"/>
          <w:szCs w:val="20"/>
          <w:color w:val="auto"/>
        </w:rPr>
      </w:pPr>
    </w:p>
    <w:p>
      <w:pPr>
        <w:ind w:left="160" w:right="60" w:hanging="149"/>
        <w:spacing w:after="0" w:line="257" w:lineRule="auto"/>
        <w:tabs>
          <w:tab w:leader="none" w:pos="167" w:val="left"/>
        </w:tabs>
        <w:numPr>
          <w:ilvl w:val="0"/>
          <w:numId w:val="81"/>
        </w:numPr>
        <w:rPr>
          <w:rFonts w:ascii="Arial" w:cs="Arial" w:eastAsia="Arial" w:hAnsi="Arial"/>
          <w:sz w:val="12"/>
          <w:szCs w:val="12"/>
          <w:color w:val="auto"/>
        </w:rPr>
      </w:pPr>
      <w:r>
        <w:rPr>
          <w:rFonts w:ascii="Arial" w:cs="Arial" w:eastAsia="Arial" w:hAnsi="Arial"/>
          <w:sz w:val="12"/>
          <w:szCs w:val="12"/>
          <w:color w:val="auto"/>
        </w:rPr>
        <w:t>Mr. Savman was appointed the Global Brand President, Calvin Klein effective May 8, 2025. He was the Global Head of Operations and Chief Supply Chain Officer at the time of the appointment and he served in both roles until November 3, 2025. when his successor in the Operations and Supply Chain role commenced her employment. The actual payouts and base salary amounts are prorated based on the number of days during the period of February 3, 2025 to May 7, 2025 for the Global Head of Operations and Chief Supply Chain Officer role and during the period from May 8, 2025 to February 1, 2026 for the Global Brand President, Calvin Klein role. In addition, Mr. Savman received a $200,000 upward adjustment of his bonus using the strategic modifier component of the annual base salary award in recognition of his outstanding performance while simultaneously executing the two leadership roles for a significant portion of 2025.</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3"/>
          <w:szCs w:val="13"/>
          <w:color w:val="auto"/>
        </w:rPr>
        <w:t>2  Base salary and payout amount are prorated based on actual days of service. Ms. Serrano was separated from the company on December 31, 2025.</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6D98AD"/>
        </w:rPr>
        <w:t>LTI Awards — RSUs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Objective</w:t>
      </w:r>
    </w:p>
    <w:p>
      <w:pPr>
        <w:spacing w:after="0" w:line="39" w:lineRule="exact"/>
        <w:rPr>
          <w:sz w:val="20"/>
          <w:szCs w:val="20"/>
          <w:color w:val="auto"/>
        </w:rPr>
      </w:pPr>
    </w:p>
    <w:p>
      <w:pPr>
        <w:ind w:left="20" w:right="120"/>
        <w:spacing w:after="0" w:line="282" w:lineRule="auto"/>
        <w:rPr>
          <w:sz w:val="20"/>
          <w:szCs w:val="20"/>
          <w:color w:val="auto"/>
        </w:rPr>
      </w:pPr>
      <w:r>
        <w:rPr>
          <w:rFonts w:ascii="Arial" w:cs="Arial" w:eastAsia="Arial" w:hAnsi="Arial"/>
          <w:sz w:val="14"/>
          <w:szCs w:val="14"/>
          <w:color w:val="auto"/>
        </w:rPr>
        <w:t>Annual grants of RSUs under our Stock Incentive Plan align the NEOs’ interests with those of our stockholders. The value of these awards vary with the price of our common stock.</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Considerations</w:t>
      </w:r>
    </w:p>
    <w:p>
      <w:pPr>
        <w:spacing w:after="0" w:line="39" w:lineRule="exact"/>
        <w:rPr>
          <w:sz w:val="20"/>
          <w:szCs w:val="20"/>
          <w:color w:val="auto"/>
        </w:rPr>
      </w:pPr>
    </w:p>
    <w:p>
      <w:pPr>
        <w:ind w:left="20" w:right="320"/>
        <w:spacing w:after="0" w:line="282" w:lineRule="auto"/>
        <w:rPr>
          <w:sz w:val="20"/>
          <w:szCs w:val="20"/>
          <w:color w:val="auto"/>
        </w:rPr>
      </w:pPr>
      <w:r>
        <w:rPr>
          <w:rFonts w:ascii="Arial" w:cs="Arial" w:eastAsia="Arial" w:hAnsi="Arial"/>
          <w:sz w:val="14"/>
          <w:szCs w:val="14"/>
          <w:color w:val="auto"/>
        </w:rPr>
        <w:t>We grant RSUs because they align with stockholders’ interests and promote retention of our NEOs. Stock price performance has the same effect on holders of RSUs as it does on holders of our common stock.</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2025 decisions</w:t>
      </w:r>
    </w:p>
    <w:p>
      <w:pPr>
        <w:spacing w:after="0" w:line="39" w:lineRule="exact"/>
        <w:rPr>
          <w:sz w:val="20"/>
          <w:szCs w:val="20"/>
          <w:color w:val="auto"/>
        </w:rPr>
      </w:pPr>
    </w:p>
    <w:p>
      <w:pPr>
        <w:ind w:left="20" w:right="100"/>
        <w:spacing w:after="0" w:line="282" w:lineRule="auto"/>
        <w:rPr>
          <w:sz w:val="20"/>
          <w:szCs w:val="20"/>
          <w:color w:val="auto"/>
        </w:rPr>
      </w:pPr>
      <w:r>
        <w:rPr>
          <w:rFonts w:ascii="Arial" w:cs="Arial" w:eastAsia="Arial" w:hAnsi="Arial"/>
          <w:sz w:val="14"/>
          <w:szCs w:val="14"/>
          <w:color w:val="auto"/>
        </w:rPr>
        <w:t>In 2025 the Committee determined that RSUs and PSUs, which are discussed below, are more economically efficient vehicles for our LTI awards than stock options. As such, we granted additional RSUs in 2025 in lieu of stock options to align the full NEO team under the same LTI mix and currently intend to continue this practice.</w:t>
      </w:r>
    </w:p>
    <w:p>
      <w:pPr>
        <w:spacing w:after="0" w:line="57" w:lineRule="exact"/>
        <w:rPr>
          <w:sz w:val="20"/>
          <w:szCs w:val="20"/>
          <w:color w:val="auto"/>
        </w:rPr>
      </w:pPr>
    </w:p>
    <w:p>
      <w:pPr>
        <w:ind w:left="20" w:right="120"/>
        <w:spacing w:after="0" w:line="258" w:lineRule="auto"/>
        <w:rPr>
          <w:sz w:val="20"/>
          <w:szCs w:val="20"/>
          <w:color w:val="auto"/>
        </w:rPr>
      </w:pPr>
      <w:r>
        <w:rPr>
          <w:rFonts w:ascii="Arial" w:cs="Arial" w:eastAsia="Arial" w:hAnsi="Arial"/>
          <w:sz w:val="14"/>
          <w:szCs w:val="14"/>
          <w:color w:val="auto"/>
        </w:rPr>
        <w:t>We made annual grants of RSUs to all of our NEOs in April. These awards will vest at a rate of 25% on each of the first four anniversaries of the grant data, provided the recipient remains employed by PVH. Grantees receive shares of our common stock when RSUs vest in a number equal to the number of vested RSUs. We withhold shares with a value on the vesting date at least equal to the associated taxes unless the grantee elects another means of paying the taxes due upon vesting (such as paying cash or delivering owned shares with the necessary value).</w:t>
      </w:r>
    </w:p>
    <w:p>
      <w:pPr>
        <w:spacing w:after="0" w:line="85" w:lineRule="exact"/>
        <w:rPr>
          <w:sz w:val="20"/>
          <w:szCs w:val="20"/>
          <w:color w:val="auto"/>
        </w:rPr>
      </w:pPr>
    </w:p>
    <w:p>
      <w:pPr>
        <w:ind w:left="20" w:right="220"/>
        <w:spacing w:after="0" w:line="282" w:lineRule="auto"/>
        <w:rPr>
          <w:sz w:val="20"/>
          <w:szCs w:val="20"/>
          <w:color w:val="auto"/>
        </w:rPr>
      </w:pPr>
      <w:r>
        <w:rPr>
          <w:rFonts w:ascii="Arial" w:cs="Arial" w:eastAsia="Arial" w:hAnsi="Arial"/>
          <w:sz w:val="14"/>
          <w:szCs w:val="14"/>
          <w:color w:val="auto"/>
        </w:rPr>
        <w:t>In addition to the regular annual grant of RSUs, Ms. Stone received a one-time award of 2,744 RSUs in December 2025 in connection with her appointment to Interim Chief Financial Officer. These RSUs had a grant date value of $200,120. These RSUs vest at a rate of 50% on each of the first two anniversaries of the grant date.</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 xml:space="preserve">50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749CAB"/>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60" w:top="163" w:right="499" w:bottom="1440" w:gutter="0" w:footer="0" w:header="0"/>
        </w:sectPr>
      </w:pPr>
    </w:p>
    <w:bookmarkStart w:id="53" w:name="page54"/>
    <w:bookmarkEnd w:id="53"/>
    <w:p>
      <w:pPr>
        <w:ind w:left="20"/>
        <w:spacing w:after="0"/>
        <w:rPr>
          <w:sz w:val="20"/>
          <w:szCs w:val="20"/>
          <w:color w:val="auto"/>
        </w:rPr>
      </w:pPr>
      <w:r>
        <w:rPr>
          <w:rFonts w:ascii="Arial" w:cs="Arial" w:eastAsia="Arial" w:hAnsi="Arial"/>
          <w:sz w:val="17"/>
          <w:szCs w:val="17"/>
          <w:b w:val="1"/>
          <w:bCs w:val="1"/>
          <w:color w:val="6D98AD"/>
        </w:rPr>
        <w:t>LTI Awards — PSUs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Objective</w:t>
      </w:r>
    </w:p>
    <w:p>
      <w:pPr>
        <w:spacing w:after="0" w:line="39" w:lineRule="exact"/>
        <w:rPr>
          <w:sz w:val="20"/>
          <w:szCs w:val="20"/>
          <w:color w:val="auto"/>
        </w:rPr>
      </w:pPr>
    </w:p>
    <w:p>
      <w:pPr>
        <w:jc w:val="both"/>
        <w:ind w:left="20" w:right="120"/>
        <w:spacing w:after="0" w:line="264" w:lineRule="auto"/>
        <w:rPr>
          <w:sz w:val="20"/>
          <w:szCs w:val="20"/>
          <w:color w:val="auto"/>
        </w:rPr>
      </w:pPr>
      <w:r>
        <w:rPr>
          <w:rFonts w:ascii="Arial" w:cs="Arial" w:eastAsia="Arial" w:hAnsi="Arial"/>
          <w:sz w:val="14"/>
          <w:szCs w:val="14"/>
          <w:color w:val="auto"/>
        </w:rPr>
        <w:t>Annual grants of PSUs under our Stock Incentive Plan provide compensation that is at risk and contingent on the achievement of pre-determined performance goals over an extended period. PSUs align with stockholder interests because their value will increase or decrease in tandem with stock price performance. PSUs have retentive value over the three-year performance cycle given the upside potential if performance goals are met or exceeded.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Considerations</w:t>
      </w:r>
    </w:p>
    <w:p>
      <w:pPr>
        <w:spacing w:after="0" w:line="33" w:lineRule="exact"/>
        <w:rPr>
          <w:sz w:val="20"/>
          <w:szCs w:val="20"/>
          <w:color w:val="auto"/>
        </w:rPr>
      </w:pPr>
    </w:p>
    <w:p>
      <w:pPr>
        <w:ind w:left="20" w:right="40"/>
        <w:spacing w:after="0" w:line="255" w:lineRule="auto"/>
        <w:rPr>
          <w:sz w:val="20"/>
          <w:szCs w:val="20"/>
          <w:color w:val="auto"/>
        </w:rPr>
      </w:pPr>
      <w:r>
        <w:rPr>
          <w:rFonts w:ascii="Arial" w:cs="Arial" w:eastAsia="Arial" w:hAnsi="Arial"/>
          <w:sz w:val="14"/>
          <w:szCs w:val="14"/>
          <w:color w:val="auto"/>
        </w:rPr>
        <w:t>PSU awards granted in 2025 are subject to performance against two equally weighted performance measures. The awards will be earned (or not) based on overall performance against PVH’s three-fiscal year average ROIC and relative TSR against the custom comparator group over a three-year performance cycle from the date of grant. We believe this structure encourages a balanced focus on driving long-term financial performance, with the ultimate goal of creating value for our stockholders. The Compensation Committee regularly reviews the financial metrics and considers alternatives. No changes were made to the measures or their weighting in 2025.</w:t>
      </w:r>
    </w:p>
    <w:p>
      <w:pPr>
        <w:spacing w:after="0" w:line="52" w:lineRule="exact"/>
        <w:rPr>
          <w:sz w:val="20"/>
          <w:szCs w:val="20"/>
          <w:color w:val="auto"/>
        </w:rPr>
      </w:pPr>
    </w:p>
    <w:p>
      <w:pPr>
        <w:ind w:left="20" w:right="60"/>
        <w:spacing w:after="0" w:line="258" w:lineRule="auto"/>
        <w:rPr>
          <w:sz w:val="20"/>
          <w:szCs w:val="20"/>
          <w:color w:val="auto"/>
        </w:rPr>
      </w:pPr>
      <w:r>
        <w:rPr>
          <w:rFonts w:ascii="Arial" w:cs="Arial" w:eastAsia="Arial" w:hAnsi="Arial"/>
          <w:sz w:val="14"/>
          <w:szCs w:val="14"/>
          <w:color w:val="auto"/>
        </w:rPr>
        <w:t>The three-year TSR measure is based on a comparison of PVH performance against a custom, industry-appropriate peer group, including the 39 public companies identified below. Additionally, Express, Inc., Foot Locker, Inc., Guess?, Inc., Hanesbrands Inc., Nordstrom, Inc., and Skechers U.S.A., Inc. were included in the peer group when the 2025 awards were granted but each has since ceased being a public company. As such, their results will be unavailable (and not included) in the performance calculation after completion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694817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60" w:type="dxa"/>
            <w:vAlign w:val="bottom"/>
          </w:tcPr>
          <w:p>
            <w:pPr>
              <w:ind w:left="20"/>
              <w:spacing w:after="0"/>
              <w:rPr>
                <w:sz w:val="20"/>
                <w:szCs w:val="20"/>
                <w:color w:val="auto"/>
              </w:rPr>
            </w:pPr>
            <w:r>
              <w:rPr>
                <w:rFonts w:ascii="Arial" w:cs="Arial" w:eastAsia="Arial" w:hAnsi="Arial"/>
                <w:sz w:val="14"/>
                <w:szCs w:val="14"/>
                <w:color w:val="auto"/>
              </w:rPr>
              <w:t>Abercrombie &amp; Fitch Co.</w:t>
            </w:r>
          </w:p>
        </w:tc>
        <w:tc>
          <w:tcPr>
            <w:tcW w:w="3060" w:type="dxa"/>
            <w:vAlign w:val="bottom"/>
          </w:tcPr>
          <w:p>
            <w:pPr>
              <w:ind w:left="440"/>
              <w:spacing w:after="0"/>
              <w:rPr>
                <w:sz w:val="20"/>
                <w:szCs w:val="20"/>
                <w:color w:val="auto"/>
              </w:rPr>
            </w:pPr>
            <w:r>
              <w:rPr>
                <w:rFonts w:ascii="Arial" w:cs="Arial" w:eastAsia="Arial" w:hAnsi="Arial"/>
                <w:sz w:val="14"/>
                <w:szCs w:val="14"/>
                <w:color w:val="auto"/>
              </w:rPr>
              <w:t>Crocs, Inc.</w:t>
            </w:r>
          </w:p>
        </w:tc>
        <w:tc>
          <w:tcPr>
            <w:tcW w:w="2520" w:type="dxa"/>
            <w:vAlign w:val="bottom"/>
          </w:tcPr>
          <w:p>
            <w:pPr>
              <w:ind w:left="480"/>
              <w:spacing w:after="0"/>
              <w:rPr>
                <w:sz w:val="20"/>
                <w:szCs w:val="20"/>
                <w:color w:val="auto"/>
              </w:rPr>
            </w:pPr>
            <w:r>
              <w:rPr>
                <w:rFonts w:ascii="Arial" w:cs="Arial" w:eastAsia="Arial" w:hAnsi="Arial"/>
                <w:sz w:val="14"/>
                <w:szCs w:val="14"/>
                <w:color w:val="auto"/>
              </w:rPr>
              <w:t>Hugo Boss AG</w:t>
            </w:r>
          </w:p>
        </w:tc>
        <w:tc>
          <w:tcPr>
            <w:tcW w:w="2900" w:type="dxa"/>
            <w:vAlign w:val="bottom"/>
          </w:tcPr>
          <w:p>
            <w:pPr>
              <w:ind w:left="560"/>
              <w:spacing w:after="0"/>
              <w:rPr>
                <w:sz w:val="20"/>
                <w:szCs w:val="20"/>
                <w:color w:val="auto"/>
              </w:rPr>
            </w:pPr>
            <w:r>
              <w:rPr>
                <w:rFonts w:ascii="Arial" w:cs="Arial" w:eastAsia="Arial" w:hAnsi="Arial"/>
                <w:sz w:val="14"/>
                <w:szCs w:val="14"/>
                <w:color w:val="auto"/>
              </w:rPr>
              <w:t>Oxford Industries, Inc.</w:t>
            </w:r>
          </w:p>
        </w:tc>
      </w:tr>
      <w:tr>
        <w:trPr>
          <w:trHeight w:val="165"/>
        </w:trPr>
        <w:tc>
          <w:tcPr>
            <w:tcW w:w="2460" w:type="dxa"/>
            <w:vAlign w:val="bottom"/>
          </w:tcPr>
          <w:p>
            <w:pPr>
              <w:ind w:left="20"/>
              <w:spacing w:after="0"/>
              <w:rPr>
                <w:sz w:val="20"/>
                <w:szCs w:val="20"/>
                <w:color w:val="auto"/>
              </w:rPr>
            </w:pPr>
            <w:r>
              <w:rPr>
                <w:rFonts w:ascii="Arial" w:cs="Arial" w:eastAsia="Arial" w:hAnsi="Arial"/>
                <w:sz w:val="14"/>
                <w:szCs w:val="14"/>
                <w:color w:val="auto"/>
              </w:rPr>
              <w:t>American Eagle Outfitters, Inc.</w:t>
            </w:r>
          </w:p>
        </w:tc>
        <w:tc>
          <w:tcPr>
            <w:tcW w:w="3060" w:type="dxa"/>
            <w:vAlign w:val="bottom"/>
          </w:tcPr>
          <w:p>
            <w:pPr>
              <w:ind w:left="440"/>
              <w:spacing w:after="0"/>
              <w:rPr>
                <w:sz w:val="20"/>
                <w:szCs w:val="20"/>
                <w:color w:val="auto"/>
              </w:rPr>
            </w:pPr>
            <w:r>
              <w:rPr>
                <w:rFonts w:ascii="Arial" w:cs="Arial" w:eastAsia="Arial" w:hAnsi="Arial"/>
                <w:sz w:val="14"/>
                <w:szCs w:val="14"/>
                <w:color w:val="auto"/>
              </w:rPr>
              <w:t>Deckers Outdoor Corporation</w:t>
            </w:r>
          </w:p>
        </w:tc>
        <w:tc>
          <w:tcPr>
            <w:tcW w:w="2520" w:type="dxa"/>
            <w:vAlign w:val="bottom"/>
          </w:tcPr>
          <w:p>
            <w:pPr>
              <w:ind w:left="480"/>
              <w:spacing w:after="0"/>
              <w:rPr>
                <w:sz w:val="20"/>
                <w:szCs w:val="20"/>
                <w:color w:val="auto"/>
              </w:rPr>
            </w:pPr>
            <w:r>
              <w:rPr>
                <w:rFonts w:ascii="Arial" w:cs="Arial" w:eastAsia="Arial" w:hAnsi="Arial"/>
                <w:sz w:val="14"/>
                <w:szCs w:val="14"/>
                <w:color w:val="auto"/>
              </w:rPr>
              <w:t>J.Jill, Inc.</w:t>
            </w:r>
          </w:p>
        </w:tc>
        <w:tc>
          <w:tcPr>
            <w:tcW w:w="2900" w:type="dxa"/>
            <w:vAlign w:val="bottom"/>
          </w:tcPr>
          <w:p>
            <w:pPr>
              <w:ind w:left="560"/>
              <w:spacing w:after="0"/>
              <w:rPr>
                <w:sz w:val="20"/>
                <w:szCs w:val="20"/>
                <w:color w:val="auto"/>
              </w:rPr>
            </w:pPr>
            <w:r>
              <w:rPr>
                <w:rFonts w:ascii="Arial" w:cs="Arial" w:eastAsia="Arial" w:hAnsi="Arial"/>
                <w:sz w:val="14"/>
                <w:szCs w:val="14"/>
                <w:color w:val="auto"/>
              </w:rPr>
              <w:t>Ralph Lauren Corporation</w:t>
            </w:r>
          </w:p>
        </w:tc>
      </w:tr>
      <w:tr>
        <w:trPr>
          <w:trHeight w:val="165"/>
        </w:trPr>
        <w:tc>
          <w:tcPr>
            <w:tcW w:w="2460" w:type="dxa"/>
            <w:vAlign w:val="bottom"/>
          </w:tcPr>
          <w:p>
            <w:pPr>
              <w:ind w:left="20"/>
              <w:spacing w:after="0"/>
              <w:rPr>
                <w:sz w:val="20"/>
                <w:szCs w:val="20"/>
                <w:color w:val="auto"/>
              </w:rPr>
            </w:pPr>
            <w:r>
              <w:rPr>
                <w:rFonts w:ascii="Arial" w:cs="Arial" w:eastAsia="Arial" w:hAnsi="Arial"/>
                <w:sz w:val="14"/>
                <w:szCs w:val="14"/>
                <w:color w:val="auto"/>
              </w:rPr>
              <w:t>The Buckle, Inc.</w:t>
            </w:r>
          </w:p>
        </w:tc>
        <w:tc>
          <w:tcPr>
            <w:tcW w:w="3060" w:type="dxa"/>
            <w:vAlign w:val="bottom"/>
          </w:tcPr>
          <w:p>
            <w:pPr>
              <w:ind w:left="440"/>
              <w:spacing w:after="0"/>
              <w:rPr>
                <w:sz w:val="20"/>
                <w:szCs w:val="20"/>
                <w:color w:val="auto"/>
              </w:rPr>
            </w:pPr>
            <w:r>
              <w:rPr>
                <w:rFonts w:ascii="Arial" w:cs="Arial" w:eastAsia="Arial" w:hAnsi="Arial"/>
                <w:sz w:val="14"/>
                <w:szCs w:val="14"/>
                <w:color w:val="auto"/>
              </w:rPr>
              <w:t>Designer Brands Inc.</w:t>
            </w:r>
          </w:p>
        </w:tc>
        <w:tc>
          <w:tcPr>
            <w:tcW w:w="2520" w:type="dxa"/>
            <w:vAlign w:val="bottom"/>
          </w:tcPr>
          <w:p>
            <w:pPr>
              <w:ind w:left="480"/>
              <w:spacing w:after="0"/>
              <w:rPr>
                <w:sz w:val="20"/>
                <w:szCs w:val="20"/>
                <w:color w:val="auto"/>
              </w:rPr>
            </w:pPr>
            <w:r>
              <w:rPr>
                <w:rFonts w:ascii="Arial" w:cs="Arial" w:eastAsia="Arial" w:hAnsi="Arial"/>
                <w:sz w:val="14"/>
                <w:szCs w:val="14"/>
                <w:color w:val="auto"/>
              </w:rPr>
              <w:t>Kohl’s Corporation</w:t>
            </w:r>
          </w:p>
        </w:tc>
        <w:tc>
          <w:tcPr>
            <w:tcW w:w="2900" w:type="dxa"/>
            <w:vAlign w:val="bottom"/>
          </w:tcPr>
          <w:p>
            <w:pPr>
              <w:ind w:left="560"/>
              <w:spacing w:after="0"/>
              <w:rPr>
                <w:sz w:val="20"/>
                <w:szCs w:val="20"/>
                <w:color w:val="auto"/>
              </w:rPr>
            </w:pPr>
            <w:r>
              <w:rPr>
                <w:rFonts w:ascii="Arial" w:cs="Arial" w:eastAsia="Arial" w:hAnsi="Arial"/>
                <w:sz w:val="14"/>
                <w:szCs w:val="14"/>
                <w:color w:val="auto"/>
              </w:rPr>
              <w:t>Ross Stores, Inc.</w:t>
            </w:r>
          </w:p>
        </w:tc>
      </w:tr>
      <w:tr>
        <w:trPr>
          <w:trHeight w:val="165"/>
        </w:trPr>
        <w:tc>
          <w:tcPr>
            <w:tcW w:w="2460" w:type="dxa"/>
            <w:vAlign w:val="bottom"/>
          </w:tcPr>
          <w:p>
            <w:pPr>
              <w:ind w:left="20"/>
              <w:spacing w:after="0"/>
              <w:rPr>
                <w:sz w:val="20"/>
                <w:szCs w:val="20"/>
                <w:color w:val="auto"/>
              </w:rPr>
            </w:pPr>
            <w:r>
              <w:rPr>
                <w:rFonts w:ascii="Arial" w:cs="Arial" w:eastAsia="Arial" w:hAnsi="Arial"/>
                <w:sz w:val="14"/>
                <w:szCs w:val="14"/>
                <w:color w:val="auto"/>
              </w:rPr>
              <w:t>Burlington Stores, Inc.</w:t>
            </w:r>
          </w:p>
        </w:tc>
        <w:tc>
          <w:tcPr>
            <w:tcW w:w="3060" w:type="dxa"/>
            <w:vAlign w:val="bottom"/>
          </w:tcPr>
          <w:p>
            <w:pPr>
              <w:ind w:left="440"/>
              <w:spacing w:after="0"/>
              <w:rPr>
                <w:sz w:val="20"/>
                <w:szCs w:val="20"/>
                <w:color w:val="auto"/>
              </w:rPr>
            </w:pPr>
            <w:r>
              <w:rPr>
                <w:rFonts w:ascii="Arial" w:cs="Arial" w:eastAsia="Arial" w:hAnsi="Arial"/>
                <w:sz w:val="14"/>
                <w:szCs w:val="14"/>
                <w:color w:val="auto"/>
              </w:rPr>
              <w:t>Dillard’s, Inc.</w:t>
            </w:r>
          </w:p>
        </w:tc>
        <w:tc>
          <w:tcPr>
            <w:tcW w:w="2520" w:type="dxa"/>
            <w:vAlign w:val="bottom"/>
          </w:tcPr>
          <w:p>
            <w:pPr>
              <w:ind w:left="480"/>
              <w:spacing w:after="0"/>
              <w:rPr>
                <w:sz w:val="20"/>
                <w:szCs w:val="20"/>
                <w:color w:val="auto"/>
              </w:rPr>
            </w:pPr>
            <w:r>
              <w:rPr>
                <w:rFonts w:ascii="Arial" w:cs="Arial" w:eastAsia="Arial" w:hAnsi="Arial"/>
                <w:sz w:val="14"/>
                <w:szCs w:val="14"/>
                <w:color w:val="auto"/>
              </w:rPr>
              <w:t>Kontoor Brands, Inc.</w:t>
            </w:r>
          </w:p>
        </w:tc>
        <w:tc>
          <w:tcPr>
            <w:tcW w:w="2900" w:type="dxa"/>
            <w:vAlign w:val="bottom"/>
          </w:tcPr>
          <w:p>
            <w:pPr>
              <w:ind w:left="560"/>
              <w:spacing w:after="0"/>
              <w:rPr>
                <w:sz w:val="20"/>
                <w:szCs w:val="20"/>
                <w:color w:val="auto"/>
              </w:rPr>
            </w:pPr>
            <w:r>
              <w:rPr>
                <w:rFonts w:ascii="Arial" w:cs="Arial" w:eastAsia="Arial" w:hAnsi="Arial"/>
                <w:sz w:val="14"/>
                <w:szCs w:val="14"/>
                <w:color w:val="auto"/>
              </w:rPr>
              <w:t>Steven Madden, Ltd.</w:t>
            </w:r>
          </w:p>
        </w:tc>
      </w:tr>
      <w:tr>
        <w:trPr>
          <w:trHeight w:val="165"/>
        </w:trPr>
        <w:tc>
          <w:tcPr>
            <w:tcW w:w="2460" w:type="dxa"/>
            <w:vAlign w:val="bottom"/>
          </w:tcPr>
          <w:p>
            <w:pPr>
              <w:ind w:left="20"/>
              <w:spacing w:after="0"/>
              <w:rPr>
                <w:sz w:val="20"/>
                <w:szCs w:val="20"/>
                <w:color w:val="auto"/>
              </w:rPr>
            </w:pPr>
            <w:r>
              <w:rPr>
                <w:rFonts w:ascii="Arial" w:cs="Arial" w:eastAsia="Arial" w:hAnsi="Arial"/>
                <w:sz w:val="14"/>
                <w:szCs w:val="14"/>
                <w:color w:val="auto"/>
              </w:rPr>
              <w:t>Caleres, Inc.</w:t>
            </w:r>
          </w:p>
        </w:tc>
        <w:tc>
          <w:tcPr>
            <w:tcW w:w="3060" w:type="dxa"/>
            <w:vAlign w:val="bottom"/>
          </w:tcPr>
          <w:p>
            <w:pPr>
              <w:ind w:left="440"/>
              <w:spacing w:after="0"/>
              <w:rPr>
                <w:sz w:val="20"/>
                <w:szCs w:val="20"/>
                <w:color w:val="auto"/>
              </w:rPr>
            </w:pPr>
            <w:r>
              <w:rPr>
                <w:rFonts w:ascii="Arial" w:cs="Arial" w:eastAsia="Arial" w:hAnsi="Arial"/>
                <w:sz w:val="14"/>
                <w:szCs w:val="14"/>
                <w:color w:val="auto"/>
              </w:rPr>
              <w:t>The Estée Lauder Companies Inc.</w:t>
            </w:r>
          </w:p>
        </w:tc>
        <w:tc>
          <w:tcPr>
            <w:tcW w:w="2520" w:type="dxa"/>
            <w:vAlign w:val="bottom"/>
          </w:tcPr>
          <w:p>
            <w:pPr>
              <w:ind w:left="480"/>
              <w:spacing w:after="0"/>
              <w:rPr>
                <w:sz w:val="20"/>
                <w:szCs w:val="20"/>
                <w:color w:val="auto"/>
              </w:rPr>
            </w:pPr>
            <w:r>
              <w:rPr>
                <w:rFonts w:ascii="Arial" w:cs="Arial" w:eastAsia="Arial" w:hAnsi="Arial"/>
                <w:sz w:val="14"/>
                <w:szCs w:val="14"/>
                <w:color w:val="auto"/>
              </w:rPr>
              <w:t>Levi Strauss &amp; Co.</w:t>
            </w:r>
          </w:p>
        </w:tc>
        <w:tc>
          <w:tcPr>
            <w:tcW w:w="2900" w:type="dxa"/>
            <w:vAlign w:val="bottom"/>
          </w:tcPr>
          <w:p>
            <w:pPr>
              <w:ind w:left="560"/>
              <w:spacing w:after="0"/>
              <w:rPr>
                <w:sz w:val="20"/>
                <w:szCs w:val="20"/>
                <w:color w:val="auto"/>
              </w:rPr>
            </w:pPr>
            <w:r>
              <w:rPr>
                <w:rFonts w:ascii="Arial" w:cs="Arial" w:eastAsia="Arial" w:hAnsi="Arial"/>
                <w:sz w:val="14"/>
                <w:szCs w:val="14"/>
                <w:color w:val="auto"/>
              </w:rPr>
              <w:t>Tapestry, Inc.</w:t>
            </w:r>
          </w:p>
        </w:tc>
      </w:tr>
      <w:tr>
        <w:trPr>
          <w:trHeight w:val="165"/>
        </w:trPr>
        <w:tc>
          <w:tcPr>
            <w:tcW w:w="2460" w:type="dxa"/>
            <w:vAlign w:val="bottom"/>
          </w:tcPr>
          <w:p>
            <w:pPr>
              <w:ind w:left="20"/>
              <w:spacing w:after="0"/>
              <w:rPr>
                <w:sz w:val="20"/>
                <w:szCs w:val="20"/>
                <w:color w:val="auto"/>
              </w:rPr>
            </w:pPr>
            <w:r>
              <w:rPr>
                <w:rFonts w:ascii="Arial" w:cs="Arial" w:eastAsia="Arial" w:hAnsi="Arial"/>
                <w:sz w:val="14"/>
                <w:szCs w:val="14"/>
                <w:color w:val="auto"/>
              </w:rPr>
              <w:t>Canada Goose Holdings Inc.</w:t>
            </w:r>
          </w:p>
        </w:tc>
        <w:tc>
          <w:tcPr>
            <w:tcW w:w="3060" w:type="dxa"/>
            <w:vAlign w:val="bottom"/>
          </w:tcPr>
          <w:p>
            <w:pPr>
              <w:ind w:left="440"/>
              <w:spacing w:after="0"/>
              <w:rPr>
                <w:sz w:val="20"/>
                <w:szCs w:val="20"/>
                <w:color w:val="auto"/>
              </w:rPr>
            </w:pPr>
            <w:r>
              <w:rPr>
                <w:rFonts w:ascii="Arial" w:cs="Arial" w:eastAsia="Arial" w:hAnsi="Arial"/>
                <w:sz w:val="14"/>
                <w:szCs w:val="14"/>
                <w:color w:val="auto"/>
              </w:rPr>
              <w:t>Fossil Group, Inc.</w:t>
            </w:r>
          </w:p>
        </w:tc>
        <w:tc>
          <w:tcPr>
            <w:tcW w:w="2520" w:type="dxa"/>
            <w:vAlign w:val="bottom"/>
          </w:tcPr>
          <w:p>
            <w:pPr>
              <w:ind w:left="480"/>
              <w:spacing w:after="0"/>
              <w:rPr>
                <w:sz w:val="20"/>
                <w:szCs w:val="20"/>
                <w:color w:val="auto"/>
              </w:rPr>
            </w:pPr>
            <w:r>
              <w:rPr>
                <w:rFonts w:ascii="Arial" w:cs="Arial" w:eastAsia="Arial" w:hAnsi="Arial"/>
                <w:sz w:val="14"/>
                <w:szCs w:val="14"/>
                <w:color w:val="auto"/>
              </w:rPr>
              <w:t>Lululemon Athletica Inc.</w:t>
            </w:r>
          </w:p>
        </w:tc>
        <w:tc>
          <w:tcPr>
            <w:tcW w:w="2900" w:type="dxa"/>
            <w:vAlign w:val="bottom"/>
          </w:tcPr>
          <w:p>
            <w:pPr>
              <w:ind w:left="560"/>
              <w:spacing w:after="0"/>
              <w:rPr>
                <w:sz w:val="20"/>
                <w:szCs w:val="20"/>
                <w:color w:val="auto"/>
              </w:rPr>
            </w:pPr>
            <w:r>
              <w:rPr>
                <w:rFonts w:ascii="Arial" w:cs="Arial" w:eastAsia="Arial" w:hAnsi="Arial"/>
                <w:sz w:val="14"/>
                <w:szCs w:val="14"/>
                <w:color w:val="auto"/>
              </w:rPr>
              <w:t>The TJX Companies, Inc.</w:t>
            </w:r>
          </w:p>
        </w:tc>
      </w:tr>
      <w:tr>
        <w:trPr>
          <w:trHeight w:val="165"/>
        </w:trPr>
        <w:tc>
          <w:tcPr>
            <w:tcW w:w="2460" w:type="dxa"/>
            <w:vAlign w:val="bottom"/>
          </w:tcPr>
          <w:p>
            <w:pPr>
              <w:ind w:left="20"/>
              <w:spacing w:after="0"/>
              <w:rPr>
                <w:sz w:val="20"/>
                <w:szCs w:val="20"/>
                <w:color w:val="auto"/>
              </w:rPr>
            </w:pPr>
            <w:r>
              <w:rPr>
                <w:rFonts w:ascii="Arial" w:cs="Arial" w:eastAsia="Arial" w:hAnsi="Arial"/>
                <w:sz w:val="14"/>
                <w:szCs w:val="14"/>
                <w:color w:val="auto"/>
              </w:rPr>
              <w:t>Capri Holdings Limited</w:t>
            </w:r>
          </w:p>
        </w:tc>
        <w:tc>
          <w:tcPr>
            <w:tcW w:w="3060" w:type="dxa"/>
            <w:vAlign w:val="bottom"/>
          </w:tcPr>
          <w:p>
            <w:pPr>
              <w:ind w:left="440"/>
              <w:spacing w:after="0"/>
              <w:rPr>
                <w:sz w:val="20"/>
                <w:szCs w:val="20"/>
                <w:color w:val="auto"/>
              </w:rPr>
            </w:pPr>
            <w:r>
              <w:rPr>
                <w:rFonts w:ascii="Arial" w:cs="Arial" w:eastAsia="Arial" w:hAnsi="Arial"/>
                <w:sz w:val="14"/>
                <w:szCs w:val="14"/>
                <w:color w:val="auto"/>
              </w:rPr>
              <w:t>The Gap, Inc.</w:t>
            </w:r>
          </w:p>
        </w:tc>
        <w:tc>
          <w:tcPr>
            <w:tcW w:w="2520" w:type="dxa"/>
            <w:vAlign w:val="bottom"/>
          </w:tcPr>
          <w:p>
            <w:pPr>
              <w:ind w:left="480"/>
              <w:spacing w:after="0"/>
              <w:rPr>
                <w:sz w:val="20"/>
                <w:szCs w:val="20"/>
                <w:color w:val="auto"/>
              </w:rPr>
            </w:pPr>
            <w:r>
              <w:rPr>
                <w:rFonts w:ascii="Arial" w:cs="Arial" w:eastAsia="Arial" w:hAnsi="Arial"/>
                <w:sz w:val="14"/>
                <w:szCs w:val="14"/>
                <w:color w:val="auto"/>
              </w:rPr>
              <w:t>Macy’s, Inc.</w:t>
            </w:r>
          </w:p>
        </w:tc>
        <w:tc>
          <w:tcPr>
            <w:tcW w:w="2900" w:type="dxa"/>
            <w:vAlign w:val="bottom"/>
          </w:tcPr>
          <w:p>
            <w:pPr>
              <w:ind w:left="560"/>
              <w:spacing w:after="0"/>
              <w:rPr>
                <w:sz w:val="20"/>
                <w:szCs w:val="20"/>
                <w:color w:val="auto"/>
              </w:rPr>
            </w:pPr>
            <w:r>
              <w:rPr>
                <w:rFonts w:ascii="Arial" w:cs="Arial" w:eastAsia="Arial" w:hAnsi="Arial"/>
                <w:sz w:val="14"/>
                <w:szCs w:val="14"/>
                <w:color w:val="auto"/>
              </w:rPr>
              <w:t>Under Armour, Inc.</w:t>
            </w:r>
          </w:p>
        </w:tc>
      </w:tr>
      <w:tr>
        <w:trPr>
          <w:trHeight w:val="165"/>
        </w:trPr>
        <w:tc>
          <w:tcPr>
            <w:tcW w:w="2460" w:type="dxa"/>
            <w:vAlign w:val="bottom"/>
          </w:tcPr>
          <w:p>
            <w:pPr>
              <w:ind w:left="20"/>
              <w:spacing w:after="0"/>
              <w:rPr>
                <w:sz w:val="20"/>
                <w:szCs w:val="20"/>
                <w:color w:val="auto"/>
              </w:rPr>
            </w:pPr>
            <w:r>
              <w:rPr>
                <w:rFonts w:ascii="Arial" w:cs="Arial" w:eastAsia="Arial" w:hAnsi="Arial"/>
                <w:sz w:val="14"/>
                <w:szCs w:val="14"/>
                <w:color w:val="auto"/>
              </w:rPr>
              <w:t>Carter’s, Inc.</w:t>
            </w:r>
          </w:p>
        </w:tc>
        <w:tc>
          <w:tcPr>
            <w:tcW w:w="3060" w:type="dxa"/>
            <w:vAlign w:val="bottom"/>
          </w:tcPr>
          <w:p>
            <w:pPr>
              <w:ind w:left="440"/>
              <w:spacing w:after="0"/>
              <w:rPr>
                <w:sz w:val="20"/>
                <w:szCs w:val="20"/>
                <w:color w:val="auto"/>
              </w:rPr>
            </w:pPr>
            <w:r>
              <w:rPr>
                <w:rFonts w:ascii="Arial" w:cs="Arial" w:eastAsia="Arial" w:hAnsi="Arial"/>
                <w:sz w:val="14"/>
                <w:szCs w:val="14"/>
                <w:color w:val="auto"/>
              </w:rPr>
              <w:t>G-III Apparel Group, Ltd.</w:t>
            </w:r>
          </w:p>
        </w:tc>
        <w:tc>
          <w:tcPr>
            <w:tcW w:w="2520" w:type="dxa"/>
            <w:vAlign w:val="bottom"/>
          </w:tcPr>
          <w:p>
            <w:pPr>
              <w:ind w:left="480"/>
              <w:spacing w:after="0"/>
              <w:rPr>
                <w:sz w:val="20"/>
                <w:szCs w:val="20"/>
                <w:color w:val="auto"/>
              </w:rPr>
            </w:pPr>
            <w:r>
              <w:rPr>
                <w:rFonts w:ascii="Arial" w:cs="Arial" w:eastAsia="Arial" w:hAnsi="Arial"/>
                <w:sz w:val="14"/>
                <w:szCs w:val="14"/>
                <w:color w:val="auto"/>
              </w:rPr>
              <w:t>Movado Group, Inc.</w:t>
            </w:r>
          </w:p>
        </w:tc>
        <w:tc>
          <w:tcPr>
            <w:tcW w:w="2900" w:type="dxa"/>
            <w:vAlign w:val="bottom"/>
          </w:tcPr>
          <w:p>
            <w:pPr>
              <w:ind w:left="560"/>
              <w:spacing w:after="0"/>
              <w:rPr>
                <w:sz w:val="20"/>
                <w:szCs w:val="20"/>
                <w:color w:val="auto"/>
              </w:rPr>
            </w:pPr>
            <w:r>
              <w:rPr>
                <w:rFonts w:ascii="Arial" w:cs="Arial" w:eastAsia="Arial" w:hAnsi="Arial"/>
                <w:sz w:val="14"/>
                <w:szCs w:val="14"/>
                <w:color w:val="auto"/>
              </w:rPr>
              <w:t>Urban Outfitters, Inc.</w:t>
            </w:r>
          </w:p>
        </w:tc>
      </w:tr>
      <w:tr>
        <w:trPr>
          <w:trHeight w:val="165"/>
        </w:trPr>
        <w:tc>
          <w:tcPr>
            <w:tcW w:w="2460" w:type="dxa"/>
            <w:vAlign w:val="bottom"/>
          </w:tcPr>
          <w:p>
            <w:pPr>
              <w:ind w:left="20"/>
              <w:spacing w:after="0"/>
              <w:rPr>
                <w:sz w:val="20"/>
                <w:szCs w:val="20"/>
                <w:color w:val="auto"/>
              </w:rPr>
            </w:pPr>
            <w:r>
              <w:rPr>
                <w:rFonts w:ascii="Arial" w:cs="Arial" w:eastAsia="Arial" w:hAnsi="Arial"/>
                <w:sz w:val="14"/>
                <w:szCs w:val="14"/>
                <w:color w:val="auto"/>
              </w:rPr>
              <w:t>The Children’s Place, Inc.</w:t>
            </w:r>
          </w:p>
        </w:tc>
        <w:tc>
          <w:tcPr>
            <w:tcW w:w="3060" w:type="dxa"/>
            <w:vAlign w:val="bottom"/>
          </w:tcPr>
          <w:p>
            <w:pPr>
              <w:ind w:left="440"/>
              <w:spacing w:after="0"/>
              <w:rPr>
                <w:sz w:val="20"/>
                <w:szCs w:val="20"/>
                <w:color w:val="auto"/>
              </w:rPr>
            </w:pPr>
            <w:r>
              <w:rPr>
                <w:rFonts w:ascii="Arial" w:cs="Arial" w:eastAsia="Arial" w:hAnsi="Arial"/>
                <w:sz w:val="14"/>
                <w:szCs w:val="14"/>
                <w:color w:val="auto"/>
              </w:rPr>
              <w:t>Gildan Activewear Inc.</w:t>
            </w:r>
          </w:p>
        </w:tc>
        <w:tc>
          <w:tcPr>
            <w:tcW w:w="2520" w:type="dxa"/>
            <w:vAlign w:val="bottom"/>
          </w:tcPr>
          <w:p>
            <w:pPr>
              <w:ind w:left="480"/>
              <w:spacing w:after="0"/>
              <w:rPr>
                <w:sz w:val="20"/>
                <w:szCs w:val="20"/>
                <w:color w:val="auto"/>
              </w:rPr>
            </w:pPr>
            <w:r>
              <w:rPr>
                <w:rFonts w:ascii="Arial" w:cs="Arial" w:eastAsia="Arial" w:hAnsi="Arial"/>
                <w:sz w:val="14"/>
                <w:szCs w:val="14"/>
                <w:color w:val="auto"/>
              </w:rPr>
              <w:t>NIKE, Inc.</w:t>
            </w:r>
          </w:p>
        </w:tc>
        <w:tc>
          <w:tcPr>
            <w:tcW w:w="2900" w:type="dxa"/>
            <w:vAlign w:val="bottom"/>
          </w:tcPr>
          <w:p>
            <w:pPr>
              <w:ind w:left="560"/>
              <w:spacing w:after="0"/>
              <w:rPr>
                <w:sz w:val="20"/>
                <w:szCs w:val="20"/>
                <w:color w:val="auto"/>
              </w:rPr>
            </w:pPr>
            <w:r>
              <w:rPr>
                <w:rFonts w:ascii="Arial" w:cs="Arial" w:eastAsia="Arial" w:hAnsi="Arial"/>
                <w:sz w:val="14"/>
                <w:szCs w:val="14"/>
                <w:color w:val="auto"/>
              </w:rPr>
              <w:t>V.F. Corporation</w:t>
            </w:r>
          </w:p>
        </w:tc>
      </w:tr>
      <w:tr>
        <w:trPr>
          <w:trHeight w:val="165"/>
        </w:trPr>
        <w:tc>
          <w:tcPr>
            <w:tcW w:w="2460" w:type="dxa"/>
            <w:vAlign w:val="bottom"/>
          </w:tcPr>
          <w:p>
            <w:pPr>
              <w:ind w:left="20"/>
              <w:spacing w:after="0"/>
              <w:rPr>
                <w:sz w:val="20"/>
                <w:szCs w:val="20"/>
                <w:color w:val="auto"/>
              </w:rPr>
            </w:pPr>
            <w:r>
              <w:rPr>
                <w:rFonts w:ascii="Arial" w:cs="Arial" w:eastAsia="Arial" w:hAnsi="Arial"/>
                <w:sz w:val="14"/>
                <w:szCs w:val="14"/>
                <w:color w:val="auto"/>
              </w:rPr>
              <w:t>Columbia Sportswear Company</w:t>
            </w:r>
          </w:p>
        </w:tc>
        <w:tc>
          <w:tcPr>
            <w:tcW w:w="30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900" w:type="dxa"/>
            <w:vAlign w:val="bottom"/>
          </w:tcPr>
          <w:p>
            <w:pPr>
              <w:ind w:left="560"/>
              <w:spacing w:after="0"/>
              <w:rPr>
                <w:sz w:val="20"/>
                <w:szCs w:val="20"/>
                <w:color w:val="auto"/>
              </w:rPr>
            </w:pPr>
            <w:r>
              <w:rPr>
                <w:rFonts w:ascii="Arial" w:cs="Arial" w:eastAsia="Arial" w:hAnsi="Arial"/>
                <w:sz w:val="14"/>
                <w:szCs w:val="14"/>
                <w:color w:val="auto"/>
              </w:rPr>
              <w:t>Victoria’s Secret &amp; Co.</w:t>
            </w:r>
          </w:p>
        </w:tc>
      </w:tr>
      <w:tr>
        <w:trPr>
          <w:trHeight w:val="186"/>
        </w:trPr>
        <w:tc>
          <w:tcPr>
            <w:tcW w:w="24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900" w:type="dxa"/>
            <w:vAlign w:val="bottom"/>
          </w:tcPr>
          <w:p>
            <w:pPr>
              <w:ind w:left="560"/>
              <w:spacing w:after="0"/>
              <w:rPr>
                <w:sz w:val="20"/>
                <w:szCs w:val="20"/>
                <w:color w:val="auto"/>
              </w:rPr>
            </w:pPr>
            <w:r>
              <w:rPr>
                <w:rFonts w:ascii="Arial" w:cs="Arial" w:eastAsia="Arial" w:hAnsi="Arial"/>
                <w:sz w:val="14"/>
                <w:szCs w:val="14"/>
                <w:color w:val="auto"/>
              </w:rPr>
              <w:t>Wolverine Worldwide, Inc.</w:t>
            </w:r>
          </w:p>
        </w:tc>
      </w:tr>
      <w:tr>
        <w:trPr>
          <w:trHeight w:val="121"/>
        </w:trPr>
        <w:tc>
          <w:tcPr>
            <w:tcW w:w="246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r>
    </w:tbl>
    <w:p>
      <w:pPr>
        <w:spacing w:after="0" w:line="15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2025 decisions</w:t>
      </w:r>
    </w:p>
    <w:p>
      <w:pPr>
        <w:spacing w:after="0" w:line="33" w:lineRule="exact"/>
        <w:rPr>
          <w:sz w:val="20"/>
          <w:szCs w:val="20"/>
          <w:color w:val="auto"/>
        </w:rPr>
      </w:pPr>
    </w:p>
    <w:p>
      <w:pPr>
        <w:ind w:left="20" w:right="220"/>
        <w:spacing w:after="0" w:line="274" w:lineRule="auto"/>
        <w:rPr>
          <w:sz w:val="20"/>
          <w:szCs w:val="20"/>
          <w:color w:val="auto"/>
        </w:rPr>
      </w:pPr>
      <w:r>
        <w:rPr>
          <w:rFonts w:ascii="Arial" w:cs="Arial" w:eastAsia="Arial" w:hAnsi="Arial"/>
          <w:sz w:val="14"/>
          <w:szCs w:val="14"/>
          <w:color w:val="auto"/>
        </w:rPr>
        <w:t>All of our NEOs, with the exception of Ms. Stone, received awards of PSUs in 2025 with a performance cycle generally covering the second quarter of 2025 through the first quarter of 2028 for TSR and fiscal year 2025 through the fiscal year 2027 for ROIC.</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Performance measures</w:t>
      </w:r>
    </w:p>
    <w:p>
      <w:pPr>
        <w:spacing w:after="0" w:line="33" w:lineRule="exact"/>
        <w:rPr>
          <w:sz w:val="20"/>
          <w:szCs w:val="20"/>
          <w:color w:val="auto"/>
        </w:rPr>
      </w:pPr>
    </w:p>
    <w:p>
      <w:pPr>
        <w:ind w:left="20" w:right="140"/>
        <w:spacing w:after="0" w:line="274" w:lineRule="auto"/>
        <w:rPr>
          <w:sz w:val="20"/>
          <w:szCs w:val="20"/>
          <w:color w:val="auto"/>
        </w:rPr>
      </w:pPr>
      <w:r>
        <w:rPr>
          <w:rFonts w:ascii="Arial" w:cs="Arial" w:eastAsia="Arial" w:hAnsi="Arial"/>
          <w:sz w:val="14"/>
          <w:szCs w:val="14"/>
          <w:color w:val="auto"/>
        </w:rPr>
        <w:t>The Compensation Committee set performance goals for the ROIC and relative TSR metrics for the relevant three-year period, as set forth below. The relative TSR goals are at the same percentile ranks as they have been for several years and require above-median performance for a target payout.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440" w:type="dxa"/>
            <w:vAlign w:val="bottom"/>
            <w:shd w:val="clear" w:color="auto" w:fill="99B7C6"/>
          </w:tcPr>
          <w:p>
            <w:pPr>
              <w:spacing w:after="0"/>
              <w:rPr>
                <w:sz w:val="22"/>
                <w:szCs w:val="22"/>
                <w:color w:val="auto"/>
              </w:rPr>
            </w:pPr>
          </w:p>
        </w:tc>
        <w:tc>
          <w:tcPr>
            <w:tcW w:w="1560" w:type="dxa"/>
            <w:vAlign w:val="bottom"/>
            <w:shd w:val="clear" w:color="auto" w:fill="99B7C6"/>
          </w:tcPr>
          <w:p>
            <w:pPr>
              <w:ind w:left="440"/>
              <w:spacing w:after="0"/>
              <w:rPr>
                <w:sz w:val="20"/>
                <w:szCs w:val="20"/>
                <w:color w:val="auto"/>
              </w:rPr>
            </w:pPr>
            <w:r>
              <w:rPr>
                <w:rFonts w:ascii="Arial" w:cs="Arial" w:eastAsia="Arial" w:hAnsi="Arial"/>
                <w:sz w:val="14"/>
                <w:szCs w:val="14"/>
                <w:b w:val="1"/>
                <w:bCs w:val="1"/>
                <w:color w:val="FFFFFF"/>
              </w:rPr>
              <w:t>Weight</w:t>
            </w:r>
          </w:p>
        </w:tc>
        <w:tc>
          <w:tcPr>
            <w:tcW w:w="1900" w:type="dxa"/>
            <w:vAlign w:val="bottom"/>
            <w:shd w:val="clear" w:color="auto" w:fill="99B7C6"/>
          </w:tcPr>
          <w:p>
            <w:pPr>
              <w:ind w:left="660"/>
              <w:spacing w:after="0"/>
              <w:rPr>
                <w:sz w:val="20"/>
                <w:szCs w:val="20"/>
                <w:color w:val="auto"/>
              </w:rPr>
            </w:pPr>
            <w:r>
              <w:rPr>
                <w:rFonts w:ascii="Arial" w:cs="Arial" w:eastAsia="Arial" w:hAnsi="Arial"/>
                <w:sz w:val="14"/>
                <w:szCs w:val="14"/>
                <w:b w:val="1"/>
                <w:bCs w:val="1"/>
                <w:color w:val="FFFFFF"/>
              </w:rPr>
              <w:t>Threshold*</w:t>
            </w:r>
          </w:p>
        </w:tc>
        <w:tc>
          <w:tcPr>
            <w:tcW w:w="1640" w:type="dxa"/>
            <w:vAlign w:val="bottom"/>
            <w:shd w:val="clear" w:color="auto" w:fill="99B7C6"/>
          </w:tcPr>
          <w:p>
            <w:pPr>
              <w:ind w:left="520"/>
              <w:spacing w:after="0"/>
              <w:rPr>
                <w:sz w:val="20"/>
                <w:szCs w:val="20"/>
                <w:color w:val="auto"/>
              </w:rPr>
            </w:pPr>
            <w:r>
              <w:rPr>
                <w:rFonts w:ascii="Arial" w:cs="Arial" w:eastAsia="Arial" w:hAnsi="Arial"/>
                <w:sz w:val="14"/>
                <w:szCs w:val="14"/>
                <w:b w:val="1"/>
                <w:bCs w:val="1"/>
                <w:color w:val="FFFFFF"/>
              </w:rPr>
              <w:t>Target*</w:t>
            </w:r>
          </w:p>
        </w:tc>
        <w:tc>
          <w:tcPr>
            <w:tcW w:w="2400" w:type="dxa"/>
            <w:vAlign w:val="bottom"/>
            <w:shd w:val="clear" w:color="auto" w:fill="99B7C6"/>
          </w:tcPr>
          <w:p>
            <w:pPr>
              <w:ind w:left="640"/>
              <w:spacing w:after="0"/>
              <w:rPr>
                <w:sz w:val="20"/>
                <w:szCs w:val="20"/>
                <w:color w:val="auto"/>
              </w:rPr>
            </w:pPr>
            <w:r>
              <w:rPr>
                <w:rFonts w:ascii="Arial" w:cs="Arial" w:eastAsia="Arial" w:hAnsi="Arial"/>
                <w:sz w:val="14"/>
                <w:szCs w:val="14"/>
                <w:b w:val="1"/>
                <w:bCs w:val="1"/>
                <w:color w:val="FFFFFF"/>
              </w:rPr>
              <w:t>Maximum*</w:t>
            </w:r>
          </w:p>
        </w:tc>
      </w:tr>
      <w:tr>
        <w:trPr>
          <w:trHeight w:val="247"/>
        </w:trPr>
        <w:tc>
          <w:tcPr>
            <w:tcW w:w="344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Average ROIC (three-year period)</w:t>
            </w:r>
          </w:p>
        </w:tc>
        <w:tc>
          <w:tcPr>
            <w:tcW w:w="1560" w:type="dxa"/>
            <w:vAlign w:val="bottom"/>
            <w:shd w:val="clear" w:color="auto" w:fill="E9F0F3"/>
          </w:tcPr>
          <w:p>
            <w:pPr>
              <w:ind w:left="440"/>
              <w:spacing w:after="0"/>
              <w:rPr>
                <w:sz w:val="20"/>
                <w:szCs w:val="20"/>
                <w:color w:val="auto"/>
              </w:rPr>
            </w:pPr>
            <w:r>
              <w:rPr>
                <w:rFonts w:ascii="Arial" w:cs="Arial" w:eastAsia="Arial" w:hAnsi="Arial"/>
                <w:sz w:val="14"/>
                <w:szCs w:val="14"/>
                <w:color w:val="auto"/>
              </w:rPr>
              <w:t>50%</w:t>
            </w:r>
          </w:p>
        </w:tc>
        <w:tc>
          <w:tcPr>
            <w:tcW w:w="1900" w:type="dxa"/>
            <w:vAlign w:val="bottom"/>
            <w:shd w:val="clear" w:color="auto" w:fill="E9F0F3"/>
          </w:tcPr>
          <w:p>
            <w:pPr>
              <w:ind w:left="660"/>
              <w:spacing w:after="0"/>
              <w:rPr>
                <w:sz w:val="20"/>
                <w:szCs w:val="20"/>
                <w:color w:val="auto"/>
              </w:rPr>
            </w:pPr>
            <w:r>
              <w:rPr>
                <w:rFonts w:ascii="Arial" w:cs="Arial" w:eastAsia="Arial" w:hAnsi="Arial"/>
                <w:sz w:val="14"/>
                <w:szCs w:val="14"/>
                <w:color w:val="auto"/>
              </w:rPr>
              <w:t>31.78%</w:t>
            </w:r>
          </w:p>
        </w:tc>
        <w:tc>
          <w:tcPr>
            <w:tcW w:w="1640" w:type="dxa"/>
            <w:vAlign w:val="bottom"/>
            <w:shd w:val="clear" w:color="auto" w:fill="E9F0F3"/>
          </w:tcPr>
          <w:p>
            <w:pPr>
              <w:ind w:left="520"/>
              <w:spacing w:after="0"/>
              <w:rPr>
                <w:sz w:val="20"/>
                <w:szCs w:val="20"/>
                <w:color w:val="auto"/>
              </w:rPr>
            </w:pPr>
            <w:r>
              <w:rPr>
                <w:rFonts w:ascii="Arial" w:cs="Arial" w:eastAsia="Arial" w:hAnsi="Arial"/>
                <w:sz w:val="14"/>
                <w:szCs w:val="14"/>
                <w:color w:val="auto"/>
              </w:rPr>
              <w:t>35.75%</w:t>
            </w:r>
          </w:p>
        </w:tc>
        <w:tc>
          <w:tcPr>
            <w:tcW w:w="2400" w:type="dxa"/>
            <w:vAlign w:val="bottom"/>
            <w:shd w:val="clear" w:color="auto" w:fill="E9F0F3"/>
          </w:tcPr>
          <w:p>
            <w:pPr>
              <w:ind w:left="640"/>
              <w:spacing w:after="0"/>
              <w:rPr>
                <w:sz w:val="20"/>
                <w:szCs w:val="20"/>
                <w:color w:val="auto"/>
              </w:rPr>
            </w:pPr>
            <w:r>
              <w:rPr>
                <w:rFonts w:ascii="Arial" w:cs="Arial" w:eastAsia="Arial" w:hAnsi="Arial"/>
                <w:sz w:val="14"/>
                <w:szCs w:val="14"/>
                <w:color w:val="auto"/>
              </w:rPr>
              <w:t>38.25%</w:t>
            </w:r>
          </w:p>
        </w:tc>
      </w:tr>
      <w:tr>
        <w:trPr>
          <w:trHeight w:val="229"/>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Relative TSR (percentile) (three-year period)</w:t>
            </w:r>
          </w:p>
        </w:tc>
        <w:tc>
          <w:tcPr>
            <w:tcW w:w="1560" w:type="dxa"/>
            <w:vAlign w:val="bottom"/>
          </w:tcPr>
          <w:p>
            <w:pPr>
              <w:ind w:left="440"/>
              <w:spacing w:after="0"/>
              <w:rPr>
                <w:sz w:val="20"/>
                <w:szCs w:val="20"/>
                <w:color w:val="auto"/>
              </w:rPr>
            </w:pPr>
            <w:r>
              <w:rPr>
                <w:rFonts w:ascii="Arial" w:cs="Arial" w:eastAsia="Arial" w:hAnsi="Arial"/>
                <w:sz w:val="14"/>
                <w:szCs w:val="14"/>
                <w:color w:val="auto"/>
              </w:rPr>
              <w:t>50%</w:t>
            </w:r>
          </w:p>
        </w:tc>
        <w:tc>
          <w:tcPr>
            <w:tcW w:w="1900" w:type="dxa"/>
            <w:vAlign w:val="bottom"/>
          </w:tcPr>
          <w:p>
            <w:pPr>
              <w:ind w:left="660"/>
              <w:spacing w:after="0"/>
              <w:rPr>
                <w:sz w:val="20"/>
                <w:szCs w:val="20"/>
                <w:color w:val="auto"/>
              </w:rPr>
            </w:pPr>
            <w:r>
              <w:rPr>
                <w:rFonts w:ascii="Arial" w:cs="Arial" w:eastAsia="Arial" w:hAnsi="Arial"/>
                <w:sz w:val="14"/>
                <w:szCs w:val="14"/>
                <w:color w:val="auto"/>
              </w:rPr>
              <w:t>30th</w:t>
            </w:r>
          </w:p>
        </w:tc>
        <w:tc>
          <w:tcPr>
            <w:tcW w:w="1640" w:type="dxa"/>
            <w:vAlign w:val="bottom"/>
          </w:tcPr>
          <w:p>
            <w:pPr>
              <w:ind w:left="520"/>
              <w:spacing w:after="0"/>
              <w:rPr>
                <w:sz w:val="20"/>
                <w:szCs w:val="20"/>
                <w:color w:val="auto"/>
              </w:rPr>
            </w:pPr>
            <w:r>
              <w:rPr>
                <w:rFonts w:ascii="Arial" w:cs="Arial" w:eastAsia="Arial" w:hAnsi="Arial"/>
                <w:sz w:val="14"/>
                <w:szCs w:val="14"/>
                <w:color w:val="auto"/>
              </w:rPr>
              <w:t>55th</w:t>
            </w:r>
          </w:p>
        </w:tc>
        <w:tc>
          <w:tcPr>
            <w:tcW w:w="2400" w:type="dxa"/>
            <w:vAlign w:val="bottom"/>
          </w:tcPr>
          <w:p>
            <w:pPr>
              <w:ind w:left="640"/>
              <w:spacing w:after="0"/>
              <w:rPr>
                <w:sz w:val="20"/>
                <w:szCs w:val="20"/>
                <w:color w:val="auto"/>
              </w:rPr>
            </w:pPr>
            <w:r>
              <w:rPr>
                <w:rFonts w:ascii="Arial" w:cs="Arial" w:eastAsia="Arial" w:hAnsi="Arial"/>
                <w:sz w:val="14"/>
                <w:szCs w:val="14"/>
                <w:color w:val="auto"/>
              </w:rPr>
              <w:t>80th</w:t>
            </w:r>
          </w:p>
        </w:tc>
      </w:tr>
    </w:tbl>
    <w:p>
      <w:pPr>
        <w:spacing w:after="0" w:line="164" w:lineRule="exact"/>
        <w:rPr>
          <w:sz w:val="20"/>
          <w:szCs w:val="20"/>
          <w:color w:val="auto"/>
        </w:rPr>
      </w:pPr>
    </w:p>
    <w:p>
      <w:pPr>
        <w:ind w:left="160" w:right="160" w:hanging="149"/>
        <w:spacing w:after="0" w:line="252" w:lineRule="auto"/>
        <w:tabs>
          <w:tab w:leader="none" w:pos="146"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These goals are presented solely for the purpose of describing our compensation program. They are not management’s estimates of results or other guidance. Investors should not apply these goals to other contexts.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Payouts for performance between goals would be calculated on a straight-line interpolation basis.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49CAB"/>
        </w:rPr>
        <w:t xml:space="preserve">COMPENSATION DISCUSSION &amp; ANALYSIS </w:t>
      </w:r>
      <w:r>
        <w:rPr>
          <w:rFonts w:ascii="Arial" w:cs="Arial" w:eastAsia="Arial" w:hAnsi="Arial"/>
          <w:sz w:val="11"/>
          <w:szCs w:val="11"/>
          <w:color w:val="000000"/>
        </w:rPr>
        <w:t>/ PVH CORP. 2026 PROXY STATEMENT /</w:t>
      </w:r>
      <w:r>
        <w:rPr>
          <w:rFonts w:ascii="Arial" w:cs="Arial" w:eastAsia="Arial" w:hAnsi="Arial"/>
          <w:sz w:val="11"/>
          <w:szCs w:val="11"/>
          <w:b w:val="1"/>
          <w:bCs w:val="1"/>
          <w:color w:val="749CAB"/>
        </w:rPr>
        <w:t xml:space="preserve"> </w:t>
      </w:r>
      <w:r>
        <w:rPr>
          <w:rFonts w:ascii="Arial" w:cs="Arial" w:eastAsia="Arial" w:hAnsi="Arial"/>
          <w:sz w:val="11"/>
          <w:szCs w:val="11"/>
          <w:b w:val="1"/>
          <w:bCs w:val="1"/>
          <w:color w:val="00000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177" w:right="479" w:bottom="1440" w:gutter="0" w:footer="0" w:header="0"/>
        </w:sectPr>
      </w:pPr>
    </w:p>
    <w:bookmarkStart w:id="54" w:name="page55"/>
    <w:bookmarkEnd w:id="54"/>
    <w:p>
      <w:pPr>
        <w:ind w:left="20" w:right="180"/>
        <w:spacing w:after="0" w:line="264" w:lineRule="auto"/>
        <w:rPr>
          <w:sz w:val="20"/>
          <w:szCs w:val="20"/>
          <w:color w:val="auto"/>
        </w:rPr>
      </w:pPr>
      <w:r>
        <w:rPr>
          <w:rFonts w:ascii="Arial" w:cs="Arial" w:eastAsia="Arial" w:hAnsi="Arial"/>
          <w:sz w:val="14"/>
          <w:szCs w:val="14"/>
          <w:color w:val="auto"/>
        </w:rPr>
        <w:t>The following table shows the aggregate potential payouts and the aggregate number of shares each payout represents based on the April 10, 2025 grant date. To reinforce the long-term focus these awards are meant to create, our Chief Executive Officer is required, for one year after awards vest, to hold the after-tax shares he receives. This holding requirement is in addition to his stock ownership requirement.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80" w:type="dxa"/>
            <w:vAlign w:val="bottom"/>
            <w:shd w:val="clear" w:color="auto" w:fill="99B7C6"/>
          </w:tcPr>
          <w:p>
            <w:pPr>
              <w:spacing w:after="0"/>
              <w:rPr>
                <w:sz w:val="19"/>
                <w:szCs w:val="19"/>
                <w:color w:val="auto"/>
              </w:rPr>
            </w:pPr>
          </w:p>
        </w:tc>
        <w:tc>
          <w:tcPr>
            <w:tcW w:w="1680" w:type="dxa"/>
            <w:vAlign w:val="bottom"/>
            <w:shd w:val="clear" w:color="auto" w:fill="99B7C6"/>
          </w:tcPr>
          <w:p>
            <w:pPr>
              <w:jc w:val="right"/>
              <w:ind w:right="309"/>
              <w:spacing w:after="0"/>
              <w:rPr>
                <w:sz w:val="20"/>
                <w:szCs w:val="20"/>
                <w:color w:val="auto"/>
              </w:rPr>
            </w:pPr>
            <w:r>
              <w:rPr>
                <w:rFonts w:ascii="Arial" w:cs="Arial" w:eastAsia="Arial" w:hAnsi="Arial"/>
                <w:sz w:val="14"/>
                <w:szCs w:val="14"/>
                <w:b w:val="1"/>
                <w:bCs w:val="1"/>
                <w:color w:val="FFFFFF"/>
              </w:rPr>
              <w:t>Threshold</w:t>
            </w:r>
          </w:p>
        </w:tc>
        <w:tc>
          <w:tcPr>
            <w:tcW w:w="1540" w:type="dxa"/>
            <w:vAlign w:val="bottom"/>
            <w:shd w:val="clear" w:color="auto" w:fill="99B7C6"/>
          </w:tcPr>
          <w:p>
            <w:pPr>
              <w:jc w:val="right"/>
              <w:ind w:right="409"/>
              <w:spacing w:after="0"/>
              <w:rPr>
                <w:sz w:val="20"/>
                <w:szCs w:val="20"/>
                <w:color w:val="auto"/>
              </w:rPr>
            </w:pPr>
            <w:r>
              <w:rPr>
                <w:rFonts w:ascii="Arial" w:cs="Arial" w:eastAsia="Arial" w:hAnsi="Arial"/>
                <w:sz w:val="14"/>
                <w:szCs w:val="14"/>
                <w:b w:val="1"/>
                <w:bCs w:val="1"/>
                <w:color w:val="FFFFFF"/>
              </w:rPr>
              <w:t>Threshold</w:t>
            </w:r>
          </w:p>
        </w:tc>
        <w:tc>
          <w:tcPr>
            <w:tcW w:w="1460" w:type="dxa"/>
            <w:vAlign w:val="bottom"/>
            <w:shd w:val="clear" w:color="auto" w:fill="99B7C6"/>
          </w:tcPr>
          <w:p>
            <w:pPr>
              <w:jc w:val="right"/>
              <w:ind w:right="389"/>
              <w:spacing w:after="0"/>
              <w:rPr>
                <w:sz w:val="20"/>
                <w:szCs w:val="20"/>
                <w:color w:val="auto"/>
              </w:rPr>
            </w:pPr>
            <w:r>
              <w:rPr>
                <w:rFonts w:ascii="Arial" w:cs="Arial" w:eastAsia="Arial" w:hAnsi="Arial"/>
                <w:sz w:val="14"/>
                <w:szCs w:val="14"/>
                <w:b w:val="1"/>
                <w:bCs w:val="1"/>
                <w:color w:val="FFFFFF"/>
              </w:rPr>
              <w:t>Target</w:t>
            </w:r>
          </w:p>
        </w:tc>
        <w:tc>
          <w:tcPr>
            <w:tcW w:w="1480" w:type="dxa"/>
            <w:vAlign w:val="bottom"/>
            <w:shd w:val="clear" w:color="auto" w:fill="99B7C6"/>
          </w:tcPr>
          <w:p>
            <w:pPr>
              <w:jc w:val="right"/>
              <w:ind w:right="369"/>
              <w:spacing w:after="0"/>
              <w:rPr>
                <w:sz w:val="20"/>
                <w:szCs w:val="20"/>
                <w:color w:val="auto"/>
              </w:rPr>
            </w:pPr>
            <w:r>
              <w:rPr>
                <w:rFonts w:ascii="Arial" w:cs="Arial" w:eastAsia="Arial" w:hAnsi="Arial"/>
                <w:sz w:val="14"/>
                <w:szCs w:val="14"/>
                <w:b w:val="1"/>
                <w:bCs w:val="1"/>
                <w:color w:val="FFFFFF"/>
              </w:rPr>
              <w:t>Target</w:t>
            </w:r>
          </w:p>
        </w:tc>
        <w:tc>
          <w:tcPr>
            <w:tcW w:w="1500" w:type="dxa"/>
            <w:vAlign w:val="bottom"/>
            <w:shd w:val="clear" w:color="auto" w:fill="99B7C6"/>
          </w:tcPr>
          <w:p>
            <w:pPr>
              <w:jc w:val="right"/>
              <w:ind w:right="349"/>
              <w:spacing w:after="0"/>
              <w:rPr>
                <w:sz w:val="20"/>
                <w:szCs w:val="20"/>
                <w:color w:val="auto"/>
              </w:rPr>
            </w:pPr>
            <w:r>
              <w:rPr>
                <w:rFonts w:ascii="Arial" w:cs="Arial" w:eastAsia="Arial" w:hAnsi="Arial"/>
                <w:sz w:val="14"/>
                <w:szCs w:val="14"/>
                <w:b w:val="1"/>
                <w:bCs w:val="1"/>
                <w:color w:val="FFFFFF"/>
              </w:rPr>
              <w:t>Maximum</w:t>
            </w:r>
          </w:p>
        </w:tc>
        <w:tc>
          <w:tcPr>
            <w:tcW w:w="1200" w:type="dxa"/>
            <w:vAlign w:val="bottom"/>
            <w:shd w:val="clear" w:color="auto" w:fill="99B7C6"/>
          </w:tcPr>
          <w:p>
            <w:pPr>
              <w:jc w:val="right"/>
              <w:ind w:right="29"/>
              <w:spacing w:after="0"/>
              <w:rPr>
                <w:sz w:val="20"/>
                <w:szCs w:val="20"/>
                <w:color w:val="auto"/>
              </w:rPr>
            </w:pPr>
            <w:r>
              <w:rPr>
                <w:rFonts w:ascii="Arial" w:cs="Arial" w:eastAsia="Arial" w:hAnsi="Arial"/>
                <w:sz w:val="14"/>
                <w:szCs w:val="14"/>
                <w:b w:val="1"/>
                <w:bCs w:val="1"/>
                <w:color w:val="FFFFFF"/>
              </w:rPr>
              <w:t>Maximum</w:t>
            </w:r>
          </w:p>
        </w:tc>
      </w:tr>
      <w:tr>
        <w:trPr>
          <w:trHeight w:val="201"/>
        </w:trPr>
        <w:tc>
          <w:tcPr>
            <w:tcW w:w="2080" w:type="dxa"/>
            <w:vAlign w:val="bottom"/>
            <w:shd w:val="clear" w:color="auto" w:fill="99B7C6"/>
          </w:tcPr>
          <w:p>
            <w:pPr>
              <w:ind w:left="60"/>
              <w:spacing w:after="0"/>
              <w:rPr>
                <w:sz w:val="20"/>
                <w:szCs w:val="20"/>
                <w:color w:val="auto"/>
              </w:rPr>
            </w:pPr>
            <w:r>
              <w:rPr>
                <w:rFonts w:ascii="Arial" w:cs="Arial" w:eastAsia="Arial" w:hAnsi="Arial"/>
                <w:sz w:val="14"/>
                <w:szCs w:val="14"/>
                <w:b w:val="1"/>
                <w:bCs w:val="1"/>
                <w:color w:val="FFFFFF"/>
              </w:rPr>
              <w:t>NEO</w:t>
            </w:r>
          </w:p>
        </w:tc>
        <w:tc>
          <w:tcPr>
            <w:tcW w:w="1680" w:type="dxa"/>
            <w:vAlign w:val="bottom"/>
            <w:shd w:val="clear" w:color="auto" w:fill="99B7C6"/>
          </w:tcPr>
          <w:p>
            <w:pPr>
              <w:jc w:val="right"/>
              <w:ind w:right="309"/>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6"/>
                <w:szCs w:val="16"/>
                <w:b w:val="1"/>
                <w:bCs w:val="1"/>
                <w:color w:val="FFFFFF"/>
                <w:vertAlign w:val="superscript"/>
              </w:rPr>
              <w:t>1</w:t>
            </w:r>
          </w:p>
        </w:tc>
        <w:tc>
          <w:tcPr>
            <w:tcW w:w="1540" w:type="dxa"/>
            <w:vAlign w:val="bottom"/>
            <w:shd w:val="clear" w:color="auto" w:fill="99B7C6"/>
          </w:tcPr>
          <w:p>
            <w:pPr>
              <w:jc w:val="right"/>
              <w:ind w:right="369"/>
              <w:spacing w:after="0"/>
              <w:rPr>
                <w:sz w:val="20"/>
                <w:szCs w:val="20"/>
                <w:color w:val="auto"/>
              </w:rPr>
            </w:pPr>
            <w:r>
              <w:rPr>
                <w:rFonts w:ascii="Arial" w:cs="Arial" w:eastAsia="Arial" w:hAnsi="Arial"/>
                <w:sz w:val="14"/>
                <w:szCs w:val="14"/>
                <w:b w:val="1"/>
                <w:bCs w:val="1"/>
                <w:color w:val="FFFFFF"/>
              </w:rPr>
              <w:t>(# shares)</w:t>
            </w:r>
          </w:p>
        </w:tc>
        <w:tc>
          <w:tcPr>
            <w:tcW w:w="1460" w:type="dxa"/>
            <w:vAlign w:val="bottom"/>
            <w:shd w:val="clear" w:color="auto" w:fill="99B7C6"/>
          </w:tcPr>
          <w:p>
            <w:pPr>
              <w:jc w:val="right"/>
              <w:ind w:right="349"/>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6"/>
                <w:szCs w:val="16"/>
                <w:b w:val="1"/>
                <w:bCs w:val="1"/>
                <w:color w:val="FFFFFF"/>
                <w:vertAlign w:val="superscript"/>
              </w:rPr>
              <w:t>1</w:t>
            </w:r>
          </w:p>
        </w:tc>
        <w:tc>
          <w:tcPr>
            <w:tcW w:w="1480" w:type="dxa"/>
            <w:vAlign w:val="bottom"/>
            <w:shd w:val="clear" w:color="auto" w:fill="99B7C6"/>
          </w:tcPr>
          <w:p>
            <w:pPr>
              <w:jc w:val="right"/>
              <w:ind w:right="329"/>
              <w:spacing w:after="0"/>
              <w:rPr>
                <w:sz w:val="20"/>
                <w:szCs w:val="20"/>
                <w:color w:val="auto"/>
              </w:rPr>
            </w:pPr>
            <w:r>
              <w:rPr>
                <w:rFonts w:ascii="Arial" w:cs="Arial" w:eastAsia="Arial" w:hAnsi="Arial"/>
                <w:sz w:val="14"/>
                <w:szCs w:val="14"/>
                <w:b w:val="1"/>
                <w:bCs w:val="1"/>
                <w:color w:val="FFFFFF"/>
              </w:rPr>
              <w:t>(# shares)</w:t>
            </w:r>
          </w:p>
        </w:tc>
        <w:tc>
          <w:tcPr>
            <w:tcW w:w="1500" w:type="dxa"/>
            <w:vAlign w:val="bottom"/>
            <w:shd w:val="clear" w:color="auto" w:fill="99B7C6"/>
          </w:tcPr>
          <w:p>
            <w:pPr>
              <w:jc w:val="right"/>
              <w:ind w:right="349"/>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6"/>
                <w:szCs w:val="16"/>
                <w:b w:val="1"/>
                <w:bCs w:val="1"/>
                <w:color w:val="FFFFFF"/>
                <w:vertAlign w:val="superscript"/>
              </w:rPr>
              <w:t>1</w:t>
            </w:r>
          </w:p>
        </w:tc>
        <w:tc>
          <w:tcPr>
            <w:tcW w:w="1200" w:type="dxa"/>
            <w:vAlign w:val="bottom"/>
            <w:shd w:val="clear" w:color="auto" w:fill="99B7C6"/>
          </w:tcPr>
          <w:p>
            <w:pPr>
              <w:jc w:val="right"/>
              <w:spacing w:after="0"/>
              <w:rPr>
                <w:sz w:val="20"/>
                <w:szCs w:val="20"/>
                <w:color w:val="auto"/>
              </w:rPr>
            </w:pPr>
            <w:r>
              <w:rPr>
                <w:rFonts w:ascii="Arial" w:cs="Arial" w:eastAsia="Arial" w:hAnsi="Arial"/>
                <w:sz w:val="14"/>
                <w:szCs w:val="14"/>
                <w:b w:val="1"/>
                <w:bCs w:val="1"/>
                <w:color w:val="FFFFFF"/>
              </w:rPr>
              <w:t>(# shares)</w:t>
            </w:r>
          </w:p>
        </w:tc>
      </w:tr>
      <w:tr>
        <w:trPr>
          <w:trHeight w:val="247"/>
        </w:trPr>
        <w:tc>
          <w:tcPr>
            <w:tcW w:w="208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Stefan Larsson</w:t>
            </w:r>
          </w:p>
        </w:tc>
        <w:tc>
          <w:tcPr>
            <w:tcW w:w="1680" w:type="dxa"/>
            <w:vAlign w:val="bottom"/>
            <w:shd w:val="clear" w:color="auto" w:fill="E9F0F3"/>
          </w:tcPr>
          <w:p>
            <w:pPr>
              <w:jc w:val="right"/>
              <w:ind w:right="309"/>
              <w:spacing w:after="0"/>
              <w:rPr>
                <w:sz w:val="20"/>
                <w:szCs w:val="20"/>
                <w:color w:val="auto"/>
              </w:rPr>
            </w:pPr>
            <w:r>
              <w:rPr>
                <w:rFonts w:ascii="Arial" w:cs="Arial" w:eastAsia="Arial" w:hAnsi="Arial"/>
                <w:sz w:val="14"/>
                <w:szCs w:val="14"/>
                <w:color w:val="auto"/>
              </w:rPr>
              <w:t>2,775,128</w:t>
            </w:r>
          </w:p>
        </w:tc>
        <w:tc>
          <w:tcPr>
            <w:tcW w:w="1540" w:type="dxa"/>
            <w:vAlign w:val="bottom"/>
            <w:shd w:val="clear" w:color="auto" w:fill="E9F0F3"/>
          </w:tcPr>
          <w:p>
            <w:pPr>
              <w:jc w:val="right"/>
              <w:ind w:right="369"/>
              <w:spacing w:after="0"/>
              <w:rPr>
                <w:sz w:val="20"/>
                <w:szCs w:val="20"/>
                <w:color w:val="auto"/>
              </w:rPr>
            </w:pPr>
            <w:r>
              <w:rPr>
                <w:rFonts w:ascii="Arial" w:cs="Arial" w:eastAsia="Arial" w:hAnsi="Arial"/>
                <w:sz w:val="14"/>
                <w:szCs w:val="14"/>
                <w:color w:val="auto"/>
              </w:rPr>
              <w:t>40,132</w:t>
            </w:r>
          </w:p>
        </w:tc>
        <w:tc>
          <w:tcPr>
            <w:tcW w:w="1460" w:type="dxa"/>
            <w:vAlign w:val="bottom"/>
            <w:shd w:val="clear" w:color="auto" w:fill="E9F0F3"/>
          </w:tcPr>
          <w:p>
            <w:pPr>
              <w:jc w:val="right"/>
              <w:ind w:right="349"/>
              <w:spacing w:after="0"/>
              <w:rPr>
                <w:sz w:val="20"/>
                <w:szCs w:val="20"/>
                <w:color w:val="auto"/>
              </w:rPr>
            </w:pPr>
            <w:r>
              <w:rPr>
                <w:rFonts w:ascii="Arial" w:cs="Arial" w:eastAsia="Arial" w:hAnsi="Arial"/>
                <w:sz w:val="14"/>
                <w:szCs w:val="14"/>
                <w:color w:val="auto"/>
              </w:rPr>
              <w:t>5,550,256</w:t>
            </w:r>
          </w:p>
        </w:tc>
        <w:tc>
          <w:tcPr>
            <w:tcW w:w="1480" w:type="dxa"/>
            <w:vAlign w:val="bottom"/>
            <w:shd w:val="clear" w:color="auto" w:fill="E9F0F3"/>
          </w:tcPr>
          <w:p>
            <w:pPr>
              <w:jc w:val="right"/>
              <w:ind w:right="329"/>
              <w:spacing w:after="0"/>
              <w:rPr>
                <w:sz w:val="20"/>
                <w:szCs w:val="20"/>
                <w:color w:val="auto"/>
              </w:rPr>
            </w:pPr>
            <w:r>
              <w:rPr>
                <w:rFonts w:ascii="Arial" w:cs="Arial" w:eastAsia="Arial" w:hAnsi="Arial"/>
                <w:sz w:val="14"/>
                <w:szCs w:val="14"/>
                <w:color w:val="auto"/>
              </w:rPr>
              <w:t>80,264</w:t>
            </w:r>
          </w:p>
        </w:tc>
        <w:tc>
          <w:tcPr>
            <w:tcW w:w="1500" w:type="dxa"/>
            <w:vAlign w:val="bottom"/>
            <w:shd w:val="clear" w:color="auto" w:fill="E9F0F3"/>
          </w:tcPr>
          <w:p>
            <w:pPr>
              <w:jc w:val="right"/>
              <w:ind w:right="349"/>
              <w:spacing w:after="0"/>
              <w:rPr>
                <w:sz w:val="20"/>
                <w:szCs w:val="20"/>
                <w:color w:val="auto"/>
              </w:rPr>
            </w:pPr>
            <w:r>
              <w:rPr>
                <w:rFonts w:ascii="Arial" w:cs="Arial" w:eastAsia="Arial" w:hAnsi="Arial"/>
                <w:sz w:val="14"/>
                <w:szCs w:val="14"/>
                <w:color w:val="auto"/>
              </w:rPr>
              <w:t>11,100,511</w:t>
            </w:r>
          </w:p>
        </w:tc>
        <w:tc>
          <w:tcPr>
            <w:tcW w:w="1200" w:type="dxa"/>
            <w:vAlign w:val="bottom"/>
            <w:shd w:val="clear" w:color="auto" w:fill="E9F0F3"/>
          </w:tcPr>
          <w:p>
            <w:pPr>
              <w:jc w:val="right"/>
              <w:spacing w:after="0"/>
              <w:rPr>
                <w:sz w:val="20"/>
                <w:szCs w:val="20"/>
                <w:color w:val="auto"/>
              </w:rPr>
            </w:pPr>
            <w:r>
              <w:rPr>
                <w:rFonts w:ascii="Arial" w:cs="Arial" w:eastAsia="Arial" w:hAnsi="Arial"/>
                <w:sz w:val="14"/>
                <w:szCs w:val="14"/>
                <w:color w:val="auto"/>
              </w:rPr>
              <w:t>160,528</w:t>
            </w:r>
          </w:p>
        </w:tc>
      </w:tr>
      <w:tr>
        <w:trPr>
          <w:trHeight w:val="247"/>
        </w:trPr>
        <w:tc>
          <w:tcPr>
            <w:tcW w:w="2080" w:type="dxa"/>
            <w:vAlign w:val="bottom"/>
          </w:tcPr>
          <w:p>
            <w:pPr>
              <w:ind w:left="60"/>
              <w:spacing w:after="0"/>
              <w:rPr>
                <w:sz w:val="20"/>
                <w:szCs w:val="20"/>
                <w:color w:val="auto"/>
              </w:rPr>
            </w:pPr>
            <w:r>
              <w:rPr>
                <w:rFonts w:ascii="Arial" w:cs="Arial" w:eastAsia="Arial" w:hAnsi="Arial"/>
                <w:sz w:val="14"/>
                <w:szCs w:val="14"/>
                <w:b w:val="1"/>
                <w:bCs w:val="1"/>
                <w:color w:val="auto"/>
              </w:rPr>
              <w:t>Melissa Stone</w:t>
            </w:r>
            <w:r>
              <w:rPr>
                <w:rFonts w:ascii="Arial" w:cs="Arial" w:eastAsia="Arial" w:hAnsi="Arial"/>
                <w:sz w:val="16"/>
                <w:szCs w:val="16"/>
                <w:b w:val="1"/>
                <w:bCs w:val="1"/>
                <w:color w:val="auto"/>
                <w:vertAlign w:val="superscript"/>
              </w:rPr>
              <w:t>2</w:t>
            </w:r>
          </w:p>
        </w:tc>
        <w:tc>
          <w:tcPr>
            <w:tcW w:w="1680" w:type="dxa"/>
            <w:vAlign w:val="bottom"/>
          </w:tcPr>
          <w:p>
            <w:pPr>
              <w:jc w:val="right"/>
              <w:ind w:right="309"/>
              <w:spacing w:after="0"/>
              <w:rPr>
                <w:sz w:val="20"/>
                <w:szCs w:val="20"/>
                <w:color w:val="auto"/>
              </w:rPr>
            </w:pPr>
            <w:r>
              <w:rPr>
                <w:rFonts w:ascii="Arial" w:cs="Arial" w:eastAsia="Arial" w:hAnsi="Arial"/>
                <w:sz w:val="14"/>
                <w:szCs w:val="14"/>
                <w:color w:val="auto"/>
              </w:rPr>
              <w:t>N/A</w:t>
            </w:r>
          </w:p>
        </w:tc>
        <w:tc>
          <w:tcPr>
            <w:tcW w:w="1540" w:type="dxa"/>
            <w:vAlign w:val="bottom"/>
          </w:tcPr>
          <w:p>
            <w:pPr>
              <w:jc w:val="right"/>
              <w:ind w:right="369"/>
              <w:spacing w:after="0"/>
              <w:rPr>
                <w:sz w:val="20"/>
                <w:szCs w:val="20"/>
                <w:color w:val="auto"/>
              </w:rPr>
            </w:pPr>
            <w:r>
              <w:rPr>
                <w:rFonts w:ascii="Arial" w:cs="Arial" w:eastAsia="Arial" w:hAnsi="Arial"/>
                <w:sz w:val="14"/>
                <w:szCs w:val="14"/>
                <w:color w:val="auto"/>
              </w:rPr>
              <w:t>N/A</w:t>
            </w:r>
          </w:p>
        </w:tc>
        <w:tc>
          <w:tcPr>
            <w:tcW w:w="1460" w:type="dxa"/>
            <w:vAlign w:val="bottom"/>
          </w:tcPr>
          <w:p>
            <w:pPr>
              <w:jc w:val="right"/>
              <w:ind w:right="349"/>
              <w:spacing w:after="0"/>
              <w:rPr>
                <w:sz w:val="20"/>
                <w:szCs w:val="20"/>
                <w:color w:val="auto"/>
              </w:rPr>
            </w:pPr>
            <w:r>
              <w:rPr>
                <w:rFonts w:ascii="Arial" w:cs="Arial" w:eastAsia="Arial" w:hAnsi="Arial"/>
                <w:sz w:val="14"/>
                <w:szCs w:val="14"/>
                <w:color w:val="auto"/>
              </w:rPr>
              <w:t>N/A</w:t>
            </w:r>
          </w:p>
        </w:tc>
        <w:tc>
          <w:tcPr>
            <w:tcW w:w="1480" w:type="dxa"/>
            <w:vAlign w:val="bottom"/>
          </w:tcPr>
          <w:p>
            <w:pPr>
              <w:jc w:val="right"/>
              <w:ind w:right="329"/>
              <w:spacing w:after="0"/>
              <w:rPr>
                <w:sz w:val="20"/>
                <w:szCs w:val="20"/>
                <w:color w:val="auto"/>
              </w:rPr>
            </w:pPr>
            <w:r>
              <w:rPr>
                <w:rFonts w:ascii="Arial" w:cs="Arial" w:eastAsia="Arial" w:hAnsi="Arial"/>
                <w:sz w:val="14"/>
                <w:szCs w:val="14"/>
                <w:color w:val="auto"/>
              </w:rPr>
              <w:t>N/A</w:t>
            </w:r>
          </w:p>
        </w:tc>
        <w:tc>
          <w:tcPr>
            <w:tcW w:w="1500" w:type="dxa"/>
            <w:vAlign w:val="bottom"/>
          </w:tcPr>
          <w:p>
            <w:pPr>
              <w:jc w:val="right"/>
              <w:ind w:right="349"/>
              <w:spacing w:after="0"/>
              <w:rPr>
                <w:sz w:val="20"/>
                <w:szCs w:val="20"/>
                <w:color w:val="auto"/>
              </w:rPr>
            </w:pPr>
            <w:r>
              <w:rPr>
                <w:rFonts w:ascii="Arial" w:cs="Arial" w:eastAsia="Arial" w:hAnsi="Arial"/>
                <w:sz w:val="14"/>
                <w:szCs w:val="14"/>
                <w:color w:val="auto"/>
              </w:rPr>
              <w:t>N/A</w:t>
            </w:r>
          </w:p>
        </w:tc>
        <w:tc>
          <w:tcPr>
            <w:tcW w:w="120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247"/>
        </w:trPr>
        <w:tc>
          <w:tcPr>
            <w:tcW w:w="208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Lea Rytz Goldman</w:t>
            </w:r>
          </w:p>
        </w:tc>
        <w:tc>
          <w:tcPr>
            <w:tcW w:w="1680" w:type="dxa"/>
            <w:vAlign w:val="bottom"/>
            <w:shd w:val="clear" w:color="auto" w:fill="E9F0F3"/>
          </w:tcPr>
          <w:p>
            <w:pPr>
              <w:jc w:val="right"/>
              <w:ind w:right="309"/>
              <w:spacing w:after="0"/>
              <w:rPr>
                <w:sz w:val="20"/>
                <w:szCs w:val="20"/>
                <w:color w:val="auto"/>
              </w:rPr>
            </w:pPr>
            <w:r>
              <w:rPr>
                <w:rFonts w:ascii="Arial" w:cs="Arial" w:eastAsia="Arial" w:hAnsi="Arial"/>
                <w:sz w:val="14"/>
                <w:szCs w:val="14"/>
                <w:color w:val="auto"/>
              </w:rPr>
              <w:t>425,134</w:t>
            </w:r>
          </w:p>
        </w:tc>
        <w:tc>
          <w:tcPr>
            <w:tcW w:w="1540" w:type="dxa"/>
            <w:vAlign w:val="bottom"/>
            <w:shd w:val="clear" w:color="auto" w:fill="E9F0F3"/>
          </w:tcPr>
          <w:p>
            <w:pPr>
              <w:jc w:val="right"/>
              <w:ind w:right="369"/>
              <w:spacing w:after="0"/>
              <w:rPr>
                <w:sz w:val="20"/>
                <w:szCs w:val="20"/>
                <w:color w:val="auto"/>
              </w:rPr>
            </w:pPr>
            <w:r>
              <w:rPr>
                <w:rFonts w:ascii="Arial" w:cs="Arial" w:eastAsia="Arial" w:hAnsi="Arial"/>
                <w:sz w:val="14"/>
                <w:szCs w:val="14"/>
                <w:color w:val="auto"/>
              </w:rPr>
              <w:t>6,148</w:t>
            </w:r>
          </w:p>
        </w:tc>
        <w:tc>
          <w:tcPr>
            <w:tcW w:w="1460" w:type="dxa"/>
            <w:vAlign w:val="bottom"/>
            <w:shd w:val="clear" w:color="auto" w:fill="E9F0F3"/>
          </w:tcPr>
          <w:p>
            <w:pPr>
              <w:jc w:val="right"/>
              <w:ind w:right="349"/>
              <w:spacing w:after="0"/>
              <w:rPr>
                <w:sz w:val="20"/>
                <w:szCs w:val="20"/>
                <w:color w:val="auto"/>
              </w:rPr>
            </w:pPr>
            <w:r>
              <w:rPr>
                <w:rFonts w:ascii="Arial" w:cs="Arial" w:eastAsia="Arial" w:hAnsi="Arial"/>
                <w:sz w:val="14"/>
                <w:szCs w:val="14"/>
                <w:color w:val="auto"/>
              </w:rPr>
              <w:t>850,268</w:t>
            </w:r>
          </w:p>
        </w:tc>
        <w:tc>
          <w:tcPr>
            <w:tcW w:w="1480" w:type="dxa"/>
            <w:vAlign w:val="bottom"/>
            <w:shd w:val="clear" w:color="auto" w:fill="E9F0F3"/>
          </w:tcPr>
          <w:p>
            <w:pPr>
              <w:jc w:val="right"/>
              <w:ind w:right="329"/>
              <w:spacing w:after="0"/>
              <w:rPr>
                <w:sz w:val="20"/>
                <w:szCs w:val="20"/>
                <w:color w:val="auto"/>
              </w:rPr>
            </w:pPr>
            <w:r>
              <w:rPr>
                <w:rFonts w:ascii="Arial" w:cs="Arial" w:eastAsia="Arial" w:hAnsi="Arial"/>
                <w:sz w:val="14"/>
                <w:szCs w:val="14"/>
                <w:color w:val="auto"/>
              </w:rPr>
              <w:t>12,296</w:t>
            </w:r>
          </w:p>
        </w:tc>
        <w:tc>
          <w:tcPr>
            <w:tcW w:w="1500" w:type="dxa"/>
            <w:vAlign w:val="bottom"/>
            <w:shd w:val="clear" w:color="auto" w:fill="E9F0F3"/>
          </w:tcPr>
          <w:p>
            <w:pPr>
              <w:jc w:val="right"/>
              <w:ind w:right="349"/>
              <w:spacing w:after="0"/>
              <w:rPr>
                <w:sz w:val="20"/>
                <w:szCs w:val="20"/>
                <w:color w:val="auto"/>
              </w:rPr>
            </w:pPr>
            <w:r>
              <w:rPr>
                <w:rFonts w:ascii="Arial" w:cs="Arial" w:eastAsia="Arial" w:hAnsi="Arial"/>
                <w:sz w:val="14"/>
                <w:szCs w:val="14"/>
                <w:color w:val="auto"/>
              </w:rPr>
              <w:t>1,700,537</w:t>
            </w:r>
          </w:p>
        </w:tc>
        <w:tc>
          <w:tcPr>
            <w:tcW w:w="1200" w:type="dxa"/>
            <w:vAlign w:val="bottom"/>
            <w:shd w:val="clear" w:color="auto" w:fill="E9F0F3"/>
          </w:tcPr>
          <w:p>
            <w:pPr>
              <w:jc w:val="right"/>
              <w:spacing w:after="0"/>
              <w:rPr>
                <w:sz w:val="20"/>
                <w:szCs w:val="20"/>
                <w:color w:val="auto"/>
              </w:rPr>
            </w:pPr>
            <w:r>
              <w:rPr>
                <w:rFonts w:ascii="Arial" w:cs="Arial" w:eastAsia="Arial" w:hAnsi="Arial"/>
                <w:sz w:val="14"/>
                <w:szCs w:val="14"/>
                <w:color w:val="auto"/>
              </w:rPr>
              <w:t>24,592</w:t>
            </w:r>
          </w:p>
        </w:tc>
      </w:tr>
      <w:tr>
        <w:trPr>
          <w:trHeight w:val="238"/>
        </w:trPr>
        <w:tc>
          <w:tcPr>
            <w:tcW w:w="2080" w:type="dxa"/>
            <w:vAlign w:val="bottom"/>
          </w:tcPr>
          <w:p>
            <w:pPr>
              <w:ind w:left="60"/>
              <w:spacing w:after="0"/>
              <w:rPr>
                <w:sz w:val="20"/>
                <w:szCs w:val="20"/>
                <w:color w:val="auto"/>
              </w:rPr>
            </w:pPr>
            <w:r>
              <w:rPr>
                <w:rFonts w:ascii="Arial" w:cs="Arial" w:eastAsia="Arial" w:hAnsi="Arial"/>
                <w:sz w:val="14"/>
                <w:szCs w:val="14"/>
                <w:b w:val="1"/>
                <w:bCs w:val="1"/>
                <w:color w:val="auto"/>
              </w:rPr>
              <w:t>Fredrik Olsson</w:t>
            </w:r>
          </w:p>
        </w:tc>
        <w:tc>
          <w:tcPr>
            <w:tcW w:w="1680" w:type="dxa"/>
            <w:vAlign w:val="bottom"/>
          </w:tcPr>
          <w:p>
            <w:pPr>
              <w:jc w:val="right"/>
              <w:ind w:right="309"/>
              <w:spacing w:after="0"/>
              <w:rPr>
                <w:sz w:val="20"/>
                <w:szCs w:val="20"/>
                <w:color w:val="auto"/>
              </w:rPr>
            </w:pPr>
            <w:r>
              <w:rPr>
                <w:rFonts w:ascii="Arial" w:cs="Arial" w:eastAsia="Arial" w:hAnsi="Arial"/>
                <w:sz w:val="14"/>
                <w:szCs w:val="14"/>
                <w:color w:val="auto"/>
              </w:rPr>
              <w:t>375,070</w:t>
            </w:r>
          </w:p>
        </w:tc>
        <w:tc>
          <w:tcPr>
            <w:tcW w:w="1540" w:type="dxa"/>
            <w:vAlign w:val="bottom"/>
          </w:tcPr>
          <w:p>
            <w:pPr>
              <w:jc w:val="right"/>
              <w:ind w:right="369"/>
              <w:spacing w:after="0"/>
              <w:rPr>
                <w:sz w:val="20"/>
                <w:szCs w:val="20"/>
                <w:color w:val="auto"/>
              </w:rPr>
            </w:pPr>
            <w:r>
              <w:rPr>
                <w:rFonts w:ascii="Arial" w:cs="Arial" w:eastAsia="Arial" w:hAnsi="Arial"/>
                <w:sz w:val="14"/>
                <w:szCs w:val="14"/>
                <w:color w:val="auto"/>
              </w:rPr>
              <w:t>5,424</w:t>
            </w:r>
          </w:p>
        </w:tc>
        <w:tc>
          <w:tcPr>
            <w:tcW w:w="1460" w:type="dxa"/>
            <w:vAlign w:val="bottom"/>
          </w:tcPr>
          <w:p>
            <w:pPr>
              <w:jc w:val="right"/>
              <w:ind w:right="349"/>
              <w:spacing w:after="0"/>
              <w:rPr>
                <w:sz w:val="20"/>
                <w:szCs w:val="20"/>
                <w:color w:val="auto"/>
              </w:rPr>
            </w:pPr>
            <w:r>
              <w:rPr>
                <w:rFonts w:ascii="Arial" w:cs="Arial" w:eastAsia="Arial" w:hAnsi="Arial"/>
                <w:sz w:val="14"/>
                <w:szCs w:val="14"/>
                <w:color w:val="auto"/>
              </w:rPr>
              <w:t>750,139</w:t>
            </w:r>
          </w:p>
        </w:tc>
        <w:tc>
          <w:tcPr>
            <w:tcW w:w="1480" w:type="dxa"/>
            <w:vAlign w:val="bottom"/>
          </w:tcPr>
          <w:p>
            <w:pPr>
              <w:jc w:val="right"/>
              <w:ind w:right="329"/>
              <w:spacing w:after="0"/>
              <w:rPr>
                <w:sz w:val="20"/>
                <w:szCs w:val="20"/>
                <w:color w:val="auto"/>
              </w:rPr>
            </w:pPr>
            <w:r>
              <w:rPr>
                <w:rFonts w:ascii="Arial" w:cs="Arial" w:eastAsia="Arial" w:hAnsi="Arial"/>
                <w:sz w:val="14"/>
                <w:szCs w:val="14"/>
                <w:color w:val="auto"/>
              </w:rPr>
              <w:t>10,848</w:t>
            </w:r>
          </w:p>
        </w:tc>
        <w:tc>
          <w:tcPr>
            <w:tcW w:w="1500" w:type="dxa"/>
            <w:vAlign w:val="bottom"/>
          </w:tcPr>
          <w:p>
            <w:pPr>
              <w:jc w:val="right"/>
              <w:ind w:right="349"/>
              <w:spacing w:after="0"/>
              <w:rPr>
                <w:sz w:val="20"/>
                <w:szCs w:val="20"/>
                <w:color w:val="auto"/>
              </w:rPr>
            </w:pPr>
            <w:r>
              <w:rPr>
                <w:rFonts w:ascii="Arial" w:cs="Arial" w:eastAsia="Arial" w:hAnsi="Arial"/>
                <w:sz w:val="14"/>
                <w:szCs w:val="14"/>
                <w:color w:val="auto"/>
              </w:rPr>
              <w:t>1,500,278</w:t>
            </w:r>
          </w:p>
        </w:tc>
        <w:tc>
          <w:tcPr>
            <w:tcW w:w="1200" w:type="dxa"/>
            <w:vAlign w:val="bottom"/>
          </w:tcPr>
          <w:p>
            <w:pPr>
              <w:jc w:val="right"/>
              <w:spacing w:after="0"/>
              <w:rPr>
                <w:sz w:val="20"/>
                <w:szCs w:val="20"/>
                <w:color w:val="auto"/>
              </w:rPr>
            </w:pPr>
            <w:r>
              <w:rPr>
                <w:rFonts w:ascii="Arial" w:cs="Arial" w:eastAsia="Arial" w:hAnsi="Arial"/>
                <w:sz w:val="14"/>
                <w:szCs w:val="14"/>
                <w:color w:val="auto"/>
              </w:rPr>
              <w:t>21,696</w:t>
            </w:r>
          </w:p>
        </w:tc>
      </w:tr>
      <w:tr>
        <w:trPr>
          <w:trHeight w:val="257"/>
        </w:trPr>
        <w:tc>
          <w:tcPr>
            <w:tcW w:w="208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David Savman</w:t>
            </w:r>
          </w:p>
        </w:tc>
        <w:tc>
          <w:tcPr>
            <w:tcW w:w="1680" w:type="dxa"/>
            <w:vAlign w:val="bottom"/>
            <w:shd w:val="clear" w:color="auto" w:fill="E9F0F3"/>
          </w:tcPr>
          <w:p>
            <w:pPr>
              <w:jc w:val="right"/>
              <w:ind w:right="309"/>
              <w:spacing w:after="0"/>
              <w:rPr>
                <w:sz w:val="20"/>
                <w:szCs w:val="20"/>
                <w:color w:val="auto"/>
              </w:rPr>
            </w:pPr>
            <w:r>
              <w:rPr>
                <w:rFonts w:ascii="Arial" w:cs="Arial" w:eastAsia="Arial" w:hAnsi="Arial"/>
                <w:sz w:val="14"/>
                <w:szCs w:val="14"/>
                <w:color w:val="auto"/>
              </w:rPr>
              <w:t>387,517</w:t>
            </w:r>
          </w:p>
        </w:tc>
        <w:tc>
          <w:tcPr>
            <w:tcW w:w="1540" w:type="dxa"/>
            <w:vAlign w:val="bottom"/>
            <w:shd w:val="clear" w:color="auto" w:fill="E9F0F3"/>
          </w:tcPr>
          <w:p>
            <w:pPr>
              <w:jc w:val="right"/>
              <w:ind w:right="369"/>
              <w:spacing w:after="0"/>
              <w:rPr>
                <w:sz w:val="20"/>
                <w:szCs w:val="20"/>
                <w:color w:val="auto"/>
              </w:rPr>
            </w:pPr>
            <w:r>
              <w:rPr>
                <w:rFonts w:ascii="Arial" w:cs="Arial" w:eastAsia="Arial" w:hAnsi="Arial"/>
                <w:sz w:val="14"/>
                <w:szCs w:val="14"/>
                <w:color w:val="auto"/>
              </w:rPr>
              <w:t>5,604</w:t>
            </w:r>
          </w:p>
        </w:tc>
        <w:tc>
          <w:tcPr>
            <w:tcW w:w="1460" w:type="dxa"/>
            <w:vAlign w:val="bottom"/>
            <w:shd w:val="clear" w:color="auto" w:fill="E9F0F3"/>
          </w:tcPr>
          <w:p>
            <w:pPr>
              <w:jc w:val="right"/>
              <w:ind w:right="349"/>
              <w:spacing w:after="0"/>
              <w:rPr>
                <w:sz w:val="20"/>
                <w:szCs w:val="20"/>
                <w:color w:val="auto"/>
              </w:rPr>
            </w:pPr>
            <w:r>
              <w:rPr>
                <w:rFonts w:ascii="Arial" w:cs="Arial" w:eastAsia="Arial" w:hAnsi="Arial"/>
                <w:sz w:val="14"/>
                <w:szCs w:val="14"/>
                <w:color w:val="auto"/>
              </w:rPr>
              <w:t>775,033</w:t>
            </w:r>
          </w:p>
        </w:tc>
        <w:tc>
          <w:tcPr>
            <w:tcW w:w="1480" w:type="dxa"/>
            <w:vAlign w:val="bottom"/>
            <w:shd w:val="clear" w:color="auto" w:fill="E9F0F3"/>
          </w:tcPr>
          <w:p>
            <w:pPr>
              <w:jc w:val="right"/>
              <w:ind w:right="329"/>
              <w:spacing w:after="0"/>
              <w:rPr>
                <w:sz w:val="20"/>
                <w:szCs w:val="20"/>
                <w:color w:val="auto"/>
              </w:rPr>
            </w:pPr>
            <w:r>
              <w:rPr>
                <w:rFonts w:ascii="Arial" w:cs="Arial" w:eastAsia="Arial" w:hAnsi="Arial"/>
                <w:sz w:val="14"/>
                <w:szCs w:val="14"/>
                <w:color w:val="auto"/>
              </w:rPr>
              <w:t>11,208</w:t>
            </w:r>
          </w:p>
        </w:tc>
        <w:tc>
          <w:tcPr>
            <w:tcW w:w="1500" w:type="dxa"/>
            <w:vAlign w:val="bottom"/>
            <w:shd w:val="clear" w:color="auto" w:fill="E9F0F3"/>
          </w:tcPr>
          <w:p>
            <w:pPr>
              <w:jc w:val="right"/>
              <w:ind w:right="349"/>
              <w:spacing w:after="0"/>
              <w:rPr>
                <w:sz w:val="20"/>
                <w:szCs w:val="20"/>
                <w:color w:val="auto"/>
              </w:rPr>
            </w:pPr>
            <w:r>
              <w:rPr>
                <w:rFonts w:ascii="Arial" w:cs="Arial" w:eastAsia="Arial" w:hAnsi="Arial"/>
                <w:sz w:val="14"/>
                <w:szCs w:val="14"/>
                <w:color w:val="auto"/>
              </w:rPr>
              <w:t>1,550,066</w:t>
            </w:r>
          </w:p>
        </w:tc>
        <w:tc>
          <w:tcPr>
            <w:tcW w:w="1200" w:type="dxa"/>
            <w:vAlign w:val="bottom"/>
            <w:shd w:val="clear" w:color="auto" w:fill="E9F0F3"/>
          </w:tcPr>
          <w:p>
            <w:pPr>
              <w:jc w:val="right"/>
              <w:spacing w:after="0"/>
              <w:rPr>
                <w:sz w:val="20"/>
                <w:szCs w:val="20"/>
                <w:color w:val="auto"/>
              </w:rPr>
            </w:pPr>
            <w:r>
              <w:rPr>
                <w:rFonts w:ascii="Arial" w:cs="Arial" w:eastAsia="Arial" w:hAnsi="Arial"/>
                <w:sz w:val="14"/>
                <w:szCs w:val="14"/>
                <w:color w:val="auto"/>
              </w:rPr>
              <w:t>22,416</w:t>
            </w:r>
          </w:p>
        </w:tc>
      </w:tr>
      <w:tr>
        <w:trPr>
          <w:trHeight w:val="247"/>
        </w:trPr>
        <w:tc>
          <w:tcPr>
            <w:tcW w:w="2080" w:type="dxa"/>
            <w:vAlign w:val="bottom"/>
          </w:tcPr>
          <w:p>
            <w:pPr>
              <w:ind w:left="60"/>
              <w:spacing w:after="0"/>
              <w:rPr>
                <w:sz w:val="20"/>
                <w:szCs w:val="20"/>
                <w:color w:val="auto"/>
              </w:rPr>
            </w:pPr>
            <w:r>
              <w:rPr>
                <w:rFonts w:ascii="Arial" w:cs="Arial" w:eastAsia="Arial" w:hAnsi="Arial"/>
                <w:sz w:val="14"/>
                <w:szCs w:val="14"/>
                <w:b w:val="1"/>
                <w:bCs w:val="1"/>
                <w:color w:val="auto"/>
              </w:rPr>
              <w:t>Zachary J. Coughlin</w:t>
            </w:r>
            <w:r>
              <w:rPr>
                <w:rFonts w:ascii="Arial" w:cs="Arial" w:eastAsia="Arial" w:hAnsi="Arial"/>
                <w:sz w:val="16"/>
                <w:szCs w:val="16"/>
                <w:b w:val="1"/>
                <w:bCs w:val="1"/>
                <w:color w:val="auto"/>
                <w:vertAlign w:val="superscript"/>
              </w:rPr>
              <w:t>3</w:t>
            </w:r>
          </w:p>
        </w:tc>
        <w:tc>
          <w:tcPr>
            <w:tcW w:w="1680" w:type="dxa"/>
            <w:vAlign w:val="bottom"/>
          </w:tcPr>
          <w:p>
            <w:pPr>
              <w:jc w:val="right"/>
              <w:ind w:right="309"/>
              <w:spacing w:after="0"/>
              <w:rPr>
                <w:sz w:val="20"/>
                <w:szCs w:val="20"/>
                <w:color w:val="auto"/>
              </w:rPr>
            </w:pPr>
            <w:r>
              <w:rPr>
                <w:rFonts w:ascii="Arial" w:cs="Arial" w:eastAsia="Arial" w:hAnsi="Arial"/>
                <w:sz w:val="14"/>
                <w:szCs w:val="14"/>
                <w:color w:val="auto"/>
              </w:rPr>
              <w:t>975,015</w:t>
            </w:r>
          </w:p>
        </w:tc>
        <w:tc>
          <w:tcPr>
            <w:tcW w:w="1540" w:type="dxa"/>
            <w:vAlign w:val="bottom"/>
          </w:tcPr>
          <w:p>
            <w:pPr>
              <w:jc w:val="right"/>
              <w:ind w:right="369"/>
              <w:spacing w:after="0"/>
              <w:rPr>
                <w:sz w:val="20"/>
                <w:szCs w:val="20"/>
                <w:color w:val="auto"/>
              </w:rPr>
            </w:pPr>
            <w:r>
              <w:rPr>
                <w:rFonts w:ascii="Arial" w:cs="Arial" w:eastAsia="Arial" w:hAnsi="Arial"/>
                <w:sz w:val="14"/>
                <w:szCs w:val="14"/>
                <w:color w:val="auto"/>
              </w:rPr>
              <w:t>14,100</w:t>
            </w:r>
          </w:p>
        </w:tc>
        <w:tc>
          <w:tcPr>
            <w:tcW w:w="1460" w:type="dxa"/>
            <w:vAlign w:val="bottom"/>
          </w:tcPr>
          <w:p>
            <w:pPr>
              <w:jc w:val="right"/>
              <w:ind w:right="349"/>
              <w:spacing w:after="0"/>
              <w:rPr>
                <w:sz w:val="20"/>
                <w:szCs w:val="20"/>
                <w:color w:val="auto"/>
              </w:rPr>
            </w:pPr>
            <w:r>
              <w:rPr>
                <w:rFonts w:ascii="Arial" w:cs="Arial" w:eastAsia="Arial" w:hAnsi="Arial"/>
                <w:sz w:val="14"/>
                <w:szCs w:val="14"/>
                <w:color w:val="auto"/>
              </w:rPr>
              <w:t>1,950,030</w:t>
            </w:r>
          </w:p>
        </w:tc>
        <w:tc>
          <w:tcPr>
            <w:tcW w:w="1480" w:type="dxa"/>
            <w:vAlign w:val="bottom"/>
          </w:tcPr>
          <w:p>
            <w:pPr>
              <w:jc w:val="right"/>
              <w:ind w:right="329"/>
              <w:spacing w:after="0"/>
              <w:rPr>
                <w:sz w:val="20"/>
                <w:szCs w:val="20"/>
                <w:color w:val="auto"/>
              </w:rPr>
            </w:pPr>
            <w:r>
              <w:rPr>
                <w:rFonts w:ascii="Arial" w:cs="Arial" w:eastAsia="Arial" w:hAnsi="Arial"/>
                <w:sz w:val="14"/>
                <w:szCs w:val="14"/>
                <w:color w:val="auto"/>
              </w:rPr>
              <w:t>28,200</w:t>
            </w:r>
          </w:p>
        </w:tc>
        <w:tc>
          <w:tcPr>
            <w:tcW w:w="1500" w:type="dxa"/>
            <w:vAlign w:val="bottom"/>
          </w:tcPr>
          <w:p>
            <w:pPr>
              <w:jc w:val="right"/>
              <w:ind w:right="349"/>
              <w:spacing w:after="0"/>
              <w:rPr>
                <w:sz w:val="20"/>
                <w:szCs w:val="20"/>
                <w:color w:val="auto"/>
              </w:rPr>
            </w:pPr>
            <w:r>
              <w:rPr>
                <w:rFonts w:ascii="Arial" w:cs="Arial" w:eastAsia="Arial" w:hAnsi="Arial"/>
                <w:sz w:val="14"/>
                <w:szCs w:val="14"/>
                <w:color w:val="auto"/>
              </w:rPr>
              <w:t>3,900,060</w:t>
            </w:r>
          </w:p>
        </w:tc>
        <w:tc>
          <w:tcPr>
            <w:tcW w:w="1200" w:type="dxa"/>
            <w:vAlign w:val="bottom"/>
          </w:tcPr>
          <w:p>
            <w:pPr>
              <w:jc w:val="right"/>
              <w:spacing w:after="0"/>
              <w:rPr>
                <w:sz w:val="20"/>
                <w:szCs w:val="20"/>
                <w:color w:val="auto"/>
              </w:rPr>
            </w:pPr>
            <w:r>
              <w:rPr>
                <w:rFonts w:ascii="Arial" w:cs="Arial" w:eastAsia="Arial" w:hAnsi="Arial"/>
                <w:sz w:val="14"/>
                <w:szCs w:val="14"/>
                <w:color w:val="auto"/>
              </w:rPr>
              <w:t>56,400</w:t>
            </w:r>
          </w:p>
        </w:tc>
      </w:tr>
      <w:tr>
        <w:trPr>
          <w:trHeight w:val="247"/>
        </w:trPr>
        <w:tc>
          <w:tcPr>
            <w:tcW w:w="208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Eva Serrano</w:t>
            </w:r>
            <w:r>
              <w:rPr>
                <w:rFonts w:ascii="Arial" w:cs="Arial" w:eastAsia="Arial" w:hAnsi="Arial"/>
                <w:sz w:val="16"/>
                <w:szCs w:val="16"/>
                <w:b w:val="1"/>
                <w:bCs w:val="1"/>
                <w:color w:val="auto"/>
                <w:vertAlign w:val="superscript"/>
              </w:rPr>
              <w:t>3</w:t>
            </w:r>
          </w:p>
        </w:tc>
        <w:tc>
          <w:tcPr>
            <w:tcW w:w="1680" w:type="dxa"/>
            <w:vAlign w:val="bottom"/>
            <w:shd w:val="clear" w:color="auto" w:fill="E9F0F3"/>
          </w:tcPr>
          <w:p>
            <w:pPr>
              <w:jc w:val="right"/>
              <w:ind w:right="309"/>
              <w:spacing w:after="0"/>
              <w:rPr>
                <w:sz w:val="20"/>
                <w:szCs w:val="20"/>
                <w:color w:val="auto"/>
              </w:rPr>
            </w:pPr>
            <w:r>
              <w:rPr>
                <w:rFonts w:ascii="Arial" w:cs="Arial" w:eastAsia="Arial" w:hAnsi="Arial"/>
                <w:sz w:val="14"/>
                <w:szCs w:val="14"/>
                <w:color w:val="auto"/>
              </w:rPr>
              <w:t>425,134</w:t>
            </w:r>
          </w:p>
        </w:tc>
        <w:tc>
          <w:tcPr>
            <w:tcW w:w="1540" w:type="dxa"/>
            <w:vAlign w:val="bottom"/>
            <w:shd w:val="clear" w:color="auto" w:fill="E9F0F3"/>
          </w:tcPr>
          <w:p>
            <w:pPr>
              <w:jc w:val="right"/>
              <w:ind w:right="369"/>
              <w:spacing w:after="0"/>
              <w:rPr>
                <w:sz w:val="20"/>
                <w:szCs w:val="20"/>
                <w:color w:val="auto"/>
              </w:rPr>
            </w:pPr>
            <w:r>
              <w:rPr>
                <w:rFonts w:ascii="Arial" w:cs="Arial" w:eastAsia="Arial" w:hAnsi="Arial"/>
                <w:sz w:val="14"/>
                <w:szCs w:val="14"/>
                <w:color w:val="auto"/>
              </w:rPr>
              <w:t>6,148</w:t>
            </w:r>
          </w:p>
        </w:tc>
        <w:tc>
          <w:tcPr>
            <w:tcW w:w="1460" w:type="dxa"/>
            <w:vAlign w:val="bottom"/>
            <w:shd w:val="clear" w:color="auto" w:fill="E9F0F3"/>
          </w:tcPr>
          <w:p>
            <w:pPr>
              <w:jc w:val="right"/>
              <w:ind w:right="349"/>
              <w:spacing w:after="0"/>
              <w:rPr>
                <w:sz w:val="20"/>
                <w:szCs w:val="20"/>
                <w:color w:val="auto"/>
              </w:rPr>
            </w:pPr>
            <w:r>
              <w:rPr>
                <w:rFonts w:ascii="Arial" w:cs="Arial" w:eastAsia="Arial" w:hAnsi="Arial"/>
                <w:sz w:val="14"/>
                <w:szCs w:val="14"/>
                <w:color w:val="auto"/>
              </w:rPr>
              <w:t>850,268</w:t>
            </w:r>
          </w:p>
        </w:tc>
        <w:tc>
          <w:tcPr>
            <w:tcW w:w="1480" w:type="dxa"/>
            <w:vAlign w:val="bottom"/>
            <w:shd w:val="clear" w:color="auto" w:fill="E9F0F3"/>
          </w:tcPr>
          <w:p>
            <w:pPr>
              <w:jc w:val="right"/>
              <w:ind w:right="329"/>
              <w:spacing w:after="0"/>
              <w:rPr>
                <w:sz w:val="20"/>
                <w:szCs w:val="20"/>
                <w:color w:val="auto"/>
              </w:rPr>
            </w:pPr>
            <w:r>
              <w:rPr>
                <w:rFonts w:ascii="Arial" w:cs="Arial" w:eastAsia="Arial" w:hAnsi="Arial"/>
                <w:sz w:val="14"/>
                <w:szCs w:val="14"/>
                <w:color w:val="auto"/>
              </w:rPr>
              <w:t>12,296</w:t>
            </w:r>
          </w:p>
        </w:tc>
        <w:tc>
          <w:tcPr>
            <w:tcW w:w="1500" w:type="dxa"/>
            <w:vAlign w:val="bottom"/>
            <w:shd w:val="clear" w:color="auto" w:fill="E9F0F3"/>
          </w:tcPr>
          <w:p>
            <w:pPr>
              <w:jc w:val="right"/>
              <w:ind w:right="349"/>
              <w:spacing w:after="0"/>
              <w:rPr>
                <w:sz w:val="20"/>
                <w:szCs w:val="20"/>
                <w:color w:val="auto"/>
              </w:rPr>
            </w:pPr>
            <w:r>
              <w:rPr>
                <w:rFonts w:ascii="Arial" w:cs="Arial" w:eastAsia="Arial" w:hAnsi="Arial"/>
                <w:sz w:val="14"/>
                <w:szCs w:val="14"/>
                <w:color w:val="auto"/>
              </w:rPr>
              <w:t>1,700,537</w:t>
            </w:r>
          </w:p>
        </w:tc>
        <w:tc>
          <w:tcPr>
            <w:tcW w:w="1200" w:type="dxa"/>
            <w:vAlign w:val="bottom"/>
            <w:shd w:val="clear" w:color="auto" w:fill="E9F0F3"/>
          </w:tcPr>
          <w:p>
            <w:pPr>
              <w:jc w:val="right"/>
              <w:spacing w:after="0"/>
              <w:rPr>
                <w:sz w:val="20"/>
                <w:szCs w:val="20"/>
                <w:color w:val="auto"/>
              </w:rPr>
            </w:pPr>
            <w:r>
              <w:rPr>
                <w:rFonts w:ascii="Arial" w:cs="Arial" w:eastAsia="Arial" w:hAnsi="Arial"/>
                <w:sz w:val="14"/>
                <w:szCs w:val="14"/>
                <w:color w:val="auto"/>
              </w:rPr>
              <w:t>24,592</w:t>
            </w:r>
          </w:p>
        </w:tc>
      </w:tr>
    </w:tbl>
    <w:p>
      <w:pPr>
        <w:spacing w:after="0" w:line="157" w:lineRule="exact"/>
        <w:rPr>
          <w:sz w:val="20"/>
          <w:szCs w:val="20"/>
          <w:color w:val="auto"/>
        </w:rPr>
      </w:pPr>
    </w:p>
    <w:p>
      <w:pPr>
        <w:ind w:left="160" w:right="140" w:hanging="149"/>
        <w:spacing w:after="0" w:line="252" w:lineRule="auto"/>
        <w:tabs>
          <w:tab w:leader="none" w:pos="167"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award values are equal to the number of shares multiplied by $69.15, the closing price of our common stock on the grant date. The award values are not calculated in the same manner as the grant date fair values we are required to include in the Summary Compensation Table, which begins on page 60.</w:t>
      </w:r>
    </w:p>
    <w:p>
      <w:pPr>
        <w:spacing w:after="0" w:line="16" w:lineRule="exact"/>
        <w:rPr>
          <w:sz w:val="20"/>
          <w:szCs w:val="20"/>
          <w:color w:val="auto"/>
        </w:rPr>
      </w:pPr>
    </w:p>
    <w:p>
      <w:pPr>
        <w:ind w:left="160" w:right="460" w:hanging="149"/>
        <w:spacing w:after="0" w:line="252" w:lineRule="auto"/>
        <w:tabs>
          <w:tab w:leader="none" w:pos="167" w:val="left"/>
        </w:tabs>
        <w:numPr>
          <w:ilvl w:val="0"/>
          <w:numId w:val="84"/>
        </w:numPr>
        <w:rPr>
          <w:rFonts w:ascii="Arial" w:cs="Arial" w:eastAsia="Arial" w:hAnsi="Arial"/>
          <w:sz w:val="13"/>
          <w:szCs w:val="13"/>
          <w:color w:val="auto"/>
        </w:rPr>
      </w:pPr>
      <w:r>
        <w:rPr>
          <w:rFonts w:ascii="Arial" w:cs="Arial" w:eastAsia="Arial" w:hAnsi="Arial"/>
          <w:sz w:val="13"/>
          <w:szCs w:val="13"/>
          <w:color w:val="auto"/>
        </w:rPr>
        <w:t>Ms. Stone was not in her role as Interim Chief Financial Officer at the time annual awards of PSUs were made and, in her role as Executive Vice President, Global Financial Planning and Analysis, she was not eligible for a PSU grant.</w:t>
      </w:r>
    </w:p>
    <w:p>
      <w:pPr>
        <w:spacing w:after="0" w:line="16" w:lineRule="exact"/>
        <w:rPr>
          <w:sz w:val="20"/>
          <w:szCs w:val="20"/>
          <w:color w:val="auto"/>
        </w:rPr>
      </w:pPr>
    </w:p>
    <w:p>
      <w:pPr>
        <w:ind w:left="180" w:hanging="169"/>
        <w:spacing w:after="0"/>
        <w:tabs>
          <w:tab w:leader="none" w:pos="180" w:val="left"/>
        </w:tabs>
        <w:numPr>
          <w:ilvl w:val="0"/>
          <w:numId w:val="85"/>
        </w:numPr>
        <w:rPr>
          <w:rFonts w:ascii="Arial" w:cs="Arial" w:eastAsia="Arial" w:hAnsi="Arial"/>
          <w:sz w:val="13"/>
          <w:szCs w:val="13"/>
          <w:color w:val="auto"/>
        </w:rPr>
      </w:pPr>
      <w:r>
        <w:rPr>
          <w:rFonts w:ascii="Arial" w:cs="Arial" w:eastAsia="Arial" w:hAnsi="Arial"/>
          <w:sz w:val="13"/>
          <w:szCs w:val="13"/>
          <w:color w:val="auto"/>
        </w:rPr>
        <w:t>Mr. Coughlin forfeited his 2025 awards when he voluntarily resigned without good reason and left the company on December 31, 2025.</w:t>
      </w:r>
    </w:p>
    <w:p>
      <w:pPr>
        <w:spacing w:after="0" w:line="38"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color w:val="auto"/>
        </w:rPr>
        <w:t>4  Ms. Serrano forfeited her 2025 awards when she was separated from the company on December 31, 2025.</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6D98AD"/>
        </w:rPr>
        <w:t>Pay for Performance</w:t>
      </w:r>
    </w:p>
    <w:p>
      <w:pPr>
        <w:spacing w:after="0" w:line="61" w:lineRule="exact"/>
        <w:rPr>
          <w:sz w:val="20"/>
          <w:szCs w:val="20"/>
          <w:color w:val="auto"/>
        </w:rPr>
      </w:pPr>
    </w:p>
    <w:p>
      <w:pPr>
        <w:ind w:left="20" w:right="320"/>
        <w:spacing w:after="0" w:line="282" w:lineRule="auto"/>
        <w:rPr>
          <w:sz w:val="20"/>
          <w:szCs w:val="20"/>
          <w:color w:val="auto"/>
        </w:rPr>
      </w:pPr>
      <w:r>
        <w:rPr>
          <w:rFonts w:ascii="Arial" w:cs="Arial" w:eastAsia="Arial" w:hAnsi="Arial"/>
          <w:sz w:val="14"/>
          <w:szCs w:val="14"/>
          <w:color w:val="auto"/>
        </w:rPr>
        <w:t>We consider PSU award payouts to be part of the compensation paid to the NEOs in the last full year of the performance cycle even though the relative TSR performance periods do not align with fiscal years. As such, the payouts of the awards granted in April 2023 are considered part of the applicable NEO’s 2025 compensation.</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Payouts of Prior Performance Share Unit Awards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Payouts of Performance Share Unit Awards for the 2023 – 2026 Performance Cycle</w:t>
      </w:r>
    </w:p>
    <w:p>
      <w:pPr>
        <w:spacing w:after="0" w:line="108" w:lineRule="exact"/>
        <w:rPr>
          <w:sz w:val="20"/>
          <w:szCs w:val="20"/>
          <w:color w:val="auto"/>
        </w:rPr>
      </w:pPr>
    </w:p>
    <w:p>
      <w:pPr>
        <w:ind w:left="20" w:right="320"/>
        <w:spacing w:after="0" w:line="264" w:lineRule="auto"/>
        <w:rPr>
          <w:sz w:val="20"/>
          <w:szCs w:val="20"/>
          <w:color w:val="auto"/>
        </w:rPr>
      </w:pPr>
      <w:r>
        <w:rPr>
          <w:rFonts w:ascii="Arial" w:cs="Arial" w:eastAsia="Arial" w:hAnsi="Arial"/>
          <w:sz w:val="14"/>
          <w:szCs w:val="14"/>
          <w:color w:val="auto"/>
        </w:rPr>
        <w:t>We made awards of PSUs in 2023. Messrs. Larsson, Savman and Coughlin and Ms. Serrano were among those who received awards. These awards were subject to achievement of average ROIC over a three-year performance period, and relative TSR against prescribed targets over a three-year performance period. The performance goals for these cycles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220" w:type="dxa"/>
            <w:vAlign w:val="bottom"/>
            <w:shd w:val="clear" w:color="auto" w:fill="99B7C6"/>
          </w:tcPr>
          <w:p>
            <w:pPr>
              <w:spacing w:after="0"/>
              <w:rPr>
                <w:sz w:val="22"/>
                <w:szCs w:val="22"/>
                <w:color w:val="auto"/>
              </w:rPr>
            </w:pPr>
          </w:p>
        </w:tc>
        <w:tc>
          <w:tcPr>
            <w:tcW w:w="1780" w:type="dxa"/>
            <w:vAlign w:val="bottom"/>
            <w:shd w:val="clear" w:color="auto" w:fill="99B7C6"/>
          </w:tcPr>
          <w:p>
            <w:pPr>
              <w:ind w:left="660"/>
              <w:spacing w:after="0"/>
              <w:rPr>
                <w:sz w:val="20"/>
                <w:szCs w:val="20"/>
                <w:color w:val="auto"/>
              </w:rPr>
            </w:pPr>
            <w:r>
              <w:rPr>
                <w:rFonts w:ascii="Arial" w:cs="Arial" w:eastAsia="Arial" w:hAnsi="Arial"/>
                <w:sz w:val="14"/>
                <w:szCs w:val="14"/>
                <w:b w:val="1"/>
                <w:bCs w:val="1"/>
                <w:color w:val="FFFFFF"/>
              </w:rPr>
              <w:t>Weight</w:t>
            </w:r>
          </w:p>
        </w:tc>
        <w:tc>
          <w:tcPr>
            <w:tcW w:w="1880" w:type="dxa"/>
            <w:vAlign w:val="bottom"/>
            <w:shd w:val="clear" w:color="auto" w:fill="99B7C6"/>
          </w:tcPr>
          <w:p>
            <w:pPr>
              <w:ind w:left="660"/>
              <w:spacing w:after="0"/>
              <w:rPr>
                <w:sz w:val="20"/>
                <w:szCs w:val="20"/>
                <w:color w:val="auto"/>
              </w:rPr>
            </w:pPr>
            <w:r>
              <w:rPr>
                <w:rFonts w:ascii="Arial" w:cs="Arial" w:eastAsia="Arial" w:hAnsi="Arial"/>
                <w:sz w:val="14"/>
                <w:szCs w:val="14"/>
                <w:b w:val="1"/>
                <w:bCs w:val="1"/>
                <w:color w:val="FFFFFF"/>
              </w:rPr>
              <w:t>Threshold</w:t>
            </w:r>
          </w:p>
        </w:tc>
        <w:tc>
          <w:tcPr>
            <w:tcW w:w="1640" w:type="dxa"/>
            <w:vAlign w:val="bottom"/>
            <w:shd w:val="clear" w:color="auto" w:fill="99B7C6"/>
          </w:tcPr>
          <w:p>
            <w:pPr>
              <w:ind w:left="540"/>
              <w:spacing w:after="0"/>
              <w:rPr>
                <w:sz w:val="20"/>
                <w:szCs w:val="20"/>
                <w:color w:val="auto"/>
              </w:rPr>
            </w:pPr>
            <w:r>
              <w:rPr>
                <w:rFonts w:ascii="Arial" w:cs="Arial" w:eastAsia="Arial" w:hAnsi="Arial"/>
                <w:sz w:val="14"/>
                <w:szCs w:val="14"/>
                <w:b w:val="1"/>
                <w:bCs w:val="1"/>
                <w:color w:val="FFFFFF"/>
              </w:rPr>
              <w:t>Target</w:t>
            </w:r>
          </w:p>
        </w:tc>
        <w:tc>
          <w:tcPr>
            <w:tcW w:w="2420" w:type="dxa"/>
            <w:vAlign w:val="bottom"/>
            <w:shd w:val="clear" w:color="auto" w:fill="99B7C6"/>
          </w:tcPr>
          <w:p>
            <w:pPr>
              <w:ind w:left="660"/>
              <w:spacing w:after="0"/>
              <w:rPr>
                <w:sz w:val="20"/>
                <w:szCs w:val="20"/>
                <w:color w:val="auto"/>
              </w:rPr>
            </w:pPr>
            <w:r>
              <w:rPr>
                <w:rFonts w:ascii="Arial" w:cs="Arial" w:eastAsia="Arial" w:hAnsi="Arial"/>
                <w:sz w:val="14"/>
                <w:szCs w:val="14"/>
                <w:b w:val="1"/>
                <w:bCs w:val="1"/>
                <w:color w:val="FFFFFF"/>
              </w:rPr>
              <w:t>Maximum</w:t>
            </w:r>
          </w:p>
        </w:tc>
      </w:tr>
      <w:tr>
        <w:trPr>
          <w:trHeight w:val="247"/>
        </w:trPr>
        <w:tc>
          <w:tcPr>
            <w:tcW w:w="322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Average ROIC (three-year)</w:t>
            </w:r>
          </w:p>
        </w:tc>
        <w:tc>
          <w:tcPr>
            <w:tcW w:w="1780" w:type="dxa"/>
            <w:vAlign w:val="bottom"/>
            <w:shd w:val="clear" w:color="auto" w:fill="E9F0F3"/>
          </w:tcPr>
          <w:p>
            <w:pPr>
              <w:ind w:left="660"/>
              <w:spacing w:after="0"/>
              <w:rPr>
                <w:sz w:val="20"/>
                <w:szCs w:val="20"/>
                <w:color w:val="auto"/>
              </w:rPr>
            </w:pPr>
            <w:r>
              <w:rPr>
                <w:rFonts w:ascii="Arial" w:cs="Arial" w:eastAsia="Arial" w:hAnsi="Arial"/>
                <w:sz w:val="14"/>
                <w:szCs w:val="14"/>
                <w:color w:val="auto"/>
              </w:rPr>
              <w:t>50%</w:t>
            </w:r>
          </w:p>
        </w:tc>
        <w:tc>
          <w:tcPr>
            <w:tcW w:w="1880" w:type="dxa"/>
            <w:vAlign w:val="bottom"/>
            <w:shd w:val="clear" w:color="auto" w:fill="E9F0F3"/>
          </w:tcPr>
          <w:p>
            <w:pPr>
              <w:ind w:left="660"/>
              <w:spacing w:after="0"/>
              <w:rPr>
                <w:sz w:val="20"/>
                <w:szCs w:val="20"/>
                <w:color w:val="auto"/>
              </w:rPr>
            </w:pPr>
            <w:r>
              <w:rPr>
                <w:rFonts w:ascii="Arial" w:cs="Arial" w:eastAsia="Arial" w:hAnsi="Arial"/>
                <w:sz w:val="14"/>
                <w:szCs w:val="14"/>
                <w:color w:val="auto"/>
              </w:rPr>
              <w:t>30%</w:t>
            </w:r>
          </w:p>
        </w:tc>
        <w:tc>
          <w:tcPr>
            <w:tcW w:w="1640" w:type="dxa"/>
            <w:vAlign w:val="bottom"/>
            <w:shd w:val="clear" w:color="auto" w:fill="E9F0F3"/>
          </w:tcPr>
          <w:p>
            <w:pPr>
              <w:ind w:left="540"/>
              <w:spacing w:after="0"/>
              <w:rPr>
                <w:sz w:val="20"/>
                <w:szCs w:val="20"/>
                <w:color w:val="auto"/>
              </w:rPr>
            </w:pPr>
            <w:r>
              <w:rPr>
                <w:rFonts w:ascii="Arial" w:cs="Arial" w:eastAsia="Arial" w:hAnsi="Arial"/>
                <w:sz w:val="14"/>
                <w:szCs w:val="14"/>
                <w:color w:val="auto"/>
              </w:rPr>
              <w:t>34%</w:t>
            </w:r>
          </w:p>
        </w:tc>
        <w:tc>
          <w:tcPr>
            <w:tcW w:w="2420" w:type="dxa"/>
            <w:vAlign w:val="bottom"/>
            <w:shd w:val="clear" w:color="auto" w:fill="E9F0F3"/>
          </w:tcPr>
          <w:p>
            <w:pPr>
              <w:ind w:left="660"/>
              <w:spacing w:after="0"/>
              <w:rPr>
                <w:sz w:val="20"/>
                <w:szCs w:val="20"/>
                <w:color w:val="auto"/>
              </w:rPr>
            </w:pPr>
            <w:r>
              <w:rPr>
                <w:rFonts w:ascii="Arial" w:cs="Arial" w:eastAsia="Arial" w:hAnsi="Arial"/>
                <w:sz w:val="14"/>
                <w:szCs w:val="14"/>
                <w:color w:val="auto"/>
              </w:rPr>
              <w:t>38%</w:t>
            </w:r>
          </w:p>
        </w:tc>
      </w:tr>
      <w:tr>
        <w:trPr>
          <w:trHeight w:val="229"/>
        </w:trPr>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Relative TSR (percentile) (three-year)</w:t>
            </w:r>
          </w:p>
        </w:tc>
        <w:tc>
          <w:tcPr>
            <w:tcW w:w="1780" w:type="dxa"/>
            <w:vAlign w:val="bottom"/>
          </w:tcPr>
          <w:p>
            <w:pPr>
              <w:ind w:left="660"/>
              <w:spacing w:after="0"/>
              <w:rPr>
                <w:sz w:val="20"/>
                <w:szCs w:val="20"/>
                <w:color w:val="auto"/>
              </w:rPr>
            </w:pPr>
            <w:r>
              <w:rPr>
                <w:rFonts w:ascii="Arial" w:cs="Arial" w:eastAsia="Arial" w:hAnsi="Arial"/>
                <w:sz w:val="14"/>
                <w:szCs w:val="14"/>
                <w:color w:val="auto"/>
              </w:rPr>
              <w:t>50%</w:t>
            </w:r>
          </w:p>
        </w:tc>
        <w:tc>
          <w:tcPr>
            <w:tcW w:w="1880" w:type="dxa"/>
            <w:vAlign w:val="bottom"/>
          </w:tcPr>
          <w:p>
            <w:pPr>
              <w:ind w:left="660"/>
              <w:spacing w:after="0"/>
              <w:rPr>
                <w:sz w:val="20"/>
                <w:szCs w:val="20"/>
                <w:color w:val="auto"/>
              </w:rPr>
            </w:pPr>
            <w:r>
              <w:rPr>
                <w:rFonts w:ascii="Arial" w:cs="Arial" w:eastAsia="Arial" w:hAnsi="Arial"/>
                <w:sz w:val="14"/>
                <w:szCs w:val="14"/>
                <w:color w:val="auto"/>
              </w:rPr>
              <w:t>30th</w:t>
            </w:r>
          </w:p>
        </w:tc>
        <w:tc>
          <w:tcPr>
            <w:tcW w:w="1640" w:type="dxa"/>
            <w:vAlign w:val="bottom"/>
          </w:tcPr>
          <w:p>
            <w:pPr>
              <w:ind w:left="540"/>
              <w:spacing w:after="0"/>
              <w:rPr>
                <w:sz w:val="20"/>
                <w:szCs w:val="20"/>
                <w:color w:val="auto"/>
              </w:rPr>
            </w:pPr>
            <w:r>
              <w:rPr>
                <w:rFonts w:ascii="Arial" w:cs="Arial" w:eastAsia="Arial" w:hAnsi="Arial"/>
                <w:sz w:val="14"/>
                <w:szCs w:val="14"/>
                <w:color w:val="auto"/>
              </w:rPr>
              <w:t>55th</w:t>
            </w:r>
          </w:p>
        </w:tc>
        <w:tc>
          <w:tcPr>
            <w:tcW w:w="2420" w:type="dxa"/>
            <w:vAlign w:val="bottom"/>
          </w:tcPr>
          <w:p>
            <w:pPr>
              <w:ind w:left="660"/>
              <w:spacing w:after="0"/>
              <w:rPr>
                <w:sz w:val="20"/>
                <w:szCs w:val="20"/>
                <w:color w:val="auto"/>
              </w:rPr>
            </w:pPr>
            <w:r>
              <w:rPr>
                <w:rFonts w:ascii="Arial" w:cs="Arial" w:eastAsia="Arial" w:hAnsi="Arial"/>
                <w:sz w:val="14"/>
                <w:szCs w:val="14"/>
                <w:color w:val="auto"/>
              </w:rPr>
              <w:t>80th</w:t>
            </w:r>
          </w:p>
        </w:tc>
      </w:tr>
    </w:tbl>
    <w:p>
      <w:pPr>
        <w:spacing w:after="0" w:line="171" w:lineRule="exact"/>
        <w:rPr>
          <w:sz w:val="20"/>
          <w:szCs w:val="20"/>
          <w:color w:val="auto"/>
        </w:rPr>
      </w:pPr>
    </w:p>
    <w:p>
      <w:pPr>
        <w:jc w:val="both"/>
        <w:ind w:left="20" w:right="20"/>
        <w:spacing w:after="0" w:line="282" w:lineRule="auto"/>
        <w:rPr>
          <w:sz w:val="20"/>
          <w:szCs w:val="20"/>
          <w:color w:val="auto"/>
        </w:rPr>
      </w:pPr>
      <w:r>
        <w:rPr>
          <w:rFonts w:ascii="Arial" w:cs="Arial" w:eastAsia="Arial" w:hAnsi="Arial"/>
          <w:sz w:val="14"/>
          <w:szCs w:val="14"/>
          <w:color w:val="auto"/>
        </w:rPr>
        <w:t>Our average ROIC and relative TSR were 34.12% and 43rd percentile respectively. As a result, Messrs. Larsson and Savman and Ms. Serrano received payouts on a straight-line interpolation between threshold and target levels,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520" w:type="dxa"/>
            <w:vAlign w:val="bottom"/>
            <w:shd w:val="clear" w:color="auto" w:fill="99B7C6"/>
          </w:tcPr>
          <w:p>
            <w:pPr>
              <w:spacing w:after="0"/>
              <w:rPr>
                <w:sz w:val="22"/>
                <w:szCs w:val="22"/>
                <w:color w:val="auto"/>
              </w:rPr>
            </w:pPr>
          </w:p>
        </w:tc>
        <w:tc>
          <w:tcPr>
            <w:tcW w:w="1880" w:type="dxa"/>
            <w:vAlign w:val="bottom"/>
            <w:shd w:val="clear" w:color="auto" w:fill="6D98AD"/>
          </w:tcPr>
          <w:p>
            <w:pPr>
              <w:spacing w:after="0"/>
              <w:rPr>
                <w:sz w:val="22"/>
                <w:szCs w:val="22"/>
                <w:color w:val="auto"/>
              </w:rPr>
            </w:pPr>
          </w:p>
        </w:tc>
        <w:tc>
          <w:tcPr>
            <w:tcW w:w="1580" w:type="dxa"/>
            <w:vAlign w:val="bottom"/>
            <w:shd w:val="clear" w:color="auto" w:fill="6D98AD"/>
          </w:tcPr>
          <w:p>
            <w:pPr>
              <w:jc w:val="right"/>
              <w:ind w:right="149"/>
              <w:spacing w:after="0"/>
              <w:rPr>
                <w:sz w:val="20"/>
                <w:szCs w:val="20"/>
                <w:color w:val="auto"/>
              </w:rPr>
            </w:pPr>
            <w:r>
              <w:rPr>
                <w:rFonts w:ascii="Arial" w:cs="Arial" w:eastAsia="Arial" w:hAnsi="Arial"/>
                <w:sz w:val="14"/>
                <w:szCs w:val="14"/>
                <w:b w:val="1"/>
                <w:bCs w:val="1"/>
                <w:color w:val="FFFFFF"/>
              </w:rPr>
              <w:t>Shares (#)</w:t>
            </w:r>
          </w:p>
        </w:tc>
        <w:tc>
          <w:tcPr>
            <w:tcW w:w="1380" w:type="dxa"/>
            <w:vAlign w:val="bottom"/>
            <w:shd w:val="clear" w:color="auto" w:fill="6D98AD"/>
          </w:tcPr>
          <w:p>
            <w:pPr>
              <w:spacing w:after="0"/>
              <w:rPr>
                <w:sz w:val="22"/>
                <w:szCs w:val="22"/>
                <w:color w:val="auto"/>
              </w:rPr>
            </w:pPr>
          </w:p>
        </w:tc>
        <w:tc>
          <w:tcPr>
            <w:tcW w:w="1100" w:type="dxa"/>
            <w:vAlign w:val="bottom"/>
            <w:shd w:val="clear" w:color="auto" w:fill="6D98AD"/>
          </w:tcPr>
          <w:p>
            <w:pPr>
              <w:spacing w:after="0"/>
              <w:rPr>
                <w:sz w:val="22"/>
                <w:szCs w:val="22"/>
                <w:color w:val="auto"/>
              </w:rPr>
            </w:pPr>
          </w:p>
        </w:tc>
        <w:tc>
          <w:tcPr>
            <w:tcW w:w="1480" w:type="dxa"/>
            <w:vAlign w:val="bottom"/>
            <w:shd w:val="clear" w:color="auto" w:fill="99B7C6"/>
          </w:tcPr>
          <w:p>
            <w:pPr>
              <w:jc w:val="right"/>
              <w:spacing w:after="0"/>
              <w:rPr>
                <w:sz w:val="20"/>
                <w:szCs w:val="20"/>
                <w:color w:val="auto"/>
              </w:rPr>
            </w:pPr>
            <w:r>
              <w:rPr>
                <w:rFonts w:ascii="Arial" w:cs="Arial" w:eastAsia="Arial" w:hAnsi="Arial"/>
                <w:sz w:val="14"/>
                <w:szCs w:val="14"/>
                <w:b w:val="1"/>
                <w:bCs w:val="1"/>
                <w:color w:val="FFFFFF"/>
              </w:rPr>
              <w:t>Amount ($)</w:t>
            </w:r>
          </w:p>
        </w:tc>
      </w:tr>
      <w:tr>
        <w:trPr>
          <w:trHeight w:val="259"/>
        </w:trPr>
        <w:tc>
          <w:tcPr>
            <w:tcW w:w="3520" w:type="dxa"/>
            <w:vAlign w:val="bottom"/>
            <w:shd w:val="clear" w:color="auto" w:fill="99B7C6"/>
          </w:tcPr>
          <w:p>
            <w:pPr>
              <w:ind w:left="60"/>
              <w:spacing w:after="0"/>
              <w:rPr>
                <w:sz w:val="20"/>
                <w:szCs w:val="20"/>
                <w:color w:val="auto"/>
              </w:rPr>
            </w:pPr>
            <w:r>
              <w:rPr>
                <w:rFonts w:ascii="Arial" w:cs="Arial" w:eastAsia="Arial" w:hAnsi="Arial"/>
                <w:sz w:val="14"/>
                <w:szCs w:val="14"/>
                <w:b w:val="1"/>
                <w:bCs w:val="1"/>
                <w:color w:val="FFFFFF"/>
              </w:rPr>
              <w:t>Name</w:t>
            </w:r>
          </w:p>
        </w:tc>
        <w:tc>
          <w:tcPr>
            <w:tcW w:w="1880" w:type="dxa"/>
            <w:vAlign w:val="bottom"/>
            <w:shd w:val="clear" w:color="auto" w:fill="8AADBD"/>
          </w:tcPr>
          <w:p>
            <w:pPr>
              <w:jc w:val="right"/>
              <w:ind w:right="449"/>
              <w:spacing w:after="0"/>
              <w:rPr>
                <w:sz w:val="20"/>
                <w:szCs w:val="20"/>
                <w:color w:val="auto"/>
              </w:rPr>
            </w:pPr>
            <w:r>
              <w:rPr>
                <w:rFonts w:ascii="Arial" w:cs="Arial" w:eastAsia="Arial" w:hAnsi="Arial"/>
                <w:sz w:val="14"/>
                <w:szCs w:val="14"/>
                <w:b w:val="1"/>
                <w:bCs w:val="1"/>
                <w:color w:val="FFFFFF"/>
              </w:rPr>
              <w:t>Threshold</w:t>
            </w:r>
          </w:p>
        </w:tc>
        <w:tc>
          <w:tcPr>
            <w:tcW w:w="1580" w:type="dxa"/>
            <w:vAlign w:val="bottom"/>
            <w:shd w:val="clear" w:color="auto" w:fill="8AADBD"/>
          </w:tcPr>
          <w:p>
            <w:pPr>
              <w:jc w:val="right"/>
              <w:ind w:right="549"/>
              <w:spacing w:after="0"/>
              <w:rPr>
                <w:sz w:val="20"/>
                <w:szCs w:val="20"/>
                <w:color w:val="auto"/>
              </w:rPr>
            </w:pPr>
            <w:r>
              <w:rPr>
                <w:rFonts w:ascii="Arial" w:cs="Arial" w:eastAsia="Arial" w:hAnsi="Arial"/>
                <w:sz w:val="14"/>
                <w:szCs w:val="14"/>
                <w:b w:val="1"/>
                <w:bCs w:val="1"/>
                <w:color w:val="FFFFFF"/>
              </w:rPr>
              <w:t>Target</w:t>
            </w:r>
          </w:p>
        </w:tc>
        <w:tc>
          <w:tcPr>
            <w:tcW w:w="1380" w:type="dxa"/>
            <w:vAlign w:val="bottom"/>
            <w:shd w:val="clear" w:color="auto" w:fill="8AADBD"/>
          </w:tcPr>
          <w:p>
            <w:pPr>
              <w:jc w:val="right"/>
              <w:ind w:right="449"/>
              <w:spacing w:after="0"/>
              <w:rPr>
                <w:sz w:val="20"/>
                <w:szCs w:val="20"/>
                <w:color w:val="auto"/>
              </w:rPr>
            </w:pPr>
            <w:r>
              <w:rPr>
                <w:rFonts w:ascii="Arial" w:cs="Arial" w:eastAsia="Arial" w:hAnsi="Arial"/>
                <w:sz w:val="14"/>
                <w:szCs w:val="14"/>
                <w:b w:val="1"/>
                <w:bCs w:val="1"/>
                <w:color w:val="FFFFFF"/>
              </w:rPr>
              <w:t>Maximum</w:t>
            </w:r>
          </w:p>
        </w:tc>
        <w:tc>
          <w:tcPr>
            <w:tcW w:w="1100" w:type="dxa"/>
            <w:vAlign w:val="bottom"/>
            <w:shd w:val="clear" w:color="auto" w:fill="8AADBD"/>
          </w:tcPr>
          <w:p>
            <w:pPr>
              <w:jc w:val="right"/>
              <w:ind w:right="69"/>
              <w:spacing w:after="0"/>
              <w:rPr>
                <w:sz w:val="20"/>
                <w:szCs w:val="20"/>
                <w:color w:val="auto"/>
              </w:rPr>
            </w:pPr>
            <w:r>
              <w:rPr>
                <w:rFonts w:ascii="Arial" w:cs="Arial" w:eastAsia="Arial" w:hAnsi="Arial"/>
                <w:sz w:val="14"/>
                <w:szCs w:val="14"/>
                <w:b w:val="1"/>
                <w:bCs w:val="1"/>
                <w:color w:val="FFFFFF"/>
              </w:rPr>
              <w:t>Actual</w:t>
            </w:r>
          </w:p>
        </w:tc>
        <w:tc>
          <w:tcPr>
            <w:tcW w:w="1480" w:type="dxa"/>
            <w:vAlign w:val="bottom"/>
            <w:shd w:val="clear" w:color="auto" w:fill="99B7C6"/>
          </w:tcPr>
          <w:p>
            <w:pPr>
              <w:jc w:val="right"/>
              <w:spacing w:after="0"/>
              <w:rPr>
                <w:sz w:val="20"/>
                <w:szCs w:val="20"/>
                <w:color w:val="auto"/>
              </w:rPr>
            </w:pPr>
            <w:r>
              <w:rPr>
                <w:rFonts w:ascii="Arial" w:cs="Arial" w:eastAsia="Arial" w:hAnsi="Arial"/>
                <w:sz w:val="14"/>
                <w:szCs w:val="14"/>
                <w:b w:val="1"/>
                <w:bCs w:val="1"/>
                <w:color w:val="FFFFFF"/>
              </w:rPr>
              <w:t>Actual</w:t>
            </w:r>
          </w:p>
        </w:tc>
      </w:tr>
      <w:tr>
        <w:trPr>
          <w:trHeight w:val="247"/>
        </w:trPr>
        <w:tc>
          <w:tcPr>
            <w:tcW w:w="352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Stefan Larsson</w:t>
            </w:r>
          </w:p>
        </w:tc>
        <w:tc>
          <w:tcPr>
            <w:tcW w:w="1880" w:type="dxa"/>
            <w:vAlign w:val="bottom"/>
            <w:shd w:val="clear" w:color="auto" w:fill="E9F0F3"/>
          </w:tcPr>
          <w:p>
            <w:pPr>
              <w:jc w:val="right"/>
              <w:ind w:right="449"/>
              <w:spacing w:after="0"/>
              <w:rPr>
                <w:sz w:val="20"/>
                <w:szCs w:val="20"/>
                <w:color w:val="auto"/>
              </w:rPr>
            </w:pPr>
            <w:r>
              <w:rPr>
                <w:rFonts w:ascii="Arial" w:cs="Arial" w:eastAsia="Arial" w:hAnsi="Arial"/>
                <w:sz w:val="14"/>
                <w:szCs w:val="14"/>
                <w:color w:val="auto"/>
              </w:rPr>
              <w:t>28,804</w:t>
            </w:r>
          </w:p>
        </w:tc>
        <w:tc>
          <w:tcPr>
            <w:tcW w:w="1580" w:type="dxa"/>
            <w:vAlign w:val="bottom"/>
            <w:shd w:val="clear" w:color="auto" w:fill="E9F0F3"/>
          </w:tcPr>
          <w:p>
            <w:pPr>
              <w:jc w:val="right"/>
              <w:ind w:right="549"/>
              <w:spacing w:after="0"/>
              <w:rPr>
                <w:sz w:val="20"/>
                <w:szCs w:val="20"/>
                <w:color w:val="auto"/>
              </w:rPr>
            </w:pPr>
            <w:r>
              <w:rPr>
                <w:rFonts w:ascii="Arial" w:cs="Arial" w:eastAsia="Arial" w:hAnsi="Arial"/>
                <w:sz w:val="14"/>
                <w:szCs w:val="14"/>
                <w:color w:val="auto"/>
              </w:rPr>
              <w:t>57,608</w:t>
            </w:r>
          </w:p>
        </w:tc>
        <w:tc>
          <w:tcPr>
            <w:tcW w:w="1380" w:type="dxa"/>
            <w:vAlign w:val="bottom"/>
            <w:shd w:val="clear" w:color="auto" w:fill="E9F0F3"/>
          </w:tcPr>
          <w:p>
            <w:pPr>
              <w:jc w:val="right"/>
              <w:ind w:right="449"/>
              <w:spacing w:after="0"/>
              <w:rPr>
                <w:sz w:val="20"/>
                <w:szCs w:val="20"/>
                <w:color w:val="auto"/>
              </w:rPr>
            </w:pPr>
            <w:r>
              <w:rPr>
                <w:rFonts w:ascii="Arial" w:cs="Arial" w:eastAsia="Arial" w:hAnsi="Arial"/>
                <w:sz w:val="14"/>
                <w:szCs w:val="14"/>
                <w:color w:val="auto"/>
              </w:rPr>
              <w:t>115,216</w:t>
            </w:r>
          </w:p>
        </w:tc>
        <w:tc>
          <w:tcPr>
            <w:tcW w:w="110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51,537</w:t>
            </w:r>
          </w:p>
        </w:tc>
        <w:tc>
          <w:tcPr>
            <w:tcW w:w="14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4,165,736</w:t>
            </w:r>
          </w:p>
        </w:tc>
      </w:tr>
      <w:tr>
        <w:trPr>
          <w:trHeight w:val="238"/>
        </w:trPr>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David Savman</w:t>
            </w:r>
          </w:p>
        </w:tc>
        <w:tc>
          <w:tcPr>
            <w:tcW w:w="1880" w:type="dxa"/>
            <w:vAlign w:val="bottom"/>
          </w:tcPr>
          <w:p>
            <w:pPr>
              <w:jc w:val="right"/>
              <w:ind w:right="449"/>
              <w:spacing w:after="0"/>
              <w:rPr>
                <w:sz w:val="20"/>
                <w:szCs w:val="20"/>
                <w:color w:val="auto"/>
              </w:rPr>
            </w:pPr>
            <w:r>
              <w:rPr>
                <w:rFonts w:ascii="Arial" w:cs="Arial" w:eastAsia="Arial" w:hAnsi="Arial"/>
                <w:sz w:val="14"/>
                <w:szCs w:val="14"/>
                <w:color w:val="auto"/>
              </w:rPr>
              <w:t>1,682</w:t>
            </w:r>
          </w:p>
        </w:tc>
        <w:tc>
          <w:tcPr>
            <w:tcW w:w="1580" w:type="dxa"/>
            <w:vAlign w:val="bottom"/>
          </w:tcPr>
          <w:p>
            <w:pPr>
              <w:jc w:val="right"/>
              <w:ind w:right="549"/>
              <w:spacing w:after="0"/>
              <w:rPr>
                <w:sz w:val="20"/>
                <w:szCs w:val="20"/>
                <w:color w:val="auto"/>
              </w:rPr>
            </w:pPr>
            <w:r>
              <w:rPr>
                <w:rFonts w:ascii="Arial" w:cs="Arial" w:eastAsia="Arial" w:hAnsi="Arial"/>
                <w:sz w:val="14"/>
                <w:szCs w:val="14"/>
                <w:color w:val="auto"/>
              </w:rPr>
              <w:t>3,364</w:t>
            </w:r>
          </w:p>
        </w:tc>
        <w:tc>
          <w:tcPr>
            <w:tcW w:w="1380" w:type="dxa"/>
            <w:vAlign w:val="bottom"/>
          </w:tcPr>
          <w:p>
            <w:pPr>
              <w:jc w:val="right"/>
              <w:ind w:right="449"/>
              <w:spacing w:after="0"/>
              <w:rPr>
                <w:sz w:val="20"/>
                <w:szCs w:val="20"/>
                <w:color w:val="auto"/>
              </w:rPr>
            </w:pPr>
            <w:r>
              <w:rPr>
                <w:rFonts w:ascii="Arial" w:cs="Arial" w:eastAsia="Arial" w:hAnsi="Arial"/>
                <w:sz w:val="14"/>
                <w:szCs w:val="14"/>
                <w:color w:val="auto"/>
              </w:rPr>
              <w:t>6,728</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3,010</w:t>
            </w:r>
          </w:p>
        </w:tc>
        <w:tc>
          <w:tcPr>
            <w:tcW w:w="1480" w:type="dxa"/>
            <w:vAlign w:val="bottom"/>
          </w:tcPr>
          <w:p>
            <w:pPr>
              <w:jc w:val="right"/>
              <w:spacing w:after="0"/>
              <w:rPr>
                <w:sz w:val="20"/>
                <w:szCs w:val="20"/>
                <w:color w:val="auto"/>
              </w:rPr>
            </w:pPr>
            <w:r>
              <w:rPr>
                <w:rFonts w:ascii="Arial" w:cs="Arial" w:eastAsia="Arial" w:hAnsi="Arial"/>
                <w:sz w:val="14"/>
                <w:szCs w:val="14"/>
                <w:color w:val="auto"/>
              </w:rPr>
              <w:t>243,298</w:t>
            </w:r>
          </w:p>
        </w:tc>
      </w:tr>
      <w:tr>
        <w:trPr>
          <w:trHeight w:val="257"/>
        </w:trPr>
        <w:tc>
          <w:tcPr>
            <w:tcW w:w="352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Zachary J. Coughlin</w:t>
            </w:r>
            <w:r>
              <w:rPr>
                <w:rFonts w:ascii="Arial" w:cs="Arial" w:eastAsia="Arial" w:hAnsi="Arial"/>
                <w:sz w:val="16"/>
                <w:szCs w:val="16"/>
                <w:b w:val="1"/>
                <w:bCs w:val="1"/>
                <w:color w:val="auto"/>
                <w:vertAlign w:val="superscript"/>
              </w:rPr>
              <w:t>1</w:t>
            </w:r>
          </w:p>
        </w:tc>
        <w:tc>
          <w:tcPr>
            <w:tcW w:w="1880" w:type="dxa"/>
            <w:vAlign w:val="bottom"/>
            <w:shd w:val="clear" w:color="auto" w:fill="E9F0F3"/>
          </w:tcPr>
          <w:p>
            <w:pPr>
              <w:jc w:val="right"/>
              <w:ind w:right="449"/>
              <w:spacing w:after="0"/>
              <w:rPr>
                <w:sz w:val="20"/>
                <w:szCs w:val="20"/>
                <w:color w:val="auto"/>
              </w:rPr>
            </w:pPr>
            <w:r>
              <w:rPr>
                <w:rFonts w:ascii="Arial" w:cs="Arial" w:eastAsia="Arial" w:hAnsi="Arial"/>
                <w:sz w:val="14"/>
                <w:szCs w:val="14"/>
                <w:color w:val="auto"/>
              </w:rPr>
              <w:t>7,928</w:t>
            </w:r>
          </w:p>
        </w:tc>
        <w:tc>
          <w:tcPr>
            <w:tcW w:w="1580" w:type="dxa"/>
            <w:vAlign w:val="bottom"/>
            <w:shd w:val="clear" w:color="auto" w:fill="E9F0F3"/>
          </w:tcPr>
          <w:p>
            <w:pPr>
              <w:jc w:val="right"/>
              <w:ind w:right="549"/>
              <w:spacing w:after="0"/>
              <w:rPr>
                <w:sz w:val="20"/>
                <w:szCs w:val="20"/>
                <w:color w:val="auto"/>
              </w:rPr>
            </w:pPr>
            <w:r>
              <w:rPr>
                <w:rFonts w:ascii="Arial" w:cs="Arial" w:eastAsia="Arial" w:hAnsi="Arial"/>
                <w:sz w:val="14"/>
                <w:szCs w:val="14"/>
                <w:color w:val="auto"/>
              </w:rPr>
              <w:t>15,856</w:t>
            </w:r>
          </w:p>
        </w:tc>
        <w:tc>
          <w:tcPr>
            <w:tcW w:w="1380" w:type="dxa"/>
            <w:vAlign w:val="bottom"/>
            <w:shd w:val="clear" w:color="auto" w:fill="E9F0F3"/>
          </w:tcPr>
          <w:p>
            <w:pPr>
              <w:jc w:val="right"/>
              <w:ind w:right="449"/>
              <w:spacing w:after="0"/>
              <w:rPr>
                <w:sz w:val="20"/>
                <w:szCs w:val="20"/>
                <w:color w:val="auto"/>
              </w:rPr>
            </w:pPr>
            <w:r>
              <w:rPr>
                <w:rFonts w:ascii="Arial" w:cs="Arial" w:eastAsia="Arial" w:hAnsi="Arial"/>
                <w:sz w:val="14"/>
                <w:szCs w:val="14"/>
                <w:color w:val="auto"/>
              </w:rPr>
              <w:t>31,712</w:t>
            </w:r>
          </w:p>
        </w:tc>
        <w:tc>
          <w:tcPr>
            <w:tcW w:w="110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0</w:t>
            </w:r>
          </w:p>
        </w:tc>
        <w:tc>
          <w:tcPr>
            <w:tcW w:w="14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0</w:t>
            </w:r>
          </w:p>
        </w:tc>
      </w:tr>
      <w:tr>
        <w:trPr>
          <w:trHeight w:val="259"/>
        </w:trPr>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Eva Serrano</w:t>
            </w:r>
            <w:r>
              <w:rPr>
                <w:rFonts w:ascii="Arial" w:cs="Arial" w:eastAsia="Arial" w:hAnsi="Arial"/>
                <w:sz w:val="16"/>
                <w:szCs w:val="16"/>
                <w:b w:val="1"/>
                <w:bCs w:val="1"/>
                <w:color w:val="auto"/>
                <w:vertAlign w:val="superscript"/>
              </w:rPr>
              <w:t>2</w:t>
            </w:r>
          </w:p>
        </w:tc>
        <w:tc>
          <w:tcPr>
            <w:tcW w:w="1880" w:type="dxa"/>
            <w:vAlign w:val="bottom"/>
          </w:tcPr>
          <w:p>
            <w:pPr>
              <w:jc w:val="right"/>
              <w:ind w:right="449"/>
              <w:spacing w:after="0"/>
              <w:rPr>
                <w:sz w:val="20"/>
                <w:szCs w:val="20"/>
                <w:color w:val="auto"/>
              </w:rPr>
            </w:pPr>
            <w:r>
              <w:rPr>
                <w:rFonts w:ascii="Arial" w:cs="Arial" w:eastAsia="Arial" w:hAnsi="Arial"/>
                <w:sz w:val="14"/>
                <w:szCs w:val="14"/>
                <w:color w:val="auto"/>
              </w:rPr>
              <w:t>3,292</w:t>
            </w:r>
          </w:p>
        </w:tc>
        <w:tc>
          <w:tcPr>
            <w:tcW w:w="1580" w:type="dxa"/>
            <w:vAlign w:val="bottom"/>
          </w:tcPr>
          <w:p>
            <w:pPr>
              <w:jc w:val="right"/>
              <w:ind w:right="549"/>
              <w:spacing w:after="0"/>
              <w:rPr>
                <w:sz w:val="20"/>
                <w:szCs w:val="20"/>
                <w:color w:val="auto"/>
              </w:rPr>
            </w:pPr>
            <w:r>
              <w:rPr>
                <w:rFonts w:ascii="Arial" w:cs="Arial" w:eastAsia="Arial" w:hAnsi="Arial"/>
                <w:sz w:val="14"/>
                <w:szCs w:val="14"/>
                <w:color w:val="auto"/>
              </w:rPr>
              <w:t>6,583</w:t>
            </w:r>
          </w:p>
        </w:tc>
        <w:tc>
          <w:tcPr>
            <w:tcW w:w="1380" w:type="dxa"/>
            <w:vAlign w:val="bottom"/>
          </w:tcPr>
          <w:p>
            <w:pPr>
              <w:jc w:val="right"/>
              <w:ind w:right="449"/>
              <w:spacing w:after="0"/>
              <w:rPr>
                <w:sz w:val="20"/>
                <w:szCs w:val="20"/>
                <w:color w:val="auto"/>
              </w:rPr>
            </w:pPr>
            <w:r>
              <w:rPr>
                <w:rFonts w:ascii="Arial" w:cs="Arial" w:eastAsia="Arial" w:hAnsi="Arial"/>
                <w:sz w:val="14"/>
                <w:szCs w:val="14"/>
                <w:color w:val="auto"/>
              </w:rPr>
              <w:t>13,166</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5,890</w:t>
            </w:r>
          </w:p>
        </w:tc>
        <w:tc>
          <w:tcPr>
            <w:tcW w:w="1480" w:type="dxa"/>
            <w:vAlign w:val="bottom"/>
          </w:tcPr>
          <w:p>
            <w:pPr>
              <w:jc w:val="right"/>
              <w:spacing w:after="0"/>
              <w:rPr>
                <w:sz w:val="20"/>
                <w:szCs w:val="20"/>
                <w:color w:val="auto"/>
              </w:rPr>
            </w:pPr>
            <w:r>
              <w:rPr>
                <w:rFonts w:ascii="Arial" w:cs="Arial" w:eastAsia="Arial" w:hAnsi="Arial"/>
                <w:sz w:val="14"/>
                <w:szCs w:val="14"/>
                <w:color w:val="auto"/>
              </w:rPr>
              <w:t>476,089</w:t>
            </w: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3"/>
          <w:szCs w:val="13"/>
          <w:color w:val="auto"/>
        </w:rPr>
        <w:t>1  Mr. Coughlin’s award was forfeited upon his voluntary resignation without good reason on December 31, 2025.</w:t>
      </w:r>
    </w:p>
    <w:p>
      <w:pPr>
        <w:spacing w:after="0" w:line="39" w:lineRule="exact"/>
        <w:rPr>
          <w:sz w:val="20"/>
          <w:szCs w:val="20"/>
          <w:color w:val="auto"/>
        </w:rPr>
      </w:pPr>
    </w:p>
    <w:p>
      <w:pPr>
        <w:ind w:left="160" w:right="260" w:hanging="149"/>
        <w:spacing w:after="0" w:line="252" w:lineRule="auto"/>
        <w:tabs>
          <w:tab w:leader="none" w:pos="167"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shares and amount corresponding to Ms. Serrano’s potential and actual payouts were prorated to reflect the actual number of days she was employed during the applicable performance cycles.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 xml:space="preserve">52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749CAB"/>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695515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60" w:top="127" w:right="499" w:bottom="1440" w:gutter="0" w:footer="0" w:header="0"/>
        </w:sectPr>
      </w:pPr>
    </w:p>
    <w:bookmarkStart w:id="55" w:name="page56"/>
    <w:bookmarkEnd w:id="55"/>
    <w:p>
      <w:pPr>
        <w:ind w:left="20"/>
        <w:spacing w:after="0"/>
        <w:rPr>
          <w:sz w:val="20"/>
          <w:szCs w:val="20"/>
          <w:color w:val="auto"/>
        </w:rPr>
      </w:pPr>
      <w:r>
        <w:rPr>
          <w:rFonts w:ascii="Arial" w:cs="Arial" w:eastAsia="Arial" w:hAnsi="Arial"/>
          <w:sz w:val="28"/>
          <w:szCs w:val="28"/>
          <w:b w:val="1"/>
          <w:bCs w:val="1"/>
          <w:color w:val="6D98AD"/>
        </w:rPr>
        <w:t>Competitive Pay for Performance</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Compensation Peer Group</w:t>
      </w:r>
    </w:p>
    <w:p>
      <w:pPr>
        <w:spacing w:after="0" w:line="120" w:lineRule="exact"/>
        <w:rPr>
          <w:sz w:val="20"/>
          <w:szCs w:val="20"/>
          <w:color w:val="auto"/>
        </w:rPr>
      </w:pPr>
    </w:p>
    <w:p>
      <w:pPr>
        <w:ind w:left="20" w:right="60"/>
        <w:spacing w:after="0" w:line="255" w:lineRule="auto"/>
        <w:rPr>
          <w:sz w:val="20"/>
          <w:szCs w:val="20"/>
          <w:color w:val="auto"/>
        </w:rPr>
      </w:pPr>
      <w:r>
        <w:rPr>
          <w:rFonts w:ascii="Arial" w:cs="Arial" w:eastAsia="Arial" w:hAnsi="Arial"/>
          <w:sz w:val="14"/>
          <w:szCs w:val="14"/>
          <w:color w:val="auto"/>
        </w:rPr>
        <w:t>All of the companies in the compensation peer group are involved in the wholesale or retail sales of apparel and related products, use similar channels of distribution, and are comparable in size to PVH. The Compensation Committee reviews, considers, and approves the peer group annually after receiving input from our independent compensation consultant regarding potential additions to or deletions from the group. Factors deliberated include changes to a peer company’s business that make it less comparable to us; pending acquisitions involving a peer company; a material change in a peer company’s financial condition or results of operations; and a diminution in the amount and quality of compensation information available regarding a peer company’s executives.</w:t>
      </w:r>
    </w:p>
    <w:p>
      <w:pPr>
        <w:spacing w:after="0" w:line="87" w:lineRule="exact"/>
        <w:rPr>
          <w:sz w:val="20"/>
          <w:szCs w:val="20"/>
          <w:color w:val="auto"/>
        </w:rPr>
      </w:pPr>
    </w:p>
    <w:p>
      <w:pPr>
        <w:ind w:left="20" w:right="440"/>
        <w:spacing w:after="0" w:line="282" w:lineRule="auto"/>
        <w:rPr>
          <w:sz w:val="20"/>
          <w:szCs w:val="20"/>
          <w:color w:val="auto"/>
        </w:rPr>
      </w:pPr>
      <w:r>
        <w:rPr>
          <w:rFonts w:ascii="Arial" w:cs="Arial" w:eastAsia="Arial" w:hAnsi="Arial"/>
          <w:sz w:val="14"/>
          <w:szCs w:val="14"/>
          <w:color w:val="auto"/>
        </w:rPr>
        <w:t>The Compensation Committee considers compensation benchmark data from peer companies. The Committee does not tie NEO compensation to any particular level in comparison to the compensation peer group. Instead, the compensation benchmark data is used to ensure our compensation remains competitive.</w:t>
      </w:r>
    </w:p>
    <w:p>
      <w:pPr>
        <w:spacing w:after="0" w:line="57" w:lineRule="exact"/>
        <w:rPr>
          <w:sz w:val="20"/>
          <w:szCs w:val="20"/>
          <w:color w:val="auto"/>
        </w:rPr>
      </w:pPr>
    </w:p>
    <w:p>
      <w:pPr>
        <w:ind w:left="20" w:right="220"/>
        <w:spacing w:after="0" w:line="282" w:lineRule="auto"/>
        <w:rPr>
          <w:sz w:val="20"/>
          <w:szCs w:val="20"/>
          <w:color w:val="auto"/>
        </w:rPr>
      </w:pPr>
      <w:r>
        <w:rPr>
          <w:rFonts w:ascii="Arial" w:cs="Arial" w:eastAsia="Arial" w:hAnsi="Arial"/>
          <w:sz w:val="14"/>
          <w:szCs w:val="14"/>
          <w:color w:val="auto"/>
        </w:rPr>
        <w:t>The compensation peer group companies (when selected) had revenues for their most recently completed fiscal years between approximately 50% and 250% of our annual revenue, as shown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40" w:type="dxa"/>
            <w:vAlign w:val="bottom"/>
            <w:shd w:val="clear" w:color="auto" w:fill="99B7C6"/>
          </w:tcPr>
          <w:p>
            <w:pPr>
              <w:spacing w:after="0"/>
              <w:rPr>
                <w:sz w:val="15"/>
                <w:szCs w:val="15"/>
                <w:color w:val="auto"/>
              </w:rPr>
            </w:pPr>
          </w:p>
        </w:tc>
        <w:tc>
          <w:tcPr>
            <w:tcW w:w="3920" w:type="dxa"/>
            <w:vAlign w:val="bottom"/>
            <w:shd w:val="clear" w:color="auto" w:fill="99B7C6"/>
          </w:tcPr>
          <w:p>
            <w:pPr>
              <w:spacing w:after="0"/>
              <w:rPr>
                <w:sz w:val="15"/>
                <w:szCs w:val="15"/>
                <w:color w:val="auto"/>
              </w:rPr>
            </w:pPr>
          </w:p>
        </w:tc>
        <w:tc>
          <w:tcPr>
            <w:tcW w:w="1680" w:type="dxa"/>
            <w:vAlign w:val="bottom"/>
            <w:shd w:val="clear" w:color="auto" w:fill="99B7C6"/>
          </w:tcPr>
          <w:p>
            <w:pPr>
              <w:jc w:val="right"/>
              <w:ind w:right="153"/>
              <w:spacing w:after="0"/>
              <w:rPr>
                <w:sz w:val="20"/>
                <w:szCs w:val="20"/>
                <w:color w:val="auto"/>
              </w:rPr>
            </w:pPr>
            <w:r>
              <w:rPr>
                <w:rFonts w:ascii="Arial" w:cs="Arial" w:eastAsia="Arial" w:hAnsi="Arial"/>
                <w:sz w:val="11"/>
                <w:szCs w:val="11"/>
                <w:b w:val="1"/>
                <w:bCs w:val="1"/>
                <w:color w:val="FFFFFF"/>
              </w:rPr>
              <w:t>Most Recent</w:t>
            </w:r>
          </w:p>
        </w:tc>
        <w:tc>
          <w:tcPr>
            <w:tcW w:w="840" w:type="dxa"/>
            <w:vAlign w:val="bottom"/>
            <w:shd w:val="clear" w:color="auto" w:fill="99B7C6"/>
          </w:tcPr>
          <w:p>
            <w:pPr>
              <w:jc w:val="right"/>
              <w:ind w:right="33"/>
              <w:spacing w:after="0"/>
              <w:rPr>
                <w:sz w:val="20"/>
                <w:szCs w:val="20"/>
                <w:color w:val="auto"/>
              </w:rPr>
            </w:pPr>
            <w:r>
              <w:rPr>
                <w:rFonts w:ascii="Arial" w:cs="Arial" w:eastAsia="Arial" w:hAnsi="Arial"/>
                <w:sz w:val="11"/>
                <w:szCs w:val="11"/>
                <w:b w:val="1"/>
                <w:bCs w:val="1"/>
                <w:color w:val="FFFFFF"/>
              </w:rPr>
              <w:t>Enterprise</w:t>
            </w:r>
          </w:p>
        </w:tc>
      </w:tr>
      <w:tr>
        <w:trPr>
          <w:trHeight w:val="118"/>
        </w:trPr>
        <w:tc>
          <w:tcPr>
            <w:tcW w:w="2440" w:type="dxa"/>
            <w:vAlign w:val="bottom"/>
            <w:shd w:val="clear" w:color="auto" w:fill="99B7C6"/>
          </w:tcPr>
          <w:p>
            <w:pPr>
              <w:spacing w:after="0"/>
              <w:rPr>
                <w:sz w:val="10"/>
                <w:szCs w:val="10"/>
                <w:color w:val="auto"/>
              </w:rPr>
            </w:pPr>
          </w:p>
        </w:tc>
        <w:tc>
          <w:tcPr>
            <w:tcW w:w="3920" w:type="dxa"/>
            <w:vAlign w:val="bottom"/>
            <w:shd w:val="clear" w:color="auto" w:fill="99B7C6"/>
          </w:tcPr>
          <w:p>
            <w:pPr>
              <w:spacing w:after="0"/>
              <w:rPr>
                <w:sz w:val="10"/>
                <w:szCs w:val="10"/>
                <w:color w:val="auto"/>
              </w:rPr>
            </w:pPr>
          </w:p>
        </w:tc>
        <w:tc>
          <w:tcPr>
            <w:tcW w:w="1680" w:type="dxa"/>
            <w:vAlign w:val="bottom"/>
            <w:shd w:val="clear" w:color="auto" w:fill="99B7C6"/>
          </w:tcPr>
          <w:p>
            <w:pPr>
              <w:jc w:val="right"/>
              <w:ind w:right="153"/>
              <w:spacing w:after="0" w:line="118" w:lineRule="exact"/>
              <w:rPr>
                <w:sz w:val="20"/>
                <w:szCs w:val="20"/>
                <w:color w:val="auto"/>
              </w:rPr>
            </w:pPr>
            <w:r>
              <w:rPr>
                <w:rFonts w:ascii="Arial" w:cs="Arial" w:eastAsia="Arial" w:hAnsi="Arial"/>
                <w:sz w:val="11"/>
                <w:szCs w:val="11"/>
                <w:b w:val="1"/>
                <w:bCs w:val="1"/>
                <w:color w:val="FFFFFF"/>
              </w:rPr>
              <w:t>Fiscal Year</w:t>
            </w:r>
          </w:p>
        </w:tc>
        <w:tc>
          <w:tcPr>
            <w:tcW w:w="840" w:type="dxa"/>
            <w:vAlign w:val="bottom"/>
            <w:shd w:val="clear" w:color="auto" w:fill="99B7C6"/>
          </w:tcPr>
          <w:p>
            <w:pPr>
              <w:jc w:val="right"/>
              <w:spacing w:after="0" w:line="118" w:lineRule="exact"/>
              <w:rPr>
                <w:sz w:val="20"/>
                <w:szCs w:val="20"/>
                <w:color w:val="auto"/>
              </w:rPr>
            </w:pPr>
            <w:r>
              <w:rPr>
                <w:rFonts w:ascii="Arial" w:cs="Arial" w:eastAsia="Arial" w:hAnsi="Arial"/>
                <w:sz w:val="11"/>
                <w:szCs w:val="11"/>
                <w:b w:val="1"/>
                <w:bCs w:val="1"/>
                <w:color w:val="FFFFFF"/>
              </w:rPr>
              <w:t>Value</w:t>
            </w:r>
          </w:p>
        </w:tc>
      </w:tr>
      <w:tr>
        <w:trPr>
          <w:trHeight w:val="128"/>
        </w:trPr>
        <w:tc>
          <w:tcPr>
            <w:tcW w:w="2440" w:type="dxa"/>
            <w:vAlign w:val="bottom"/>
            <w:shd w:val="clear" w:color="auto" w:fill="99B7C6"/>
          </w:tcPr>
          <w:p>
            <w:pPr>
              <w:spacing w:after="0"/>
              <w:rPr>
                <w:sz w:val="11"/>
                <w:szCs w:val="11"/>
                <w:color w:val="auto"/>
              </w:rPr>
            </w:pPr>
          </w:p>
        </w:tc>
        <w:tc>
          <w:tcPr>
            <w:tcW w:w="3920" w:type="dxa"/>
            <w:vAlign w:val="bottom"/>
            <w:shd w:val="clear" w:color="auto" w:fill="99B7C6"/>
          </w:tcPr>
          <w:p>
            <w:pPr>
              <w:spacing w:after="0"/>
              <w:rPr>
                <w:sz w:val="11"/>
                <w:szCs w:val="11"/>
                <w:color w:val="auto"/>
              </w:rPr>
            </w:pPr>
          </w:p>
        </w:tc>
        <w:tc>
          <w:tcPr>
            <w:tcW w:w="1680" w:type="dxa"/>
            <w:vAlign w:val="bottom"/>
            <w:shd w:val="clear" w:color="auto" w:fill="99B7C6"/>
          </w:tcPr>
          <w:p>
            <w:pPr>
              <w:jc w:val="right"/>
              <w:ind w:right="133"/>
              <w:spacing w:after="0"/>
              <w:rPr>
                <w:sz w:val="20"/>
                <w:szCs w:val="20"/>
                <w:color w:val="auto"/>
              </w:rPr>
            </w:pPr>
            <w:r>
              <w:rPr>
                <w:rFonts w:ascii="Arial" w:cs="Arial" w:eastAsia="Arial" w:hAnsi="Arial"/>
                <w:sz w:val="11"/>
                <w:szCs w:val="11"/>
                <w:b w:val="1"/>
                <w:bCs w:val="1"/>
                <w:color w:val="FFFFFF"/>
              </w:rPr>
              <w:t>Revenue</w:t>
            </w:r>
          </w:p>
        </w:tc>
        <w:tc>
          <w:tcPr>
            <w:tcW w:w="840" w:type="dxa"/>
            <w:vAlign w:val="bottom"/>
            <w:shd w:val="clear" w:color="auto" w:fill="99B7C6"/>
          </w:tcPr>
          <w:p>
            <w:pPr>
              <w:jc w:val="right"/>
              <w:spacing w:after="0"/>
              <w:rPr>
                <w:sz w:val="20"/>
                <w:szCs w:val="20"/>
                <w:color w:val="auto"/>
              </w:rPr>
            </w:pPr>
            <w:r>
              <w:rPr>
                <w:rFonts w:ascii="Arial" w:cs="Arial" w:eastAsia="Arial" w:hAnsi="Arial"/>
                <w:sz w:val="11"/>
                <w:szCs w:val="11"/>
                <w:b w:val="1"/>
                <w:bCs w:val="1"/>
                <w:color w:val="FFFFFF"/>
              </w:rPr>
              <w:t>as of 2/1/26</w:t>
            </w:r>
          </w:p>
        </w:tc>
      </w:tr>
      <w:tr>
        <w:trPr>
          <w:trHeight w:val="158"/>
        </w:trPr>
        <w:tc>
          <w:tcPr>
            <w:tcW w:w="2440" w:type="dxa"/>
            <w:vAlign w:val="bottom"/>
            <w:shd w:val="clear" w:color="auto" w:fill="99B7C6"/>
          </w:tcPr>
          <w:p>
            <w:pPr>
              <w:ind w:left="80"/>
              <w:spacing w:after="0"/>
              <w:rPr>
                <w:sz w:val="20"/>
                <w:szCs w:val="20"/>
                <w:color w:val="auto"/>
              </w:rPr>
            </w:pPr>
            <w:r>
              <w:rPr>
                <w:rFonts w:ascii="Arial" w:cs="Arial" w:eastAsia="Arial" w:hAnsi="Arial"/>
                <w:sz w:val="11"/>
                <w:szCs w:val="11"/>
                <w:b w:val="1"/>
                <w:bCs w:val="1"/>
                <w:color w:val="FFFFFF"/>
              </w:rPr>
              <w:t>Company</w:t>
            </w:r>
            <w:r>
              <w:rPr>
                <w:rFonts w:ascii="Arial" w:cs="Arial" w:eastAsia="Arial" w:hAnsi="Arial"/>
                <w:sz w:val="12"/>
                <w:szCs w:val="12"/>
                <w:b w:val="1"/>
                <w:bCs w:val="1"/>
                <w:color w:val="FFFFFF"/>
                <w:vertAlign w:val="superscript"/>
              </w:rPr>
              <w:t>1</w:t>
            </w:r>
          </w:p>
        </w:tc>
        <w:tc>
          <w:tcPr>
            <w:tcW w:w="3920" w:type="dxa"/>
            <w:vAlign w:val="bottom"/>
            <w:shd w:val="clear" w:color="auto" w:fill="99B7C6"/>
          </w:tcPr>
          <w:p>
            <w:pPr>
              <w:ind w:left="600"/>
              <w:spacing w:after="0"/>
              <w:rPr>
                <w:sz w:val="20"/>
                <w:szCs w:val="20"/>
                <w:color w:val="auto"/>
              </w:rPr>
            </w:pPr>
            <w:r>
              <w:rPr>
                <w:rFonts w:ascii="Arial" w:cs="Arial" w:eastAsia="Arial" w:hAnsi="Arial"/>
                <w:sz w:val="11"/>
                <w:szCs w:val="11"/>
                <w:b w:val="1"/>
                <w:bCs w:val="1"/>
                <w:color w:val="FFFFFF"/>
              </w:rPr>
              <w:t>Industry</w:t>
            </w:r>
          </w:p>
        </w:tc>
        <w:tc>
          <w:tcPr>
            <w:tcW w:w="1680" w:type="dxa"/>
            <w:vAlign w:val="bottom"/>
            <w:shd w:val="clear" w:color="auto" w:fill="99B7C6"/>
          </w:tcPr>
          <w:p>
            <w:pPr>
              <w:jc w:val="right"/>
              <w:ind w:right="133"/>
              <w:spacing w:after="0"/>
              <w:rPr>
                <w:sz w:val="20"/>
                <w:szCs w:val="20"/>
                <w:color w:val="auto"/>
              </w:rPr>
            </w:pPr>
            <w:r>
              <w:rPr>
                <w:rFonts w:ascii="Arial" w:cs="Arial" w:eastAsia="Arial" w:hAnsi="Arial"/>
                <w:sz w:val="11"/>
                <w:szCs w:val="11"/>
                <w:b w:val="1"/>
                <w:bCs w:val="1"/>
                <w:color w:val="FFFFFF"/>
              </w:rPr>
              <w:t>($mm)</w:t>
            </w:r>
            <w:r>
              <w:rPr>
                <w:rFonts w:ascii="Arial" w:cs="Arial" w:eastAsia="Arial" w:hAnsi="Arial"/>
                <w:sz w:val="12"/>
                <w:szCs w:val="12"/>
                <w:b w:val="1"/>
                <w:bCs w:val="1"/>
                <w:color w:val="FFFFFF"/>
                <w:vertAlign w:val="superscript"/>
              </w:rPr>
              <w:t>2</w:t>
            </w:r>
          </w:p>
        </w:tc>
        <w:tc>
          <w:tcPr>
            <w:tcW w:w="840" w:type="dxa"/>
            <w:vAlign w:val="bottom"/>
            <w:shd w:val="clear" w:color="auto" w:fill="99B7C6"/>
          </w:tcPr>
          <w:p>
            <w:pPr>
              <w:jc w:val="right"/>
              <w:spacing w:after="0"/>
              <w:rPr>
                <w:sz w:val="20"/>
                <w:szCs w:val="20"/>
                <w:color w:val="auto"/>
              </w:rPr>
            </w:pPr>
            <w:r>
              <w:rPr>
                <w:rFonts w:ascii="Arial" w:cs="Arial" w:eastAsia="Arial" w:hAnsi="Arial"/>
                <w:sz w:val="11"/>
                <w:szCs w:val="11"/>
                <w:b w:val="1"/>
                <w:bCs w:val="1"/>
                <w:color w:val="FFFFFF"/>
              </w:rPr>
              <w:t>($mm)</w:t>
            </w:r>
            <w:r>
              <w:rPr>
                <w:rFonts w:ascii="Arial" w:cs="Arial" w:eastAsia="Arial" w:hAnsi="Arial"/>
                <w:sz w:val="12"/>
                <w:szCs w:val="12"/>
                <w:b w:val="1"/>
                <w:bCs w:val="1"/>
                <w:color w:val="FFFFFF"/>
                <w:vertAlign w:val="superscript"/>
              </w:rPr>
              <w:t>3</w:t>
            </w:r>
          </w:p>
        </w:tc>
      </w:tr>
      <w:tr>
        <w:trPr>
          <w:trHeight w:val="229"/>
        </w:trPr>
        <w:tc>
          <w:tcPr>
            <w:tcW w:w="2440" w:type="dxa"/>
            <w:vAlign w:val="bottom"/>
            <w:shd w:val="clear" w:color="auto" w:fill="E9F0F3"/>
          </w:tcPr>
          <w:p>
            <w:pPr>
              <w:ind w:left="80"/>
              <w:spacing w:after="0"/>
              <w:rPr>
                <w:sz w:val="20"/>
                <w:szCs w:val="20"/>
                <w:color w:val="auto"/>
              </w:rPr>
            </w:pPr>
            <w:r>
              <w:rPr>
                <w:rFonts w:ascii="Arial" w:cs="Arial" w:eastAsia="Arial" w:hAnsi="Arial"/>
                <w:sz w:val="14"/>
                <w:szCs w:val="14"/>
                <w:b w:val="1"/>
                <w:bCs w:val="1"/>
                <w:color w:val="auto"/>
              </w:rPr>
              <w:t>Ross Stores, Inc.</w:t>
            </w:r>
          </w:p>
        </w:tc>
        <w:tc>
          <w:tcPr>
            <w:tcW w:w="3920" w:type="dxa"/>
            <w:vAlign w:val="bottom"/>
            <w:shd w:val="clear" w:color="auto" w:fill="E9F0F3"/>
          </w:tcPr>
          <w:p>
            <w:pPr>
              <w:ind w:left="600"/>
              <w:spacing w:after="0"/>
              <w:rPr>
                <w:sz w:val="20"/>
                <w:szCs w:val="20"/>
                <w:color w:val="auto"/>
              </w:rPr>
            </w:pPr>
            <w:r>
              <w:rPr>
                <w:rFonts w:ascii="Arial" w:cs="Arial" w:eastAsia="Arial" w:hAnsi="Arial"/>
                <w:sz w:val="14"/>
                <w:szCs w:val="14"/>
                <w:color w:val="auto"/>
              </w:rPr>
              <w:t>Apparel Retail</w:t>
            </w:r>
          </w:p>
        </w:tc>
        <w:tc>
          <w:tcPr>
            <w:tcW w:w="1680" w:type="dxa"/>
            <w:vAlign w:val="bottom"/>
            <w:shd w:val="clear" w:color="auto" w:fill="E9F0F3"/>
          </w:tcPr>
          <w:p>
            <w:pPr>
              <w:jc w:val="right"/>
              <w:ind w:right="133"/>
              <w:spacing w:after="0"/>
              <w:rPr>
                <w:sz w:val="20"/>
                <w:szCs w:val="20"/>
                <w:color w:val="auto"/>
              </w:rPr>
            </w:pPr>
            <w:r>
              <w:rPr>
                <w:rFonts w:ascii="Arial" w:cs="Arial" w:eastAsia="Arial" w:hAnsi="Arial"/>
                <w:sz w:val="14"/>
                <w:szCs w:val="14"/>
                <w:color w:val="auto"/>
              </w:rPr>
              <w:t>$22,751</w:t>
            </w:r>
          </w:p>
        </w:tc>
        <w:tc>
          <w:tcPr>
            <w:tcW w:w="8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$62,145</w:t>
            </w:r>
          </w:p>
        </w:tc>
      </w:tr>
      <w:tr>
        <w:trPr>
          <w:trHeight w:val="66"/>
        </w:trPr>
        <w:tc>
          <w:tcPr>
            <w:tcW w:w="2440" w:type="dxa"/>
            <w:vAlign w:val="bottom"/>
            <w:shd w:val="clear" w:color="auto" w:fill="E9F0F3"/>
          </w:tcPr>
          <w:p>
            <w:pPr>
              <w:spacing w:after="0"/>
              <w:rPr>
                <w:sz w:val="5"/>
                <w:szCs w:val="5"/>
                <w:color w:val="auto"/>
              </w:rPr>
            </w:pPr>
          </w:p>
        </w:tc>
        <w:tc>
          <w:tcPr>
            <w:tcW w:w="3920" w:type="dxa"/>
            <w:vAlign w:val="bottom"/>
            <w:shd w:val="clear" w:color="auto" w:fill="E9F0F3"/>
          </w:tcPr>
          <w:p>
            <w:pPr>
              <w:spacing w:after="0"/>
              <w:rPr>
                <w:sz w:val="5"/>
                <w:szCs w:val="5"/>
                <w:color w:val="auto"/>
              </w:rPr>
            </w:pPr>
          </w:p>
        </w:tc>
        <w:tc>
          <w:tcPr>
            <w:tcW w:w="1680" w:type="dxa"/>
            <w:vAlign w:val="bottom"/>
            <w:shd w:val="clear" w:color="auto" w:fill="E9F0F3"/>
          </w:tcPr>
          <w:p>
            <w:pPr>
              <w:spacing w:after="0"/>
              <w:rPr>
                <w:sz w:val="5"/>
                <w:szCs w:val="5"/>
                <w:color w:val="auto"/>
              </w:rPr>
            </w:pPr>
          </w:p>
        </w:tc>
        <w:tc>
          <w:tcPr>
            <w:tcW w:w="840" w:type="dxa"/>
            <w:vAlign w:val="bottom"/>
            <w:shd w:val="clear" w:color="auto" w:fill="E9F0F3"/>
          </w:tcPr>
          <w:p>
            <w:pPr>
              <w:spacing w:after="0"/>
              <w:rPr>
                <w:sz w:val="5"/>
                <w:szCs w:val="5"/>
                <w:color w:val="auto"/>
              </w:rPr>
            </w:pPr>
          </w:p>
        </w:tc>
      </w:tr>
      <w:tr>
        <w:trPr>
          <w:trHeight w:val="229"/>
        </w:trPr>
        <w:tc>
          <w:tcPr>
            <w:tcW w:w="2440" w:type="dxa"/>
            <w:vAlign w:val="bottom"/>
          </w:tcPr>
          <w:p>
            <w:pPr>
              <w:ind w:left="80"/>
              <w:spacing w:after="0"/>
              <w:rPr>
                <w:sz w:val="20"/>
                <w:szCs w:val="20"/>
                <w:color w:val="auto"/>
              </w:rPr>
            </w:pPr>
            <w:r>
              <w:rPr>
                <w:rFonts w:ascii="Arial" w:cs="Arial" w:eastAsia="Arial" w:hAnsi="Arial"/>
                <w:sz w:val="14"/>
                <w:szCs w:val="14"/>
                <w:b w:val="1"/>
                <w:bCs w:val="1"/>
                <w:color w:val="auto"/>
              </w:rPr>
              <w:t>The Gap, Inc.</w:t>
            </w:r>
          </w:p>
        </w:tc>
        <w:tc>
          <w:tcPr>
            <w:tcW w:w="3920" w:type="dxa"/>
            <w:vAlign w:val="bottom"/>
          </w:tcPr>
          <w:p>
            <w:pPr>
              <w:ind w:left="600"/>
              <w:spacing w:after="0"/>
              <w:rPr>
                <w:sz w:val="20"/>
                <w:szCs w:val="20"/>
                <w:color w:val="auto"/>
              </w:rPr>
            </w:pPr>
            <w:r>
              <w:rPr>
                <w:rFonts w:ascii="Arial" w:cs="Arial" w:eastAsia="Arial" w:hAnsi="Arial"/>
                <w:sz w:val="14"/>
                <w:szCs w:val="14"/>
                <w:color w:val="auto"/>
              </w:rPr>
              <w:t>Apparel Retail</w:t>
            </w:r>
          </w:p>
        </w:tc>
        <w:tc>
          <w:tcPr>
            <w:tcW w:w="1680" w:type="dxa"/>
            <w:vAlign w:val="bottom"/>
          </w:tcPr>
          <w:p>
            <w:pPr>
              <w:jc w:val="right"/>
              <w:ind w:right="133"/>
              <w:spacing w:after="0"/>
              <w:rPr>
                <w:sz w:val="20"/>
                <w:szCs w:val="20"/>
                <w:color w:val="auto"/>
              </w:rPr>
            </w:pPr>
            <w:r>
              <w:rPr>
                <w:rFonts w:ascii="Arial" w:cs="Arial" w:eastAsia="Arial" w:hAnsi="Arial"/>
                <w:sz w:val="14"/>
                <w:szCs w:val="14"/>
                <w:color w:val="auto"/>
              </w:rPr>
              <w:t>$15,366</w:t>
            </w:r>
          </w:p>
        </w:tc>
        <w:tc>
          <w:tcPr>
            <w:tcW w:w="840" w:type="dxa"/>
            <w:vAlign w:val="bottom"/>
          </w:tcPr>
          <w:p>
            <w:pPr>
              <w:jc w:val="right"/>
              <w:spacing w:after="0"/>
              <w:rPr>
                <w:sz w:val="20"/>
                <w:szCs w:val="20"/>
                <w:color w:val="auto"/>
              </w:rPr>
            </w:pPr>
            <w:r>
              <w:rPr>
                <w:rFonts w:ascii="Arial" w:cs="Arial" w:eastAsia="Arial" w:hAnsi="Arial"/>
                <w:sz w:val="14"/>
                <w:szCs w:val="14"/>
                <w:color w:val="auto"/>
              </w:rPr>
              <w:t>$13,405</w:t>
            </w:r>
          </w:p>
        </w:tc>
      </w:tr>
      <w:tr>
        <w:trPr>
          <w:trHeight w:val="66"/>
        </w:trPr>
        <w:tc>
          <w:tcPr>
            <w:tcW w:w="2440" w:type="dxa"/>
            <w:vAlign w:val="bottom"/>
          </w:tcPr>
          <w:p>
            <w:pPr>
              <w:spacing w:after="0"/>
              <w:rPr>
                <w:sz w:val="5"/>
                <w:szCs w:val="5"/>
                <w:color w:val="auto"/>
              </w:rPr>
            </w:pPr>
          </w:p>
        </w:tc>
        <w:tc>
          <w:tcPr>
            <w:tcW w:w="39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00"/>
        </w:trPr>
        <w:tc>
          <w:tcPr>
            <w:tcW w:w="2440" w:type="dxa"/>
            <w:vAlign w:val="bottom"/>
            <w:shd w:val="clear" w:color="auto" w:fill="E9F0F3"/>
          </w:tcPr>
          <w:p>
            <w:pPr>
              <w:ind w:left="80"/>
              <w:spacing w:after="0"/>
              <w:rPr>
                <w:sz w:val="20"/>
                <w:szCs w:val="20"/>
                <w:color w:val="auto"/>
              </w:rPr>
            </w:pPr>
            <w:r>
              <w:rPr>
                <w:rFonts w:ascii="Arial" w:cs="Arial" w:eastAsia="Arial" w:hAnsi="Arial"/>
                <w:sz w:val="14"/>
                <w:szCs w:val="14"/>
                <w:b w:val="1"/>
                <w:bCs w:val="1"/>
                <w:color w:val="auto"/>
              </w:rPr>
              <w:t>The Estée Lauder</w:t>
            </w:r>
          </w:p>
        </w:tc>
        <w:tc>
          <w:tcPr>
            <w:tcW w:w="3920" w:type="dxa"/>
            <w:vAlign w:val="bottom"/>
            <w:shd w:val="clear" w:color="auto" w:fill="E9F0F3"/>
          </w:tcPr>
          <w:p>
            <w:pPr>
              <w:ind w:left="600"/>
              <w:spacing w:after="0"/>
              <w:rPr>
                <w:sz w:val="20"/>
                <w:szCs w:val="20"/>
                <w:color w:val="auto"/>
              </w:rPr>
            </w:pPr>
            <w:r>
              <w:rPr>
                <w:rFonts w:ascii="Arial" w:cs="Arial" w:eastAsia="Arial" w:hAnsi="Arial"/>
                <w:sz w:val="14"/>
                <w:szCs w:val="14"/>
                <w:color w:val="auto"/>
              </w:rPr>
              <w:t>Personal Care Products</w:t>
            </w:r>
          </w:p>
        </w:tc>
        <w:tc>
          <w:tcPr>
            <w:tcW w:w="1680" w:type="dxa"/>
            <w:vAlign w:val="bottom"/>
            <w:shd w:val="clear" w:color="auto" w:fill="E9F0F3"/>
          </w:tcPr>
          <w:p>
            <w:pPr>
              <w:jc w:val="right"/>
              <w:ind w:right="133"/>
              <w:spacing w:after="0"/>
              <w:rPr>
                <w:sz w:val="20"/>
                <w:szCs w:val="20"/>
                <w:color w:val="auto"/>
              </w:rPr>
            </w:pPr>
            <w:r>
              <w:rPr>
                <w:rFonts w:ascii="Arial" w:cs="Arial" w:eastAsia="Arial" w:hAnsi="Arial"/>
                <w:sz w:val="14"/>
                <w:szCs w:val="14"/>
                <w:color w:val="auto"/>
              </w:rPr>
              <w:t>$14,326</w:t>
            </w:r>
          </w:p>
        </w:tc>
        <w:tc>
          <w:tcPr>
            <w:tcW w:w="8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$48,745</w:t>
            </w:r>
          </w:p>
        </w:tc>
      </w:tr>
      <w:tr>
        <w:trPr>
          <w:trHeight w:val="194"/>
        </w:trPr>
        <w:tc>
          <w:tcPr>
            <w:tcW w:w="2440" w:type="dxa"/>
            <w:vAlign w:val="bottom"/>
            <w:shd w:val="clear" w:color="auto" w:fill="E9F0F3"/>
          </w:tcPr>
          <w:p>
            <w:pPr>
              <w:ind w:left="80"/>
              <w:spacing w:after="0"/>
              <w:rPr>
                <w:sz w:val="20"/>
                <w:szCs w:val="20"/>
                <w:color w:val="auto"/>
              </w:rPr>
            </w:pPr>
            <w:r>
              <w:rPr>
                <w:rFonts w:ascii="Arial" w:cs="Arial" w:eastAsia="Arial" w:hAnsi="Arial"/>
                <w:sz w:val="14"/>
                <w:szCs w:val="14"/>
                <w:b w:val="1"/>
                <w:bCs w:val="1"/>
                <w:color w:val="auto"/>
              </w:rPr>
              <w:t>Companies Inc.</w:t>
            </w:r>
          </w:p>
        </w:tc>
        <w:tc>
          <w:tcPr>
            <w:tcW w:w="3920" w:type="dxa"/>
            <w:vAlign w:val="bottom"/>
            <w:shd w:val="clear" w:color="auto" w:fill="E9F0F3"/>
          </w:tcPr>
          <w:p>
            <w:pPr>
              <w:spacing w:after="0"/>
              <w:rPr>
                <w:sz w:val="16"/>
                <w:szCs w:val="16"/>
                <w:color w:val="auto"/>
              </w:rPr>
            </w:pPr>
          </w:p>
        </w:tc>
        <w:tc>
          <w:tcPr>
            <w:tcW w:w="1680" w:type="dxa"/>
            <w:vAlign w:val="bottom"/>
            <w:shd w:val="clear" w:color="auto" w:fill="E9F0F3"/>
          </w:tcPr>
          <w:p>
            <w:pPr>
              <w:spacing w:after="0"/>
              <w:rPr>
                <w:sz w:val="16"/>
                <w:szCs w:val="16"/>
                <w:color w:val="auto"/>
              </w:rPr>
            </w:pPr>
          </w:p>
        </w:tc>
        <w:tc>
          <w:tcPr>
            <w:tcW w:w="840" w:type="dxa"/>
            <w:vAlign w:val="bottom"/>
            <w:shd w:val="clear" w:color="auto" w:fill="E9F0F3"/>
          </w:tcPr>
          <w:p>
            <w:pPr>
              <w:spacing w:after="0"/>
              <w:rPr>
                <w:sz w:val="16"/>
                <w:szCs w:val="16"/>
                <w:color w:val="auto"/>
              </w:rPr>
            </w:pPr>
          </w:p>
        </w:tc>
      </w:tr>
      <w:tr>
        <w:trPr>
          <w:trHeight w:val="66"/>
        </w:trPr>
        <w:tc>
          <w:tcPr>
            <w:tcW w:w="2440" w:type="dxa"/>
            <w:vAlign w:val="bottom"/>
            <w:shd w:val="clear" w:color="auto" w:fill="E9F0F3"/>
          </w:tcPr>
          <w:p>
            <w:pPr>
              <w:spacing w:after="0"/>
              <w:rPr>
                <w:sz w:val="5"/>
                <w:szCs w:val="5"/>
                <w:color w:val="auto"/>
              </w:rPr>
            </w:pPr>
          </w:p>
        </w:tc>
        <w:tc>
          <w:tcPr>
            <w:tcW w:w="3920" w:type="dxa"/>
            <w:vAlign w:val="bottom"/>
            <w:shd w:val="clear" w:color="auto" w:fill="E9F0F3"/>
          </w:tcPr>
          <w:p>
            <w:pPr>
              <w:spacing w:after="0"/>
              <w:rPr>
                <w:sz w:val="5"/>
                <w:szCs w:val="5"/>
                <w:color w:val="auto"/>
              </w:rPr>
            </w:pPr>
          </w:p>
        </w:tc>
        <w:tc>
          <w:tcPr>
            <w:tcW w:w="1680" w:type="dxa"/>
            <w:vAlign w:val="bottom"/>
            <w:shd w:val="clear" w:color="auto" w:fill="E9F0F3"/>
          </w:tcPr>
          <w:p>
            <w:pPr>
              <w:spacing w:after="0"/>
              <w:rPr>
                <w:sz w:val="5"/>
                <w:szCs w:val="5"/>
                <w:color w:val="auto"/>
              </w:rPr>
            </w:pPr>
          </w:p>
        </w:tc>
        <w:tc>
          <w:tcPr>
            <w:tcW w:w="840" w:type="dxa"/>
            <w:vAlign w:val="bottom"/>
            <w:shd w:val="clear" w:color="auto" w:fill="E9F0F3"/>
          </w:tcPr>
          <w:p>
            <w:pPr>
              <w:spacing w:after="0"/>
              <w:rPr>
                <w:sz w:val="5"/>
                <w:szCs w:val="5"/>
                <w:color w:val="auto"/>
              </w:rPr>
            </w:pPr>
          </w:p>
        </w:tc>
      </w:tr>
      <w:tr>
        <w:trPr>
          <w:trHeight w:val="229"/>
        </w:trPr>
        <w:tc>
          <w:tcPr>
            <w:tcW w:w="2440" w:type="dxa"/>
            <w:vAlign w:val="bottom"/>
          </w:tcPr>
          <w:p>
            <w:pPr>
              <w:ind w:left="80"/>
              <w:spacing w:after="0"/>
              <w:rPr>
                <w:sz w:val="20"/>
                <w:szCs w:val="20"/>
                <w:color w:val="auto"/>
              </w:rPr>
            </w:pPr>
            <w:r>
              <w:rPr>
                <w:rFonts w:ascii="Arial" w:cs="Arial" w:eastAsia="Arial" w:hAnsi="Arial"/>
                <w:sz w:val="14"/>
                <w:szCs w:val="14"/>
                <w:b w:val="1"/>
                <w:bCs w:val="1"/>
                <w:color w:val="auto"/>
              </w:rPr>
              <w:t>Burlington Stores, Inc.</w:t>
            </w:r>
          </w:p>
        </w:tc>
        <w:tc>
          <w:tcPr>
            <w:tcW w:w="3920" w:type="dxa"/>
            <w:vAlign w:val="bottom"/>
          </w:tcPr>
          <w:p>
            <w:pPr>
              <w:ind w:left="600"/>
              <w:spacing w:after="0"/>
              <w:rPr>
                <w:sz w:val="20"/>
                <w:szCs w:val="20"/>
                <w:color w:val="auto"/>
              </w:rPr>
            </w:pPr>
            <w:r>
              <w:rPr>
                <w:rFonts w:ascii="Arial" w:cs="Arial" w:eastAsia="Arial" w:hAnsi="Arial"/>
                <w:sz w:val="14"/>
                <w:szCs w:val="14"/>
                <w:color w:val="auto"/>
              </w:rPr>
              <w:t>Apparel Retail</w:t>
            </w:r>
          </w:p>
        </w:tc>
        <w:tc>
          <w:tcPr>
            <w:tcW w:w="1680" w:type="dxa"/>
            <w:vAlign w:val="bottom"/>
          </w:tcPr>
          <w:p>
            <w:pPr>
              <w:jc w:val="right"/>
              <w:ind w:right="133"/>
              <w:spacing w:after="0"/>
              <w:rPr>
                <w:sz w:val="20"/>
                <w:szCs w:val="20"/>
                <w:color w:val="auto"/>
              </w:rPr>
            </w:pPr>
            <w:r>
              <w:rPr>
                <w:rFonts w:ascii="Arial" w:cs="Arial" w:eastAsia="Arial" w:hAnsi="Arial"/>
                <w:sz w:val="14"/>
                <w:szCs w:val="14"/>
                <w:color w:val="auto"/>
              </w:rPr>
              <w:t>$11,559</w:t>
            </w:r>
          </w:p>
        </w:tc>
        <w:tc>
          <w:tcPr>
            <w:tcW w:w="840" w:type="dxa"/>
            <w:vAlign w:val="bottom"/>
          </w:tcPr>
          <w:p>
            <w:pPr>
              <w:jc w:val="right"/>
              <w:spacing w:after="0"/>
              <w:rPr>
                <w:sz w:val="20"/>
                <w:szCs w:val="20"/>
                <w:color w:val="auto"/>
              </w:rPr>
            </w:pPr>
            <w:r>
              <w:rPr>
                <w:rFonts w:ascii="Arial" w:cs="Arial" w:eastAsia="Arial" w:hAnsi="Arial"/>
                <w:sz w:val="14"/>
                <w:szCs w:val="14"/>
                <w:color w:val="auto"/>
              </w:rPr>
              <w:t>$23,762</w:t>
            </w:r>
          </w:p>
        </w:tc>
      </w:tr>
      <w:tr>
        <w:trPr>
          <w:trHeight w:val="66"/>
        </w:trPr>
        <w:tc>
          <w:tcPr>
            <w:tcW w:w="2440" w:type="dxa"/>
            <w:vAlign w:val="bottom"/>
          </w:tcPr>
          <w:p>
            <w:pPr>
              <w:spacing w:after="0"/>
              <w:rPr>
                <w:sz w:val="5"/>
                <w:szCs w:val="5"/>
                <w:color w:val="auto"/>
              </w:rPr>
            </w:pPr>
          </w:p>
        </w:tc>
        <w:tc>
          <w:tcPr>
            <w:tcW w:w="39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29"/>
        </w:trPr>
        <w:tc>
          <w:tcPr>
            <w:tcW w:w="2440" w:type="dxa"/>
            <w:vAlign w:val="bottom"/>
            <w:shd w:val="clear" w:color="auto" w:fill="E9F0F3"/>
          </w:tcPr>
          <w:p>
            <w:pPr>
              <w:ind w:left="80"/>
              <w:spacing w:after="0"/>
              <w:rPr>
                <w:sz w:val="20"/>
                <w:szCs w:val="20"/>
                <w:color w:val="auto"/>
              </w:rPr>
            </w:pPr>
            <w:r>
              <w:rPr>
                <w:rFonts w:ascii="Arial" w:cs="Arial" w:eastAsia="Arial" w:hAnsi="Arial"/>
                <w:sz w:val="14"/>
                <w:szCs w:val="14"/>
                <w:b w:val="1"/>
                <w:bCs w:val="1"/>
                <w:color w:val="auto"/>
              </w:rPr>
              <w:t>lululemon athletica inc.</w:t>
            </w:r>
          </w:p>
        </w:tc>
        <w:tc>
          <w:tcPr>
            <w:tcW w:w="3920" w:type="dxa"/>
            <w:vAlign w:val="bottom"/>
            <w:shd w:val="clear" w:color="auto" w:fill="E9F0F3"/>
          </w:tcPr>
          <w:p>
            <w:pPr>
              <w:ind w:left="600"/>
              <w:spacing w:after="0"/>
              <w:rPr>
                <w:sz w:val="20"/>
                <w:szCs w:val="20"/>
                <w:color w:val="auto"/>
              </w:rPr>
            </w:pPr>
            <w:r>
              <w:rPr>
                <w:rFonts w:ascii="Arial" w:cs="Arial" w:eastAsia="Arial" w:hAnsi="Arial"/>
                <w:sz w:val="14"/>
                <w:szCs w:val="14"/>
                <w:color w:val="auto"/>
              </w:rPr>
              <w:t>Apparel, Accessories and Luxury Goods</w:t>
            </w:r>
          </w:p>
        </w:tc>
        <w:tc>
          <w:tcPr>
            <w:tcW w:w="1680" w:type="dxa"/>
            <w:vAlign w:val="bottom"/>
            <w:shd w:val="clear" w:color="auto" w:fill="E9F0F3"/>
          </w:tcPr>
          <w:p>
            <w:pPr>
              <w:jc w:val="right"/>
              <w:ind w:right="133"/>
              <w:spacing w:after="0"/>
              <w:rPr>
                <w:sz w:val="20"/>
                <w:szCs w:val="20"/>
                <w:color w:val="auto"/>
              </w:rPr>
            </w:pPr>
            <w:r>
              <w:rPr>
                <w:rFonts w:ascii="Arial" w:cs="Arial" w:eastAsia="Arial" w:hAnsi="Arial"/>
                <w:sz w:val="14"/>
                <w:szCs w:val="14"/>
                <w:color w:val="auto"/>
              </w:rPr>
              <w:t>$11,103</w:t>
            </w:r>
          </w:p>
        </w:tc>
        <w:tc>
          <w:tcPr>
            <w:tcW w:w="8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$21,197</w:t>
            </w:r>
          </w:p>
        </w:tc>
      </w:tr>
      <w:tr>
        <w:trPr>
          <w:trHeight w:val="66"/>
        </w:trPr>
        <w:tc>
          <w:tcPr>
            <w:tcW w:w="2440" w:type="dxa"/>
            <w:vAlign w:val="bottom"/>
            <w:shd w:val="clear" w:color="auto" w:fill="E9F0F3"/>
          </w:tcPr>
          <w:p>
            <w:pPr>
              <w:spacing w:after="0"/>
              <w:rPr>
                <w:sz w:val="5"/>
                <w:szCs w:val="5"/>
                <w:color w:val="auto"/>
              </w:rPr>
            </w:pPr>
          </w:p>
        </w:tc>
        <w:tc>
          <w:tcPr>
            <w:tcW w:w="3920" w:type="dxa"/>
            <w:vAlign w:val="bottom"/>
            <w:shd w:val="clear" w:color="auto" w:fill="E9F0F3"/>
          </w:tcPr>
          <w:p>
            <w:pPr>
              <w:spacing w:after="0"/>
              <w:rPr>
                <w:sz w:val="5"/>
                <w:szCs w:val="5"/>
                <w:color w:val="auto"/>
              </w:rPr>
            </w:pPr>
          </w:p>
        </w:tc>
        <w:tc>
          <w:tcPr>
            <w:tcW w:w="1680" w:type="dxa"/>
            <w:vAlign w:val="bottom"/>
            <w:shd w:val="clear" w:color="auto" w:fill="E9F0F3"/>
          </w:tcPr>
          <w:p>
            <w:pPr>
              <w:spacing w:after="0"/>
              <w:rPr>
                <w:sz w:val="5"/>
                <w:szCs w:val="5"/>
                <w:color w:val="auto"/>
              </w:rPr>
            </w:pPr>
          </w:p>
        </w:tc>
        <w:tc>
          <w:tcPr>
            <w:tcW w:w="840" w:type="dxa"/>
            <w:vAlign w:val="bottom"/>
            <w:shd w:val="clear" w:color="auto" w:fill="E9F0F3"/>
          </w:tcPr>
          <w:p>
            <w:pPr>
              <w:spacing w:after="0"/>
              <w:rPr>
                <w:sz w:val="5"/>
                <w:szCs w:val="5"/>
                <w:color w:val="auto"/>
              </w:rPr>
            </w:pPr>
          </w:p>
        </w:tc>
      </w:tr>
      <w:tr>
        <w:trPr>
          <w:trHeight w:val="229"/>
        </w:trPr>
        <w:tc>
          <w:tcPr>
            <w:tcW w:w="2440" w:type="dxa"/>
            <w:vAlign w:val="bottom"/>
          </w:tcPr>
          <w:p>
            <w:pPr>
              <w:ind w:left="80"/>
              <w:spacing w:after="0"/>
              <w:rPr>
                <w:sz w:val="20"/>
                <w:szCs w:val="20"/>
                <w:color w:val="auto"/>
              </w:rPr>
            </w:pPr>
            <w:r>
              <w:rPr>
                <w:rFonts w:ascii="Arial" w:cs="Arial" w:eastAsia="Arial" w:hAnsi="Arial"/>
                <w:sz w:val="14"/>
                <w:szCs w:val="14"/>
                <w:b w:val="1"/>
                <w:bCs w:val="1"/>
                <w:color w:val="auto"/>
              </w:rPr>
              <w:t>V.F. Corporation</w:t>
            </w:r>
          </w:p>
        </w:tc>
        <w:tc>
          <w:tcPr>
            <w:tcW w:w="3920" w:type="dxa"/>
            <w:vAlign w:val="bottom"/>
          </w:tcPr>
          <w:p>
            <w:pPr>
              <w:ind w:left="600"/>
              <w:spacing w:after="0"/>
              <w:rPr>
                <w:sz w:val="20"/>
                <w:szCs w:val="20"/>
                <w:color w:val="auto"/>
              </w:rPr>
            </w:pPr>
            <w:r>
              <w:rPr>
                <w:rFonts w:ascii="Arial" w:cs="Arial" w:eastAsia="Arial" w:hAnsi="Arial"/>
                <w:sz w:val="14"/>
                <w:szCs w:val="14"/>
                <w:color w:val="auto"/>
              </w:rPr>
              <w:t>Apparel, Accessories and Luxury Goods</w:t>
            </w:r>
          </w:p>
        </w:tc>
        <w:tc>
          <w:tcPr>
            <w:tcW w:w="1680" w:type="dxa"/>
            <w:vAlign w:val="bottom"/>
          </w:tcPr>
          <w:p>
            <w:pPr>
              <w:jc w:val="right"/>
              <w:ind w:right="133"/>
              <w:spacing w:after="0"/>
              <w:rPr>
                <w:sz w:val="20"/>
                <w:szCs w:val="20"/>
                <w:color w:val="auto"/>
              </w:rPr>
            </w:pPr>
            <w:r>
              <w:rPr>
                <w:rFonts w:ascii="Arial" w:cs="Arial" w:eastAsia="Arial" w:hAnsi="Arial"/>
                <w:sz w:val="14"/>
                <w:szCs w:val="14"/>
                <w:color w:val="auto"/>
              </w:rPr>
              <w:t>$9,505</w:t>
            </w:r>
          </w:p>
        </w:tc>
        <w:tc>
          <w:tcPr>
            <w:tcW w:w="840" w:type="dxa"/>
            <w:vAlign w:val="bottom"/>
          </w:tcPr>
          <w:p>
            <w:pPr>
              <w:jc w:val="right"/>
              <w:spacing w:after="0"/>
              <w:rPr>
                <w:sz w:val="20"/>
                <w:szCs w:val="20"/>
                <w:color w:val="auto"/>
              </w:rPr>
            </w:pPr>
            <w:r>
              <w:rPr>
                <w:rFonts w:ascii="Arial" w:cs="Arial" w:eastAsia="Arial" w:hAnsi="Arial"/>
                <w:sz w:val="14"/>
                <w:szCs w:val="14"/>
                <w:color w:val="auto"/>
              </w:rPr>
              <w:t>$11,537</w:t>
            </w:r>
          </w:p>
        </w:tc>
      </w:tr>
      <w:tr>
        <w:trPr>
          <w:trHeight w:val="66"/>
        </w:trPr>
        <w:tc>
          <w:tcPr>
            <w:tcW w:w="2440" w:type="dxa"/>
            <w:vAlign w:val="bottom"/>
          </w:tcPr>
          <w:p>
            <w:pPr>
              <w:spacing w:after="0"/>
              <w:rPr>
                <w:sz w:val="5"/>
                <w:szCs w:val="5"/>
                <w:color w:val="auto"/>
              </w:rPr>
            </w:pPr>
          </w:p>
        </w:tc>
        <w:tc>
          <w:tcPr>
            <w:tcW w:w="39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29"/>
        </w:trPr>
        <w:tc>
          <w:tcPr>
            <w:tcW w:w="2440" w:type="dxa"/>
            <w:vAlign w:val="bottom"/>
            <w:shd w:val="clear" w:color="auto" w:fill="6D98AD"/>
          </w:tcPr>
          <w:p>
            <w:pPr>
              <w:ind w:left="80"/>
              <w:spacing w:after="0"/>
              <w:rPr>
                <w:sz w:val="20"/>
                <w:szCs w:val="20"/>
                <w:color w:val="auto"/>
              </w:rPr>
            </w:pPr>
            <w:r>
              <w:rPr>
                <w:rFonts w:ascii="Arial" w:cs="Arial" w:eastAsia="Arial" w:hAnsi="Arial"/>
                <w:sz w:val="14"/>
                <w:szCs w:val="14"/>
                <w:b w:val="1"/>
                <w:bCs w:val="1"/>
                <w:color w:val="FFFFFF"/>
              </w:rPr>
              <w:t>PVH Corp.</w:t>
            </w:r>
          </w:p>
        </w:tc>
        <w:tc>
          <w:tcPr>
            <w:tcW w:w="3920" w:type="dxa"/>
            <w:vAlign w:val="bottom"/>
            <w:shd w:val="clear" w:color="auto" w:fill="6D98AD"/>
          </w:tcPr>
          <w:p>
            <w:pPr>
              <w:ind w:left="600"/>
              <w:spacing w:after="0"/>
              <w:rPr>
                <w:sz w:val="20"/>
                <w:szCs w:val="20"/>
                <w:color w:val="auto"/>
              </w:rPr>
            </w:pPr>
            <w:r>
              <w:rPr>
                <w:rFonts w:ascii="Arial" w:cs="Arial" w:eastAsia="Arial" w:hAnsi="Arial"/>
                <w:sz w:val="14"/>
                <w:szCs w:val="14"/>
                <w:color w:val="FFFFFF"/>
              </w:rPr>
              <w:t>Apparel, Accessories and Luxury Goods</w:t>
            </w:r>
          </w:p>
        </w:tc>
        <w:tc>
          <w:tcPr>
            <w:tcW w:w="1680" w:type="dxa"/>
            <w:vAlign w:val="bottom"/>
            <w:shd w:val="clear" w:color="auto" w:fill="6D98AD"/>
          </w:tcPr>
          <w:p>
            <w:pPr>
              <w:jc w:val="right"/>
              <w:ind w:right="133"/>
              <w:spacing w:after="0"/>
              <w:rPr>
                <w:sz w:val="20"/>
                <w:szCs w:val="20"/>
                <w:color w:val="auto"/>
              </w:rPr>
            </w:pPr>
            <w:r>
              <w:rPr>
                <w:rFonts w:ascii="Arial" w:cs="Arial" w:eastAsia="Arial" w:hAnsi="Arial"/>
                <w:sz w:val="14"/>
                <w:szCs w:val="14"/>
                <w:color w:val="FFFFFF"/>
              </w:rPr>
              <w:t>$8,950</w:t>
            </w:r>
          </w:p>
        </w:tc>
        <w:tc>
          <w:tcPr>
            <w:tcW w:w="840" w:type="dxa"/>
            <w:vAlign w:val="bottom"/>
            <w:shd w:val="clear" w:color="auto" w:fill="6D98AD"/>
          </w:tcPr>
          <w:p>
            <w:pPr>
              <w:jc w:val="right"/>
              <w:spacing w:after="0"/>
              <w:rPr>
                <w:sz w:val="20"/>
                <w:szCs w:val="20"/>
                <w:color w:val="auto"/>
              </w:rPr>
            </w:pPr>
            <w:r>
              <w:rPr>
                <w:rFonts w:ascii="Arial" w:cs="Arial" w:eastAsia="Arial" w:hAnsi="Arial"/>
                <w:sz w:val="14"/>
                <w:szCs w:val="14"/>
                <w:color w:val="FFFFFF"/>
              </w:rPr>
              <w:t>$6,958</w:t>
            </w:r>
          </w:p>
        </w:tc>
      </w:tr>
      <w:tr>
        <w:trPr>
          <w:trHeight w:val="66"/>
        </w:trPr>
        <w:tc>
          <w:tcPr>
            <w:tcW w:w="2440" w:type="dxa"/>
            <w:vAlign w:val="bottom"/>
            <w:shd w:val="clear" w:color="auto" w:fill="6D98AD"/>
          </w:tcPr>
          <w:p>
            <w:pPr>
              <w:spacing w:after="0"/>
              <w:rPr>
                <w:sz w:val="5"/>
                <w:szCs w:val="5"/>
                <w:color w:val="auto"/>
              </w:rPr>
            </w:pPr>
          </w:p>
        </w:tc>
        <w:tc>
          <w:tcPr>
            <w:tcW w:w="3920" w:type="dxa"/>
            <w:vAlign w:val="bottom"/>
            <w:shd w:val="clear" w:color="auto" w:fill="6D98AD"/>
          </w:tcPr>
          <w:p>
            <w:pPr>
              <w:spacing w:after="0"/>
              <w:rPr>
                <w:sz w:val="5"/>
                <w:szCs w:val="5"/>
                <w:color w:val="auto"/>
              </w:rPr>
            </w:pPr>
          </w:p>
        </w:tc>
        <w:tc>
          <w:tcPr>
            <w:tcW w:w="1680" w:type="dxa"/>
            <w:vAlign w:val="bottom"/>
            <w:shd w:val="clear" w:color="auto" w:fill="6D98AD"/>
          </w:tcPr>
          <w:p>
            <w:pPr>
              <w:spacing w:after="0"/>
              <w:rPr>
                <w:sz w:val="5"/>
                <w:szCs w:val="5"/>
                <w:color w:val="auto"/>
              </w:rPr>
            </w:pPr>
          </w:p>
        </w:tc>
        <w:tc>
          <w:tcPr>
            <w:tcW w:w="840" w:type="dxa"/>
            <w:vAlign w:val="bottom"/>
            <w:shd w:val="clear" w:color="auto" w:fill="6D98AD"/>
          </w:tcPr>
          <w:p>
            <w:pPr>
              <w:spacing w:after="0"/>
              <w:rPr>
                <w:sz w:val="5"/>
                <w:szCs w:val="5"/>
                <w:color w:val="auto"/>
              </w:rPr>
            </w:pPr>
          </w:p>
        </w:tc>
      </w:tr>
      <w:tr>
        <w:trPr>
          <w:trHeight w:val="229"/>
        </w:trPr>
        <w:tc>
          <w:tcPr>
            <w:tcW w:w="2440" w:type="dxa"/>
            <w:vAlign w:val="bottom"/>
          </w:tcPr>
          <w:p>
            <w:pPr>
              <w:ind w:left="80"/>
              <w:spacing w:after="0"/>
              <w:rPr>
                <w:sz w:val="20"/>
                <w:szCs w:val="20"/>
                <w:color w:val="auto"/>
              </w:rPr>
            </w:pPr>
            <w:r>
              <w:rPr>
                <w:rFonts w:ascii="Arial" w:cs="Arial" w:eastAsia="Arial" w:hAnsi="Arial"/>
                <w:sz w:val="14"/>
                <w:szCs w:val="14"/>
                <w:b w:val="1"/>
                <w:bCs w:val="1"/>
                <w:color w:val="auto"/>
              </w:rPr>
              <w:t>Foot Locker, Inc.</w:t>
            </w:r>
          </w:p>
        </w:tc>
        <w:tc>
          <w:tcPr>
            <w:tcW w:w="3920" w:type="dxa"/>
            <w:vAlign w:val="bottom"/>
          </w:tcPr>
          <w:p>
            <w:pPr>
              <w:ind w:left="600"/>
              <w:spacing w:after="0"/>
              <w:rPr>
                <w:sz w:val="20"/>
                <w:szCs w:val="20"/>
                <w:color w:val="auto"/>
              </w:rPr>
            </w:pPr>
            <w:r>
              <w:rPr>
                <w:rFonts w:ascii="Arial" w:cs="Arial" w:eastAsia="Arial" w:hAnsi="Arial"/>
                <w:sz w:val="14"/>
                <w:szCs w:val="14"/>
                <w:color w:val="auto"/>
              </w:rPr>
              <w:t>Apparel Retail</w:t>
            </w:r>
          </w:p>
        </w:tc>
        <w:tc>
          <w:tcPr>
            <w:tcW w:w="1680" w:type="dxa"/>
            <w:vAlign w:val="bottom"/>
          </w:tcPr>
          <w:p>
            <w:pPr>
              <w:jc w:val="right"/>
              <w:ind w:right="133"/>
              <w:spacing w:after="0"/>
              <w:rPr>
                <w:sz w:val="20"/>
                <w:szCs w:val="20"/>
                <w:color w:val="auto"/>
              </w:rPr>
            </w:pPr>
            <w:r>
              <w:rPr>
                <w:rFonts w:ascii="Arial" w:cs="Arial" w:eastAsia="Arial" w:hAnsi="Arial"/>
                <w:sz w:val="14"/>
                <w:szCs w:val="14"/>
                <w:color w:val="auto"/>
              </w:rPr>
              <w:t>$8,168</w:t>
            </w:r>
          </w:p>
        </w:tc>
        <w:tc>
          <w:tcPr>
            <w:tcW w:w="840" w:type="dxa"/>
            <w:vAlign w:val="bottom"/>
          </w:tcPr>
          <w:p>
            <w:pPr>
              <w:jc w:val="right"/>
              <w:spacing w:after="0"/>
              <w:rPr>
                <w:sz w:val="20"/>
                <w:szCs w:val="20"/>
                <w:color w:val="auto"/>
              </w:rPr>
            </w:pPr>
            <w:r>
              <w:rPr>
                <w:rFonts w:ascii="Arial" w:cs="Arial" w:eastAsia="Arial" w:hAnsi="Arial"/>
                <w:sz w:val="14"/>
                <w:szCs w:val="14"/>
                <w:color w:val="auto"/>
              </w:rPr>
              <w:t>$5,578</w:t>
            </w:r>
          </w:p>
        </w:tc>
      </w:tr>
      <w:tr>
        <w:trPr>
          <w:trHeight w:val="66"/>
        </w:trPr>
        <w:tc>
          <w:tcPr>
            <w:tcW w:w="2440" w:type="dxa"/>
            <w:vAlign w:val="bottom"/>
          </w:tcPr>
          <w:p>
            <w:pPr>
              <w:spacing w:after="0"/>
              <w:rPr>
                <w:sz w:val="5"/>
                <w:szCs w:val="5"/>
                <w:color w:val="auto"/>
              </w:rPr>
            </w:pPr>
          </w:p>
        </w:tc>
        <w:tc>
          <w:tcPr>
            <w:tcW w:w="39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29"/>
        </w:trPr>
        <w:tc>
          <w:tcPr>
            <w:tcW w:w="2440" w:type="dxa"/>
            <w:vAlign w:val="bottom"/>
            <w:shd w:val="clear" w:color="auto" w:fill="E9F0F3"/>
          </w:tcPr>
          <w:p>
            <w:pPr>
              <w:ind w:left="80"/>
              <w:spacing w:after="0"/>
              <w:rPr>
                <w:sz w:val="20"/>
                <w:szCs w:val="20"/>
                <w:color w:val="auto"/>
              </w:rPr>
            </w:pPr>
            <w:r>
              <w:rPr>
                <w:rFonts w:ascii="Arial" w:cs="Arial" w:eastAsia="Arial" w:hAnsi="Arial"/>
                <w:sz w:val="14"/>
                <w:szCs w:val="14"/>
                <w:b w:val="1"/>
                <w:bCs w:val="1"/>
                <w:color w:val="auto"/>
              </w:rPr>
              <w:t>Ralph Lauren Corporation</w:t>
            </w:r>
          </w:p>
        </w:tc>
        <w:tc>
          <w:tcPr>
            <w:tcW w:w="3920" w:type="dxa"/>
            <w:vAlign w:val="bottom"/>
            <w:shd w:val="clear" w:color="auto" w:fill="E9F0F3"/>
          </w:tcPr>
          <w:p>
            <w:pPr>
              <w:ind w:left="600"/>
              <w:spacing w:after="0"/>
              <w:rPr>
                <w:sz w:val="20"/>
                <w:szCs w:val="20"/>
                <w:color w:val="auto"/>
              </w:rPr>
            </w:pPr>
            <w:r>
              <w:rPr>
                <w:rFonts w:ascii="Arial" w:cs="Arial" w:eastAsia="Arial" w:hAnsi="Arial"/>
                <w:sz w:val="14"/>
                <w:szCs w:val="14"/>
                <w:color w:val="auto"/>
              </w:rPr>
              <w:t>Apparel, Accessories and Luxury Goods</w:t>
            </w:r>
          </w:p>
        </w:tc>
        <w:tc>
          <w:tcPr>
            <w:tcW w:w="1680" w:type="dxa"/>
            <w:vAlign w:val="bottom"/>
            <w:shd w:val="clear" w:color="auto" w:fill="E9F0F3"/>
          </w:tcPr>
          <w:p>
            <w:pPr>
              <w:jc w:val="right"/>
              <w:ind w:right="133"/>
              <w:spacing w:after="0"/>
              <w:rPr>
                <w:sz w:val="20"/>
                <w:szCs w:val="20"/>
                <w:color w:val="auto"/>
              </w:rPr>
            </w:pPr>
            <w:r>
              <w:rPr>
                <w:rFonts w:ascii="Arial" w:cs="Arial" w:eastAsia="Arial" w:hAnsi="Arial"/>
                <w:sz w:val="14"/>
                <w:szCs w:val="14"/>
                <w:color w:val="auto"/>
              </w:rPr>
              <w:t>$7,079</w:t>
            </w:r>
          </w:p>
        </w:tc>
        <w:tc>
          <w:tcPr>
            <w:tcW w:w="8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$22,658</w:t>
            </w:r>
          </w:p>
        </w:tc>
      </w:tr>
      <w:tr>
        <w:trPr>
          <w:trHeight w:val="66"/>
        </w:trPr>
        <w:tc>
          <w:tcPr>
            <w:tcW w:w="2440" w:type="dxa"/>
            <w:vAlign w:val="bottom"/>
            <w:shd w:val="clear" w:color="auto" w:fill="E9F0F3"/>
          </w:tcPr>
          <w:p>
            <w:pPr>
              <w:spacing w:after="0"/>
              <w:rPr>
                <w:sz w:val="5"/>
                <w:szCs w:val="5"/>
                <w:color w:val="auto"/>
              </w:rPr>
            </w:pPr>
          </w:p>
        </w:tc>
        <w:tc>
          <w:tcPr>
            <w:tcW w:w="3920" w:type="dxa"/>
            <w:vAlign w:val="bottom"/>
            <w:shd w:val="clear" w:color="auto" w:fill="E9F0F3"/>
          </w:tcPr>
          <w:p>
            <w:pPr>
              <w:spacing w:after="0"/>
              <w:rPr>
                <w:sz w:val="5"/>
                <w:szCs w:val="5"/>
                <w:color w:val="auto"/>
              </w:rPr>
            </w:pPr>
          </w:p>
        </w:tc>
        <w:tc>
          <w:tcPr>
            <w:tcW w:w="1680" w:type="dxa"/>
            <w:vAlign w:val="bottom"/>
            <w:shd w:val="clear" w:color="auto" w:fill="E9F0F3"/>
          </w:tcPr>
          <w:p>
            <w:pPr>
              <w:spacing w:after="0"/>
              <w:rPr>
                <w:sz w:val="5"/>
                <w:szCs w:val="5"/>
                <w:color w:val="auto"/>
              </w:rPr>
            </w:pPr>
          </w:p>
        </w:tc>
        <w:tc>
          <w:tcPr>
            <w:tcW w:w="840" w:type="dxa"/>
            <w:vAlign w:val="bottom"/>
            <w:shd w:val="clear" w:color="auto" w:fill="E9F0F3"/>
          </w:tcPr>
          <w:p>
            <w:pPr>
              <w:spacing w:after="0"/>
              <w:rPr>
                <w:sz w:val="5"/>
                <w:szCs w:val="5"/>
                <w:color w:val="auto"/>
              </w:rPr>
            </w:pPr>
          </w:p>
        </w:tc>
      </w:tr>
      <w:tr>
        <w:trPr>
          <w:trHeight w:val="229"/>
        </w:trPr>
        <w:tc>
          <w:tcPr>
            <w:tcW w:w="2440" w:type="dxa"/>
            <w:vAlign w:val="bottom"/>
          </w:tcPr>
          <w:p>
            <w:pPr>
              <w:ind w:left="80"/>
              <w:spacing w:after="0"/>
              <w:rPr>
                <w:sz w:val="20"/>
                <w:szCs w:val="20"/>
                <w:color w:val="auto"/>
              </w:rPr>
            </w:pPr>
            <w:r>
              <w:rPr>
                <w:rFonts w:ascii="Arial" w:cs="Arial" w:eastAsia="Arial" w:hAnsi="Arial"/>
                <w:sz w:val="14"/>
                <w:szCs w:val="14"/>
                <w:b w:val="1"/>
                <w:bCs w:val="1"/>
                <w:color w:val="auto"/>
              </w:rPr>
              <w:t>Tapestry, Inc.</w:t>
            </w:r>
          </w:p>
        </w:tc>
        <w:tc>
          <w:tcPr>
            <w:tcW w:w="3920" w:type="dxa"/>
            <w:vAlign w:val="bottom"/>
          </w:tcPr>
          <w:p>
            <w:pPr>
              <w:ind w:left="600"/>
              <w:spacing w:after="0"/>
              <w:rPr>
                <w:sz w:val="20"/>
                <w:szCs w:val="20"/>
                <w:color w:val="auto"/>
              </w:rPr>
            </w:pPr>
            <w:r>
              <w:rPr>
                <w:rFonts w:ascii="Arial" w:cs="Arial" w:eastAsia="Arial" w:hAnsi="Arial"/>
                <w:sz w:val="14"/>
                <w:szCs w:val="14"/>
                <w:color w:val="auto"/>
              </w:rPr>
              <w:t>Apparel, Accessories and Luxury Goods</w:t>
            </w:r>
          </w:p>
        </w:tc>
        <w:tc>
          <w:tcPr>
            <w:tcW w:w="1680" w:type="dxa"/>
            <w:vAlign w:val="bottom"/>
          </w:tcPr>
          <w:p>
            <w:pPr>
              <w:jc w:val="right"/>
              <w:ind w:right="133"/>
              <w:spacing w:after="0"/>
              <w:rPr>
                <w:sz w:val="20"/>
                <w:szCs w:val="20"/>
                <w:color w:val="auto"/>
              </w:rPr>
            </w:pPr>
            <w:r>
              <w:rPr>
                <w:rFonts w:ascii="Arial" w:cs="Arial" w:eastAsia="Arial" w:hAnsi="Arial"/>
                <w:sz w:val="14"/>
                <w:szCs w:val="14"/>
                <w:color w:val="auto"/>
              </w:rPr>
              <w:t>$7,011</w:t>
            </w:r>
          </w:p>
        </w:tc>
        <w:tc>
          <w:tcPr>
            <w:tcW w:w="840" w:type="dxa"/>
            <w:vAlign w:val="bottom"/>
          </w:tcPr>
          <w:p>
            <w:pPr>
              <w:jc w:val="right"/>
              <w:spacing w:after="0"/>
              <w:rPr>
                <w:sz w:val="20"/>
                <w:szCs w:val="20"/>
                <w:color w:val="auto"/>
              </w:rPr>
            </w:pPr>
            <w:r>
              <w:rPr>
                <w:rFonts w:ascii="Arial" w:cs="Arial" w:eastAsia="Arial" w:hAnsi="Arial"/>
                <w:sz w:val="14"/>
                <w:szCs w:val="14"/>
                <w:color w:val="auto"/>
              </w:rPr>
              <w:t>$29,428</w:t>
            </w:r>
          </w:p>
        </w:tc>
      </w:tr>
      <w:tr>
        <w:trPr>
          <w:trHeight w:val="66"/>
        </w:trPr>
        <w:tc>
          <w:tcPr>
            <w:tcW w:w="2440" w:type="dxa"/>
            <w:vAlign w:val="bottom"/>
          </w:tcPr>
          <w:p>
            <w:pPr>
              <w:spacing w:after="0"/>
              <w:rPr>
                <w:sz w:val="5"/>
                <w:szCs w:val="5"/>
                <w:color w:val="auto"/>
              </w:rPr>
            </w:pPr>
          </w:p>
        </w:tc>
        <w:tc>
          <w:tcPr>
            <w:tcW w:w="39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29"/>
        </w:trPr>
        <w:tc>
          <w:tcPr>
            <w:tcW w:w="2440" w:type="dxa"/>
            <w:vAlign w:val="bottom"/>
            <w:shd w:val="clear" w:color="auto" w:fill="E9F0F3"/>
          </w:tcPr>
          <w:p>
            <w:pPr>
              <w:ind w:left="80"/>
              <w:spacing w:after="0"/>
              <w:rPr>
                <w:sz w:val="20"/>
                <w:szCs w:val="20"/>
                <w:color w:val="auto"/>
              </w:rPr>
            </w:pPr>
            <w:r>
              <w:rPr>
                <w:rFonts w:ascii="Arial" w:cs="Arial" w:eastAsia="Arial" w:hAnsi="Arial"/>
                <w:sz w:val="14"/>
                <w:szCs w:val="14"/>
                <w:b w:val="1"/>
                <w:bCs w:val="1"/>
                <w:color w:val="auto"/>
              </w:rPr>
              <w:t>Victoria’s Secret &amp; Co.</w:t>
            </w:r>
          </w:p>
        </w:tc>
        <w:tc>
          <w:tcPr>
            <w:tcW w:w="3920" w:type="dxa"/>
            <w:vAlign w:val="bottom"/>
            <w:shd w:val="clear" w:color="auto" w:fill="E9F0F3"/>
          </w:tcPr>
          <w:p>
            <w:pPr>
              <w:ind w:left="600"/>
              <w:spacing w:after="0"/>
              <w:rPr>
                <w:sz w:val="20"/>
                <w:szCs w:val="20"/>
                <w:color w:val="auto"/>
              </w:rPr>
            </w:pPr>
            <w:r>
              <w:rPr>
                <w:rFonts w:ascii="Arial" w:cs="Arial" w:eastAsia="Arial" w:hAnsi="Arial"/>
                <w:sz w:val="14"/>
                <w:szCs w:val="14"/>
                <w:color w:val="auto"/>
              </w:rPr>
              <w:t>Apparel Retail</w:t>
            </w:r>
          </w:p>
        </w:tc>
        <w:tc>
          <w:tcPr>
            <w:tcW w:w="1680" w:type="dxa"/>
            <w:vAlign w:val="bottom"/>
            <w:shd w:val="clear" w:color="auto" w:fill="E9F0F3"/>
          </w:tcPr>
          <w:p>
            <w:pPr>
              <w:jc w:val="right"/>
              <w:ind w:right="133"/>
              <w:spacing w:after="0"/>
              <w:rPr>
                <w:sz w:val="20"/>
                <w:szCs w:val="20"/>
                <w:color w:val="auto"/>
              </w:rPr>
            </w:pPr>
            <w:r>
              <w:rPr>
                <w:rFonts w:ascii="Arial" w:cs="Arial" w:eastAsia="Arial" w:hAnsi="Arial"/>
                <w:sz w:val="14"/>
                <w:szCs w:val="14"/>
                <w:color w:val="auto"/>
              </w:rPr>
              <w:t>$6,553</w:t>
            </w:r>
          </w:p>
        </w:tc>
        <w:tc>
          <w:tcPr>
            <w:tcW w:w="8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$7,348</w:t>
            </w:r>
          </w:p>
        </w:tc>
      </w:tr>
      <w:tr>
        <w:trPr>
          <w:trHeight w:val="66"/>
        </w:trPr>
        <w:tc>
          <w:tcPr>
            <w:tcW w:w="2440" w:type="dxa"/>
            <w:vAlign w:val="bottom"/>
            <w:shd w:val="clear" w:color="auto" w:fill="E9F0F3"/>
          </w:tcPr>
          <w:p>
            <w:pPr>
              <w:spacing w:after="0"/>
              <w:rPr>
                <w:sz w:val="5"/>
                <w:szCs w:val="5"/>
                <w:color w:val="auto"/>
              </w:rPr>
            </w:pPr>
          </w:p>
        </w:tc>
        <w:tc>
          <w:tcPr>
            <w:tcW w:w="3920" w:type="dxa"/>
            <w:vAlign w:val="bottom"/>
            <w:shd w:val="clear" w:color="auto" w:fill="E9F0F3"/>
          </w:tcPr>
          <w:p>
            <w:pPr>
              <w:spacing w:after="0"/>
              <w:rPr>
                <w:sz w:val="5"/>
                <w:szCs w:val="5"/>
                <w:color w:val="auto"/>
              </w:rPr>
            </w:pPr>
          </w:p>
        </w:tc>
        <w:tc>
          <w:tcPr>
            <w:tcW w:w="1680" w:type="dxa"/>
            <w:vAlign w:val="bottom"/>
            <w:shd w:val="clear" w:color="auto" w:fill="E9F0F3"/>
          </w:tcPr>
          <w:p>
            <w:pPr>
              <w:spacing w:after="0"/>
              <w:rPr>
                <w:sz w:val="5"/>
                <w:szCs w:val="5"/>
                <w:color w:val="auto"/>
              </w:rPr>
            </w:pPr>
          </w:p>
        </w:tc>
        <w:tc>
          <w:tcPr>
            <w:tcW w:w="840" w:type="dxa"/>
            <w:vAlign w:val="bottom"/>
            <w:shd w:val="clear" w:color="auto" w:fill="E9F0F3"/>
          </w:tcPr>
          <w:p>
            <w:pPr>
              <w:spacing w:after="0"/>
              <w:rPr>
                <w:sz w:val="5"/>
                <w:szCs w:val="5"/>
                <w:color w:val="auto"/>
              </w:rPr>
            </w:pPr>
          </w:p>
        </w:tc>
      </w:tr>
      <w:tr>
        <w:trPr>
          <w:trHeight w:val="229"/>
        </w:trPr>
        <w:tc>
          <w:tcPr>
            <w:tcW w:w="2440" w:type="dxa"/>
            <w:vAlign w:val="bottom"/>
          </w:tcPr>
          <w:p>
            <w:pPr>
              <w:ind w:left="80"/>
              <w:spacing w:after="0"/>
              <w:rPr>
                <w:sz w:val="20"/>
                <w:szCs w:val="20"/>
                <w:color w:val="auto"/>
              </w:rPr>
            </w:pPr>
            <w:r>
              <w:rPr>
                <w:rFonts w:ascii="Arial" w:cs="Arial" w:eastAsia="Arial" w:hAnsi="Arial"/>
                <w:sz w:val="14"/>
                <w:szCs w:val="14"/>
                <w:b w:val="1"/>
                <w:bCs w:val="1"/>
                <w:color w:val="auto"/>
              </w:rPr>
              <w:t>Levi Strauss &amp; Co.</w:t>
            </w:r>
          </w:p>
        </w:tc>
        <w:tc>
          <w:tcPr>
            <w:tcW w:w="3920" w:type="dxa"/>
            <w:vAlign w:val="bottom"/>
          </w:tcPr>
          <w:p>
            <w:pPr>
              <w:ind w:left="600"/>
              <w:spacing w:after="0"/>
              <w:rPr>
                <w:sz w:val="20"/>
                <w:szCs w:val="20"/>
                <w:color w:val="auto"/>
              </w:rPr>
            </w:pPr>
            <w:r>
              <w:rPr>
                <w:rFonts w:ascii="Arial" w:cs="Arial" w:eastAsia="Arial" w:hAnsi="Arial"/>
                <w:sz w:val="14"/>
                <w:szCs w:val="14"/>
                <w:color w:val="auto"/>
              </w:rPr>
              <w:t>Apparel, Accessories and Luxury Goods</w:t>
            </w:r>
          </w:p>
        </w:tc>
        <w:tc>
          <w:tcPr>
            <w:tcW w:w="1680" w:type="dxa"/>
            <w:vAlign w:val="bottom"/>
          </w:tcPr>
          <w:p>
            <w:pPr>
              <w:jc w:val="right"/>
              <w:ind w:right="133"/>
              <w:spacing w:after="0"/>
              <w:rPr>
                <w:sz w:val="20"/>
                <w:szCs w:val="20"/>
                <w:color w:val="auto"/>
              </w:rPr>
            </w:pPr>
            <w:r>
              <w:rPr>
                <w:rFonts w:ascii="Arial" w:cs="Arial" w:eastAsia="Arial" w:hAnsi="Arial"/>
                <w:sz w:val="14"/>
                <w:szCs w:val="14"/>
                <w:color w:val="auto"/>
              </w:rPr>
              <w:t>$6,282</w:t>
            </w:r>
          </w:p>
        </w:tc>
        <w:tc>
          <w:tcPr>
            <w:tcW w:w="840" w:type="dxa"/>
            <w:vAlign w:val="bottom"/>
          </w:tcPr>
          <w:p>
            <w:pPr>
              <w:jc w:val="right"/>
              <w:spacing w:after="0"/>
              <w:rPr>
                <w:sz w:val="20"/>
                <w:szCs w:val="20"/>
                <w:color w:val="auto"/>
              </w:rPr>
            </w:pPr>
            <w:r>
              <w:rPr>
                <w:rFonts w:ascii="Arial" w:cs="Arial" w:eastAsia="Arial" w:hAnsi="Arial"/>
                <w:sz w:val="14"/>
                <w:szCs w:val="14"/>
                <w:color w:val="auto"/>
              </w:rPr>
              <w:t>$9,219</w:t>
            </w:r>
          </w:p>
        </w:tc>
      </w:tr>
      <w:tr>
        <w:trPr>
          <w:trHeight w:val="66"/>
        </w:trPr>
        <w:tc>
          <w:tcPr>
            <w:tcW w:w="2440" w:type="dxa"/>
            <w:vAlign w:val="bottom"/>
          </w:tcPr>
          <w:p>
            <w:pPr>
              <w:spacing w:after="0"/>
              <w:rPr>
                <w:sz w:val="5"/>
                <w:szCs w:val="5"/>
                <w:color w:val="auto"/>
              </w:rPr>
            </w:pPr>
          </w:p>
        </w:tc>
        <w:tc>
          <w:tcPr>
            <w:tcW w:w="39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840" w:type="dxa"/>
            <w:vAlign w:val="bottom"/>
          </w:tcPr>
          <w:p>
            <w:pPr>
              <w:spacing w:after="0"/>
              <w:rPr>
                <w:sz w:val="5"/>
                <w:szCs w:val="5"/>
                <w:color w:val="auto"/>
              </w:rPr>
            </w:pPr>
          </w:p>
        </w:tc>
      </w:tr>
      <w:tr>
        <w:trPr>
          <w:trHeight w:val="229"/>
        </w:trPr>
        <w:tc>
          <w:tcPr>
            <w:tcW w:w="2440" w:type="dxa"/>
            <w:vAlign w:val="bottom"/>
            <w:shd w:val="clear" w:color="auto" w:fill="E9F0F3"/>
          </w:tcPr>
          <w:p>
            <w:pPr>
              <w:ind w:left="80"/>
              <w:spacing w:after="0"/>
              <w:rPr>
                <w:sz w:val="20"/>
                <w:szCs w:val="20"/>
                <w:color w:val="auto"/>
              </w:rPr>
            </w:pPr>
            <w:r>
              <w:rPr>
                <w:rFonts w:ascii="Arial" w:cs="Arial" w:eastAsia="Arial" w:hAnsi="Arial"/>
                <w:sz w:val="14"/>
                <w:szCs w:val="14"/>
                <w:b w:val="1"/>
                <w:bCs w:val="1"/>
                <w:color w:val="auto"/>
              </w:rPr>
              <w:t>Hanesbrands Inc.</w:t>
            </w:r>
          </w:p>
        </w:tc>
        <w:tc>
          <w:tcPr>
            <w:tcW w:w="3920" w:type="dxa"/>
            <w:vAlign w:val="bottom"/>
            <w:shd w:val="clear" w:color="auto" w:fill="E9F0F3"/>
          </w:tcPr>
          <w:p>
            <w:pPr>
              <w:ind w:left="600"/>
              <w:spacing w:after="0"/>
              <w:rPr>
                <w:sz w:val="20"/>
                <w:szCs w:val="20"/>
                <w:color w:val="auto"/>
              </w:rPr>
            </w:pPr>
            <w:r>
              <w:rPr>
                <w:rFonts w:ascii="Arial" w:cs="Arial" w:eastAsia="Arial" w:hAnsi="Arial"/>
                <w:sz w:val="14"/>
                <w:szCs w:val="14"/>
                <w:color w:val="auto"/>
              </w:rPr>
              <w:t>Apparel, Accessories and Luxury Goods</w:t>
            </w:r>
          </w:p>
        </w:tc>
        <w:tc>
          <w:tcPr>
            <w:tcW w:w="1680" w:type="dxa"/>
            <w:vAlign w:val="bottom"/>
            <w:shd w:val="clear" w:color="auto" w:fill="E9F0F3"/>
          </w:tcPr>
          <w:p>
            <w:pPr>
              <w:jc w:val="right"/>
              <w:ind w:right="133"/>
              <w:spacing w:after="0"/>
              <w:rPr>
                <w:sz w:val="20"/>
                <w:szCs w:val="20"/>
                <w:color w:val="auto"/>
              </w:rPr>
            </w:pPr>
            <w:r>
              <w:rPr>
                <w:rFonts w:ascii="Arial" w:cs="Arial" w:eastAsia="Arial" w:hAnsi="Arial"/>
                <w:sz w:val="14"/>
                <w:szCs w:val="14"/>
                <w:color w:val="auto"/>
              </w:rPr>
              <w:t>$5,637</w:t>
            </w:r>
          </w:p>
        </w:tc>
        <w:tc>
          <w:tcPr>
            <w:tcW w:w="8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$5,570</w:t>
            </w:r>
          </w:p>
        </w:tc>
      </w:tr>
      <w:tr>
        <w:trPr>
          <w:trHeight w:val="66"/>
        </w:trPr>
        <w:tc>
          <w:tcPr>
            <w:tcW w:w="2440" w:type="dxa"/>
            <w:vAlign w:val="bottom"/>
            <w:shd w:val="clear" w:color="auto" w:fill="E9F0F3"/>
          </w:tcPr>
          <w:p>
            <w:pPr>
              <w:spacing w:after="0"/>
              <w:rPr>
                <w:sz w:val="5"/>
                <w:szCs w:val="5"/>
                <w:color w:val="auto"/>
              </w:rPr>
            </w:pPr>
          </w:p>
        </w:tc>
        <w:tc>
          <w:tcPr>
            <w:tcW w:w="3920" w:type="dxa"/>
            <w:vAlign w:val="bottom"/>
            <w:shd w:val="clear" w:color="auto" w:fill="E9F0F3"/>
          </w:tcPr>
          <w:p>
            <w:pPr>
              <w:spacing w:after="0"/>
              <w:rPr>
                <w:sz w:val="5"/>
                <w:szCs w:val="5"/>
                <w:color w:val="auto"/>
              </w:rPr>
            </w:pPr>
          </w:p>
        </w:tc>
        <w:tc>
          <w:tcPr>
            <w:tcW w:w="1680" w:type="dxa"/>
            <w:vAlign w:val="bottom"/>
            <w:shd w:val="clear" w:color="auto" w:fill="E9F0F3"/>
          </w:tcPr>
          <w:p>
            <w:pPr>
              <w:spacing w:after="0"/>
              <w:rPr>
                <w:sz w:val="5"/>
                <w:szCs w:val="5"/>
                <w:color w:val="auto"/>
              </w:rPr>
            </w:pPr>
          </w:p>
        </w:tc>
        <w:tc>
          <w:tcPr>
            <w:tcW w:w="840" w:type="dxa"/>
            <w:vAlign w:val="bottom"/>
            <w:shd w:val="clear" w:color="auto" w:fill="E9F0F3"/>
          </w:tcPr>
          <w:p>
            <w:pPr>
              <w:spacing w:after="0"/>
              <w:rPr>
                <w:sz w:val="5"/>
                <w:szCs w:val="5"/>
                <w:color w:val="auto"/>
              </w:rPr>
            </w:pPr>
          </w:p>
        </w:tc>
      </w:tr>
      <w:tr>
        <w:trPr>
          <w:trHeight w:val="229"/>
        </w:trPr>
        <w:tc>
          <w:tcPr>
            <w:tcW w:w="2440" w:type="dxa"/>
            <w:vAlign w:val="bottom"/>
          </w:tcPr>
          <w:p>
            <w:pPr>
              <w:ind w:left="80"/>
              <w:spacing w:after="0"/>
              <w:rPr>
                <w:sz w:val="20"/>
                <w:szCs w:val="20"/>
                <w:color w:val="auto"/>
              </w:rPr>
            </w:pPr>
            <w:r>
              <w:rPr>
                <w:rFonts w:ascii="Arial" w:cs="Arial" w:eastAsia="Arial" w:hAnsi="Arial"/>
                <w:sz w:val="14"/>
                <w:szCs w:val="14"/>
                <w:b w:val="1"/>
                <w:bCs w:val="1"/>
                <w:color w:val="auto"/>
              </w:rPr>
              <w:t>Capri Holdings Limited</w:t>
            </w:r>
          </w:p>
        </w:tc>
        <w:tc>
          <w:tcPr>
            <w:tcW w:w="3920" w:type="dxa"/>
            <w:vAlign w:val="bottom"/>
          </w:tcPr>
          <w:p>
            <w:pPr>
              <w:ind w:left="600"/>
              <w:spacing w:after="0"/>
              <w:rPr>
                <w:sz w:val="20"/>
                <w:szCs w:val="20"/>
                <w:color w:val="auto"/>
              </w:rPr>
            </w:pPr>
            <w:r>
              <w:rPr>
                <w:rFonts w:ascii="Arial" w:cs="Arial" w:eastAsia="Arial" w:hAnsi="Arial"/>
                <w:sz w:val="14"/>
                <w:szCs w:val="14"/>
                <w:color w:val="auto"/>
              </w:rPr>
              <w:t>Apparel, Accessories and Luxury Goods</w:t>
            </w:r>
          </w:p>
        </w:tc>
        <w:tc>
          <w:tcPr>
            <w:tcW w:w="1680" w:type="dxa"/>
            <w:vAlign w:val="bottom"/>
          </w:tcPr>
          <w:p>
            <w:pPr>
              <w:jc w:val="right"/>
              <w:ind w:right="133"/>
              <w:spacing w:after="0"/>
              <w:rPr>
                <w:sz w:val="20"/>
                <w:szCs w:val="20"/>
                <w:color w:val="auto"/>
              </w:rPr>
            </w:pPr>
            <w:r>
              <w:rPr>
                <w:rFonts w:ascii="Arial" w:cs="Arial" w:eastAsia="Arial" w:hAnsi="Arial"/>
                <w:sz w:val="14"/>
                <w:szCs w:val="14"/>
                <w:color w:val="auto"/>
              </w:rPr>
              <w:t>$4,442</w:t>
            </w:r>
          </w:p>
        </w:tc>
        <w:tc>
          <w:tcPr>
            <w:tcW w:w="840" w:type="dxa"/>
            <w:vAlign w:val="bottom"/>
          </w:tcPr>
          <w:p>
            <w:pPr>
              <w:jc w:val="right"/>
              <w:spacing w:after="0"/>
              <w:rPr>
                <w:sz w:val="20"/>
                <w:szCs w:val="20"/>
                <w:color w:val="auto"/>
              </w:rPr>
            </w:pPr>
            <w:r>
              <w:rPr>
                <w:rFonts w:ascii="Arial" w:cs="Arial" w:eastAsia="Arial" w:hAnsi="Arial"/>
                <w:sz w:val="14"/>
                <w:szCs w:val="14"/>
                <w:color w:val="auto"/>
              </w:rPr>
              <w:t>$5,450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5875655</wp:posOffset>
            </wp:positionH>
            <wp:positionV relativeFrom="paragraph">
              <wp:posOffset>-3046095</wp:posOffset>
            </wp:positionV>
            <wp:extent cx="845185" cy="27749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45185" cy="2774950"/>
                    </a:xfrm>
                    <a:prstGeom prst="rect">
                      <a:avLst/>
                    </a:prstGeom>
                    <a:noFill/>
                  </pic:spPr>
                </pic:pic>
              </a:graphicData>
            </a:graphic>
          </wp:anchor>
        </w:drawing>
      </w:r>
    </w:p>
    <w:p>
      <w:pPr>
        <w:spacing w:after="0" w:line="203" w:lineRule="exact"/>
        <w:rPr>
          <w:sz w:val="20"/>
          <w:szCs w:val="20"/>
          <w:color w:val="auto"/>
        </w:rPr>
      </w:pPr>
    </w:p>
    <w:p>
      <w:pPr>
        <w:ind w:left="160" w:right="300" w:hanging="149"/>
        <w:spacing w:after="0" w:line="252" w:lineRule="auto"/>
        <w:tabs>
          <w:tab w:leader="none" w:pos="167" w:val="left"/>
        </w:tabs>
        <w:numPr>
          <w:ilvl w:val="0"/>
          <w:numId w:val="87"/>
        </w:numPr>
        <w:rPr>
          <w:rFonts w:ascii="Arial" w:cs="Arial" w:eastAsia="Arial" w:hAnsi="Arial"/>
          <w:sz w:val="13"/>
          <w:szCs w:val="13"/>
          <w:color w:val="auto"/>
        </w:rPr>
      </w:pPr>
      <w:r>
        <w:rPr>
          <w:rFonts w:ascii="Arial" w:cs="Arial" w:eastAsia="Arial" w:hAnsi="Arial"/>
          <w:sz w:val="13"/>
          <w:szCs w:val="13"/>
          <w:color w:val="auto"/>
        </w:rPr>
        <w:t>Burlington Stores, Inc. and lululemon athletica inc. were added to the compensation peer group for compensation package decisions in 2025 as they fit within the peer group criteria, such as industry and size.</w:t>
      </w:r>
    </w:p>
    <w:p>
      <w:pPr>
        <w:spacing w:after="0" w:line="16" w:lineRule="exact"/>
        <w:rPr>
          <w:sz w:val="20"/>
          <w:szCs w:val="20"/>
          <w:color w:val="auto"/>
        </w:rPr>
      </w:pPr>
    </w:p>
    <w:p>
      <w:pPr>
        <w:ind w:left="180" w:hanging="169"/>
        <w:spacing w:after="0"/>
        <w:tabs>
          <w:tab w:leader="none" w:pos="180" w:val="left"/>
        </w:tabs>
        <w:numPr>
          <w:ilvl w:val="0"/>
          <w:numId w:val="88"/>
        </w:numPr>
        <w:rPr>
          <w:rFonts w:ascii="Arial" w:cs="Arial" w:eastAsia="Arial" w:hAnsi="Arial"/>
          <w:sz w:val="13"/>
          <w:szCs w:val="13"/>
          <w:color w:val="auto"/>
        </w:rPr>
      </w:pPr>
      <w:r>
        <w:rPr>
          <w:rFonts w:ascii="Arial" w:cs="Arial" w:eastAsia="Arial" w:hAnsi="Arial"/>
          <w:sz w:val="13"/>
          <w:szCs w:val="13"/>
          <w:color w:val="auto"/>
        </w:rPr>
        <w:t>Most Recent Fiscal Year Revenue sourced from latest company filings per S&amp;P’s Capital IQ, excludes subleased rental income.</w:t>
      </w:r>
    </w:p>
    <w:p>
      <w:pPr>
        <w:spacing w:after="0" w:line="38"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color w:val="auto"/>
        </w:rPr>
        <w:t>3  Enterprise Value sourced from S&amp;P’s Capital IQ.</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49CAB"/>
        </w:rPr>
        <w:t xml:space="preserve">COMPENSATION DISCUSSION &amp; ANALYSIS </w:t>
      </w:r>
      <w:r>
        <w:rPr>
          <w:rFonts w:ascii="Arial" w:cs="Arial" w:eastAsia="Arial" w:hAnsi="Arial"/>
          <w:sz w:val="11"/>
          <w:szCs w:val="11"/>
          <w:color w:val="000000"/>
        </w:rPr>
        <w:t>/ PVH CORP. 2026 PROXY STATEMENT /</w:t>
      </w:r>
      <w:r>
        <w:rPr>
          <w:rFonts w:ascii="Arial" w:cs="Arial" w:eastAsia="Arial" w:hAnsi="Arial"/>
          <w:sz w:val="11"/>
          <w:szCs w:val="11"/>
          <w:b w:val="1"/>
          <w:bCs w:val="1"/>
          <w:color w:val="749CAB"/>
        </w:rPr>
        <w:t xml:space="preserve"> </w:t>
      </w:r>
      <w:r>
        <w:rPr>
          <w:rFonts w:ascii="Arial" w:cs="Arial" w:eastAsia="Arial" w:hAnsi="Arial"/>
          <w:sz w:val="11"/>
          <w:szCs w:val="11"/>
          <w:b w:val="1"/>
          <w:bCs w:val="1"/>
          <w:color w:val="00000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445" w:right="479" w:bottom="1440" w:gutter="0" w:footer="0" w:header="0"/>
        </w:sectPr>
      </w:pPr>
    </w:p>
    <w:bookmarkStart w:id="56" w:name="page57"/>
    <w:bookmarkEnd w:id="56"/>
    <w:p>
      <w:pPr>
        <w:ind w:left="9"/>
        <w:spacing w:after="0"/>
        <w:rPr>
          <w:sz w:val="20"/>
          <w:szCs w:val="20"/>
          <w:color w:val="auto"/>
        </w:rPr>
      </w:pPr>
      <w:r>
        <w:rPr>
          <w:rFonts w:ascii="Arial" w:cs="Arial" w:eastAsia="Arial" w:hAnsi="Arial"/>
          <w:sz w:val="17"/>
          <w:szCs w:val="17"/>
          <w:b w:val="1"/>
          <w:bCs w:val="1"/>
          <w:color w:val="6D98AD"/>
        </w:rPr>
        <w:t>PVH Performance Compared to Compensation Peer Group Performance</w:t>
      </w:r>
    </w:p>
    <w:p>
      <w:pPr>
        <w:spacing w:after="0" w:line="61" w:lineRule="exact"/>
        <w:rPr>
          <w:sz w:val="20"/>
          <w:szCs w:val="20"/>
          <w:color w:val="auto"/>
        </w:rPr>
      </w:pPr>
    </w:p>
    <w:p>
      <w:pPr>
        <w:ind w:left="9" w:right="160"/>
        <w:spacing w:after="0" w:line="282" w:lineRule="auto"/>
        <w:rPr>
          <w:sz w:val="20"/>
          <w:szCs w:val="20"/>
          <w:color w:val="auto"/>
        </w:rPr>
      </w:pPr>
      <w:r>
        <w:rPr>
          <w:rFonts w:ascii="Arial" w:cs="Arial" w:eastAsia="Arial" w:hAnsi="Arial"/>
          <w:sz w:val="14"/>
          <w:szCs w:val="14"/>
          <w:color w:val="auto"/>
        </w:rPr>
        <w:t>The following shows our performance against our compensation peer group with regard to several metrics for the one- and three-year periods ended with the 2025 year-end (the last business day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21590</wp:posOffset>
            </wp:positionV>
            <wp:extent cx="4831080" cy="13912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831080" cy="1391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69" w:hanging="169"/>
        <w:spacing w:after="0"/>
        <w:tabs>
          <w:tab w:leader="none" w:pos="169" w:val="left"/>
        </w:tabs>
        <w:numPr>
          <w:ilvl w:val="0"/>
          <w:numId w:val="89"/>
        </w:numPr>
        <w:rPr>
          <w:rFonts w:ascii="Arial" w:cs="Arial" w:eastAsia="Arial" w:hAnsi="Arial"/>
          <w:sz w:val="13"/>
          <w:szCs w:val="13"/>
          <w:color w:val="auto"/>
        </w:rPr>
      </w:pPr>
      <w:r>
        <w:rPr>
          <w:rFonts w:ascii="Arial" w:cs="Arial" w:eastAsia="Arial" w:hAnsi="Arial"/>
          <w:sz w:val="13"/>
          <w:szCs w:val="13"/>
          <w:color w:val="auto"/>
        </w:rPr>
        <w:t>Compensation Peer Group Revenue and Non-GAAP EBIT source company filings supplied by FactSet.</w:t>
      </w:r>
    </w:p>
    <w:p>
      <w:pPr>
        <w:spacing w:after="0" w:line="38" w:lineRule="exact"/>
        <w:rPr>
          <w:rFonts w:ascii="Arial" w:cs="Arial" w:eastAsia="Arial" w:hAnsi="Arial"/>
          <w:sz w:val="13"/>
          <w:szCs w:val="13"/>
          <w:color w:val="auto"/>
        </w:rPr>
      </w:pPr>
    </w:p>
    <w:p>
      <w:pPr>
        <w:ind w:left="9"/>
        <w:spacing w:after="0"/>
        <w:rPr>
          <w:rFonts w:ascii="Arial" w:cs="Arial" w:eastAsia="Arial" w:hAnsi="Arial"/>
          <w:sz w:val="13"/>
          <w:szCs w:val="13"/>
          <w:color w:val="auto"/>
        </w:rPr>
      </w:pPr>
      <w:r>
        <w:rPr>
          <w:rFonts w:ascii="Arial" w:cs="Arial" w:eastAsia="Arial" w:hAnsi="Arial"/>
          <w:sz w:val="13"/>
          <w:szCs w:val="13"/>
          <w:color w:val="auto"/>
        </w:rPr>
        <w:t>2  Individual list of Russell 3000 companies for TSR</w:t>
      </w:r>
    </w:p>
    <w:p>
      <w:pPr>
        <w:spacing w:after="0" w:line="38" w:lineRule="exact"/>
        <w:rPr>
          <w:rFonts w:ascii="Arial" w:cs="Arial" w:eastAsia="Arial" w:hAnsi="Arial"/>
          <w:sz w:val="13"/>
          <w:szCs w:val="13"/>
          <w:color w:val="auto"/>
        </w:rPr>
      </w:pPr>
    </w:p>
    <w:p>
      <w:pPr>
        <w:ind w:left="9"/>
        <w:spacing w:after="0"/>
        <w:rPr>
          <w:rFonts w:ascii="Arial" w:cs="Arial" w:eastAsia="Arial" w:hAnsi="Arial"/>
          <w:sz w:val="13"/>
          <w:szCs w:val="13"/>
          <w:color w:val="auto"/>
        </w:rPr>
      </w:pPr>
      <w:r>
        <w:rPr>
          <w:rFonts w:ascii="Arial" w:cs="Arial" w:eastAsia="Arial" w:hAnsi="Arial"/>
          <w:sz w:val="13"/>
          <w:szCs w:val="13"/>
          <w:color w:val="auto"/>
        </w:rPr>
        <w:t>3  Overall percentile rank excludes TSR vs. Russell 3000</w:t>
      </w:r>
    </w:p>
    <w:p>
      <w:pPr>
        <w:spacing w:after="0" w:line="167" w:lineRule="exact"/>
        <w:rPr>
          <w:sz w:val="20"/>
          <w:szCs w:val="20"/>
          <w:color w:val="auto"/>
        </w:rPr>
      </w:pPr>
    </w:p>
    <w:p>
      <w:pPr>
        <w:ind w:left="9"/>
        <w:spacing w:after="0"/>
        <w:rPr>
          <w:sz w:val="20"/>
          <w:szCs w:val="20"/>
          <w:color w:val="auto"/>
        </w:rPr>
      </w:pPr>
      <w:r>
        <w:rPr>
          <w:rFonts w:ascii="Arial" w:cs="Arial" w:eastAsia="Arial" w:hAnsi="Arial"/>
          <w:sz w:val="22"/>
          <w:szCs w:val="22"/>
          <w:b w:val="1"/>
          <w:bCs w:val="1"/>
          <w:color w:val="auto"/>
        </w:rPr>
        <w:t>CEO Compensation Compared to Total Stockholder Return</w:t>
      </w:r>
    </w:p>
    <w:p>
      <w:pPr>
        <w:spacing w:after="0" w:line="62" w:lineRule="exact"/>
        <w:rPr>
          <w:sz w:val="20"/>
          <w:szCs w:val="20"/>
          <w:color w:val="auto"/>
        </w:rPr>
      </w:pPr>
    </w:p>
    <w:p>
      <w:pPr>
        <w:ind w:left="9" w:right="200"/>
        <w:spacing w:after="0" w:line="264" w:lineRule="auto"/>
        <w:rPr>
          <w:sz w:val="20"/>
          <w:szCs w:val="20"/>
          <w:color w:val="auto"/>
        </w:rPr>
      </w:pPr>
      <w:r>
        <w:rPr>
          <w:rFonts w:ascii="Arial" w:cs="Arial" w:eastAsia="Arial" w:hAnsi="Arial"/>
          <w:sz w:val="14"/>
          <w:szCs w:val="14"/>
          <w:color w:val="auto"/>
        </w:rPr>
        <w:t>The following graph illustrates the strong alignment of our compensation program with the creation of long-term stockholder value. It shows our CEO’s target total compensation and actual total compensation for each of 2023, 2024 and 2025 as compared to the one-year and cumulative three-year TSR for each of those years for both PVH and for the Russell 3000 index. The compensation set forth below is not the same as shown on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59690</wp:posOffset>
            </wp:positionV>
            <wp:extent cx="4801235" cy="1839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801235" cy="183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9" w:hanging="169"/>
        <w:spacing w:after="0"/>
        <w:tabs>
          <w:tab w:leader="none" w:pos="169" w:val="left"/>
        </w:tabs>
        <w:numPr>
          <w:ilvl w:val="0"/>
          <w:numId w:val="90"/>
        </w:numPr>
        <w:rPr>
          <w:rFonts w:ascii="Arial" w:cs="Arial" w:eastAsia="Arial" w:hAnsi="Arial"/>
          <w:sz w:val="13"/>
          <w:szCs w:val="13"/>
          <w:color w:val="auto"/>
        </w:rPr>
      </w:pPr>
      <w:r>
        <w:rPr>
          <w:rFonts w:ascii="Arial" w:cs="Arial" w:eastAsia="Arial" w:hAnsi="Arial"/>
          <w:sz w:val="13"/>
          <w:szCs w:val="13"/>
          <w:color w:val="auto"/>
        </w:rPr>
        <w:t>Actual Total Compensation reflects salary paid, bonus and PSUs earned, and stock options and RSUs vested in each year using the stock price at the end of each fiscal year.</w:t>
      </w:r>
    </w:p>
    <w:p>
      <w:pPr>
        <w:spacing w:after="0" w:line="50" w:lineRule="exact"/>
        <w:rPr>
          <w:rFonts w:ascii="Arial" w:cs="Arial" w:eastAsia="Arial" w:hAnsi="Arial"/>
          <w:sz w:val="13"/>
          <w:szCs w:val="13"/>
          <w:color w:val="auto"/>
        </w:rPr>
      </w:pPr>
    </w:p>
    <w:p>
      <w:pPr>
        <w:ind w:left="9"/>
        <w:spacing w:after="0"/>
        <w:rPr>
          <w:rFonts w:ascii="Arial" w:cs="Arial" w:eastAsia="Arial" w:hAnsi="Arial"/>
          <w:sz w:val="13"/>
          <w:szCs w:val="13"/>
          <w:color w:val="auto"/>
        </w:rPr>
      </w:pPr>
      <w:r>
        <w:rPr>
          <w:rFonts w:ascii="Arial" w:cs="Arial" w:eastAsia="Arial" w:hAnsi="Arial"/>
          <w:sz w:val="13"/>
          <w:szCs w:val="13"/>
          <w:color w:val="auto"/>
        </w:rPr>
        <w:t>2  Total shareholder return ends with fiscal year end and begins with last business date of prior fiscal year.</w:t>
      </w:r>
    </w:p>
    <w:p>
      <w:pPr>
        <w:spacing w:after="0" w:line="167" w:lineRule="exact"/>
        <w:rPr>
          <w:sz w:val="20"/>
          <w:szCs w:val="20"/>
          <w:color w:val="auto"/>
        </w:rPr>
      </w:pPr>
    </w:p>
    <w:p>
      <w:pPr>
        <w:ind w:left="9"/>
        <w:spacing w:after="0"/>
        <w:rPr>
          <w:sz w:val="20"/>
          <w:szCs w:val="20"/>
          <w:color w:val="auto"/>
        </w:rPr>
      </w:pPr>
      <w:r>
        <w:rPr>
          <w:rFonts w:ascii="Arial" w:cs="Arial" w:eastAsia="Arial" w:hAnsi="Arial"/>
          <w:sz w:val="22"/>
          <w:szCs w:val="22"/>
          <w:b w:val="1"/>
          <w:bCs w:val="1"/>
          <w:color w:val="auto"/>
        </w:rPr>
        <w:t>Other Benefits</w:t>
      </w:r>
    </w:p>
    <w:p>
      <w:pPr>
        <w:spacing w:after="0" w:line="62" w:lineRule="exact"/>
        <w:rPr>
          <w:sz w:val="20"/>
          <w:szCs w:val="20"/>
          <w:color w:val="auto"/>
        </w:rPr>
      </w:pPr>
    </w:p>
    <w:p>
      <w:pPr>
        <w:ind w:left="9" w:right="20"/>
        <w:spacing w:after="0" w:line="258" w:lineRule="auto"/>
        <w:rPr>
          <w:sz w:val="20"/>
          <w:szCs w:val="20"/>
          <w:color w:val="auto"/>
        </w:rPr>
      </w:pPr>
      <w:r>
        <w:rPr>
          <w:rFonts w:ascii="Arial" w:cs="Arial" w:eastAsia="Arial" w:hAnsi="Arial"/>
          <w:sz w:val="14"/>
          <w:szCs w:val="14"/>
          <w:color w:val="auto"/>
        </w:rPr>
        <w:t>Our active U.S.-based NEOs participate in our Associates Investment Plan (our “401(k) plan”) and Supplemental Savings Plan. Mr. Larsson and Ms. Stone participate in our Pension Plan and Supplemental Pension Plan. Future service benefits for the Pension and Supplemental Pension Plans were frozen for most participants after June 30, 2024, and after June 30, 2026, for eligible “Transition Participants” who may continue to accrue benefits until that date. Neither Mr. Larsson nor Ms. Stone is a Transition Participant. Messrs. Coughlin and Savman and Ms. Serrano joined PVH after those plans were closed to new participants.</w:t>
      </w:r>
    </w:p>
    <w:p>
      <w:pPr>
        <w:spacing w:after="0" w:line="85" w:lineRule="exact"/>
        <w:rPr>
          <w:sz w:val="20"/>
          <w:szCs w:val="20"/>
          <w:color w:val="auto"/>
        </w:rPr>
      </w:pPr>
    </w:p>
    <w:p>
      <w:pPr>
        <w:ind w:left="9"/>
        <w:spacing w:after="0" w:line="282" w:lineRule="auto"/>
        <w:rPr>
          <w:sz w:val="20"/>
          <w:szCs w:val="20"/>
          <w:color w:val="auto"/>
        </w:rPr>
      </w:pPr>
      <w:r>
        <w:rPr>
          <w:rFonts w:ascii="Arial" w:cs="Arial" w:eastAsia="Arial" w:hAnsi="Arial"/>
          <w:sz w:val="14"/>
          <w:szCs w:val="14"/>
          <w:color w:val="auto"/>
        </w:rPr>
        <w:t xml:space="preserve">Ms. Rytz Goldman and Mr. Olsson participate in the </w:t>
      </w:r>
      <w:r>
        <w:rPr>
          <w:rFonts w:ascii="Arial" w:cs="Arial" w:eastAsia="Arial" w:hAnsi="Arial"/>
          <w:sz w:val="14"/>
          <w:szCs w:val="14"/>
          <w:i w:val="1"/>
          <w:iCs w:val="1"/>
          <w:color w:val="auto"/>
        </w:rPr>
        <w:t>Zwitserleven Nu Pensioen Plan</w:t>
      </w:r>
      <w:r>
        <w:rPr>
          <w:rFonts w:ascii="Arial" w:cs="Arial" w:eastAsia="Arial" w:hAnsi="Arial"/>
          <w:sz w:val="14"/>
          <w:szCs w:val="14"/>
          <w:color w:val="auto"/>
        </w:rPr>
        <w:t>, a defined contribution plan for associates in the PVH Europe headquarters in Amsterdam, and the PVH Net Pension Plan, a defined contribution plan for certain highly compensated executives in the PVH Europe headquarters.</w:t>
      </w:r>
    </w:p>
    <w:p>
      <w:pPr>
        <w:spacing w:after="0" w:line="137"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 xml:space="preserve">54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749CAB"/>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09"/>
          </w:cols>
          <w:pgMar w:left="471" w:top="260" w:right="519" w:bottom="1440" w:gutter="0" w:footer="0" w:header="0"/>
        </w:sectPr>
      </w:pPr>
    </w:p>
    <w:bookmarkStart w:id="57" w:name="page58"/>
    <w:bookmarkEnd w:id="57"/>
    <w:p>
      <w:pPr>
        <w:ind w:left="9" w:right="120"/>
        <w:spacing w:after="0" w:line="264" w:lineRule="auto"/>
        <w:rPr>
          <w:sz w:val="20"/>
          <w:szCs w:val="20"/>
          <w:color w:val="auto"/>
        </w:rPr>
      </w:pPr>
      <w:r>
        <w:rPr>
          <w:rFonts w:ascii="Arial" w:cs="Arial" w:eastAsia="Arial" w:hAnsi="Arial"/>
          <w:sz w:val="14"/>
          <w:szCs w:val="14"/>
          <w:color w:val="auto"/>
        </w:rPr>
        <w:t>The retirement, pension and welfare plans provided to executive officers are similar to those provided to all associates with some variation to promote tax efficiency and replace benefit opportunities lost due to regulatory limits. These officer-based benefits, in the countries in which they are offered, are designed to provide a safety net against the financial catastrophes that can result from illness, disability or death, and to provide a reasonable level of retirement income based on compensation and years of service.</w:t>
      </w:r>
    </w:p>
    <w:p>
      <w:pPr>
        <w:spacing w:after="0" w:line="81" w:lineRule="exact"/>
        <w:rPr>
          <w:sz w:val="20"/>
          <w:szCs w:val="20"/>
          <w:color w:val="auto"/>
        </w:rPr>
      </w:pPr>
    </w:p>
    <w:p>
      <w:pPr>
        <w:ind w:left="9" w:right="80"/>
        <w:spacing w:after="0" w:line="264" w:lineRule="auto"/>
        <w:rPr>
          <w:sz w:val="20"/>
          <w:szCs w:val="20"/>
          <w:color w:val="auto"/>
        </w:rPr>
      </w:pPr>
      <w:r>
        <w:rPr>
          <w:rFonts w:ascii="Arial" w:cs="Arial" w:eastAsia="Arial" w:hAnsi="Arial"/>
          <w:sz w:val="14"/>
          <w:szCs w:val="14"/>
          <w:color w:val="auto"/>
        </w:rPr>
        <w:t>Perquisites are limited and generally consist of discounts in our retail stores that are available to all associates. We maintain multiple relocation policies for associates who are hired subject to a requirement that they relocate to one of our offices. Ms. Rytz Goldman and Mr. Savman, in accordance with their employment agreements, received relocation support in 2025 and will continue to receive relocation support in 2026, in compliance with PVH relocation policies.</w:t>
      </w:r>
    </w:p>
    <w:p>
      <w:pPr>
        <w:spacing w:after="0" w:line="69" w:lineRule="exact"/>
        <w:rPr>
          <w:sz w:val="20"/>
          <w:szCs w:val="20"/>
          <w:color w:val="auto"/>
        </w:rPr>
      </w:pPr>
    </w:p>
    <w:p>
      <w:pPr>
        <w:jc w:val="both"/>
        <w:ind w:left="9" w:right="60"/>
        <w:spacing w:after="0" w:line="264" w:lineRule="auto"/>
        <w:rPr>
          <w:sz w:val="20"/>
          <w:szCs w:val="20"/>
          <w:color w:val="auto"/>
        </w:rPr>
      </w:pPr>
      <w:r>
        <w:rPr>
          <w:rFonts w:ascii="Arial" w:cs="Arial" w:eastAsia="Arial" w:hAnsi="Arial"/>
          <w:sz w:val="14"/>
          <w:szCs w:val="14"/>
          <w:b w:val="1"/>
          <w:bCs w:val="1"/>
          <w:color w:val="auto"/>
        </w:rPr>
        <w:t>Car and driver</w:t>
      </w:r>
      <w:r>
        <w:rPr>
          <w:rFonts w:ascii="Arial" w:cs="Arial" w:eastAsia="Arial" w:hAnsi="Arial"/>
          <w:sz w:val="14"/>
          <w:szCs w:val="14"/>
          <w:color w:val="auto"/>
        </w:rPr>
        <w:t>. PVH has a corporate car and driver who drives executives to and from meetings, including among our three New York City offices, and a fourth office outside</w:t>
      </w:r>
      <w:r>
        <w:rPr>
          <w:rFonts w:ascii="Arial" w:cs="Arial" w:eastAsia="Arial" w:hAnsi="Arial"/>
          <w:sz w:val="14"/>
          <w:szCs w:val="14"/>
          <w:b w:val="1"/>
          <w:bCs w:val="1"/>
          <w:color w:val="auto"/>
        </w:rPr>
        <w:t xml:space="preserve"> </w:t>
      </w:r>
      <w:r>
        <w:rPr>
          <w:rFonts w:ascii="Arial" w:cs="Arial" w:eastAsia="Arial" w:hAnsi="Arial"/>
          <w:sz w:val="14"/>
          <w:szCs w:val="14"/>
          <w:color w:val="auto"/>
        </w:rPr>
        <w:t>of New York City, and provides messenger and other services. Mr. Larsson has access to the corporate car generally for his daily commute, as we believe this accommodation enables him to be more productive during this time.</w:t>
      </w:r>
    </w:p>
    <w:p>
      <w:pPr>
        <w:spacing w:after="0" w:line="69" w:lineRule="exact"/>
        <w:rPr>
          <w:sz w:val="20"/>
          <w:szCs w:val="20"/>
          <w:color w:val="auto"/>
        </w:rPr>
      </w:pPr>
    </w:p>
    <w:p>
      <w:pPr>
        <w:ind w:left="9"/>
        <w:spacing w:after="0"/>
        <w:rPr>
          <w:sz w:val="20"/>
          <w:szCs w:val="20"/>
          <w:color w:val="auto"/>
        </w:rPr>
      </w:pPr>
      <w:r>
        <w:rPr>
          <w:rFonts w:ascii="Arial" w:cs="Arial" w:eastAsia="Arial" w:hAnsi="Arial"/>
          <w:sz w:val="14"/>
          <w:szCs w:val="14"/>
          <w:color w:val="auto"/>
        </w:rPr>
        <w:t>Ms. Rytz Goldman and Mr. Olsson both receive a monthly car allowance, which is a common perquisite in Europe for the lead executives in a country.</w:t>
      </w:r>
    </w:p>
    <w:p>
      <w:pPr>
        <w:spacing w:after="0" w:line="184" w:lineRule="exact"/>
        <w:rPr>
          <w:sz w:val="20"/>
          <w:szCs w:val="20"/>
          <w:color w:val="auto"/>
        </w:rPr>
      </w:pPr>
    </w:p>
    <w:p>
      <w:pPr>
        <w:ind w:left="9"/>
        <w:spacing w:after="0"/>
        <w:rPr>
          <w:sz w:val="20"/>
          <w:szCs w:val="20"/>
          <w:color w:val="auto"/>
        </w:rPr>
      </w:pPr>
      <w:r>
        <w:rPr>
          <w:rFonts w:ascii="Arial" w:cs="Arial" w:eastAsia="Arial" w:hAnsi="Arial"/>
          <w:sz w:val="22"/>
          <w:szCs w:val="22"/>
          <w:b w:val="1"/>
          <w:bCs w:val="1"/>
          <w:color w:val="auto"/>
        </w:rPr>
        <w:t>Administration of Our Compensation Programs</w:t>
      </w:r>
    </w:p>
    <w:p>
      <w:pPr>
        <w:spacing w:after="0" w:line="53"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6D98AD"/>
        </w:rPr>
        <w:t>Stock Ownership Requirements</w:t>
      </w:r>
    </w:p>
    <w:p>
      <w:pPr>
        <w:spacing w:after="0" w:line="167" w:lineRule="exact"/>
        <w:rPr>
          <w:sz w:val="20"/>
          <w:szCs w:val="20"/>
          <w:color w:val="auto"/>
        </w:rPr>
      </w:pPr>
    </w:p>
    <w:p>
      <w:pPr>
        <w:ind w:left="9" w:right="6300"/>
        <w:spacing w:after="0" w:line="247" w:lineRule="auto"/>
        <w:rPr>
          <w:sz w:val="20"/>
          <w:szCs w:val="20"/>
          <w:color w:val="auto"/>
        </w:rPr>
      </w:pPr>
      <w:r>
        <w:rPr>
          <w:rFonts w:ascii="Arial" w:cs="Arial" w:eastAsia="Arial" w:hAnsi="Arial"/>
          <w:sz w:val="14"/>
          <w:szCs w:val="14"/>
          <w:color w:val="auto"/>
        </w:rPr>
        <w:t>Each of our active executive officers and members of our Executive Leadership Team are subject to an ownership requirement. Under our Stock Ownership Guidelines, our Chief Executive Officer is required to hold shares of our common stock with an aggregate value equal to six times his annual base salary. In addition, he must hold for one year the after-tax payouts of his PSU awards. Our Chief Financial Officer, the Chief Executive Officer, PVH Americas, the Chief Executive Officer, PVH EMEA, the Global Brand President, Calvin Klein, the Global Brand President, Tommy Hilfiger and the Chief Supply Chain Officer and Global Head of Operations, must hold shares with an aggregate value equal to three times their respective annual base salaries. Other members of our Executive Leadership Team are required to hold shares with an aggregate value of two times their annual base salary. Executive officers and members of our Executive Leadership Team are required to meet the applicable ownership requirement within five years of becoming subject to the Stock Ownership Guidelines. Executive officers (and others subject to the guidelines) who are not in compliance with their ownership guideline must hold 50% of their after-tax shares received upon vesting or exercise of awards until they are in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-1990725</wp:posOffset>
            </wp:positionV>
            <wp:extent cx="2512695" cy="20116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12695" cy="2011680"/>
                    </a:xfrm>
                    <a:prstGeom prst="rect">
                      <a:avLst/>
                    </a:prstGeom>
                    <a:noFill/>
                  </pic:spPr>
                </pic:pic>
              </a:graphicData>
            </a:graphic>
          </wp:anchor>
        </w:drawing>
      </w:r>
    </w:p>
    <w:p>
      <w:pPr>
        <w:spacing w:after="0" w:line="158" w:lineRule="exact"/>
        <w:rPr>
          <w:sz w:val="20"/>
          <w:szCs w:val="20"/>
          <w:color w:val="auto"/>
        </w:rPr>
      </w:pPr>
    </w:p>
    <w:p>
      <w:pPr>
        <w:ind w:left="9"/>
        <w:spacing w:after="0"/>
        <w:rPr>
          <w:sz w:val="20"/>
          <w:szCs w:val="20"/>
          <w:color w:val="auto"/>
        </w:rPr>
      </w:pPr>
      <w:r>
        <w:rPr>
          <w:rFonts w:ascii="Arial" w:cs="Arial" w:eastAsia="Arial" w:hAnsi="Arial"/>
          <w:sz w:val="13"/>
          <w:szCs w:val="13"/>
          <w:color w:val="auto"/>
        </w:rPr>
        <w:t>1  As Interim Chief Financial Officer, Melissa Stone does not have a stock ownership requirement.</w:t>
      </w:r>
    </w:p>
    <w:p>
      <w:pPr>
        <w:spacing w:after="0" w:line="211" w:lineRule="exact"/>
        <w:rPr>
          <w:sz w:val="20"/>
          <w:szCs w:val="20"/>
          <w:color w:val="auto"/>
        </w:rPr>
      </w:pPr>
    </w:p>
    <w:p>
      <w:pPr>
        <w:ind w:left="9"/>
        <w:spacing w:after="0"/>
        <w:rPr>
          <w:sz w:val="20"/>
          <w:szCs w:val="20"/>
          <w:color w:val="auto"/>
        </w:rPr>
      </w:pPr>
      <w:r>
        <w:rPr>
          <w:rFonts w:ascii="Arial" w:cs="Arial" w:eastAsia="Arial" w:hAnsi="Arial"/>
          <w:sz w:val="14"/>
          <w:szCs w:val="14"/>
          <w:color w:val="auto"/>
        </w:rPr>
        <w:t>We include in determining compliance:</w:t>
      </w:r>
    </w:p>
    <w:p>
      <w:pPr>
        <w:spacing w:after="0" w:line="98" w:lineRule="exact"/>
        <w:rPr>
          <w:sz w:val="20"/>
          <w:szCs w:val="20"/>
          <w:color w:val="auto"/>
        </w:rPr>
      </w:pPr>
    </w:p>
    <w:p>
      <w:pPr>
        <w:ind w:left="149" w:hanging="149"/>
        <w:spacing w:after="0"/>
        <w:tabs>
          <w:tab w:leader="none" w:pos="149"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common stock owned outright by the individual or their immediate family members who share the same household, whether held individually or jointly;</w:t>
      </w:r>
    </w:p>
    <w:p>
      <w:pPr>
        <w:spacing w:after="0" w:line="51" w:lineRule="exact"/>
        <w:rPr>
          <w:rFonts w:ascii="Arial" w:cs="Arial" w:eastAsia="Arial" w:hAnsi="Arial"/>
          <w:sz w:val="14"/>
          <w:szCs w:val="14"/>
          <w:color w:val="auto"/>
        </w:rPr>
      </w:pPr>
    </w:p>
    <w:p>
      <w:pPr>
        <w:ind w:left="149" w:hanging="149"/>
        <w:spacing w:after="0"/>
        <w:tabs>
          <w:tab w:leader="none" w:pos="149"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common stock held in trust for the benefit of the individual or their family;</w:t>
      </w:r>
    </w:p>
    <w:p>
      <w:pPr>
        <w:spacing w:after="0" w:line="51" w:lineRule="exact"/>
        <w:rPr>
          <w:rFonts w:ascii="Arial" w:cs="Arial" w:eastAsia="Arial" w:hAnsi="Arial"/>
          <w:sz w:val="14"/>
          <w:szCs w:val="14"/>
          <w:color w:val="auto"/>
        </w:rPr>
      </w:pPr>
    </w:p>
    <w:p>
      <w:pPr>
        <w:ind w:left="149" w:hanging="149"/>
        <w:spacing w:after="0"/>
        <w:tabs>
          <w:tab w:leader="none" w:pos="149"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common stock underlying RSUs held by the individual;</w:t>
      </w:r>
    </w:p>
    <w:p>
      <w:pPr>
        <w:spacing w:after="0" w:line="51" w:lineRule="exact"/>
        <w:rPr>
          <w:rFonts w:ascii="Arial" w:cs="Arial" w:eastAsia="Arial" w:hAnsi="Arial"/>
          <w:sz w:val="14"/>
          <w:szCs w:val="14"/>
          <w:color w:val="auto"/>
        </w:rPr>
      </w:pPr>
    </w:p>
    <w:p>
      <w:pPr>
        <w:ind w:left="149" w:hanging="149"/>
        <w:spacing w:after="0"/>
        <w:tabs>
          <w:tab w:leader="none" w:pos="149"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common stock deemed beneficially owned through the individual’s holdings, if any, in the PVH Stock Fund investment option in our 401(k) plan; and</w:t>
      </w:r>
    </w:p>
    <w:p>
      <w:pPr>
        <w:spacing w:after="0" w:line="51" w:lineRule="exact"/>
        <w:rPr>
          <w:rFonts w:ascii="Arial" w:cs="Arial" w:eastAsia="Arial" w:hAnsi="Arial"/>
          <w:sz w:val="14"/>
          <w:szCs w:val="14"/>
          <w:color w:val="auto"/>
        </w:rPr>
      </w:pPr>
    </w:p>
    <w:p>
      <w:pPr>
        <w:ind w:left="149" w:right="300" w:hanging="149"/>
        <w:spacing w:after="0" w:line="282" w:lineRule="auto"/>
        <w:tabs>
          <w:tab w:leader="none" w:pos="151"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common stock underlying PSUs held by the individual that have been earned because the performance condition has been met (after the completion of the performance period) but that have not been delivered because of an additional time-based vesting period.</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49CAB"/>
        </w:rPr>
        <w:t xml:space="preserve">COMPENSATION DISCUSSION &amp; ANALYSIS </w:t>
      </w:r>
      <w:r>
        <w:rPr>
          <w:rFonts w:ascii="Arial" w:cs="Arial" w:eastAsia="Arial" w:hAnsi="Arial"/>
          <w:sz w:val="11"/>
          <w:szCs w:val="11"/>
          <w:color w:val="000000"/>
        </w:rPr>
        <w:t>/ PVH CORP. 2026 PROXY STATEMENT /</w:t>
      </w:r>
      <w:r>
        <w:rPr>
          <w:rFonts w:ascii="Arial" w:cs="Arial" w:eastAsia="Arial" w:hAnsi="Arial"/>
          <w:sz w:val="11"/>
          <w:szCs w:val="11"/>
          <w:b w:val="1"/>
          <w:bCs w:val="1"/>
          <w:color w:val="749CAB"/>
        </w:rPr>
        <w:t xml:space="preserve"> </w:t>
      </w:r>
      <w:r>
        <w:rPr>
          <w:rFonts w:ascii="Arial" w:cs="Arial" w:eastAsia="Arial" w:hAnsi="Arial"/>
          <w:sz w:val="11"/>
          <w:szCs w:val="11"/>
          <w:b w:val="1"/>
          <w:bCs w:val="1"/>
          <w:color w:val="00000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233" w:right="479" w:bottom="1440" w:gutter="0" w:footer="0" w:header="0"/>
        </w:sectPr>
      </w:pPr>
    </w:p>
    <w:bookmarkStart w:id="58" w:name="page59"/>
    <w:bookmarkEnd w:id="58"/>
    <w:p>
      <w:pPr>
        <w:ind w:left="9"/>
        <w:spacing w:after="0" w:line="264" w:lineRule="auto"/>
        <w:rPr>
          <w:sz w:val="20"/>
          <w:szCs w:val="20"/>
          <w:color w:val="auto"/>
        </w:rPr>
      </w:pPr>
      <w:r>
        <w:rPr>
          <w:rFonts w:ascii="Arial" w:cs="Arial" w:eastAsia="Arial" w:hAnsi="Arial"/>
          <w:sz w:val="14"/>
          <w:szCs w:val="14"/>
          <w:color w:val="auto"/>
        </w:rPr>
        <w:t>As of April 30, 2026, Messrs. Larsson and Savman are deemed to own a sufficient number of shares to exceed their respective requirements. Ms. Rytz Goldman and Mr. Olsson have been with us for fewer than three years and are making progress towards their ownership requirements. Ms. Stone is not subject to an ownership requirement, as she is only an executive officer and member of our Executive Leadership Team on an interim basis.</w:t>
      </w:r>
    </w:p>
    <w:p>
      <w:pPr>
        <w:spacing w:after="0" w:line="96"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6D98AD"/>
        </w:rPr>
        <w:t>Use of Non-GAAP Results</w:t>
      </w:r>
    </w:p>
    <w:p>
      <w:pPr>
        <w:spacing w:after="0" w:line="49" w:lineRule="exact"/>
        <w:rPr>
          <w:sz w:val="20"/>
          <w:szCs w:val="20"/>
          <w:color w:val="auto"/>
        </w:rPr>
      </w:pPr>
    </w:p>
    <w:p>
      <w:pPr>
        <w:ind w:left="9"/>
        <w:spacing w:after="0" w:line="251" w:lineRule="auto"/>
        <w:rPr>
          <w:sz w:val="20"/>
          <w:szCs w:val="20"/>
          <w:color w:val="auto"/>
        </w:rPr>
      </w:pPr>
      <w:r>
        <w:rPr>
          <w:rFonts w:ascii="Arial" w:cs="Arial" w:eastAsia="Arial" w:hAnsi="Arial"/>
          <w:sz w:val="14"/>
          <w:szCs w:val="14"/>
          <w:color w:val="auto"/>
        </w:rPr>
        <w:t>Performance targets based on Total PVH or business unit performance are typically measured on a non-GAAP basis. The Compensation Committee determines at the time it establishes the targets certain types of expenses, costs, and other matters (such as foreign exchange volatility, acquisitions, divestitures, restructurings, noncash goodwill and other intangible asset impairment changes and discrete regulatory or legislative changes impacting cost, including changes in tax or tariff rates) that it believes should not affect the calculation of the achievement of a performance goal. Business unit performance targets also typically exclude corporate allocations, costs associated with corporate initiatives, and other matters that management recommends to the Committee should not be considered. These adjustments and exclusions may differ from those used by management when providing guidance and discussing results. As a result, the earnings results and targets discussed in this CD&amp;A may differ from, or may not in the future be aligned with, our guidance and reported results.</w:t>
      </w:r>
    </w:p>
    <w:p>
      <w:pPr>
        <w:spacing w:after="0" w:line="93" w:lineRule="exact"/>
        <w:rPr>
          <w:sz w:val="20"/>
          <w:szCs w:val="20"/>
          <w:color w:val="auto"/>
        </w:rPr>
      </w:pPr>
    </w:p>
    <w:p>
      <w:pPr>
        <w:ind w:left="9"/>
        <w:spacing w:after="0"/>
        <w:rPr>
          <w:sz w:val="20"/>
          <w:szCs w:val="20"/>
          <w:color w:val="auto"/>
        </w:rPr>
      </w:pPr>
      <w:r>
        <w:rPr>
          <w:rFonts w:ascii="Arial" w:cs="Arial" w:eastAsia="Arial" w:hAnsi="Arial"/>
          <w:sz w:val="14"/>
          <w:szCs w:val="14"/>
          <w:color w:val="auto"/>
        </w:rPr>
        <w:t>The Total PVH and business unit EBIT and revenue targets and results discussed in this Proxy Statement all include adjustments and exclusions of the type discussed above.</w:t>
      </w:r>
    </w:p>
    <w:p>
      <w:pPr>
        <w:spacing w:after="0" w:line="18" w:lineRule="exact"/>
        <w:rPr>
          <w:sz w:val="20"/>
          <w:szCs w:val="20"/>
          <w:color w:val="auto"/>
        </w:rPr>
      </w:pPr>
    </w:p>
    <w:p>
      <w:pPr>
        <w:ind w:left="9"/>
        <w:spacing w:after="0"/>
        <w:rPr>
          <w:sz w:val="20"/>
          <w:szCs w:val="20"/>
          <w:color w:val="auto"/>
        </w:rPr>
      </w:pPr>
      <w:r>
        <w:rPr>
          <w:rFonts w:ascii="Arial" w:cs="Arial" w:eastAsia="Arial" w:hAnsi="Arial"/>
          <w:sz w:val="14"/>
          <w:szCs w:val="14"/>
          <w:color w:val="auto"/>
        </w:rPr>
        <w:t>For details with respect to our non-GAAP results, please see Exhibit A.</w:t>
      </w:r>
    </w:p>
    <w:p>
      <w:pPr>
        <w:spacing w:after="0" w:line="122"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6D98AD"/>
        </w:rPr>
        <w:t>Timing of Equity Awards</w:t>
      </w:r>
    </w:p>
    <w:p>
      <w:pPr>
        <w:spacing w:after="0" w:line="49" w:lineRule="exact"/>
        <w:rPr>
          <w:sz w:val="20"/>
          <w:szCs w:val="20"/>
          <w:color w:val="auto"/>
        </w:rPr>
      </w:pPr>
    </w:p>
    <w:p>
      <w:pPr>
        <w:ind w:left="9" w:right="100"/>
        <w:spacing w:after="0" w:line="258" w:lineRule="auto"/>
        <w:rPr>
          <w:sz w:val="20"/>
          <w:szCs w:val="20"/>
          <w:color w:val="auto"/>
        </w:rPr>
      </w:pPr>
      <w:r>
        <w:rPr>
          <w:rFonts w:ascii="Arial" w:cs="Arial" w:eastAsia="Arial" w:hAnsi="Arial"/>
          <w:sz w:val="14"/>
          <w:szCs w:val="14"/>
          <w:color w:val="auto"/>
        </w:rPr>
        <w:t>Our equity award policy provides that the annual grant of RSUs (and stock options, if and when granted) to our senior executives, including our NEOs, generally will be approved by the Compensation Committee at a meeting held during the period commencing two days after the filing of our Annual Report on Form 10-K for the most recently completed fiscal year and ending on April 14 of the current year. In practice, this ensures that vestings of these annual awards occur during a period outside of trading blackouts related to earnings announcements.</w:t>
      </w:r>
    </w:p>
    <w:p>
      <w:pPr>
        <w:spacing w:after="0" w:line="73" w:lineRule="exact"/>
        <w:rPr>
          <w:sz w:val="20"/>
          <w:szCs w:val="20"/>
          <w:color w:val="auto"/>
        </w:rPr>
      </w:pPr>
    </w:p>
    <w:p>
      <w:pPr>
        <w:jc w:val="both"/>
        <w:ind w:left="9" w:right="540"/>
        <w:spacing w:after="0" w:line="264" w:lineRule="auto"/>
        <w:rPr>
          <w:sz w:val="20"/>
          <w:szCs w:val="20"/>
          <w:color w:val="auto"/>
        </w:rPr>
      </w:pPr>
      <w:r>
        <w:rPr>
          <w:rFonts w:ascii="Arial" w:cs="Arial" w:eastAsia="Arial" w:hAnsi="Arial"/>
          <w:sz w:val="14"/>
          <w:szCs w:val="14"/>
          <w:color w:val="auto"/>
        </w:rPr>
        <w:t>Equity awards may be made to our NEOs outside of the annual grant process in connection with a promotion or assumption of new or additional duties, or for another appropriate reason. All such grants to our NEOs must be approved by the Compensation Committee and generally will be made on the first business day of the month following the effective date of the precipitating event (or on the effective date if it is the first business day of a month).</w:t>
      </w:r>
    </w:p>
    <w:p>
      <w:pPr>
        <w:spacing w:after="0" w:line="69" w:lineRule="exact"/>
        <w:rPr>
          <w:sz w:val="20"/>
          <w:szCs w:val="20"/>
          <w:color w:val="auto"/>
        </w:rPr>
      </w:pPr>
    </w:p>
    <w:p>
      <w:pPr>
        <w:ind w:left="9"/>
        <w:spacing w:after="0" w:line="258" w:lineRule="auto"/>
        <w:rPr>
          <w:sz w:val="20"/>
          <w:szCs w:val="20"/>
          <w:color w:val="auto"/>
        </w:rPr>
      </w:pPr>
      <w:r>
        <w:rPr>
          <w:rFonts w:ascii="Arial" w:cs="Arial" w:eastAsia="Arial" w:hAnsi="Arial"/>
          <w:sz w:val="14"/>
          <w:szCs w:val="14"/>
          <w:color w:val="auto"/>
        </w:rPr>
        <w:t>The Committee retains the discretion not to make grants at the times provided in the equity award policy if the members determine the timing is not appropriate, such as if they are in possession of material non-public information. We do not time the grant of equity-based awards to take advantage of the release of material non-public information. Additionally, the Committee retains the discretion to make grants, including an annual equity grant, at times other than as provided in the policy if the members determine circumstances, such as changes in accounting and tax regulations, warrant taking such action.</w:t>
      </w:r>
    </w:p>
    <w:p>
      <w:pPr>
        <w:spacing w:after="0" w:line="100"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6D98AD"/>
        </w:rPr>
        <w:t>Prohibition on Pledging and Hedging</w:t>
      </w:r>
    </w:p>
    <w:p>
      <w:pPr>
        <w:spacing w:after="0" w:line="49" w:lineRule="exact"/>
        <w:rPr>
          <w:sz w:val="20"/>
          <w:szCs w:val="20"/>
          <w:color w:val="auto"/>
        </w:rPr>
      </w:pPr>
    </w:p>
    <w:p>
      <w:pPr>
        <w:ind w:left="9"/>
        <w:spacing w:after="0" w:line="258" w:lineRule="auto"/>
        <w:rPr>
          <w:sz w:val="20"/>
          <w:szCs w:val="20"/>
          <w:color w:val="auto"/>
        </w:rPr>
      </w:pPr>
      <w:r>
        <w:rPr>
          <w:rFonts w:ascii="Arial" w:cs="Arial" w:eastAsia="Arial" w:hAnsi="Arial"/>
          <w:sz w:val="14"/>
          <w:szCs w:val="14"/>
          <w:color w:val="auto"/>
        </w:rPr>
        <w:t>We have a comprehensive Insider Trading Policy that includes a prohibition on pledging our securities or holding our securities in a margin account. Additionally, the policy prohibits engaging in hedging, monetization and similar transactions in respect of our securities. This policy, applicable to all officers, directors and associates, was put in place to ensure that the interests of these individuals remain aligned with those of our stockholders, and that they continue to have the incentive to execute our long-term plans and achieve the performance for which their equity awards are intended.</w:t>
      </w:r>
    </w:p>
    <w:p>
      <w:pPr>
        <w:spacing w:after="0" w:line="100"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6D98AD"/>
        </w:rPr>
        <w:t>Clawback Policy</w:t>
      </w:r>
    </w:p>
    <w:p>
      <w:pPr>
        <w:spacing w:after="0" w:line="49" w:lineRule="exact"/>
        <w:rPr>
          <w:sz w:val="20"/>
          <w:szCs w:val="20"/>
          <w:color w:val="auto"/>
        </w:rPr>
      </w:pPr>
    </w:p>
    <w:p>
      <w:pPr>
        <w:ind w:left="9" w:right="60"/>
        <w:spacing w:after="0" w:line="251" w:lineRule="auto"/>
        <w:rPr>
          <w:sz w:val="20"/>
          <w:szCs w:val="20"/>
          <w:color w:val="auto"/>
        </w:rPr>
      </w:pPr>
      <w:r>
        <w:rPr>
          <w:rFonts w:ascii="Arial" w:cs="Arial" w:eastAsia="Arial" w:hAnsi="Arial"/>
          <w:sz w:val="14"/>
          <w:szCs w:val="14"/>
          <w:color w:val="auto"/>
        </w:rPr>
        <w:t>The Company has adopted a Clawback Policy that permits the recoupment of compensation paid to current and former senior officers under certain circumstances. The Clawback Policy complies with SEC Rule 10D-1 and NYSE listing standards. Awards made under our stock and incentive compensation plans are subject to the Clawback Policy. Under the Clawback Policy, in the event of a material restatement of our consolidated financial statements, the Company will seek reimbursement of the portion of any incentive-based compensation granted, earned or vested based on the attainment of a financial reporting measure that would not have been paid had the consolidated financial statements been correctly stated. In addition to recoupment of incentive-based compensation mandated by the SEC and the NYSE, our Clawback Policy includes an enhancement that provides discretion also to recoup additional compensation, including both time- and performance-based equity awards, from any senior officer if the Board of Directors or Compensation Committee determines that the senior officer engaged in a material violation of the Company’s Code of Business Conduct and Ethics policy, including in connection with a financial restatement, or any other material policy of the Company. The policy includes in part the following features:</w:t>
      </w:r>
    </w:p>
    <w:p>
      <w:pPr>
        <w:spacing w:after="0" w:line="19" w:lineRule="exact"/>
        <w:rPr>
          <w:sz w:val="20"/>
          <w:szCs w:val="20"/>
          <w:color w:val="auto"/>
        </w:rPr>
      </w:pPr>
    </w:p>
    <w:p>
      <w:pPr>
        <w:ind w:left="149" w:hanging="149"/>
        <w:spacing w:after="0"/>
        <w:tabs>
          <w:tab w:leader="none" w:pos="149"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definition of “Financial Statement Triggering Event” includes errors in the current year’s results,</w:t>
      </w:r>
    </w:p>
    <w:p>
      <w:pPr>
        <w:spacing w:after="0" w:line="51" w:lineRule="exact"/>
        <w:rPr>
          <w:rFonts w:ascii="Arial" w:cs="Arial" w:eastAsia="Arial" w:hAnsi="Arial"/>
          <w:sz w:val="14"/>
          <w:szCs w:val="14"/>
          <w:color w:val="auto"/>
        </w:rPr>
      </w:pPr>
    </w:p>
    <w:p>
      <w:pPr>
        <w:ind w:left="149" w:right="160" w:hanging="149"/>
        <w:spacing w:after="0" w:line="282" w:lineRule="auto"/>
        <w:tabs>
          <w:tab w:leader="none" w:pos="151"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policy applies to incentive-based compensation, including both time- and performance-based equity awards, based wholly or in part upon the attainment of a “financial reporting measure”,</w:t>
      </w:r>
    </w:p>
    <w:p>
      <w:pPr>
        <w:spacing w:after="0" w:line="137"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 xml:space="preserve">56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749CAB"/>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695515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09"/>
          </w:cols>
          <w:pgMar w:left="471" w:top="233" w:right="519" w:bottom="1440" w:gutter="0" w:footer="0" w:header="0"/>
        </w:sectPr>
      </w:pPr>
    </w:p>
    <w:bookmarkStart w:id="59" w:name="page60"/>
    <w:bookmarkEnd w:id="59"/>
    <w:p>
      <w:pPr>
        <w:ind w:left="160" w:hanging="149"/>
        <w:spacing w:after="0"/>
        <w:tabs>
          <w:tab w:leader="none" w:pos="1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Board is required (subject to limited exceptions) to seek clawback in connection with Financial Statement Triggering Events, and</w:t>
      </w:r>
    </w:p>
    <w:p>
      <w:pPr>
        <w:spacing w:after="0" w:line="51" w:lineRule="exact"/>
        <w:rPr>
          <w:rFonts w:ascii="Arial" w:cs="Arial" w:eastAsia="Arial" w:hAnsi="Arial"/>
          <w:sz w:val="14"/>
          <w:szCs w:val="14"/>
          <w:color w:val="auto"/>
        </w:rPr>
      </w:pPr>
    </w:p>
    <w:p>
      <w:pPr>
        <w:ind w:left="160" w:hanging="149"/>
        <w:spacing w:after="0"/>
        <w:tabs>
          <w:tab w:leader="none" w:pos="1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policy implements a three-year lookback period for Financial Statement Triggering Events.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6D98AD"/>
        </w:rPr>
        <w:t>Federal Income Tax Deductibility of Executive Compensation</w:t>
      </w:r>
    </w:p>
    <w:p>
      <w:pPr>
        <w:spacing w:after="0" w:line="49" w:lineRule="exact"/>
        <w:rPr>
          <w:sz w:val="20"/>
          <w:szCs w:val="20"/>
          <w:color w:val="auto"/>
        </w:rPr>
      </w:pPr>
    </w:p>
    <w:p>
      <w:pPr>
        <w:ind w:left="20"/>
        <w:spacing w:after="0" w:line="282" w:lineRule="auto"/>
        <w:rPr>
          <w:sz w:val="20"/>
          <w:szCs w:val="20"/>
          <w:color w:val="auto"/>
        </w:rPr>
      </w:pPr>
      <w:r>
        <w:rPr>
          <w:rFonts w:ascii="Arial" w:cs="Arial" w:eastAsia="Arial" w:hAnsi="Arial"/>
          <w:sz w:val="14"/>
          <w:szCs w:val="14"/>
          <w:color w:val="auto"/>
        </w:rPr>
        <w:t>Our compensation philosophy and decisions are driven by factors other than tax deductibility. In some instances, we determine it is in our best interest to provide compensation that is not fully deductible.</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6D98AD"/>
        </w:rPr>
        <w:t>Employment Agreements, Termination of Employment, and Severance</w:t>
      </w:r>
    </w:p>
    <w:p>
      <w:pPr>
        <w:spacing w:after="0" w:line="49" w:lineRule="exact"/>
        <w:rPr>
          <w:sz w:val="20"/>
          <w:szCs w:val="20"/>
          <w:color w:val="auto"/>
        </w:rPr>
      </w:pPr>
    </w:p>
    <w:p>
      <w:pPr>
        <w:ind w:left="20" w:right="180"/>
        <w:spacing w:after="0" w:line="255" w:lineRule="auto"/>
        <w:rPr>
          <w:sz w:val="20"/>
          <w:szCs w:val="20"/>
          <w:color w:val="auto"/>
        </w:rPr>
      </w:pPr>
      <w:r>
        <w:rPr>
          <w:rFonts w:ascii="Arial" w:cs="Arial" w:eastAsia="Arial" w:hAnsi="Arial"/>
          <w:sz w:val="14"/>
          <w:szCs w:val="14"/>
          <w:color w:val="auto"/>
        </w:rPr>
        <w:t>We have employment agreements with all of our NEOs that generally provide them with severance benefits and provide PVH with the protection of restrictive covenants. We use employment agreements to attract and retain qualified executives who could have job alternatives they might otherwise accept. All the agreements, other than Ms. Rytz Goldman’s and Mr. Olsson’s, are evergreen. Ms. Rytz Goldman’s and Mr. Olsson’s agreements are subject to a statutory retirement age. The material terms of these agreements are described under the heading “Employment Agreements,” beginning on page 64. Exhibit B provides a list of the SEC filings that have an NEO employment agreement as an exhibit.</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severance multipliers under the active NEOs’ agreements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940" w:type="dxa"/>
            <w:vAlign w:val="bottom"/>
            <w:shd w:val="clear" w:color="auto" w:fill="99B7C6"/>
          </w:tcPr>
          <w:p>
            <w:pPr>
              <w:ind w:left="60"/>
              <w:spacing w:after="0"/>
              <w:rPr>
                <w:sz w:val="20"/>
                <w:szCs w:val="20"/>
                <w:color w:val="auto"/>
              </w:rPr>
            </w:pPr>
            <w:r>
              <w:rPr>
                <w:rFonts w:ascii="Arial" w:cs="Arial" w:eastAsia="Arial" w:hAnsi="Arial"/>
                <w:sz w:val="14"/>
                <w:szCs w:val="14"/>
                <w:b w:val="1"/>
                <w:bCs w:val="1"/>
                <w:color w:val="FFFFFF"/>
              </w:rPr>
              <w:t>NEO</w:t>
            </w:r>
          </w:p>
        </w:tc>
        <w:tc>
          <w:tcPr>
            <w:tcW w:w="4040" w:type="dxa"/>
            <w:vAlign w:val="bottom"/>
            <w:shd w:val="clear" w:color="auto" w:fill="99B7C6"/>
          </w:tcPr>
          <w:p>
            <w:pPr>
              <w:ind w:left="520"/>
              <w:spacing w:after="0"/>
              <w:rPr>
                <w:sz w:val="20"/>
                <w:szCs w:val="20"/>
                <w:color w:val="auto"/>
              </w:rPr>
            </w:pPr>
            <w:r>
              <w:rPr>
                <w:rFonts w:ascii="Arial" w:cs="Arial" w:eastAsia="Arial" w:hAnsi="Arial"/>
                <w:sz w:val="14"/>
                <w:szCs w:val="14"/>
                <w:b w:val="1"/>
                <w:bCs w:val="1"/>
                <w:color w:val="FFFFFF"/>
              </w:rPr>
              <w:t>Ordinary termination</w:t>
            </w:r>
          </w:p>
        </w:tc>
        <w:tc>
          <w:tcPr>
            <w:tcW w:w="4960" w:type="dxa"/>
            <w:vAlign w:val="bottom"/>
            <w:shd w:val="clear" w:color="auto" w:fill="99B7C6"/>
          </w:tcPr>
          <w:p>
            <w:pPr>
              <w:ind w:left="740"/>
              <w:spacing w:after="0"/>
              <w:rPr>
                <w:sz w:val="20"/>
                <w:szCs w:val="20"/>
                <w:color w:val="auto"/>
              </w:rPr>
            </w:pPr>
            <w:r>
              <w:rPr>
                <w:rFonts w:ascii="Arial" w:cs="Arial" w:eastAsia="Arial" w:hAnsi="Arial"/>
                <w:sz w:val="14"/>
                <w:szCs w:val="14"/>
                <w:b w:val="1"/>
                <w:bCs w:val="1"/>
                <w:color w:val="FFFFFF"/>
              </w:rPr>
              <w:t>Termination following change in control</w:t>
            </w:r>
          </w:p>
        </w:tc>
      </w:tr>
      <w:tr>
        <w:trPr>
          <w:trHeight w:val="247"/>
        </w:trPr>
        <w:tc>
          <w:tcPr>
            <w:tcW w:w="194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Stefan Larsson</w:t>
            </w:r>
          </w:p>
        </w:tc>
        <w:tc>
          <w:tcPr>
            <w:tcW w:w="4040" w:type="dxa"/>
            <w:vAlign w:val="bottom"/>
            <w:shd w:val="clear" w:color="auto" w:fill="E9F0F3"/>
          </w:tcPr>
          <w:p>
            <w:pPr>
              <w:ind w:left="520"/>
              <w:spacing w:after="0"/>
              <w:rPr>
                <w:sz w:val="20"/>
                <w:szCs w:val="20"/>
                <w:color w:val="auto"/>
              </w:rPr>
            </w:pPr>
            <w:r>
              <w:rPr>
                <w:rFonts w:ascii="Arial" w:cs="Arial" w:eastAsia="Arial" w:hAnsi="Arial"/>
                <w:sz w:val="14"/>
                <w:szCs w:val="14"/>
                <w:color w:val="auto"/>
              </w:rPr>
              <w:t>2x base salary and target bonus</w:t>
            </w:r>
          </w:p>
        </w:tc>
        <w:tc>
          <w:tcPr>
            <w:tcW w:w="4960" w:type="dxa"/>
            <w:vAlign w:val="bottom"/>
            <w:shd w:val="clear" w:color="auto" w:fill="E9F0F3"/>
          </w:tcPr>
          <w:p>
            <w:pPr>
              <w:ind w:left="740"/>
              <w:spacing w:after="0"/>
              <w:rPr>
                <w:sz w:val="20"/>
                <w:szCs w:val="20"/>
                <w:color w:val="auto"/>
              </w:rPr>
            </w:pPr>
            <w:r>
              <w:rPr>
                <w:rFonts w:ascii="Arial" w:cs="Arial" w:eastAsia="Arial" w:hAnsi="Arial"/>
                <w:sz w:val="14"/>
                <w:szCs w:val="14"/>
                <w:color w:val="auto"/>
              </w:rPr>
              <w:t>2x base salary and target bonus</w:t>
            </w:r>
          </w:p>
        </w:tc>
      </w:tr>
      <w:tr>
        <w:trPr>
          <w:trHeight w:val="238"/>
        </w:trPr>
        <w:tc>
          <w:tcPr>
            <w:tcW w:w="1940" w:type="dxa"/>
            <w:vAlign w:val="bottom"/>
          </w:tcPr>
          <w:p>
            <w:pPr>
              <w:ind w:left="60"/>
              <w:spacing w:after="0"/>
              <w:rPr>
                <w:sz w:val="20"/>
                <w:szCs w:val="20"/>
                <w:color w:val="auto"/>
              </w:rPr>
            </w:pPr>
            <w:r>
              <w:rPr>
                <w:rFonts w:ascii="Arial" w:cs="Arial" w:eastAsia="Arial" w:hAnsi="Arial"/>
                <w:sz w:val="14"/>
                <w:szCs w:val="14"/>
                <w:b w:val="1"/>
                <w:bCs w:val="1"/>
                <w:color w:val="auto"/>
              </w:rPr>
              <w:t>Melissa Stone</w:t>
            </w:r>
          </w:p>
        </w:tc>
        <w:tc>
          <w:tcPr>
            <w:tcW w:w="4040" w:type="dxa"/>
            <w:vAlign w:val="bottom"/>
          </w:tcPr>
          <w:p>
            <w:pPr>
              <w:ind w:left="520"/>
              <w:spacing w:after="0"/>
              <w:rPr>
                <w:sz w:val="20"/>
                <w:szCs w:val="20"/>
                <w:color w:val="auto"/>
              </w:rPr>
            </w:pPr>
            <w:r>
              <w:rPr>
                <w:rFonts w:ascii="Arial" w:cs="Arial" w:eastAsia="Arial" w:hAnsi="Arial"/>
                <w:sz w:val="14"/>
                <w:szCs w:val="14"/>
                <w:color w:val="auto"/>
              </w:rPr>
              <w:t>1x base salary and target bonus</w:t>
            </w:r>
          </w:p>
        </w:tc>
        <w:tc>
          <w:tcPr>
            <w:tcW w:w="4960" w:type="dxa"/>
            <w:vAlign w:val="bottom"/>
          </w:tcPr>
          <w:p>
            <w:pPr>
              <w:ind w:left="740"/>
              <w:spacing w:after="0"/>
              <w:rPr>
                <w:sz w:val="20"/>
                <w:szCs w:val="20"/>
                <w:color w:val="auto"/>
              </w:rPr>
            </w:pPr>
            <w:r>
              <w:rPr>
                <w:rFonts w:ascii="Arial" w:cs="Arial" w:eastAsia="Arial" w:hAnsi="Arial"/>
                <w:sz w:val="14"/>
                <w:szCs w:val="14"/>
                <w:color w:val="auto"/>
              </w:rPr>
              <w:t>1.5x base salary and target bonus</w:t>
            </w:r>
          </w:p>
        </w:tc>
      </w:tr>
      <w:tr>
        <w:trPr>
          <w:trHeight w:val="257"/>
        </w:trPr>
        <w:tc>
          <w:tcPr>
            <w:tcW w:w="194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Lea Rytz Goldman</w:t>
            </w:r>
          </w:p>
        </w:tc>
        <w:tc>
          <w:tcPr>
            <w:tcW w:w="4040" w:type="dxa"/>
            <w:vAlign w:val="bottom"/>
            <w:shd w:val="clear" w:color="auto" w:fill="E9F0F3"/>
          </w:tcPr>
          <w:p>
            <w:pPr>
              <w:ind w:left="520"/>
              <w:spacing w:after="0"/>
              <w:rPr>
                <w:sz w:val="20"/>
                <w:szCs w:val="20"/>
                <w:color w:val="auto"/>
              </w:rPr>
            </w:pPr>
            <w:r>
              <w:rPr>
                <w:rFonts w:ascii="Arial" w:cs="Arial" w:eastAsia="Arial" w:hAnsi="Arial"/>
                <w:sz w:val="14"/>
                <w:szCs w:val="14"/>
                <w:color w:val="auto"/>
              </w:rPr>
              <w:t>1x base salary and target bonus</w:t>
            </w:r>
          </w:p>
        </w:tc>
        <w:tc>
          <w:tcPr>
            <w:tcW w:w="4960" w:type="dxa"/>
            <w:vAlign w:val="bottom"/>
            <w:shd w:val="clear" w:color="auto" w:fill="E9F0F3"/>
          </w:tcPr>
          <w:p>
            <w:pPr>
              <w:ind w:left="740"/>
              <w:spacing w:after="0"/>
              <w:rPr>
                <w:sz w:val="20"/>
                <w:szCs w:val="20"/>
                <w:color w:val="auto"/>
              </w:rPr>
            </w:pPr>
            <w:r>
              <w:rPr>
                <w:rFonts w:ascii="Arial" w:cs="Arial" w:eastAsia="Arial" w:hAnsi="Arial"/>
                <w:sz w:val="14"/>
                <w:szCs w:val="14"/>
                <w:color w:val="auto"/>
              </w:rPr>
              <w:t>1x base salary and target bonus</w:t>
            </w:r>
          </w:p>
        </w:tc>
      </w:tr>
      <w:tr>
        <w:trPr>
          <w:trHeight w:val="247"/>
        </w:trPr>
        <w:tc>
          <w:tcPr>
            <w:tcW w:w="1940" w:type="dxa"/>
            <w:vAlign w:val="bottom"/>
          </w:tcPr>
          <w:p>
            <w:pPr>
              <w:ind w:left="60"/>
              <w:spacing w:after="0"/>
              <w:rPr>
                <w:sz w:val="20"/>
                <w:szCs w:val="20"/>
                <w:color w:val="auto"/>
              </w:rPr>
            </w:pPr>
            <w:r>
              <w:rPr>
                <w:rFonts w:ascii="Arial" w:cs="Arial" w:eastAsia="Arial" w:hAnsi="Arial"/>
                <w:sz w:val="14"/>
                <w:szCs w:val="14"/>
                <w:b w:val="1"/>
                <w:bCs w:val="1"/>
                <w:color w:val="auto"/>
              </w:rPr>
              <w:t>Fredrik Olsson</w:t>
            </w:r>
            <w:r>
              <w:rPr>
                <w:rFonts w:ascii="Arial" w:cs="Arial" w:eastAsia="Arial" w:hAnsi="Arial"/>
                <w:sz w:val="16"/>
                <w:szCs w:val="16"/>
                <w:b w:val="1"/>
                <w:bCs w:val="1"/>
                <w:color w:val="auto"/>
                <w:vertAlign w:val="superscript"/>
              </w:rPr>
              <w:t>1</w:t>
            </w:r>
          </w:p>
        </w:tc>
        <w:tc>
          <w:tcPr>
            <w:tcW w:w="4040" w:type="dxa"/>
            <w:vAlign w:val="bottom"/>
          </w:tcPr>
          <w:p>
            <w:pPr>
              <w:ind w:left="520"/>
              <w:spacing w:after="0"/>
              <w:rPr>
                <w:sz w:val="20"/>
                <w:szCs w:val="20"/>
                <w:color w:val="auto"/>
              </w:rPr>
            </w:pPr>
            <w:r>
              <w:rPr>
                <w:rFonts w:ascii="Arial" w:cs="Arial" w:eastAsia="Arial" w:hAnsi="Arial"/>
                <w:sz w:val="14"/>
                <w:szCs w:val="14"/>
                <w:color w:val="auto"/>
              </w:rPr>
              <w:t>1.33x or 1.67x base salary and target bonus</w:t>
            </w:r>
          </w:p>
        </w:tc>
        <w:tc>
          <w:tcPr>
            <w:tcW w:w="4960" w:type="dxa"/>
            <w:vAlign w:val="bottom"/>
          </w:tcPr>
          <w:p>
            <w:pPr>
              <w:ind w:left="740"/>
              <w:spacing w:after="0"/>
              <w:rPr>
                <w:sz w:val="20"/>
                <w:szCs w:val="20"/>
                <w:color w:val="auto"/>
              </w:rPr>
            </w:pPr>
            <w:r>
              <w:rPr>
                <w:rFonts w:ascii="Arial" w:cs="Arial" w:eastAsia="Arial" w:hAnsi="Arial"/>
                <w:sz w:val="14"/>
                <w:szCs w:val="14"/>
                <w:color w:val="auto"/>
              </w:rPr>
              <w:t>1.33x or 1.67x base salary and target bonus</w:t>
            </w:r>
          </w:p>
        </w:tc>
      </w:tr>
      <w:tr>
        <w:trPr>
          <w:trHeight w:val="247"/>
        </w:trPr>
        <w:tc>
          <w:tcPr>
            <w:tcW w:w="194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David Savman</w:t>
            </w:r>
          </w:p>
        </w:tc>
        <w:tc>
          <w:tcPr>
            <w:tcW w:w="4040" w:type="dxa"/>
            <w:vAlign w:val="bottom"/>
            <w:shd w:val="clear" w:color="auto" w:fill="E9F0F3"/>
          </w:tcPr>
          <w:p>
            <w:pPr>
              <w:ind w:left="520"/>
              <w:spacing w:after="0"/>
              <w:rPr>
                <w:sz w:val="20"/>
                <w:szCs w:val="20"/>
                <w:color w:val="auto"/>
              </w:rPr>
            </w:pPr>
            <w:r>
              <w:rPr>
                <w:rFonts w:ascii="Arial" w:cs="Arial" w:eastAsia="Arial" w:hAnsi="Arial"/>
                <w:sz w:val="14"/>
                <w:szCs w:val="14"/>
                <w:color w:val="auto"/>
              </w:rPr>
              <w:t>2x base salary and target bonus</w:t>
            </w:r>
          </w:p>
        </w:tc>
        <w:tc>
          <w:tcPr>
            <w:tcW w:w="4960" w:type="dxa"/>
            <w:vAlign w:val="bottom"/>
            <w:shd w:val="clear" w:color="auto" w:fill="E9F0F3"/>
          </w:tcPr>
          <w:p>
            <w:pPr>
              <w:ind w:left="740"/>
              <w:spacing w:after="0"/>
              <w:rPr>
                <w:sz w:val="20"/>
                <w:szCs w:val="20"/>
                <w:color w:val="auto"/>
              </w:rPr>
            </w:pPr>
            <w:r>
              <w:rPr>
                <w:rFonts w:ascii="Arial" w:cs="Arial" w:eastAsia="Arial" w:hAnsi="Arial"/>
                <w:sz w:val="14"/>
                <w:szCs w:val="14"/>
                <w:color w:val="auto"/>
              </w:rPr>
              <w:t>2x base salary and target bonus</w:t>
            </w:r>
          </w:p>
        </w:tc>
      </w:tr>
      <w:tr>
        <w:trPr>
          <w:trHeight w:val="238"/>
        </w:trPr>
        <w:tc>
          <w:tcPr>
            <w:tcW w:w="1940" w:type="dxa"/>
            <w:vAlign w:val="bottom"/>
          </w:tcPr>
          <w:p>
            <w:pPr>
              <w:ind w:left="60"/>
              <w:spacing w:after="0"/>
              <w:rPr>
                <w:sz w:val="20"/>
                <w:szCs w:val="20"/>
                <w:color w:val="auto"/>
              </w:rPr>
            </w:pPr>
            <w:r>
              <w:rPr>
                <w:rFonts w:ascii="Arial" w:cs="Arial" w:eastAsia="Arial" w:hAnsi="Arial"/>
                <w:sz w:val="14"/>
                <w:szCs w:val="14"/>
                <w:b w:val="1"/>
                <w:bCs w:val="1"/>
                <w:color w:val="auto"/>
              </w:rPr>
              <w:t>Zachary J. Coughlin</w:t>
            </w:r>
          </w:p>
        </w:tc>
        <w:tc>
          <w:tcPr>
            <w:tcW w:w="4040" w:type="dxa"/>
            <w:vAlign w:val="bottom"/>
          </w:tcPr>
          <w:p>
            <w:pPr>
              <w:ind w:left="520"/>
              <w:spacing w:after="0"/>
              <w:rPr>
                <w:sz w:val="20"/>
                <w:szCs w:val="20"/>
                <w:color w:val="auto"/>
              </w:rPr>
            </w:pPr>
            <w:r>
              <w:rPr>
                <w:rFonts w:ascii="Arial" w:cs="Arial" w:eastAsia="Arial" w:hAnsi="Arial"/>
                <w:sz w:val="14"/>
                <w:szCs w:val="14"/>
                <w:color w:val="auto"/>
              </w:rPr>
              <w:t>2x base salary and target bonus</w:t>
            </w:r>
          </w:p>
        </w:tc>
        <w:tc>
          <w:tcPr>
            <w:tcW w:w="4960" w:type="dxa"/>
            <w:vAlign w:val="bottom"/>
          </w:tcPr>
          <w:p>
            <w:pPr>
              <w:ind w:left="740"/>
              <w:spacing w:after="0"/>
              <w:rPr>
                <w:sz w:val="20"/>
                <w:szCs w:val="20"/>
                <w:color w:val="auto"/>
              </w:rPr>
            </w:pPr>
            <w:r>
              <w:rPr>
                <w:rFonts w:ascii="Arial" w:cs="Arial" w:eastAsia="Arial" w:hAnsi="Arial"/>
                <w:sz w:val="14"/>
                <w:szCs w:val="14"/>
                <w:color w:val="auto"/>
              </w:rPr>
              <w:t>2x base salary and target bonus</w:t>
            </w:r>
          </w:p>
        </w:tc>
      </w:tr>
      <w:tr>
        <w:trPr>
          <w:trHeight w:val="257"/>
        </w:trPr>
        <w:tc>
          <w:tcPr>
            <w:tcW w:w="194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Eva Serrano</w:t>
            </w:r>
          </w:p>
        </w:tc>
        <w:tc>
          <w:tcPr>
            <w:tcW w:w="4040" w:type="dxa"/>
            <w:vAlign w:val="bottom"/>
            <w:shd w:val="clear" w:color="auto" w:fill="E9F0F3"/>
          </w:tcPr>
          <w:p>
            <w:pPr>
              <w:ind w:left="520"/>
              <w:spacing w:after="0"/>
              <w:rPr>
                <w:sz w:val="20"/>
                <w:szCs w:val="20"/>
                <w:color w:val="auto"/>
              </w:rPr>
            </w:pPr>
            <w:r>
              <w:rPr>
                <w:rFonts w:ascii="Arial" w:cs="Arial" w:eastAsia="Arial" w:hAnsi="Arial"/>
                <w:sz w:val="14"/>
                <w:szCs w:val="14"/>
                <w:color w:val="auto"/>
              </w:rPr>
              <w:t>2x base salary and target bonus</w:t>
            </w:r>
          </w:p>
        </w:tc>
        <w:tc>
          <w:tcPr>
            <w:tcW w:w="4960" w:type="dxa"/>
            <w:vAlign w:val="bottom"/>
            <w:shd w:val="clear" w:color="auto" w:fill="E9F0F3"/>
          </w:tcPr>
          <w:p>
            <w:pPr>
              <w:ind w:left="740"/>
              <w:spacing w:after="0"/>
              <w:rPr>
                <w:sz w:val="20"/>
                <w:szCs w:val="20"/>
                <w:color w:val="auto"/>
              </w:rPr>
            </w:pPr>
            <w:r>
              <w:rPr>
                <w:rFonts w:ascii="Arial" w:cs="Arial" w:eastAsia="Arial" w:hAnsi="Arial"/>
                <w:sz w:val="14"/>
                <w:szCs w:val="14"/>
                <w:color w:val="auto"/>
              </w:rPr>
              <w:t>2x base salary and target bonus</w:t>
            </w:r>
          </w:p>
        </w:tc>
      </w:tr>
    </w:tbl>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1  Severance payments will equal 1.67 times for Mr. Olsson if he voluntarily terminates his employment for good reason; 1.33 for Mr. Olsson if we terminate his employment without cause.</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6D98AD"/>
        </w:rPr>
        <w:t>Change in Control Provisions in Equity Plans and Awards</w:t>
      </w:r>
    </w:p>
    <w:p>
      <w:pPr>
        <w:spacing w:after="0" w:line="49" w:lineRule="exact"/>
        <w:rPr>
          <w:sz w:val="20"/>
          <w:szCs w:val="20"/>
          <w:color w:val="auto"/>
        </w:rPr>
      </w:pPr>
    </w:p>
    <w:p>
      <w:pPr>
        <w:ind w:left="20" w:right="320"/>
        <w:spacing w:after="0" w:line="282" w:lineRule="auto"/>
        <w:rPr>
          <w:sz w:val="20"/>
          <w:szCs w:val="20"/>
          <w:color w:val="auto"/>
        </w:rPr>
      </w:pPr>
      <w:r>
        <w:rPr>
          <w:rFonts w:ascii="Arial" w:cs="Arial" w:eastAsia="Arial" w:hAnsi="Arial"/>
          <w:sz w:val="14"/>
          <w:szCs w:val="14"/>
          <w:color w:val="auto"/>
        </w:rPr>
        <w:t>Awards under our Stock Incentive Plan vest after a change in control (provided the awards are assumed by the acquirer) upon the earlier of the original vesting date and a termination of employment (other than for cause or voluntarily without good reason) within two years of the change in control (</w:t>
      </w:r>
      <w:r>
        <w:rPr>
          <w:rFonts w:ascii="Arial" w:cs="Arial" w:eastAsia="Arial" w:hAnsi="Arial"/>
          <w:sz w:val="14"/>
          <w:szCs w:val="14"/>
          <w:i w:val="1"/>
          <w:iCs w:val="1"/>
          <w:color w:val="auto"/>
        </w:rPr>
        <w:t>i.e.</w:t>
      </w:r>
      <w:r>
        <w:rPr>
          <w:rFonts w:ascii="Arial" w:cs="Arial" w:eastAsia="Arial" w:hAnsi="Arial"/>
          <w:sz w:val="14"/>
          <w:szCs w:val="14"/>
          <w:color w:val="auto"/>
        </w:rPr>
        <w:t>, double trigger).</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Risk Considerations in Compensation Programs</w:t>
      </w:r>
    </w:p>
    <w:p>
      <w:pPr>
        <w:spacing w:after="0" w:line="62" w:lineRule="exact"/>
        <w:rPr>
          <w:sz w:val="20"/>
          <w:szCs w:val="20"/>
          <w:color w:val="auto"/>
        </w:rPr>
      </w:pPr>
    </w:p>
    <w:p>
      <w:pPr>
        <w:jc w:val="both"/>
        <w:ind w:left="20" w:right="40"/>
        <w:spacing w:after="0" w:line="264" w:lineRule="auto"/>
        <w:rPr>
          <w:sz w:val="20"/>
          <w:szCs w:val="20"/>
          <w:color w:val="auto"/>
        </w:rPr>
      </w:pPr>
      <w:r>
        <w:rPr>
          <w:rFonts w:ascii="Arial" w:cs="Arial" w:eastAsia="Arial" w:hAnsi="Arial"/>
          <w:sz w:val="14"/>
          <w:szCs w:val="14"/>
          <w:color w:val="auto"/>
        </w:rPr>
        <w:t>Our compensation programs enable a pay-for-performance approach. Variable and performance-based incentives constitute a significant portion of the compensation awarded to our executives. We believe it is important to ensure that executive compensation does not indirectly encourage our executives to take actions that may conflict with our long-term performance and shareholder interests. We address this concern in several ways.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6D98AD"/>
        </w:rPr>
        <w:t>Pay Mix</w:t>
      </w:r>
    </w:p>
    <w:p>
      <w:pPr>
        <w:spacing w:after="0" w:line="49" w:lineRule="exact"/>
        <w:rPr>
          <w:sz w:val="20"/>
          <w:szCs w:val="20"/>
          <w:color w:val="auto"/>
        </w:rPr>
      </w:pPr>
    </w:p>
    <w:p>
      <w:pPr>
        <w:ind w:left="20" w:right="40"/>
        <w:spacing w:after="0" w:line="264" w:lineRule="auto"/>
        <w:rPr>
          <w:sz w:val="20"/>
          <w:szCs w:val="20"/>
          <w:color w:val="auto"/>
        </w:rPr>
      </w:pPr>
      <w:r>
        <w:rPr>
          <w:rFonts w:ascii="Arial" w:cs="Arial" w:eastAsia="Arial" w:hAnsi="Arial"/>
          <w:sz w:val="14"/>
          <w:szCs w:val="14"/>
          <w:color w:val="auto"/>
        </w:rPr>
        <w:t>The base salaries we pay are market-competitive and sufficient to retain and motivate our executives. Our incentive compensation program consists of both short-term and LTI awards, which encourage associates to focus on both annual results and long-term sustainable performance. The majority of each NEO’s pay is variable, incentive compensation that is heavily weighted towards long-term components. These factors discourage excessive risk-taking.</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6D98AD"/>
        </w:rPr>
        <w:t>Capped Awards</w:t>
      </w:r>
    </w:p>
    <w:p>
      <w:pPr>
        <w:spacing w:after="0" w:line="49" w:lineRule="exact"/>
        <w:rPr>
          <w:sz w:val="20"/>
          <w:szCs w:val="20"/>
          <w:color w:val="auto"/>
        </w:rPr>
      </w:pPr>
    </w:p>
    <w:p>
      <w:pPr>
        <w:ind w:left="20" w:right="40"/>
        <w:spacing w:after="0" w:line="282" w:lineRule="auto"/>
        <w:rPr>
          <w:sz w:val="20"/>
          <w:szCs w:val="20"/>
          <w:color w:val="auto"/>
        </w:rPr>
      </w:pPr>
      <w:r>
        <w:rPr>
          <w:rFonts w:ascii="Arial" w:cs="Arial" w:eastAsia="Arial" w:hAnsi="Arial"/>
          <w:sz w:val="14"/>
          <w:szCs w:val="14"/>
          <w:color w:val="auto"/>
        </w:rPr>
        <w:t>The payouts of annual bonus and performance share unit awards are capped, even if our performance exceeds the predetermined maximum goals. This mitigates the risk that executives may take to enhance our performance.</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6D98AD"/>
        </w:rPr>
        <w:t>Long-Term Performance</w:t>
      </w:r>
    </w:p>
    <w:p>
      <w:pPr>
        <w:spacing w:after="0" w:line="49" w:lineRule="exact"/>
        <w:rPr>
          <w:sz w:val="20"/>
          <w:szCs w:val="20"/>
          <w:color w:val="auto"/>
        </w:rPr>
      </w:pPr>
    </w:p>
    <w:p>
      <w:pPr>
        <w:ind w:left="20" w:right="180"/>
        <w:spacing w:after="0" w:line="282" w:lineRule="auto"/>
        <w:rPr>
          <w:sz w:val="20"/>
          <w:szCs w:val="20"/>
          <w:color w:val="auto"/>
        </w:rPr>
      </w:pPr>
      <w:r>
        <w:rPr>
          <w:rFonts w:ascii="Arial" w:cs="Arial" w:eastAsia="Arial" w:hAnsi="Arial"/>
          <w:sz w:val="14"/>
          <w:szCs w:val="14"/>
          <w:color w:val="auto"/>
        </w:rPr>
        <w:t>Performance share unit awards are based upon our performance over a three-year period, which reduces any incentive to take short-term risks. In addition, the performance measures are selected to align management and stockholder interests.</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49CAB"/>
        </w:rPr>
        <w:t xml:space="preserve">COMPENSATION DISCUSSION &amp; ANALYSIS </w:t>
      </w:r>
      <w:r>
        <w:rPr>
          <w:rFonts w:ascii="Arial" w:cs="Arial" w:eastAsia="Arial" w:hAnsi="Arial"/>
          <w:sz w:val="11"/>
          <w:szCs w:val="11"/>
          <w:color w:val="000000"/>
        </w:rPr>
        <w:t>/ PVH CORP. 2026 PROXY STATEMENT /</w:t>
      </w:r>
      <w:r>
        <w:rPr>
          <w:rFonts w:ascii="Arial" w:cs="Arial" w:eastAsia="Arial" w:hAnsi="Arial"/>
          <w:sz w:val="11"/>
          <w:szCs w:val="11"/>
          <w:b w:val="1"/>
          <w:bCs w:val="1"/>
          <w:color w:val="749CAB"/>
        </w:rPr>
        <w:t xml:space="preserve"> </w:t>
      </w:r>
      <w:r>
        <w:rPr>
          <w:rFonts w:ascii="Arial" w:cs="Arial" w:eastAsia="Arial" w:hAnsi="Arial"/>
          <w:sz w:val="11"/>
          <w:szCs w:val="11"/>
          <w:b w:val="1"/>
          <w:bCs w:val="1"/>
          <w:color w:val="00000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174" w:right="47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6D98AD"/>
        </w:rPr>
        <w:t>Vesting Over Extended Periods</w:t>
      </w:r>
    </w:p>
    <w:p>
      <w:pPr>
        <w:spacing w:after="0" w:line="49"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Stock options and RSUs generally vest over four years. This extended vesting period discourages unnecessary or excessive risk-taking by maintaining sufficient future value that remains outstanding. Additionally, our Insider Trading Policy prohibits hedging and other activities that could offset the benefits of having these as long-term awards.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6D98AD"/>
        </w:rPr>
        <w:t>Performance Metrics and Goals</w:t>
      </w:r>
    </w:p>
    <w:p>
      <w:pPr>
        <w:spacing w:after="0" w:line="49"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The performance goals established by the Compensation Committee for annual bonus awards made to our NEOs are based upon our annual budgets, which are reviewed and approved by the Board. We believe these goals are sufficiently challenging but attainable without the need to take inappropriate risks or make material changes to our business or strategy. The bonuses payable under the annual management bonus programs, in which other associates participate, are based on the same performance measures as those that apply to NEO bonuses, which means that all PVH associates participating in bonus plans are pursuing complementary goals, and those goals are consistent with stockholder interests. The one bonus plan we have in which associates may receive bonuses based upon financial metrics that differ from those in our Performance Incentive Bonus Plan and our annual management bonus program provides only de minimis awards.</w:t>
      </w:r>
    </w:p>
    <w:p>
      <w:pPr>
        <w:spacing w:after="0" w:line="89"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performance goals for annual PSU awards made to our NEOs are split 50% between two (typically three-year) financial performance goals, and the awards cliff vest at the end of the performance cycle to the extent the goals are achieved. Annually, the Audit &amp; Risk Management Committee and the Compensation Committee independently confirm the levels at which performance goals were achieved. The Compensation Committee has the ability to adjust annual bonus payouts based on unforeseen events that may not be reflected in financial performance. These risk-mitigating controls minimize excessive risk-taking and short-term focus.</w:t>
      </w:r>
    </w:p>
    <w:p>
      <w:pPr>
        <w:spacing w:after="0" w:line="73"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Amounts earned under our annual bonus and PSU plans are subject to recoupment in the event of a restatement of our financial statements or a material breach of a material company policy</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6D98AD"/>
        </w:rPr>
        <w:t>Recoupment</w:t>
      </w:r>
    </w:p>
    <w:p>
      <w:pPr>
        <w:spacing w:after="0" w:line="49" w:lineRule="exact"/>
        <w:rPr>
          <w:sz w:val="20"/>
          <w:szCs w:val="20"/>
          <w:color w:val="auto"/>
        </w:rPr>
      </w:pPr>
    </w:p>
    <w:p>
      <w:pPr>
        <w:ind w:right="420"/>
        <w:spacing w:after="0" w:line="282" w:lineRule="auto"/>
        <w:rPr>
          <w:sz w:val="20"/>
          <w:szCs w:val="20"/>
          <w:color w:val="auto"/>
        </w:rPr>
      </w:pPr>
      <w:r>
        <w:rPr>
          <w:rFonts w:ascii="Arial" w:cs="Arial" w:eastAsia="Arial" w:hAnsi="Arial"/>
          <w:sz w:val="14"/>
          <w:szCs w:val="14"/>
          <w:color w:val="auto"/>
        </w:rPr>
        <w:t>Our Clawback Policy allows us to recover any incentive compensation paid or granted to any current or former Section 16 officer (the executives whose compensation is subject to Compensation Committee review and approval) in the event of a restatement of our financial statements or a material breach of a material company policy.</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6D98AD"/>
        </w:rPr>
        <w:t>Equity Ownership</w:t>
      </w:r>
    </w:p>
    <w:p>
      <w:pPr>
        <w:spacing w:after="0" w:line="49"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Incentive compensation has a large stock component to it. The value of equity awards is best realized through long-term appreciation of stockholder value, especially when coupled with our stock ownership guidelines. Since our executive officers are required to hold a prescribed amount of our common stock, it is in their interest not to jeopardize stock appreciation.</w:t>
      </w:r>
    </w:p>
    <w:p>
      <w:pPr>
        <w:spacing w:after="0" w:line="81" w:lineRule="exact"/>
        <w:rPr>
          <w:sz w:val="20"/>
          <w:szCs w:val="20"/>
          <w:color w:val="auto"/>
        </w:rPr>
      </w:pPr>
    </w:p>
    <w:p>
      <w:pPr>
        <w:ind w:right="480"/>
        <w:spacing w:after="0" w:line="264" w:lineRule="auto"/>
        <w:rPr>
          <w:sz w:val="20"/>
          <w:szCs w:val="20"/>
          <w:color w:val="auto"/>
        </w:rPr>
      </w:pPr>
      <w:r>
        <w:rPr>
          <w:rFonts w:ascii="Arial" w:cs="Arial" w:eastAsia="Arial" w:hAnsi="Arial"/>
          <w:sz w:val="14"/>
          <w:szCs w:val="14"/>
          <w:color w:val="auto"/>
        </w:rPr>
        <w:t>Management identified the above items in a risk assessment of each component of the compensation program for our NEOs and across PVH that was presented to the Compensation Committee and assessed by our independent compensation consultant at that time. The assessment verified our conclusion that there is no significant opportunity for excessive risk-taking arising from our overall compensation program that is reasonably likely to have a material adverse effect on PVH.</w:t>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58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749CAB"/>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695515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20"/>
          </w:cols>
          <w:pgMar w:left="480" w:top="248" w:right="499" w:bottom="1440" w:gutter="0" w:footer="0" w:header="0"/>
        </w:sectPr>
      </w:pPr>
    </w:p>
    <w:bookmarkStart w:id="61" w:name="page62"/>
    <w:bookmarkEnd w:id="61"/>
    <w:p>
      <w:pPr>
        <w:spacing w:after="0"/>
        <w:rPr>
          <w:sz w:val="20"/>
          <w:szCs w:val="20"/>
          <w:color w:val="auto"/>
        </w:rPr>
      </w:pPr>
      <w:r>
        <w:rPr>
          <w:rFonts w:ascii="Arial" w:cs="Arial" w:eastAsia="Arial" w:hAnsi="Arial"/>
          <w:sz w:val="28"/>
          <w:szCs w:val="28"/>
          <w:b w:val="1"/>
          <w:bCs w:val="1"/>
          <w:color w:val="6D98AD"/>
        </w:rPr>
        <w:t>Compensation Committee Report</w:t>
      </w:r>
    </w:p>
    <w:p>
      <w:pPr>
        <w:spacing w:after="0" w:line="114" w:lineRule="exact"/>
        <w:rPr>
          <w:sz w:val="20"/>
          <w:szCs w:val="20"/>
          <w:color w:val="auto"/>
        </w:rPr>
      </w:pPr>
    </w:p>
    <w:p>
      <w:pPr>
        <w:ind w:right="120"/>
        <w:spacing w:after="0" w:line="264" w:lineRule="auto"/>
        <w:rPr>
          <w:sz w:val="20"/>
          <w:szCs w:val="20"/>
          <w:color w:val="auto"/>
        </w:rPr>
      </w:pPr>
      <w:r>
        <w:rPr>
          <w:rFonts w:ascii="Arial" w:cs="Arial" w:eastAsia="Arial" w:hAnsi="Arial"/>
          <w:sz w:val="14"/>
          <w:szCs w:val="14"/>
          <w:color w:val="auto"/>
        </w:rPr>
        <w:t>The Compensation Committee of the Board of Directors has reviewed and discussed with management the Compensation Discussion and Analysis section of this Proxy Statement. Based on this review and discussion, the Committee recommended to the Board that the Compensation Discussion and Analysis section be included in this Proxy Statement.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Committee</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Amanda Sourry, Chair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Michael M. Calbert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George Cheeks</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49CAB"/>
        </w:rPr>
        <w:t xml:space="preserve">COMPENSATION DISCUSSION &amp; ANALYSIS </w:t>
      </w:r>
      <w:r>
        <w:rPr>
          <w:rFonts w:ascii="Arial" w:cs="Arial" w:eastAsia="Arial" w:hAnsi="Arial"/>
          <w:sz w:val="11"/>
          <w:szCs w:val="11"/>
          <w:color w:val="000000"/>
        </w:rPr>
        <w:t>/ PVH CORP. 2026 PROXY STATEMENT /</w:t>
      </w:r>
      <w:r>
        <w:rPr>
          <w:rFonts w:ascii="Arial" w:cs="Arial" w:eastAsia="Arial" w:hAnsi="Arial"/>
          <w:sz w:val="11"/>
          <w:szCs w:val="11"/>
          <w:b w:val="1"/>
          <w:bCs w:val="1"/>
          <w:color w:val="749CAB"/>
        </w:rPr>
        <w:t xml:space="preserve"> </w:t>
      </w:r>
      <w:r>
        <w:rPr>
          <w:rFonts w:ascii="Arial" w:cs="Arial" w:eastAsia="Arial" w:hAnsi="Arial"/>
          <w:sz w:val="11"/>
          <w:szCs w:val="11"/>
          <w:b w:val="1"/>
          <w:bCs w:val="1"/>
          <w:color w:val="00000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695515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256" w:right="479" w:bottom="1440" w:gutter="0" w:footer="0" w:header="0"/>
        </w:sectPr>
      </w:pPr>
    </w:p>
    <w:bookmarkStart w:id="62" w:name="page63"/>
    <w:bookmarkEnd w:id="62"/>
    <w:p>
      <w:pPr>
        <w:ind w:left="20"/>
        <w:spacing w:after="0"/>
        <w:rPr>
          <w:sz w:val="20"/>
          <w:szCs w:val="20"/>
          <w:color w:val="auto"/>
        </w:rPr>
      </w:pPr>
      <w:r>
        <w:rPr>
          <w:rFonts w:ascii="Arial" w:cs="Arial" w:eastAsia="Arial" w:hAnsi="Arial"/>
          <w:sz w:val="41"/>
          <w:szCs w:val="41"/>
          <w:b w:val="1"/>
          <w:bCs w:val="1"/>
          <w:color w:val="auto"/>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6D98AD"/>
        </w:rPr>
        <w:t>Summary Compensation Table</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Summary Compensation Table includes the 2023, 2024 and 2025 compensation data for our NEOs for the years in which they served as NEOs.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shd w:val="clear" w:color="auto" w:fill="99B7C6"/>
          </w:tcPr>
          <w:p>
            <w:pPr>
              <w:spacing w:after="0"/>
              <w:rPr>
                <w:sz w:val="14"/>
                <w:szCs w:val="14"/>
                <w:color w:val="auto"/>
              </w:rPr>
            </w:pPr>
          </w:p>
        </w:tc>
        <w:tc>
          <w:tcPr>
            <w:tcW w:w="1140" w:type="dxa"/>
            <w:vAlign w:val="bottom"/>
            <w:shd w:val="clear" w:color="auto" w:fill="99B7C6"/>
          </w:tcPr>
          <w:p>
            <w:pPr>
              <w:spacing w:after="0"/>
              <w:rPr>
                <w:sz w:val="14"/>
                <w:szCs w:val="14"/>
                <w:color w:val="auto"/>
              </w:rPr>
            </w:pPr>
          </w:p>
        </w:tc>
        <w:tc>
          <w:tcPr>
            <w:tcW w:w="920" w:type="dxa"/>
            <w:vAlign w:val="bottom"/>
            <w:shd w:val="clear" w:color="auto" w:fill="99B7C6"/>
          </w:tcPr>
          <w:p>
            <w:pPr>
              <w:spacing w:after="0"/>
              <w:rPr>
                <w:sz w:val="14"/>
                <w:szCs w:val="14"/>
                <w:color w:val="auto"/>
              </w:rPr>
            </w:pPr>
          </w:p>
        </w:tc>
        <w:tc>
          <w:tcPr>
            <w:tcW w:w="900" w:type="dxa"/>
            <w:vAlign w:val="bottom"/>
            <w:shd w:val="clear" w:color="auto" w:fill="99B7C6"/>
          </w:tcPr>
          <w:p>
            <w:pPr>
              <w:spacing w:after="0"/>
              <w:rPr>
                <w:sz w:val="14"/>
                <w:szCs w:val="14"/>
                <w:color w:val="auto"/>
              </w:rPr>
            </w:pPr>
          </w:p>
        </w:tc>
        <w:tc>
          <w:tcPr>
            <w:tcW w:w="960" w:type="dxa"/>
            <w:vAlign w:val="bottom"/>
            <w:shd w:val="clear" w:color="auto" w:fill="99B7C6"/>
          </w:tcPr>
          <w:p>
            <w:pPr>
              <w:spacing w:after="0"/>
              <w:rPr>
                <w:sz w:val="14"/>
                <w:szCs w:val="14"/>
                <w:color w:val="auto"/>
              </w:rPr>
            </w:pPr>
          </w:p>
        </w:tc>
        <w:tc>
          <w:tcPr>
            <w:tcW w:w="820" w:type="dxa"/>
            <w:vAlign w:val="bottom"/>
            <w:shd w:val="clear" w:color="auto" w:fill="99B7C6"/>
          </w:tcPr>
          <w:p>
            <w:pPr>
              <w:spacing w:after="0"/>
              <w:rPr>
                <w:sz w:val="14"/>
                <w:szCs w:val="14"/>
                <w:color w:val="auto"/>
              </w:rPr>
            </w:pPr>
          </w:p>
        </w:tc>
        <w:tc>
          <w:tcPr>
            <w:tcW w:w="1140" w:type="dxa"/>
            <w:vAlign w:val="bottom"/>
            <w:shd w:val="clear" w:color="auto" w:fill="99B7C6"/>
          </w:tcPr>
          <w:p>
            <w:pPr>
              <w:spacing w:after="0"/>
              <w:rPr>
                <w:sz w:val="14"/>
                <w:szCs w:val="14"/>
                <w:color w:val="auto"/>
              </w:rPr>
            </w:pPr>
          </w:p>
        </w:tc>
        <w:tc>
          <w:tcPr>
            <w:tcW w:w="1520" w:type="dxa"/>
            <w:vAlign w:val="bottom"/>
            <w:shd w:val="clear" w:color="auto" w:fill="99B7C6"/>
          </w:tcPr>
          <w:p>
            <w:pPr>
              <w:jc w:val="right"/>
              <w:ind w:right="105"/>
              <w:spacing w:after="0"/>
              <w:rPr>
                <w:sz w:val="20"/>
                <w:szCs w:val="20"/>
                <w:color w:val="auto"/>
              </w:rPr>
            </w:pPr>
            <w:r>
              <w:rPr>
                <w:rFonts w:ascii="Arial" w:cs="Arial" w:eastAsia="Arial" w:hAnsi="Arial"/>
                <w:sz w:val="11"/>
                <w:szCs w:val="11"/>
                <w:b w:val="1"/>
                <w:bCs w:val="1"/>
                <w:color w:val="FFFFFF"/>
              </w:rPr>
              <w:t>Change in</w:t>
            </w:r>
          </w:p>
        </w:tc>
        <w:tc>
          <w:tcPr>
            <w:tcW w:w="1320" w:type="dxa"/>
            <w:vAlign w:val="bottom"/>
            <w:shd w:val="clear" w:color="auto" w:fill="99B7C6"/>
          </w:tcPr>
          <w:p>
            <w:pPr>
              <w:spacing w:after="0"/>
              <w:rPr>
                <w:sz w:val="14"/>
                <w:szCs w:val="14"/>
                <w:color w:val="auto"/>
              </w:rPr>
            </w:pPr>
          </w:p>
        </w:tc>
        <w:tc>
          <w:tcPr>
            <w:tcW w:w="720" w:type="dxa"/>
            <w:vAlign w:val="bottom"/>
            <w:shd w:val="clear" w:color="auto" w:fill="99B7C6"/>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50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920" w:type="dxa"/>
            <w:vAlign w:val="bottom"/>
            <w:shd w:val="clear" w:color="auto" w:fill="99B7C6"/>
          </w:tcPr>
          <w:p>
            <w:pPr>
              <w:spacing w:after="0"/>
              <w:rPr>
                <w:sz w:val="10"/>
                <w:szCs w:val="10"/>
                <w:color w:val="auto"/>
              </w:rPr>
            </w:pPr>
          </w:p>
        </w:tc>
        <w:tc>
          <w:tcPr>
            <w:tcW w:w="900" w:type="dxa"/>
            <w:vAlign w:val="bottom"/>
            <w:shd w:val="clear" w:color="auto" w:fill="99B7C6"/>
          </w:tcPr>
          <w:p>
            <w:pPr>
              <w:spacing w:after="0"/>
              <w:rPr>
                <w:sz w:val="10"/>
                <w:szCs w:val="10"/>
                <w:color w:val="auto"/>
              </w:rPr>
            </w:pPr>
          </w:p>
        </w:tc>
        <w:tc>
          <w:tcPr>
            <w:tcW w:w="960" w:type="dxa"/>
            <w:vAlign w:val="bottom"/>
            <w:shd w:val="clear" w:color="auto" w:fill="99B7C6"/>
          </w:tcPr>
          <w:p>
            <w:pPr>
              <w:spacing w:after="0"/>
              <w:rPr>
                <w:sz w:val="10"/>
                <w:szCs w:val="10"/>
                <w:color w:val="auto"/>
              </w:rPr>
            </w:pPr>
          </w:p>
        </w:tc>
        <w:tc>
          <w:tcPr>
            <w:tcW w:w="820" w:type="dxa"/>
            <w:vAlign w:val="bottom"/>
            <w:shd w:val="clear" w:color="auto" w:fill="99B7C6"/>
          </w:tcPr>
          <w:p>
            <w:pPr>
              <w:spacing w:after="0"/>
              <w:rPr>
                <w:sz w:val="10"/>
                <w:szCs w:val="10"/>
                <w:color w:val="auto"/>
              </w:rPr>
            </w:pPr>
          </w:p>
        </w:tc>
        <w:tc>
          <w:tcPr>
            <w:tcW w:w="1140" w:type="dxa"/>
            <w:vAlign w:val="bottom"/>
            <w:vMerge w:val="restart"/>
            <w:shd w:val="clear" w:color="auto" w:fill="99B7C6"/>
          </w:tcPr>
          <w:p>
            <w:pPr>
              <w:jc w:val="right"/>
              <w:ind w:right="165"/>
              <w:spacing w:after="0"/>
              <w:rPr>
                <w:sz w:val="20"/>
                <w:szCs w:val="20"/>
                <w:color w:val="auto"/>
              </w:rPr>
            </w:pPr>
            <w:r>
              <w:rPr>
                <w:rFonts w:ascii="Arial" w:cs="Arial" w:eastAsia="Arial" w:hAnsi="Arial"/>
                <w:sz w:val="11"/>
                <w:szCs w:val="11"/>
                <w:b w:val="1"/>
                <w:bCs w:val="1"/>
                <w:color w:val="FFFFFF"/>
              </w:rPr>
              <w:t>Non-Equity</w:t>
            </w:r>
          </w:p>
        </w:tc>
        <w:tc>
          <w:tcPr>
            <w:tcW w:w="1520" w:type="dxa"/>
            <w:vAlign w:val="bottom"/>
            <w:shd w:val="clear" w:color="auto" w:fill="99B7C6"/>
          </w:tcPr>
          <w:p>
            <w:pPr>
              <w:jc w:val="right"/>
              <w:ind w:right="105"/>
              <w:spacing w:after="0" w:line="118" w:lineRule="exact"/>
              <w:rPr>
                <w:sz w:val="20"/>
                <w:szCs w:val="20"/>
                <w:color w:val="auto"/>
              </w:rPr>
            </w:pPr>
            <w:r>
              <w:rPr>
                <w:rFonts w:ascii="Arial" w:cs="Arial" w:eastAsia="Arial" w:hAnsi="Arial"/>
                <w:sz w:val="11"/>
                <w:szCs w:val="11"/>
                <w:b w:val="1"/>
                <w:bCs w:val="1"/>
                <w:color w:val="FFFFFF"/>
              </w:rPr>
              <w:t>Pension Value and</w:t>
            </w:r>
          </w:p>
        </w:tc>
        <w:tc>
          <w:tcPr>
            <w:tcW w:w="1320" w:type="dxa"/>
            <w:vAlign w:val="bottom"/>
            <w:shd w:val="clear" w:color="auto" w:fill="99B7C6"/>
          </w:tcPr>
          <w:p>
            <w:pPr>
              <w:spacing w:after="0"/>
              <w:rPr>
                <w:sz w:val="10"/>
                <w:szCs w:val="10"/>
                <w:color w:val="auto"/>
              </w:rPr>
            </w:pPr>
          </w:p>
        </w:tc>
        <w:tc>
          <w:tcPr>
            <w:tcW w:w="720" w:type="dxa"/>
            <w:vAlign w:val="bottom"/>
            <w:shd w:val="clear" w:color="auto" w:fill="99B7C6"/>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50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920" w:type="dxa"/>
            <w:vAlign w:val="bottom"/>
            <w:shd w:val="clear" w:color="auto" w:fill="99B7C6"/>
          </w:tcPr>
          <w:p>
            <w:pPr>
              <w:spacing w:after="0"/>
              <w:rPr>
                <w:sz w:val="10"/>
                <w:szCs w:val="10"/>
                <w:color w:val="auto"/>
              </w:rPr>
            </w:pPr>
          </w:p>
        </w:tc>
        <w:tc>
          <w:tcPr>
            <w:tcW w:w="900" w:type="dxa"/>
            <w:vAlign w:val="bottom"/>
            <w:shd w:val="clear" w:color="auto" w:fill="99B7C6"/>
          </w:tcPr>
          <w:p>
            <w:pPr>
              <w:spacing w:after="0"/>
              <w:rPr>
                <w:sz w:val="10"/>
                <w:szCs w:val="10"/>
                <w:color w:val="auto"/>
              </w:rPr>
            </w:pPr>
          </w:p>
        </w:tc>
        <w:tc>
          <w:tcPr>
            <w:tcW w:w="960" w:type="dxa"/>
            <w:vAlign w:val="bottom"/>
            <w:vMerge w:val="restart"/>
            <w:shd w:val="clear" w:color="auto" w:fill="99B7C6"/>
          </w:tcPr>
          <w:p>
            <w:pPr>
              <w:jc w:val="right"/>
              <w:ind w:right="205"/>
              <w:spacing w:after="0"/>
              <w:rPr>
                <w:sz w:val="20"/>
                <w:szCs w:val="20"/>
                <w:color w:val="auto"/>
              </w:rPr>
            </w:pPr>
            <w:r>
              <w:rPr>
                <w:rFonts w:ascii="Arial" w:cs="Arial" w:eastAsia="Arial" w:hAnsi="Arial"/>
                <w:sz w:val="11"/>
                <w:szCs w:val="11"/>
                <w:b w:val="1"/>
                <w:bCs w:val="1"/>
                <w:color w:val="FFFFFF"/>
              </w:rPr>
              <w:t>Stock</w:t>
            </w:r>
          </w:p>
        </w:tc>
        <w:tc>
          <w:tcPr>
            <w:tcW w:w="820" w:type="dxa"/>
            <w:vAlign w:val="bottom"/>
            <w:vMerge w:val="restart"/>
            <w:shd w:val="clear" w:color="auto" w:fill="99B7C6"/>
          </w:tcPr>
          <w:p>
            <w:pPr>
              <w:jc w:val="right"/>
              <w:ind w:right="105"/>
              <w:spacing w:after="0"/>
              <w:rPr>
                <w:sz w:val="20"/>
                <w:szCs w:val="20"/>
                <w:color w:val="auto"/>
              </w:rPr>
            </w:pPr>
            <w:r>
              <w:rPr>
                <w:rFonts w:ascii="Arial" w:cs="Arial" w:eastAsia="Arial" w:hAnsi="Arial"/>
                <w:sz w:val="11"/>
                <w:szCs w:val="11"/>
                <w:b w:val="1"/>
                <w:bCs w:val="1"/>
                <w:color w:val="FFFFFF"/>
              </w:rPr>
              <w:t>Option</w:t>
            </w:r>
          </w:p>
        </w:tc>
        <w:tc>
          <w:tcPr>
            <w:tcW w:w="1140" w:type="dxa"/>
            <w:vAlign w:val="bottom"/>
            <w:vMerge w:val="continue"/>
            <w:shd w:val="clear" w:color="auto" w:fill="99B7C6"/>
          </w:tcPr>
          <w:p>
            <w:pPr>
              <w:spacing w:after="0"/>
              <w:rPr>
                <w:sz w:val="10"/>
                <w:szCs w:val="10"/>
                <w:color w:val="auto"/>
              </w:rPr>
            </w:pPr>
          </w:p>
        </w:tc>
        <w:tc>
          <w:tcPr>
            <w:tcW w:w="1520" w:type="dxa"/>
            <w:vAlign w:val="bottom"/>
            <w:shd w:val="clear" w:color="auto" w:fill="99B7C6"/>
          </w:tcPr>
          <w:p>
            <w:pPr>
              <w:jc w:val="right"/>
              <w:ind w:right="105"/>
              <w:spacing w:after="0" w:line="118" w:lineRule="exact"/>
              <w:rPr>
                <w:sz w:val="20"/>
                <w:szCs w:val="20"/>
                <w:color w:val="auto"/>
              </w:rPr>
            </w:pPr>
            <w:r>
              <w:rPr>
                <w:rFonts w:ascii="Arial" w:cs="Arial" w:eastAsia="Arial" w:hAnsi="Arial"/>
                <w:sz w:val="11"/>
                <w:szCs w:val="11"/>
                <w:b w:val="1"/>
                <w:bCs w:val="1"/>
                <w:color w:val="FFFFFF"/>
              </w:rPr>
              <w:t>Non-qualified Deferred</w:t>
            </w:r>
          </w:p>
        </w:tc>
        <w:tc>
          <w:tcPr>
            <w:tcW w:w="1320" w:type="dxa"/>
            <w:vAlign w:val="bottom"/>
            <w:vMerge w:val="restart"/>
            <w:shd w:val="clear" w:color="auto" w:fill="99B7C6"/>
          </w:tcPr>
          <w:p>
            <w:pPr>
              <w:jc w:val="right"/>
              <w:ind w:right="345"/>
              <w:spacing w:after="0"/>
              <w:rPr>
                <w:sz w:val="20"/>
                <w:szCs w:val="20"/>
                <w:color w:val="auto"/>
              </w:rPr>
            </w:pPr>
            <w:r>
              <w:rPr>
                <w:rFonts w:ascii="Arial" w:cs="Arial" w:eastAsia="Arial" w:hAnsi="Arial"/>
                <w:sz w:val="11"/>
                <w:szCs w:val="11"/>
                <w:b w:val="1"/>
                <w:bCs w:val="1"/>
                <w:color w:val="FFFFFF"/>
              </w:rPr>
              <w:t>All Other</w:t>
            </w:r>
          </w:p>
        </w:tc>
        <w:tc>
          <w:tcPr>
            <w:tcW w:w="720" w:type="dxa"/>
            <w:vAlign w:val="bottom"/>
            <w:shd w:val="clear" w:color="auto" w:fill="99B7C6"/>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500" w:type="dxa"/>
            <w:vAlign w:val="bottom"/>
            <w:shd w:val="clear" w:color="auto" w:fill="99B7C6"/>
          </w:tcPr>
          <w:p>
            <w:pPr>
              <w:spacing w:after="0"/>
              <w:rPr>
                <w:sz w:val="11"/>
                <w:szCs w:val="11"/>
                <w:color w:val="auto"/>
              </w:rPr>
            </w:pPr>
          </w:p>
        </w:tc>
        <w:tc>
          <w:tcPr>
            <w:tcW w:w="1140" w:type="dxa"/>
            <w:vAlign w:val="bottom"/>
            <w:shd w:val="clear" w:color="auto" w:fill="99B7C6"/>
          </w:tcPr>
          <w:p>
            <w:pPr>
              <w:spacing w:after="0"/>
              <w:rPr>
                <w:sz w:val="11"/>
                <w:szCs w:val="11"/>
                <w:color w:val="auto"/>
              </w:rPr>
            </w:pPr>
          </w:p>
        </w:tc>
        <w:tc>
          <w:tcPr>
            <w:tcW w:w="920" w:type="dxa"/>
            <w:vAlign w:val="bottom"/>
            <w:shd w:val="clear" w:color="auto" w:fill="99B7C6"/>
          </w:tcPr>
          <w:p>
            <w:pPr>
              <w:spacing w:after="0"/>
              <w:rPr>
                <w:sz w:val="11"/>
                <w:szCs w:val="11"/>
                <w:color w:val="auto"/>
              </w:rPr>
            </w:pPr>
          </w:p>
        </w:tc>
        <w:tc>
          <w:tcPr>
            <w:tcW w:w="900" w:type="dxa"/>
            <w:vAlign w:val="bottom"/>
            <w:shd w:val="clear" w:color="auto" w:fill="99B7C6"/>
          </w:tcPr>
          <w:p>
            <w:pPr>
              <w:spacing w:after="0"/>
              <w:rPr>
                <w:sz w:val="11"/>
                <w:szCs w:val="11"/>
                <w:color w:val="auto"/>
              </w:rPr>
            </w:pPr>
          </w:p>
        </w:tc>
        <w:tc>
          <w:tcPr>
            <w:tcW w:w="960" w:type="dxa"/>
            <w:vAlign w:val="bottom"/>
            <w:vMerge w:val="continue"/>
            <w:shd w:val="clear" w:color="auto" w:fill="99B7C6"/>
          </w:tcPr>
          <w:p>
            <w:pPr>
              <w:spacing w:after="0"/>
              <w:rPr>
                <w:sz w:val="11"/>
                <w:szCs w:val="11"/>
                <w:color w:val="auto"/>
              </w:rPr>
            </w:pPr>
          </w:p>
        </w:tc>
        <w:tc>
          <w:tcPr>
            <w:tcW w:w="820" w:type="dxa"/>
            <w:vAlign w:val="bottom"/>
            <w:vMerge w:val="continue"/>
            <w:shd w:val="clear" w:color="auto" w:fill="99B7C6"/>
          </w:tcPr>
          <w:p>
            <w:pPr>
              <w:spacing w:after="0"/>
              <w:rPr>
                <w:sz w:val="11"/>
                <w:szCs w:val="11"/>
                <w:color w:val="auto"/>
              </w:rPr>
            </w:pPr>
          </w:p>
        </w:tc>
        <w:tc>
          <w:tcPr>
            <w:tcW w:w="1140" w:type="dxa"/>
            <w:vAlign w:val="bottom"/>
            <w:shd w:val="clear" w:color="auto" w:fill="99B7C6"/>
          </w:tcPr>
          <w:p>
            <w:pPr>
              <w:jc w:val="right"/>
              <w:ind w:right="165"/>
              <w:spacing w:after="0"/>
              <w:rPr>
                <w:sz w:val="20"/>
                <w:szCs w:val="20"/>
                <w:color w:val="auto"/>
              </w:rPr>
            </w:pPr>
            <w:r>
              <w:rPr>
                <w:rFonts w:ascii="Arial" w:cs="Arial" w:eastAsia="Arial" w:hAnsi="Arial"/>
                <w:sz w:val="11"/>
                <w:szCs w:val="11"/>
                <w:b w:val="1"/>
                <w:bCs w:val="1"/>
                <w:color w:val="FFFFFF"/>
              </w:rPr>
              <w:t>Incentive Plan</w:t>
            </w:r>
          </w:p>
        </w:tc>
        <w:tc>
          <w:tcPr>
            <w:tcW w:w="1520" w:type="dxa"/>
            <w:vAlign w:val="bottom"/>
            <w:shd w:val="clear" w:color="auto" w:fill="99B7C6"/>
          </w:tcPr>
          <w:p>
            <w:pPr>
              <w:jc w:val="right"/>
              <w:ind w:right="105"/>
              <w:spacing w:after="0"/>
              <w:rPr>
                <w:sz w:val="20"/>
                <w:szCs w:val="20"/>
                <w:color w:val="auto"/>
              </w:rPr>
            </w:pPr>
            <w:r>
              <w:rPr>
                <w:rFonts w:ascii="Arial" w:cs="Arial" w:eastAsia="Arial" w:hAnsi="Arial"/>
                <w:sz w:val="11"/>
                <w:szCs w:val="11"/>
                <w:b w:val="1"/>
                <w:bCs w:val="1"/>
                <w:color w:val="FFFFFF"/>
              </w:rPr>
              <w:t>Compensation on</w:t>
            </w:r>
          </w:p>
        </w:tc>
        <w:tc>
          <w:tcPr>
            <w:tcW w:w="1320" w:type="dxa"/>
            <w:vAlign w:val="bottom"/>
            <w:vMerge w:val="continue"/>
            <w:shd w:val="clear" w:color="auto" w:fill="99B7C6"/>
          </w:tcPr>
          <w:p>
            <w:pPr>
              <w:spacing w:after="0"/>
              <w:rPr>
                <w:sz w:val="11"/>
                <w:szCs w:val="11"/>
                <w:color w:val="auto"/>
              </w:rPr>
            </w:pPr>
          </w:p>
        </w:tc>
        <w:tc>
          <w:tcPr>
            <w:tcW w:w="720" w:type="dxa"/>
            <w:vAlign w:val="bottom"/>
            <w:shd w:val="clear" w:color="auto" w:fill="99B7C6"/>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500" w:type="dxa"/>
            <w:vAlign w:val="bottom"/>
            <w:shd w:val="clear" w:color="auto" w:fill="99B7C6"/>
          </w:tcPr>
          <w:p>
            <w:pPr>
              <w:ind w:left="60"/>
              <w:spacing w:after="0" w:line="120" w:lineRule="exact"/>
              <w:rPr>
                <w:sz w:val="20"/>
                <w:szCs w:val="20"/>
                <w:color w:val="auto"/>
              </w:rPr>
            </w:pPr>
            <w:r>
              <w:rPr>
                <w:rFonts w:ascii="Arial" w:cs="Arial" w:eastAsia="Arial" w:hAnsi="Arial"/>
                <w:sz w:val="11"/>
                <w:szCs w:val="11"/>
                <w:b w:val="1"/>
                <w:bCs w:val="1"/>
                <w:color w:val="FFFFFF"/>
              </w:rPr>
              <w:t>Name and</w:t>
            </w:r>
          </w:p>
        </w:tc>
        <w:tc>
          <w:tcPr>
            <w:tcW w:w="1140" w:type="dxa"/>
            <w:vAlign w:val="bottom"/>
            <w:shd w:val="clear" w:color="auto" w:fill="99B7C6"/>
          </w:tcPr>
          <w:p>
            <w:pPr>
              <w:ind w:left="520"/>
              <w:spacing w:after="0" w:line="120" w:lineRule="exact"/>
              <w:rPr>
                <w:sz w:val="20"/>
                <w:szCs w:val="20"/>
                <w:color w:val="auto"/>
              </w:rPr>
            </w:pPr>
            <w:r>
              <w:rPr>
                <w:rFonts w:ascii="Arial" w:cs="Arial" w:eastAsia="Arial" w:hAnsi="Arial"/>
                <w:sz w:val="11"/>
                <w:szCs w:val="11"/>
                <w:b w:val="1"/>
                <w:bCs w:val="1"/>
                <w:color w:val="FFFFFF"/>
              </w:rPr>
              <w:t>Fiscal</w:t>
            </w:r>
          </w:p>
        </w:tc>
        <w:tc>
          <w:tcPr>
            <w:tcW w:w="920" w:type="dxa"/>
            <w:vAlign w:val="bottom"/>
            <w:shd w:val="clear" w:color="auto" w:fill="99B7C6"/>
          </w:tcPr>
          <w:p>
            <w:pPr>
              <w:jc w:val="right"/>
              <w:ind w:right="245"/>
              <w:spacing w:after="0" w:line="120" w:lineRule="exact"/>
              <w:rPr>
                <w:sz w:val="20"/>
                <w:szCs w:val="20"/>
                <w:color w:val="auto"/>
              </w:rPr>
            </w:pPr>
            <w:r>
              <w:rPr>
                <w:rFonts w:ascii="Arial" w:cs="Arial" w:eastAsia="Arial" w:hAnsi="Arial"/>
                <w:sz w:val="11"/>
                <w:szCs w:val="11"/>
                <w:b w:val="1"/>
                <w:bCs w:val="1"/>
                <w:color w:val="FFFFFF"/>
              </w:rPr>
              <w:t>Salary</w:t>
            </w:r>
          </w:p>
        </w:tc>
        <w:tc>
          <w:tcPr>
            <w:tcW w:w="900" w:type="dxa"/>
            <w:vAlign w:val="bottom"/>
            <w:shd w:val="clear" w:color="auto" w:fill="99B7C6"/>
          </w:tcPr>
          <w:p>
            <w:pPr>
              <w:jc w:val="right"/>
              <w:ind w:right="205"/>
              <w:spacing w:after="0" w:line="120" w:lineRule="exact"/>
              <w:rPr>
                <w:sz w:val="20"/>
                <w:szCs w:val="20"/>
                <w:color w:val="auto"/>
              </w:rPr>
            </w:pPr>
            <w:r>
              <w:rPr>
                <w:rFonts w:ascii="Arial" w:cs="Arial" w:eastAsia="Arial" w:hAnsi="Arial"/>
                <w:sz w:val="11"/>
                <w:szCs w:val="11"/>
                <w:b w:val="1"/>
                <w:bCs w:val="1"/>
                <w:color w:val="FFFFFF"/>
              </w:rPr>
              <w:t>Bonus</w:t>
            </w:r>
          </w:p>
        </w:tc>
        <w:tc>
          <w:tcPr>
            <w:tcW w:w="960" w:type="dxa"/>
            <w:vAlign w:val="bottom"/>
            <w:shd w:val="clear" w:color="auto" w:fill="99B7C6"/>
          </w:tcPr>
          <w:p>
            <w:pPr>
              <w:jc w:val="right"/>
              <w:ind w:right="205"/>
              <w:spacing w:after="0" w:line="120"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2"/>
                <w:szCs w:val="12"/>
                <w:b w:val="1"/>
                <w:bCs w:val="1"/>
                <w:color w:val="FFFFFF"/>
                <w:vertAlign w:val="superscript"/>
              </w:rPr>
              <w:t>1</w:t>
            </w:r>
          </w:p>
        </w:tc>
        <w:tc>
          <w:tcPr>
            <w:tcW w:w="820" w:type="dxa"/>
            <w:vAlign w:val="bottom"/>
            <w:shd w:val="clear" w:color="auto" w:fill="99B7C6"/>
          </w:tcPr>
          <w:p>
            <w:pPr>
              <w:jc w:val="right"/>
              <w:ind w:right="85"/>
              <w:spacing w:after="0" w:line="120"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2"/>
                <w:szCs w:val="12"/>
                <w:b w:val="1"/>
                <w:bCs w:val="1"/>
                <w:color w:val="FFFFFF"/>
                <w:vertAlign w:val="superscript"/>
              </w:rPr>
              <w:t>2</w:t>
            </w:r>
          </w:p>
        </w:tc>
        <w:tc>
          <w:tcPr>
            <w:tcW w:w="1140" w:type="dxa"/>
            <w:vAlign w:val="bottom"/>
            <w:shd w:val="clear" w:color="auto" w:fill="99B7C6"/>
          </w:tcPr>
          <w:p>
            <w:pPr>
              <w:jc w:val="right"/>
              <w:ind w:right="145"/>
              <w:spacing w:after="0" w:line="120" w:lineRule="exact"/>
              <w:rPr>
                <w:sz w:val="20"/>
                <w:szCs w:val="20"/>
                <w:color w:val="auto"/>
              </w:rPr>
            </w:pPr>
            <w:r>
              <w:rPr>
                <w:rFonts w:ascii="Arial" w:cs="Arial" w:eastAsia="Arial" w:hAnsi="Arial"/>
                <w:sz w:val="11"/>
                <w:szCs w:val="11"/>
                <w:b w:val="1"/>
                <w:bCs w:val="1"/>
                <w:color w:val="FFFFFF"/>
              </w:rPr>
              <w:t>Compensation</w:t>
            </w:r>
            <w:r>
              <w:rPr>
                <w:rFonts w:ascii="Arial" w:cs="Arial" w:eastAsia="Arial" w:hAnsi="Arial"/>
                <w:sz w:val="12"/>
                <w:szCs w:val="12"/>
                <w:b w:val="1"/>
                <w:bCs w:val="1"/>
                <w:color w:val="FFFFFF"/>
                <w:vertAlign w:val="superscript"/>
              </w:rPr>
              <w:t>3</w:t>
            </w:r>
          </w:p>
        </w:tc>
        <w:tc>
          <w:tcPr>
            <w:tcW w:w="1520" w:type="dxa"/>
            <w:vAlign w:val="bottom"/>
            <w:shd w:val="clear" w:color="auto" w:fill="99B7C6"/>
          </w:tcPr>
          <w:p>
            <w:pPr>
              <w:jc w:val="right"/>
              <w:ind w:right="65"/>
              <w:spacing w:after="0" w:line="120" w:lineRule="exact"/>
              <w:rPr>
                <w:sz w:val="20"/>
                <w:szCs w:val="20"/>
                <w:color w:val="auto"/>
              </w:rPr>
            </w:pPr>
            <w:r>
              <w:rPr>
                <w:rFonts w:ascii="Arial" w:cs="Arial" w:eastAsia="Arial" w:hAnsi="Arial"/>
                <w:sz w:val="11"/>
                <w:szCs w:val="11"/>
                <w:b w:val="1"/>
                <w:bCs w:val="1"/>
                <w:color w:val="FFFFFF"/>
              </w:rPr>
              <w:t>Earnings</w:t>
            </w:r>
            <w:r>
              <w:rPr>
                <w:rFonts w:ascii="Arial" w:cs="Arial" w:eastAsia="Arial" w:hAnsi="Arial"/>
                <w:sz w:val="12"/>
                <w:szCs w:val="12"/>
                <w:b w:val="1"/>
                <w:bCs w:val="1"/>
                <w:color w:val="FFFFFF"/>
                <w:vertAlign w:val="superscript"/>
              </w:rPr>
              <w:t>4</w:t>
            </w:r>
          </w:p>
        </w:tc>
        <w:tc>
          <w:tcPr>
            <w:tcW w:w="1320" w:type="dxa"/>
            <w:vAlign w:val="bottom"/>
            <w:shd w:val="clear" w:color="auto" w:fill="99B7C6"/>
          </w:tcPr>
          <w:p>
            <w:pPr>
              <w:jc w:val="right"/>
              <w:ind w:right="345"/>
              <w:spacing w:after="0" w:line="120" w:lineRule="exact"/>
              <w:rPr>
                <w:sz w:val="20"/>
                <w:szCs w:val="20"/>
                <w:color w:val="auto"/>
              </w:rPr>
            </w:pPr>
            <w:r>
              <w:rPr>
                <w:rFonts w:ascii="Arial" w:cs="Arial" w:eastAsia="Arial" w:hAnsi="Arial"/>
                <w:sz w:val="11"/>
                <w:szCs w:val="11"/>
                <w:b w:val="1"/>
                <w:bCs w:val="1"/>
                <w:color w:val="FFFFFF"/>
              </w:rPr>
              <w:t>Compensation</w:t>
            </w:r>
            <w:r>
              <w:rPr>
                <w:rFonts w:ascii="Arial" w:cs="Arial" w:eastAsia="Arial" w:hAnsi="Arial"/>
                <w:sz w:val="12"/>
                <w:szCs w:val="12"/>
                <w:b w:val="1"/>
                <w:bCs w:val="1"/>
                <w:color w:val="FFFFFF"/>
                <w:vertAlign w:val="superscript"/>
              </w:rPr>
              <w:t>5</w:t>
            </w:r>
          </w:p>
        </w:tc>
        <w:tc>
          <w:tcPr>
            <w:tcW w:w="720" w:type="dxa"/>
            <w:vAlign w:val="bottom"/>
            <w:shd w:val="clear" w:color="auto" w:fill="99B7C6"/>
          </w:tcPr>
          <w:p>
            <w:pPr>
              <w:jc w:val="right"/>
              <w:ind w:right="25"/>
              <w:spacing w:after="0" w:line="120" w:lineRule="exact"/>
              <w:rPr>
                <w:sz w:val="20"/>
                <w:szCs w:val="20"/>
                <w:color w:val="auto"/>
              </w:rPr>
            </w:pPr>
            <w:r>
              <w:rPr>
                <w:rFonts w:ascii="Arial" w:cs="Arial" w:eastAsia="Arial" w:hAnsi="Arial"/>
                <w:sz w:val="11"/>
                <w:szCs w:val="11"/>
                <w:b w:val="1"/>
                <w:bCs w:val="1"/>
                <w:color w:val="FFFFFF"/>
              </w:rPr>
              <w:t>Total</w:t>
            </w:r>
          </w:p>
        </w:tc>
        <w:tc>
          <w:tcPr>
            <w:tcW w:w="0" w:type="dxa"/>
            <w:vAlign w:val="bottom"/>
          </w:tcPr>
          <w:p>
            <w:pPr>
              <w:spacing w:after="0"/>
              <w:rPr>
                <w:sz w:val="1"/>
                <w:szCs w:val="1"/>
                <w:color w:val="auto"/>
              </w:rPr>
            </w:pPr>
          </w:p>
        </w:tc>
      </w:tr>
      <w:tr>
        <w:trPr>
          <w:trHeight w:val="168"/>
        </w:trPr>
        <w:tc>
          <w:tcPr>
            <w:tcW w:w="1500" w:type="dxa"/>
            <w:vAlign w:val="bottom"/>
            <w:shd w:val="clear" w:color="auto" w:fill="99B7C6"/>
          </w:tcPr>
          <w:p>
            <w:pPr>
              <w:ind w:left="60"/>
              <w:spacing w:after="0"/>
              <w:rPr>
                <w:sz w:val="20"/>
                <w:szCs w:val="20"/>
                <w:color w:val="auto"/>
              </w:rPr>
            </w:pPr>
            <w:r>
              <w:rPr>
                <w:rFonts w:ascii="Arial" w:cs="Arial" w:eastAsia="Arial" w:hAnsi="Arial"/>
                <w:sz w:val="11"/>
                <w:szCs w:val="11"/>
                <w:b w:val="1"/>
                <w:bCs w:val="1"/>
                <w:color w:val="FFFFFF"/>
              </w:rPr>
              <w:t>Principal Position</w:t>
            </w:r>
          </w:p>
        </w:tc>
        <w:tc>
          <w:tcPr>
            <w:tcW w:w="1140" w:type="dxa"/>
            <w:vAlign w:val="bottom"/>
            <w:shd w:val="clear" w:color="auto" w:fill="99B7C6"/>
          </w:tcPr>
          <w:p>
            <w:pPr>
              <w:ind w:left="620"/>
              <w:spacing w:after="0"/>
              <w:rPr>
                <w:sz w:val="20"/>
                <w:szCs w:val="20"/>
                <w:color w:val="auto"/>
              </w:rPr>
            </w:pPr>
            <w:r>
              <w:rPr>
                <w:rFonts w:ascii="Arial" w:cs="Arial" w:eastAsia="Arial" w:hAnsi="Arial"/>
                <w:sz w:val="11"/>
                <w:szCs w:val="11"/>
                <w:b w:val="1"/>
                <w:bCs w:val="1"/>
                <w:color w:val="FFFFFF"/>
              </w:rPr>
              <w:t>Year</w:t>
            </w:r>
          </w:p>
        </w:tc>
        <w:tc>
          <w:tcPr>
            <w:tcW w:w="920" w:type="dxa"/>
            <w:vAlign w:val="bottom"/>
            <w:shd w:val="clear" w:color="auto" w:fill="99B7C6"/>
          </w:tcPr>
          <w:p>
            <w:pPr>
              <w:jc w:val="right"/>
              <w:ind w:right="225"/>
              <w:spacing w:after="0"/>
              <w:rPr>
                <w:sz w:val="20"/>
                <w:szCs w:val="20"/>
                <w:color w:val="auto"/>
              </w:rPr>
            </w:pPr>
            <w:r>
              <w:rPr>
                <w:rFonts w:ascii="Arial" w:cs="Arial" w:eastAsia="Arial" w:hAnsi="Arial"/>
                <w:sz w:val="11"/>
                <w:szCs w:val="11"/>
                <w:b w:val="1"/>
                <w:bCs w:val="1"/>
                <w:color w:val="FFFFFF"/>
              </w:rPr>
              <w:t>($)</w:t>
            </w:r>
          </w:p>
        </w:tc>
        <w:tc>
          <w:tcPr>
            <w:tcW w:w="900" w:type="dxa"/>
            <w:vAlign w:val="bottom"/>
            <w:shd w:val="clear" w:color="auto" w:fill="99B7C6"/>
          </w:tcPr>
          <w:p>
            <w:pPr>
              <w:jc w:val="right"/>
              <w:ind w:right="205"/>
              <w:spacing w:after="0"/>
              <w:rPr>
                <w:sz w:val="20"/>
                <w:szCs w:val="20"/>
                <w:color w:val="auto"/>
              </w:rPr>
            </w:pPr>
            <w:r>
              <w:rPr>
                <w:rFonts w:ascii="Arial" w:cs="Arial" w:eastAsia="Arial" w:hAnsi="Arial"/>
                <w:sz w:val="11"/>
                <w:szCs w:val="11"/>
                <w:b w:val="1"/>
                <w:bCs w:val="1"/>
                <w:color w:val="FFFFFF"/>
              </w:rPr>
              <w:t>($)</w:t>
            </w:r>
          </w:p>
        </w:tc>
        <w:tc>
          <w:tcPr>
            <w:tcW w:w="960" w:type="dxa"/>
            <w:vAlign w:val="bottom"/>
            <w:shd w:val="clear" w:color="auto" w:fill="99B7C6"/>
          </w:tcPr>
          <w:p>
            <w:pPr>
              <w:jc w:val="right"/>
              <w:ind w:right="205"/>
              <w:spacing w:after="0"/>
              <w:rPr>
                <w:sz w:val="20"/>
                <w:szCs w:val="20"/>
                <w:color w:val="auto"/>
              </w:rPr>
            </w:pPr>
            <w:r>
              <w:rPr>
                <w:rFonts w:ascii="Arial" w:cs="Arial" w:eastAsia="Arial" w:hAnsi="Arial"/>
                <w:sz w:val="11"/>
                <w:szCs w:val="11"/>
                <w:b w:val="1"/>
                <w:bCs w:val="1"/>
                <w:color w:val="FFFFFF"/>
              </w:rPr>
              <w:t>($)</w:t>
            </w:r>
          </w:p>
        </w:tc>
        <w:tc>
          <w:tcPr>
            <w:tcW w:w="820" w:type="dxa"/>
            <w:vAlign w:val="bottom"/>
            <w:shd w:val="clear" w:color="auto" w:fill="99B7C6"/>
          </w:tcPr>
          <w:p>
            <w:pPr>
              <w:jc w:val="right"/>
              <w:ind w:right="85"/>
              <w:spacing w:after="0"/>
              <w:rPr>
                <w:sz w:val="20"/>
                <w:szCs w:val="20"/>
                <w:color w:val="auto"/>
              </w:rPr>
            </w:pPr>
            <w:r>
              <w:rPr>
                <w:rFonts w:ascii="Arial" w:cs="Arial" w:eastAsia="Arial" w:hAnsi="Arial"/>
                <w:sz w:val="11"/>
                <w:szCs w:val="11"/>
                <w:b w:val="1"/>
                <w:bCs w:val="1"/>
                <w:color w:val="FFFFFF"/>
              </w:rPr>
              <w:t>($)</w:t>
            </w:r>
          </w:p>
        </w:tc>
        <w:tc>
          <w:tcPr>
            <w:tcW w:w="1140" w:type="dxa"/>
            <w:vAlign w:val="bottom"/>
            <w:shd w:val="clear" w:color="auto" w:fill="99B7C6"/>
          </w:tcPr>
          <w:p>
            <w:pPr>
              <w:jc w:val="right"/>
              <w:ind w:right="145"/>
              <w:spacing w:after="0"/>
              <w:rPr>
                <w:sz w:val="20"/>
                <w:szCs w:val="20"/>
                <w:color w:val="auto"/>
              </w:rPr>
            </w:pPr>
            <w:r>
              <w:rPr>
                <w:rFonts w:ascii="Arial" w:cs="Arial" w:eastAsia="Arial" w:hAnsi="Arial"/>
                <w:sz w:val="11"/>
                <w:szCs w:val="11"/>
                <w:b w:val="1"/>
                <w:bCs w:val="1"/>
                <w:color w:val="FFFFFF"/>
              </w:rPr>
              <w:t>($)</w:t>
            </w:r>
          </w:p>
        </w:tc>
        <w:tc>
          <w:tcPr>
            <w:tcW w:w="1520" w:type="dxa"/>
            <w:vAlign w:val="bottom"/>
            <w:shd w:val="clear" w:color="auto" w:fill="99B7C6"/>
          </w:tcPr>
          <w:p>
            <w:pPr>
              <w:jc w:val="right"/>
              <w:ind w:right="65"/>
              <w:spacing w:after="0"/>
              <w:rPr>
                <w:sz w:val="20"/>
                <w:szCs w:val="20"/>
                <w:color w:val="auto"/>
              </w:rPr>
            </w:pPr>
            <w:r>
              <w:rPr>
                <w:rFonts w:ascii="Arial" w:cs="Arial" w:eastAsia="Arial" w:hAnsi="Arial"/>
                <w:sz w:val="11"/>
                <w:szCs w:val="11"/>
                <w:b w:val="1"/>
                <w:bCs w:val="1"/>
                <w:color w:val="FFFFFF"/>
              </w:rPr>
              <w:t>($)</w:t>
            </w:r>
          </w:p>
        </w:tc>
        <w:tc>
          <w:tcPr>
            <w:tcW w:w="1320" w:type="dxa"/>
            <w:vAlign w:val="bottom"/>
            <w:shd w:val="clear" w:color="auto" w:fill="99B7C6"/>
          </w:tcPr>
          <w:p>
            <w:pPr>
              <w:jc w:val="right"/>
              <w:ind w:right="325"/>
              <w:spacing w:after="0"/>
              <w:rPr>
                <w:sz w:val="20"/>
                <w:szCs w:val="20"/>
                <w:color w:val="auto"/>
              </w:rPr>
            </w:pPr>
            <w:r>
              <w:rPr>
                <w:rFonts w:ascii="Arial" w:cs="Arial" w:eastAsia="Arial" w:hAnsi="Arial"/>
                <w:sz w:val="11"/>
                <w:szCs w:val="11"/>
                <w:b w:val="1"/>
                <w:bCs w:val="1"/>
                <w:color w:val="FFFFFF"/>
              </w:rPr>
              <w:t>($)</w:t>
            </w:r>
          </w:p>
        </w:tc>
        <w:tc>
          <w:tcPr>
            <w:tcW w:w="720" w:type="dxa"/>
            <w:vAlign w:val="bottom"/>
            <w:shd w:val="clear" w:color="auto" w:fill="99B7C6"/>
          </w:tcPr>
          <w:p>
            <w:pPr>
              <w:jc w:val="right"/>
              <w:spacing w:after="0"/>
              <w:rPr>
                <w:sz w:val="20"/>
                <w:szCs w:val="20"/>
                <w:color w:val="auto"/>
              </w:rPr>
            </w:pPr>
            <w:r>
              <w:rPr>
                <w:rFonts w:ascii="Arial" w:cs="Arial" w:eastAsia="Arial" w:hAnsi="Arial"/>
                <w:sz w:val="11"/>
                <w:szCs w:val="11"/>
                <w:b w:val="1"/>
                <w:bCs w:val="1"/>
                <w:color w:val="FFFFFF"/>
              </w:rPr>
              <w:t>($)</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Stefan Larsson</w:t>
            </w:r>
          </w:p>
        </w:tc>
        <w:tc>
          <w:tcPr>
            <w:tcW w:w="70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2025</w:t>
            </w:r>
          </w:p>
        </w:tc>
        <w:tc>
          <w:tcPr>
            <w:tcW w:w="92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1,450,000</w:t>
            </w:r>
          </w:p>
        </w:tc>
        <w:tc>
          <w:tcPr>
            <w:tcW w:w="90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0</w:t>
            </w:r>
          </w:p>
        </w:tc>
        <w:tc>
          <w:tcPr>
            <w:tcW w:w="1000" w:type="dxa"/>
            <w:vAlign w:val="bottom"/>
            <w:shd w:val="clear" w:color="auto" w:fill="E9F0F3"/>
          </w:tcPr>
          <w:p>
            <w:pPr>
              <w:jc w:val="right"/>
              <w:ind w:right="89"/>
              <w:spacing w:after="0"/>
              <w:rPr>
                <w:sz w:val="20"/>
                <w:szCs w:val="20"/>
                <w:color w:val="auto"/>
              </w:rPr>
            </w:pPr>
            <w:r>
              <w:rPr>
                <w:rFonts w:ascii="Arial" w:cs="Arial" w:eastAsia="Arial" w:hAnsi="Arial"/>
                <w:sz w:val="14"/>
                <w:szCs w:val="14"/>
                <w:color w:val="auto"/>
              </w:rPr>
              <w:t>12,200,530</w:t>
            </w:r>
          </w:p>
        </w:tc>
        <w:tc>
          <w:tcPr>
            <w:tcW w:w="1000" w:type="dxa"/>
            <w:vAlign w:val="bottom"/>
            <w:shd w:val="clear" w:color="auto" w:fill="E9F0F3"/>
          </w:tcPr>
          <w:p>
            <w:pPr>
              <w:jc w:val="right"/>
              <w:ind w:right="149"/>
              <w:spacing w:after="0"/>
              <w:rPr>
                <w:sz w:val="20"/>
                <w:szCs w:val="20"/>
                <w:color w:val="auto"/>
              </w:rPr>
            </w:pPr>
            <w:r>
              <w:rPr>
                <w:rFonts w:ascii="Arial" w:cs="Arial" w:eastAsia="Arial" w:hAnsi="Arial"/>
                <w:sz w:val="14"/>
                <w:szCs w:val="14"/>
                <w:color w:val="auto"/>
              </w:rPr>
              <w:t>N/A</w:t>
            </w:r>
          </w:p>
        </w:tc>
        <w:tc>
          <w:tcPr>
            <w:tcW w:w="1400" w:type="dxa"/>
            <w:vAlign w:val="bottom"/>
            <w:shd w:val="clear" w:color="auto" w:fill="E9F0F3"/>
          </w:tcPr>
          <w:p>
            <w:pPr>
              <w:jc w:val="right"/>
              <w:ind w:right="469"/>
              <w:spacing w:after="0"/>
              <w:rPr>
                <w:sz w:val="20"/>
                <w:szCs w:val="20"/>
                <w:color w:val="auto"/>
              </w:rPr>
            </w:pPr>
            <w:r>
              <w:rPr>
                <w:rFonts w:ascii="Arial" w:cs="Arial" w:eastAsia="Arial" w:hAnsi="Arial"/>
                <w:sz w:val="14"/>
                <w:szCs w:val="14"/>
                <w:color w:val="auto"/>
              </w:rPr>
              <w:t>2,142,230</w:t>
            </w:r>
          </w:p>
        </w:tc>
        <w:tc>
          <w:tcPr>
            <w:tcW w:w="1280" w:type="dxa"/>
            <w:vAlign w:val="bottom"/>
            <w:shd w:val="clear" w:color="auto" w:fill="E9F0F3"/>
          </w:tcPr>
          <w:p>
            <w:pPr>
              <w:jc w:val="right"/>
              <w:ind w:right="149"/>
              <w:spacing w:after="0"/>
              <w:rPr>
                <w:sz w:val="20"/>
                <w:szCs w:val="20"/>
                <w:color w:val="auto"/>
              </w:rPr>
            </w:pPr>
            <w:r>
              <w:rPr>
                <w:rFonts w:ascii="Arial" w:cs="Arial" w:eastAsia="Arial" w:hAnsi="Arial"/>
                <w:sz w:val="14"/>
                <w:szCs w:val="14"/>
                <w:color w:val="auto"/>
              </w:rPr>
              <w:t>45,080</w:t>
            </w:r>
          </w:p>
        </w:tc>
        <w:tc>
          <w:tcPr>
            <w:tcW w:w="1020" w:type="dxa"/>
            <w:vAlign w:val="bottom"/>
            <w:shd w:val="clear" w:color="auto" w:fill="E9F0F3"/>
          </w:tcPr>
          <w:p>
            <w:pPr>
              <w:jc w:val="right"/>
              <w:ind w:right="109"/>
              <w:spacing w:after="0"/>
              <w:rPr>
                <w:sz w:val="20"/>
                <w:szCs w:val="20"/>
                <w:color w:val="auto"/>
              </w:rPr>
            </w:pPr>
            <w:r>
              <w:rPr>
                <w:rFonts w:ascii="Arial" w:cs="Arial" w:eastAsia="Arial" w:hAnsi="Arial"/>
                <w:sz w:val="14"/>
                <w:szCs w:val="14"/>
                <w:color w:val="auto"/>
              </w:rPr>
              <w:t>327,545</w:t>
            </w:r>
          </w:p>
        </w:tc>
        <w:tc>
          <w:tcPr>
            <w:tcW w:w="920" w:type="dxa"/>
            <w:vAlign w:val="bottom"/>
            <w:shd w:val="clear" w:color="auto" w:fill="E9F0F3"/>
          </w:tcPr>
          <w:p>
            <w:pPr>
              <w:jc w:val="right"/>
              <w:spacing w:after="0"/>
              <w:rPr>
                <w:sz w:val="20"/>
                <w:szCs w:val="20"/>
                <w:color w:val="auto"/>
              </w:rPr>
            </w:pPr>
            <w:r>
              <w:rPr>
                <w:rFonts w:ascii="Arial" w:cs="Arial" w:eastAsia="Arial" w:hAnsi="Arial"/>
                <w:sz w:val="14"/>
                <w:szCs w:val="14"/>
                <w:color w:val="auto"/>
              </w:rPr>
              <w:t>16,165,385</w:t>
            </w:r>
          </w:p>
        </w:tc>
        <w:tc>
          <w:tcPr>
            <w:tcW w:w="0" w:type="dxa"/>
            <w:vAlign w:val="bottom"/>
          </w:tcPr>
          <w:p>
            <w:pPr>
              <w:spacing w:after="0"/>
              <w:rPr>
                <w:sz w:val="1"/>
                <w:szCs w:val="1"/>
                <w:color w:val="auto"/>
              </w:rPr>
            </w:pPr>
          </w:p>
        </w:tc>
      </w:tr>
      <w:tr>
        <w:trPr>
          <w:trHeight w:val="166"/>
        </w:trPr>
        <w:tc>
          <w:tcPr>
            <w:tcW w:w="1800" w:type="dxa"/>
            <w:vAlign w:val="bottom"/>
            <w:shd w:val="clear" w:color="auto" w:fill="E9F0F3"/>
          </w:tcPr>
          <w:p>
            <w:pPr>
              <w:ind w:left="60"/>
              <w:spacing w:after="0"/>
              <w:rPr>
                <w:sz w:val="20"/>
                <w:szCs w:val="20"/>
                <w:color w:val="auto"/>
              </w:rPr>
            </w:pPr>
            <w:r>
              <w:rPr>
                <w:rFonts w:ascii="Arial" w:cs="Arial" w:eastAsia="Arial" w:hAnsi="Arial"/>
                <w:sz w:val="13"/>
                <w:szCs w:val="13"/>
                <w:color w:val="auto"/>
              </w:rPr>
              <w:t>Chief Executive Officer</w:t>
            </w:r>
          </w:p>
        </w:tc>
        <w:tc>
          <w:tcPr>
            <w:tcW w:w="700" w:type="dxa"/>
            <w:vAlign w:val="bottom"/>
            <w:vMerge w:val="restart"/>
            <w:shd w:val="clear" w:color="auto" w:fill="E9F0F3"/>
          </w:tcPr>
          <w:p>
            <w:pPr>
              <w:jc w:val="right"/>
              <w:ind w:right="69"/>
              <w:spacing w:after="0"/>
              <w:rPr>
                <w:sz w:val="20"/>
                <w:szCs w:val="20"/>
                <w:color w:val="auto"/>
              </w:rPr>
            </w:pPr>
            <w:r>
              <w:rPr>
                <w:rFonts w:ascii="Arial" w:cs="Arial" w:eastAsia="Arial" w:hAnsi="Arial"/>
                <w:sz w:val="14"/>
                <w:szCs w:val="14"/>
                <w:color w:val="auto"/>
              </w:rPr>
              <w:t>2024</w:t>
            </w:r>
          </w:p>
        </w:tc>
        <w:tc>
          <w:tcPr>
            <w:tcW w:w="920" w:type="dxa"/>
            <w:vAlign w:val="bottom"/>
            <w:vMerge w:val="restart"/>
            <w:shd w:val="clear" w:color="auto" w:fill="E9F0F3"/>
          </w:tcPr>
          <w:p>
            <w:pPr>
              <w:jc w:val="right"/>
              <w:ind w:right="69"/>
              <w:spacing w:after="0"/>
              <w:rPr>
                <w:sz w:val="20"/>
                <w:szCs w:val="20"/>
                <w:color w:val="auto"/>
              </w:rPr>
            </w:pPr>
            <w:r>
              <w:rPr>
                <w:rFonts w:ascii="Arial" w:cs="Arial" w:eastAsia="Arial" w:hAnsi="Arial"/>
                <w:sz w:val="14"/>
                <w:szCs w:val="14"/>
                <w:color w:val="auto"/>
              </w:rPr>
              <w:t>1,421,154</w:t>
            </w:r>
          </w:p>
        </w:tc>
        <w:tc>
          <w:tcPr>
            <w:tcW w:w="900" w:type="dxa"/>
            <w:vAlign w:val="bottom"/>
            <w:vMerge w:val="restart"/>
            <w:shd w:val="clear" w:color="auto" w:fill="E9F0F3"/>
          </w:tcPr>
          <w:p>
            <w:pPr>
              <w:jc w:val="right"/>
              <w:ind w:right="49"/>
              <w:spacing w:after="0"/>
              <w:rPr>
                <w:sz w:val="20"/>
                <w:szCs w:val="20"/>
                <w:color w:val="auto"/>
              </w:rPr>
            </w:pPr>
            <w:r>
              <w:rPr>
                <w:rFonts w:ascii="Arial" w:cs="Arial" w:eastAsia="Arial" w:hAnsi="Arial"/>
                <w:sz w:val="14"/>
                <w:szCs w:val="14"/>
                <w:color w:val="auto"/>
              </w:rPr>
              <w:t>0</w:t>
            </w:r>
          </w:p>
        </w:tc>
        <w:tc>
          <w:tcPr>
            <w:tcW w:w="1000" w:type="dxa"/>
            <w:vAlign w:val="bottom"/>
            <w:vMerge w:val="restart"/>
            <w:shd w:val="clear" w:color="auto" w:fill="E9F0F3"/>
          </w:tcPr>
          <w:p>
            <w:pPr>
              <w:jc w:val="right"/>
              <w:ind w:right="89"/>
              <w:spacing w:after="0"/>
              <w:rPr>
                <w:sz w:val="20"/>
                <w:szCs w:val="20"/>
                <w:color w:val="auto"/>
              </w:rPr>
            </w:pPr>
            <w:r>
              <w:rPr>
                <w:rFonts w:ascii="Arial" w:cs="Arial" w:eastAsia="Arial" w:hAnsi="Arial"/>
                <w:sz w:val="14"/>
                <w:szCs w:val="14"/>
                <w:color w:val="auto"/>
              </w:rPr>
              <w:t>9,370,068</w:t>
            </w:r>
          </w:p>
        </w:tc>
        <w:tc>
          <w:tcPr>
            <w:tcW w:w="1000" w:type="dxa"/>
            <w:vAlign w:val="bottom"/>
            <w:vMerge w:val="restart"/>
            <w:shd w:val="clear" w:color="auto" w:fill="E9F0F3"/>
          </w:tcPr>
          <w:p>
            <w:pPr>
              <w:jc w:val="right"/>
              <w:ind w:right="149"/>
              <w:spacing w:after="0"/>
              <w:rPr>
                <w:sz w:val="20"/>
                <w:szCs w:val="20"/>
                <w:color w:val="auto"/>
              </w:rPr>
            </w:pPr>
            <w:r>
              <w:rPr>
                <w:rFonts w:ascii="Arial" w:cs="Arial" w:eastAsia="Arial" w:hAnsi="Arial"/>
                <w:sz w:val="14"/>
                <w:szCs w:val="14"/>
                <w:color w:val="auto"/>
              </w:rPr>
              <w:t>2,225,040</w:t>
            </w:r>
          </w:p>
        </w:tc>
        <w:tc>
          <w:tcPr>
            <w:tcW w:w="1400" w:type="dxa"/>
            <w:vAlign w:val="bottom"/>
            <w:vMerge w:val="restart"/>
            <w:shd w:val="clear" w:color="auto" w:fill="E9F0F3"/>
          </w:tcPr>
          <w:p>
            <w:pPr>
              <w:jc w:val="right"/>
              <w:ind w:right="469"/>
              <w:spacing w:after="0"/>
              <w:rPr>
                <w:sz w:val="20"/>
                <w:szCs w:val="20"/>
                <w:color w:val="auto"/>
              </w:rPr>
            </w:pPr>
            <w:r>
              <w:rPr>
                <w:rFonts w:ascii="Arial" w:cs="Arial" w:eastAsia="Arial" w:hAnsi="Arial"/>
                <w:sz w:val="14"/>
                <w:szCs w:val="14"/>
                <w:color w:val="auto"/>
              </w:rPr>
              <w:t>2,808,940</w:t>
            </w:r>
          </w:p>
        </w:tc>
        <w:tc>
          <w:tcPr>
            <w:tcW w:w="1280" w:type="dxa"/>
            <w:vAlign w:val="bottom"/>
            <w:vMerge w:val="restart"/>
            <w:shd w:val="clear" w:color="auto" w:fill="E9F0F3"/>
          </w:tcPr>
          <w:p>
            <w:pPr>
              <w:jc w:val="right"/>
              <w:ind w:right="149"/>
              <w:spacing w:after="0"/>
              <w:rPr>
                <w:sz w:val="20"/>
                <w:szCs w:val="20"/>
                <w:color w:val="auto"/>
              </w:rPr>
            </w:pPr>
            <w:r>
              <w:rPr>
                <w:rFonts w:ascii="Arial" w:cs="Arial" w:eastAsia="Arial" w:hAnsi="Arial"/>
                <w:sz w:val="14"/>
                <w:szCs w:val="14"/>
                <w:color w:val="auto"/>
              </w:rPr>
              <w:t>244,990</w:t>
            </w:r>
          </w:p>
        </w:tc>
        <w:tc>
          <w:tcPr>
            <w:tcW w:w="1020" w:type="dxa"/>
            <w:vAlign w:val="bottom"/>
            <w:vMerge w:val="restart"/>
            <w:shd w:val="clear" w:color="auto" w:fill="E9F0F3"/>
          </w:tcPr>
          <w:p>
            <w:pPr>
              <w:jc w:val="right"/>
              <w:ind w:right="109"/>
              <w:spacing w:after="0"/>
              <w:rPr>
                <w:sz w:val="20"/>
                <w:szCs w:val="20"/>
                <w:color w:val="auto"/>
              </w:rPr>
            </w:pPr>
            <w:r>
              <w:rPr>
                <w:rFonts w:ascii="Arial" w:cs="Arial" w:eastAsia="Arial" w:hAnsi="Arial"/>
                <w:sz w:val="14"/>
                <w:szCs w:val="14"/>
                <w:color w:val="auto"/>
              </w:rPr>
              <w:t>207,846</w:t>
            </w:r>
          </w:p>
        </w:tc>
        <w:tc>
          <w:tcPr>
            <w:tcW w:w="920" w:type="dxa"/>
            <w:vAlign w:val="bottom"/>
            <w:vMerge w:val="restart"/>
            <w:shd w:val="clear" w:color="auto" w:fill="E9F0F3"/>
          </w:tcPr>
          <w:p>
            <w:pPr>
              <w:jc w:val="right"/>
              <w:spacing w:after="0"/>
              <w:rPr>
                <w:sz w:val="20"/>
                <w:szCs w:val="20"/>
                <w:color w:val="auto"/>
              </w:rPr>
            </w:pPr>
            <w:r>
              <w:rPr>
                <w:rFonts w:ascii="Arial" w:cs="Arial" w:eastAsia="Arial" w:hAnsi="Arial"/>
                <w:sz w:val="14"/>
                <w:szCs w:val="14"/>
                <w:color w:val="auto"/>
              </w:rPr>
              <w:t>16,278,038</w:t>
            </w:r>
          </w:p>
        </w:tc>
        <w:tc>
          <w:tcPr>
            <w:tcW w:w="0" w:type="dxa"/>
            <w:vAlign w:val="bottom"/>
          </w:tcPr>
          <w:p>
            <w:pPr>
              <w:spacing w:after="0"/>
              <w:rPr>
                <w:sz w:val="1"/>
                <w:szCs w:val="1"/>
                <w:color w:val="auto"/>
              </w:rPr>
            </w:pPr>
          </w:p>
        </w:tc>
      </w:tr>
      <w:tr>
        <w:trPr>
          <w:trHeight w:val="98"/>
        </w:trPr>
        <w:tc>
          <w:tcPr>
            <w:tcW w:w="1800" w:type="dxa"/>
            <w:vAlign w:val="bottom"/>
            <w:shd w:val="clear" w:color="auto" w:fill="E9F0F3"/>
          </w:tcPr>
          <w:p>
            <w:pPr>
              <w:spacing w:after="0"/>
              <w:rPr>
                <w:sz w:val="8"/>
                <w:szCs w:val="8"/>
                <w:color w:val="auto"/>
              </w:rPr>
            </w:pPr>
          </w:p>
        </w:tc>
        <w:tc>
          <w:tcPr>
            <w:tcW w:w="700" w:type="dxa"/>
            <w:vAlign w:val="bottom"/>
            <w:vMerge w:val="continue"/>
            <w:shd w:val="clear" w:color="auto" w:fill="E9F0F3"/>
          </w:tcPr>
          <w:p>
            <w:pPr>
              <w:spacing w:after="0"/>
              <w:rPr>
                <w:sz w:val="8"/>
                <w:szCs w:val="8"/>
                <w:color w:val="auto"/>
              </w:rPr>
            </w:pPr>
          </w:p>
        </w:tc>
        <w:tc>
          <w:tcPr>
            <w:tcW w:w="920" w:type="dxa"/>
            <w:vAlign w:val="bottom"/>
            <w:vMerge w:val="continue"/>
            <w:shd w:val="clear" w:color="auto" w:fill="E9F0F3"/>
          </w:tcPr>
          <w:p>
            <w:pPr>
              <w:spacing w:after="0"/>
              <w:rPr>
                <w:sz w:val="8"/>
                <w:szCs w:val="8"/>
                <w:color w:val="auto"/>
              </w:rPr>
            </w:pPr>
          </w:p>
        </w:tc>
        <w:tc>
          <w:tcPr>
            <w:tcW w:w="900" w:type="dxa"/>
            <w:vAlign w:val="bottom"/>
            <w:vMerge w:val="continue"/>
            <w:shd w:val="clear" w:color="auto" w:fill="E9F0F3"/>
          </w:tcPr>
          <w:p>
            <w:pPr>
              <w:spacing w:after="0"/>
              <w:rPr>
                <w:sz w:val="8"/>
                <w:szCs w:val="8"/>
                <w:color w:val="auto"/>
              </w:rPr>
            </w:pPr>
          </w:p>
        </w:tc>
        <w:tc>
          <w:tcPr>
            <w:tcW w:w="1000" w:type="dxa"/>
            <w:vAlign w:val="bottom"/>
            <w:vMerge w:val="continue"/>
            <w:shd w:val="clear" w:color="auto" w:fill="E9F0F3"/>
          </w:tcPr>
          <w:p>
            <w:pPr>
              <w:spacing w:after="0"/>
              <w:rPr>
                <w:sz w:val="8"/>
                <w:szCs w:val="8"/>
                <w:color w:val="auto"/>
              </w:rPr>
            </w:pPr>
          </w:p>
        </w:tc>
        <w:tc>
          <w:tcPr>
            <w:tcW w:w="1000" w:type="dxa"/>
            <w:vAlign w:val="bottom"/>
            <w:vMerge w:val="continue"/>
            <w:shd w:val="clear" w:color="auto" w:fill="E9F0F3"/>
          </w:tcPr>
          <w:p>
            <w:pPr>
              <w:spacing w:after="0"/>
              <w:rPr>
                <w:sz w:val="8"/>
                <w:szCs w:val="8"/>
                <w:color w:val="auto"/>
              </w:rPr>
            </w:pPr>
          </w:p>
        </w:tc>
        <w:tc>
          <w:tcPr>
            <w:tcW w:w="1400" w:type="dxa"/>
            <w:vAlign w:val="bottom"/>
            <w:vMerge w:val="continue"/>
            <w:shd w:val="clear" w:color="auto" w:fill="E9F0F3"/>
          </w:tcPr>
          <w:p>
            <w:pPr>
              <w:spacing w:after="0"/>
              <w:rPr>
                <w:sz w:val="8"/>
                <w:szCs w:val="8"/>
                <w:color w:val="auto"/>
              </w:rPr>
            </w:pPr>
          </w:p>
        </w:tc>
        <w:tc>
          <w:tcPr>
            <w:tcW w:w="1280" w:type="dxa"/>
            <w:vAlign w:val="bottom"/>
            <w:vMerge w:val="continue"/>
            <w:shd w:val="clear" w:color="auto" w:fill="E9F0F3"/>
          </w:tcPr>
          <w:p>
            <w:pPr>
              <w:spacing w:after="0"/>
              <w:rPr>
                <w:sz w:val="8"/>
                <w:szCs w:val="8"/>
                <w:color w:val="auto"/>
              </w:rPr>
            </w:pPr>
          </w:p>
        </w:tc>
        <w:tc>
          <w:tcPr>
            <w:tcW w:w="1020" w:type="dxa"/>
            <w:vAlign w:val="bottom"/>
            <w:vMerge w:val="continue"/>
            <w:shd w:val="clear" w:color="auto" w:fill="E9F0F3"/>
          </w:tcPr>
          <w:p>
            <w:pPr>
              <w:spacing w:after="0"/>
              <w:rPr>
                <w:sz w:val="8"/>
                <w:szCs w:val="8"/>
                <w:color w:val="auto"/>
              </w:rPr>
            </w:pPr>
          </w:p>
        </w:tc>
        <w:tc>
          <w:tcPr>
            <w:tcW w:w="920" w:type="dxa"/>
            <w:vAlign w:val="bottom"/>
            <w:vMerge w:val="continue"/>
            <w:shd w:val="clear" w:color="auto" w:fill="E9F0F3"/>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800" w:type="dxa"/>
            <w:vAlign w:val="bottom"/>
            <w:tcBorders>
              <w:bottom w:val="single" w:sz="8" w:color="E9F0F3"/>
            </w:tcBorders>
            <w:shd w:val="clear" w:color="auto" w:fill="E9F0F3"/>
          </w:tcPr>
          <w:p>
            <w:pPr>
              <w:spacing w:after="0"/>
              <w:rPr>
                <w:sz w:val="20"/>
                <w:szCs w:val="20"/>
                <w:color w:val="auto"/>
              </w:rPr>
            </w:pPr>
          </w:p>
        </w:tc>
        <w:tc>
          <w:tcPr>
            <w:tcW w:w="700" w:type="dxa"/>
            <w:vAlign w:val="bottom"/>
            <w:tcBorders>
              <w:bottom w:val="single" w:sz="8" w:color="E9F0F3"/>
            </w:tcBorders>
            <w:shd w:val="clear" w:color="auto" w:fill="E9F0F3"/>
          </w:tcPr>
          <w:p>
            <w:pPr>
              <w:jc w:val="right"/>
              <w:ind w:right="69"/>
              <w:spacing w:after="0"/>
              <w:rPr>
                <w:sz w:val="20"/>
                <w:szCs w:val="20"/>
                <w:color w:val="auto"/>
              </w:rPr>
            </w:pPr>
            <w:r>
              <w:rPr>
                <w:rFonts w:ascii="Arial" w:cs="Arial" w:eastAsia="Arial" w:hAnsi="Arial"/>
                <w:sz w:val="14"/>
                <w:szCs w:val="14"/>
                <w:color w:val="auto"/>
              </w:rPr>
              <w:t>2023</w:t>
            </w:r>
          </w:p>
        </w:tc>
        <w:tc>
          <w:tcPr>
            <w:tcW w:w="920" w:type="dxa"/>
            <w:vAlign w:val="bottom"/>
            <w:tcBorders>
              <w:bottom w:val="single" w:sz="8" w:color="E9F0F3"/>
            </w:tcBorders>
            <w:shd w:val="clear" w:color="auto" w:fill="E9F0F3"/>
          </w:tcPr>
          <w:p>
            <w:pPr>
              <w:jc w:val="right"/>
              <w:ind w:right="69"/>
              <w:spacing w:after="0"/>
              <w:rPr>
                <w:sz w:val="20"/>
                <w:szCs w:val="20"/>
                <w:color w:val="auto"/>
              </w:rPr>
            </w:pPr>
            <w:r>
              <w:rPr>
                <w:rFonts w:ascii="Arial" w:cs="Arial" w:eastAsia="Arial" w:hAnsi="Arial"/>
                <w:sz w:val="14"/>
                <w:szCs w:val="14"/>
                <w:color w:val="auto"/>
              </w:rPr>
              <w:t>1,291,667</w:t>
            </w:r>
          </w:p>
        </w:tc>
        <w:tc>
          <w:tcPr>
            <w:tcW w:w="900" w:type="dxa"/>
            <w:vAlign w:val="bottom"/>
            <w:tcBorders>
              <w:bottom w:val="single" w:sz="8" w:color="E9F0F3"/>
            </w:tcBorders>
            <w:shd w:val="clear" w:color="auto" w:fill="E9F0F3"/>
          </w:tcPr>
          <w:p>
            <w:pPr>
              <w:jc w:val="right"/>
              <w:ind w:right="49"/>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E9F0F3"/>
            </w:tcBorders>
            <w:shd w:val="clear" w:color="auto" w:fill="E9F0F3"/>
          </w:tcPr>
          <w:p>
            <w:pPr>
              <w:jc w:val="right"/>
              <w:ind w:right="89"/>
              <w:spacing w:after="0"/>
              <w:rPr>
                <w:sz w:val="20"/>
                <w:szCs w:val="20"/>
                <w:color w:val="auto"/>
              </w:rPr>
            </w:pPr>
            <w:r>
              <w:rPr>
                <w:rFonts w:ascii="Arial" w:cs="Arial" w:eastAsia="Arial" w:hAnsi="Arial"/>
                <w:sz w:val="14"/>
                <w:szCs w:val="14"/>
                <w:color w:val="auto"/>
              </w:rPr>
              <w:t>8,880,455</w:t>
            </w:r>
          </w:p>
        </w:tc>
        <w:tc>
          <w:tcPr>
            <w:tcW w:w="1000" w:type="dxa"/>
            <w:vAlign w:val="bottom"/>
            <w:tcBorders>
              <w:bottom w:val="single" w:sz="8" w:color="E9F0F3"/>
            </w:tcBorders>
            <w:shd w:val="clear" w:color="auto" w:fill="E9F0F3"/>
          </w:tcPr>
          <w:p>
            <w:pPr>
              <w:jc w:val="right"/>
              <w:ind w:right="149"/>
              <w:spacing w:after="0"/>
              <w:rPr>
                <w:sz w:val="20"/>
                <w:szCs w:val="20"/>
                <w:color w:val="auto"/>
              </w:rPr>
            </w:pPr>
            <w:r>
              <w:rPr>
                <w:rFonts w:ascii="Arial" w:cs="Arial" w:eastAsia="Arial" w:hAnsi="Arial"/>
                <w:sz w:val="14"/>
                <w:szCs w:val="14"/>
                <w:color w:val="auto"/>
              </w:rPr>
              <w:t>2,221,317</w:t>
            </w:r>
          </w:p>
        </w:tc>
        <w:tc>
          <w:tcPr>
            <w:tcW w:w="1400" w:type="dxa"/>
            <w:vAlign w:val="bottom"/>
            <w:tcBorders>
              <w:bottom w:val="single" w:sz="8" w:color="E9F0F3"/>
            </w:tcBorders>
            <w:shd w:val="clear" w:color="auto" w:fill="E9F0F3"/>
          </w:tcPr>
          <w:p>
            <w:pPr>
              <w:jc w:val="right"/>
              <w:ind w:right="469"/>
              <w:spacing w:after="0"/>
              <w:rPr>
                <w:sz w:val="20"/>
                <w:szCs w:val="20"/>
                <w:color w:val="auto"/>
              </w:rPr>
            </w:pPr>
            <w:r>
              <w:rPr>
                <w:rFonts w:ascii="Arial" w:cs="Arial" w:eastAsia="Arial" w:hAnsi="Arial"/>
                <w:sz w:val="14"/>
                <w:szCs w:val="14"/>
                <w:color w:val="auto"/>
              </w:rPr>
              <w:t>2,784,080</w:t>
            </w:r>
          </w:p>
        </w:tc>
        <w:tc>
          <w:tcPr>
            <w:tcW w:w="1280" w:type="dxa"/>
            <w:vAlign w:val="bottom"/>
            <w:tcBorders>
              <w:bottom w:val="single" w:sz="8" w:color="E9F0F3"/>
            </w:tcBorders>
            <w:shd w:val="clear" w:color="auto" w:fill="E9F0F3"/>
          </w:tcPr>
          <w:p>
            <w:pPr>
              <w:jc w:val="right"/>
              <w:ind w:right="149"/>
              <w:spacing w:after="0"/>
              <w:rPr>
                <w:sz w:val="20"/>
                <w:szCs w:val="20"/>
                <w:color w:val="auto"/>
              </w:rPr>
            </w:pPr>
            <w:r>
              <w:rPr>
                <w:rFonts w:ascii="Arial" w:cs="Arial" w:eastAsia="Arial" w:hAnsi="Arial"/>
                <w:sz w:val="14"/>
                <w:szCs w:val="14"/>
                <w:color w:val="auto"/>
              </w:rPr>
              <w:t>274,671</w:t>
            </w:r>
          </w:p>
        </w:tc>
        <w:tc>
          <w:tcPr>
            <w:tcW w:w="1020" w:type="dxa"/>
            <w:vAlign w:val="bottom"/>
            <w:tcBorders>
              <w:bottom w:val="single" w:sz="8" w:color="E9F0F3"/>
            </w:tcBorders>
            <w:shd w:val="clear" w:color="auto" w:fill="E9F0F3"/>
          </w:tcPr>
          <w:p>
            <w:pPr>
              <w:jc w:val="right"/>
              <w:ind w:right="109"/>
              <w:spacing w:after="0"/>
              <w:rPr>
                <w:sz w:val="20"/>
                <w:szCs w:val="20"/>
                <w:color w:val="auto"/>
              </w:rPr>
            </w:pPr>
            <w:r>
              <w:rPr>
                <w:rFonts w:ascii="Arial" w:cs="Arial" w:eastAsia="Arial" w:hAnsi="Arial"/>
                <w:sz w:val="14"/>
                <w:szCs w:val="14"/>
                <w:color w:val="auto"/>
              </w:rPr>
              <w:t>161,714</w:t>
            </w:r>
          </w:p>
        </w:tc>
        <w:tc>
          <w:tcPr>
            <w:tcW w:w="920" w:type="dxa"/>
            <w:vAlign w:val="bottom"/>
            <w:tcBorders>
              <w:bottom w:val="single" w:sz="8" w:color="E9F0F3"/>
            </w:tcBorders>
            <w:shd w:val="clear" w:color="auto" w:fill="E9F0F3"/>
          </w:tcPr>
          <w:p>
            <w:pPr>
              <w:jc w:val="right"/>
              <w:spacing w:after="0"/>
              <w:rPr>
                <w:sz w:val="20"/>
                <w:szCs w:val="20"/>
                <w:color w:val="auto"/>
              </w:rPr>
            </w:pPr>
            <w:r>
              <w:rPr>
                <w:rFonts w:ascii="Arial" w:cs="Arial" w:eastAsia="Arial" w:hAnsi="Arial"/>
                <w:sz w:val="14"/>
                <w:szCs w:val="14"/>
                <w:color w:val="auto"/>
              </w:rPr>
              <w:t>15,613,904</w:t>
            </w:r>
          </w:p>
        </w:tc>
        <w:tc>
          <w:tcPr>
            <w:tcW w:w="0" w:type="dxa"/>
            <w:vAlign w:val="bottom"/>
          </w:tcPr>
          <w:p>
            <w:pPr>
              <w:spacing w:after="0"/>
              <w:rPr>
                <w:sz w:val="1"/>
                <w:szCs w:val="1"/>
                <w:color w:val="auto"/>
              </w:rPr>
            </w:pPr>
          </w:p>
        </w:tc>
      </w:tr>
      <w:tr>
        <w:trPr>
          <w:trHeight w:val="188"/>
        </w:trPr>
        <w:tc>
          <w:tcPr>
            <w:tcW w:w="1800" w:type="dxa"/>
            <w:vAlign w:val="bottom"/>
          </w:tcPr>
          <w:p>
            <w:pPr>
              <w:ind w:left="60"/>
              <w:spacing w:after="0"/>
              <w:rPr>
                <w:sz w:val="20"/>
                <w:szCs w:val="20"/>
                <w:color w:val="auto"/>
              </w:rPr>
            </w:pPr>
            <w:r>
              <w:rPr>
                <w:rFonts w:ascii="Arial" w:cs="Arial" w:eastAsia="Arial" w:hAnsi="Arial"/>
                <w:sz w:val="13"/>
                <w:szCs w:val="13"/>
                <w:b w:val="1"/>
                <w:bCs w:val="1"/>
                <w:color w:val="auto"/>
              </w:rPr>
              <w:t>Melissa Stone</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2025</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568,077</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500,231</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N/A</w:t>
            </w:r>
          </w:p>
        </w:tc>
        <w:tc>
          <w:tcPr>
            <w:tcW w:w="1400" w:type="dxa"/>
            <w:vAlign w:val="bottom"/>
          </w:tcPr>
          <w:p>
            <w:pPr>
              <w:jc w:val="right"/>
              <w:ind w:right="469"/>
              <w:spacing w:after="0"/>
              <w:rPr>
                <w:sz w:val="20"/>
                <w:szCs w:val="20"/>
                <w:color w:val="auto"/>
              </w:rPr>
            </w:pPr>
            <w:r>
              <w:rPr>
                <w:rFonts w:ascii="Arial" w:cs="Arial" w:eastAsia="Arial" w:hAnsi="Arial"/>
                <w:sz w:val="14"/>
                <w:szCs w:val="14"/>
                <w:color w:val="auto"/>
              </w:rPr>
              <w:t>203,143</w:t>
            </w:r>
          </w:p>
        </w:tc>
        <w:tc>
          <w:tcPr>
            <w:tcW w:w="1280" w:type="dxa"/>
            <w:vAlign w:val="bottom"/>
          </w:tcPr>
          <w:p>
            <w:pPr>
              <w:jc w:val="right"/>
              <w:ind w:right="149"/>
              <w:spacing w:after="0"/>
              <w:rPr>
                <w:sz w:val="20"/>
                <w:szCs w:val="20"/>
                <w:color w:val="auto"/>
              </w:rPr>
            </w:pPr>
            <w:r>
              <w:rPr>
                <w:rFonts w:ascii="Arial" w:cs="Arial" w:eastAsia="Arial" w:hAnsi="Arial"/>
                <w:sz w:val="14"/>
                <w:szCs w:val="14"/>
                <w:color w:val="auto"/>
              </w:rPr>
              <w:t>27,204</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48,575</w:t>
            </w:r>
          </w:p>
        </w:tc>
        <w:tc>
          <w:tcPr>
            <w:tcW w:w="920" w:type="dxa"/>
            <w:vAlign w:val="bottom"/>
          </w:tcPr>
          <w:p>
            <w:pPr>
              <w:jc w:val="right"/>
              <w:spacing w:after="0"/>
              <w:rPr>
                <w:sz w:val="20"/>
                <w:szCs w:val="20"/>
                <w:color w:val="auto"/>
              </w:rPr>
            </w:pPr>
            <w:r>
              <w:rPr>
                <w:rFonts w:ascii="Arial" w:cs="Arial" w:eastAsia="Arial" w:hAnsi="Arial"/>
                <w:sz w:val="14"/>
                <w:szCs w:val="14"/>
                <w:color w:val="auto"/>
              </w:rPr>
              <w:t>1,347,230</w:t>
            </w:r>
          </w:p>
        </w:tc>
        <w:tc>
          <w:tcPr>
            <w:tcW w:w="0" w:type="dxa"/>
            <w:vAlign w:val="bottom"/>
          </w:tcPr>
          <w:p>
            <w:pPr>
              <w:spacing w:after="0"/>
              <w:rPr>
                <w:sz w:val="1"/>
                <w:szCs w:val="1"/>
                <w:color w:val="auto"/>
              </w:rPr>
            </w:pPr>
          </w:p>
        </w:tc>
      </w:tr>
      <w:tr>
        <w:trPr>
          <w:trHeight w:val="133"/>
        </w:trPr>
        <w:tc>
          <w:tcPr>
            <w:tcW w:w="1800" w:type="dxa"/>
            <w:vAlign w:val="bottom"/>
          </w:tcPr>
          <w:p>
            <w:pPr>
              <w:ind w:left="60"/>
              <w:spacing w:after="0" w:line="134" w:lineRule="exact"/>
              <w:rPr>
                <w:sz w:val="20"/>
                <w:szCs w:val="20"/>
                <w:color w:val="auto"/>
              </w:rPr>
            </w:pPr>
            <w:r>
              <w:rPr>
                <w:rFonts w:ascii="Arial" w:cs="Arial" w:eastAsia="Arial" w:hAnsi="Arial"/>
                <w:sz w:val="13"/>
                <w:szCs w:val="13"/>
                <w:color w:val="auto"/>
              </w:rPr>
              <w:t>Interim Chief Financial</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00" w:type="dxa"/>
            <w:vAlign w:val="bottom"/>
          </w:tcPr>
          <w:p>
            <w:pPr>
              <w:ind w:left="60"/>
              <w:spacing w:after="0" w:line="141" w:lineRule="exact"/>
              <w:rPr>
                <w:sz w:val="20"/>
                <w:szCs w:val="20"/>
                <w:color w:val="auto"/>
              </w:rPr>
            </w:pPr>
            <w:r>
              <w:rPr>
                <w:rFonts w:ascii="Arial" w:cs="Arial" w:eastAsia="Arial" w:hAnsi="Arial"/>
                <w:sz w:val="13"/>
                <w:szCs w:val="13"/>
                <w:color w:val="auto"/>
              </w:rPr>
              <w:t>Officer and Executive Vice</w:t>
            </w: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800" w:type="dxa"/>
            <w:vAlign w:val="bottom"/>
          </w:tcPr>
          <w:p>
            <w:pPr>
              <w:ind w:left="60"/>
              <w:spacing w:after="0" w:line="141" w:lineRule="exact"/>
              <w:rPr>
                <w:sz w:val="20"/>
                <w:szCs w:val="20"/>
                <w:color w:val="auto"/>
              </w:rPr>
            </w:pPr>
            <w:r>
              <w:rPr>
                <w:rFonts w:ascii="Arial" w:cs="Arial" w:eastAsia="Arial" w:hAnsi="Arial"/>
                <w:sz w:val="13"/>
                <w:szCs w:val="13"/>
                <w:color w:val="auto"/>
              </w:rPr>
              <w:t>President, Global Financial</w:t>
            </w: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800" w:type="dxa"/>
            <w:vAlign w:val="bottom"/>
          </w:tcPr>
          <w:p>
            <w:pPr>
              <w:ind w:left="60"/>
              <w:spacing w:after="0"/>
              <w:rPr>
                <w:sz w:val="20"/>
                <w:szCs w:val="20"/>
                <w:color w:val="auto"/>
              </w:rPr>
            </w:pPr>
            <w:r>
              <w:rPr>
                <w:rFonts w:ascii="Arial" w:cs="Arial" w:eastAsia="Arial" w:hAnsi="Arial"/>
                <w:sz w:val="13"/>
                <w:szCs w:val="13"/>
                <w:color w:val="auto"/>
              </w:rPr>
              <w:t>Planning and Analysis</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800" w:type="dxa"/>
            <w:vAlign w:val="bottom"/>
            <w:shd w:val="clear" w:color="auto" w:fill="E9F0F3"/>
          </w:tcPr>
          <w:p>
            <w:pPr>
              <w:ind w:left="60"/>
              <w:spacing w:after="0"/>
              <w:rPr>
                <w:sz w:val="20"/>
                <w:szCs w:val="20"/>
                <w:color w:val="auto"/>
              </w:rPr>
            </w:pPr>
            <w:r>
              <w:rPr>
                <w:rFonts w:ascii="Arial" w:cs="Arial" w:eastAsia="Arial" w:hAnsi="Arial"/>
                <w:sz w:val="13"/>
                <w:szCs w:val="13"/>
                <w:b w:val="1"/>
                <w:bCs w:val="1"/>
                <w:color w:val="auto"/>
              </w:rPr>
              <w:t>Lea Rytz Goldman</w:t>
            </w:r>
            <w:r>
              <w:rPr>
                <w:rFonts w:ascii="Arial" w:cs="Arial" w:eastAsia="Arial" w:hAnsi="Arial"/>
                <w:sz w:val="14"/>
                <w:szCs w:val="14"/>
                <w:b w:val="1"/>
                <w:bCs w:val="1"/>
                <w:color w:val="auto"/>
                <w:vertAlign w:val="superscript"/>
              </w:rPr>
              <w:t>6</w:t>
            </w:r>
          </w:p>
        </w:tc>
        <w:tc>
          <w:tcPr>
            <w:tcW w:w="70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2025</w:t>
            </w:r>
          </w:p>
        </w:tc>
        <w:tc>
          <w:tcPr>
            <w:tcW w:w="92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856,665</w:t>
            </w:r>
          </w:p>
        </w:tc>
        <w:tc>
          <w:tcPr>
            <w:tcW w:w="90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0</w:t>
            </w:r>
          </w:p>
        </w:tc>
        <w:tc>
          <w:tcPr>
            <w:tcW w:w="1000" w:type="dxa"/>
            <w:vAlign w:val="bottom"/>
            <w:shd w:val="clear" w:color="auto" w:fill="E9F0F3"/>
          </w:tcPr>
          <w:p>
            <w:pPr>
              <w:jc w:val="right"/>
              <w:ind w:right="89"/>
              <w:spacing w:after="0"/>
              <w:rPr>
                <w:sz w:val="20"/>
                <w:szCs w:val="20"/>
                <w:color w:val="auto"/>
              </w:rPr>
            </w:pPr>
            <w:r>
              <w:rPr>
                <w:rFonts w:ascii="Arial" w:cs="Arial" w:eastAsia="Arial" w:hAnsi="Arial"/>
                <w:sz w:val="14"/>
                <w:szCs w:val="14"/>
                <w:color w:val="auto"/>
              </w:rPr>
              <w:t>1,917,069</w:t>
            </w:r>
          </w:p>
        </w:tc>
        <w:tc>
          <w:tcPr>
            <w:tcW w:w="1000" w:type="dxa"/>
            <w:vAlign w:val="bottom"/>
            <w:shd w:val="clear" w:color="auto" w:fill="E9F0F3"/>
          </w:tcPr>
          <w:p>
            <w:pPr>
              <w:jc w:val="right"/>
              <w:ind w:right="149"/>
              <w:spacing w:after="0"/>
              <w:rPr>
                <w:sz w:val="20"/>
                <w:szCs w:val="20"/>
                <w:color w:val="auto"/>
              </w:rPr>
            </w:pPr>
            <w:r>
              <w:rPr>
                <w:rFonts w:ascii="Arial" w:cs="Arial" w:eastAsia="Arial" w:hAnsi="Arial"/>
                <w:sz w:val="14"/>
                <w:szCs w:val="14"/>
                <w:color w:val="auto"/>
              </w:rPr>
              <w:t>N/A</w:t>
            </w:r>
          </w:p>
        </w:tc>
        <w:tc>
          <w:tcPr>
            <w:tcW w:w="1400" w:type="dxa"/>
            <w:vAlign w:val="bottom"/>
            <w:shd w:val="clear" w:color="auto" w:fill="E9F0F3"/>
          </w:tcPr>
          <w:p>
            <w:pPr>
              <w:jc w:val="right"/>
              <w:ind w:right="469"/>
              <w:spacing w:after="0"/>
              <w:rPr>
                <w:sz w:val="20"/>
                <w:szCs w:val="20"/>
                <w:color w:val="auto"/>
              </w:rPr>
            </w:pPr>
            <w:r>
              <w:rPr>
                <w:rFonts w:ascii="Arial" w:cs="Arial" w:eastAsia="Arial" w:hAnsi="Arial"/>
                <w:sz w:val="14"/>
                <w:szCs w:val="14"/>
                <w:color w:val="auto"/>
              </w:rPr>
              <w:t>658,484</w:t>
            </w:r>
          </w:p>
        </w:tc>
        <w:tc>
          <w:tcPr>
            <w:tcW w:w="1280" w:type="dxa"/>
            <w:vAlign w:val="bottom"/>
            <w:shd w:val="clear" w:color="auto" w:fill="E9F0F3"/>
          </w:tcPr>
          <w:p>
            <w:pPr>
              <w:jc w:val="right"/>
              <w:ind w:right="149"/>
              <w:spacing w:after="0"/>
              <w:rPr>
                <w:sz w:val="20"/>
                <w:szCs w:val="20"/>
                <w:color w:val="auto"/>
              </w:rPr>
            </w:pPr>
            <w:r>
              <w:rPr>
                <w:rFonts w:ascii="Arial" w:cs="Arial" w:eastAsia="Arial" w:hAnsi="Arial"/>
                <w:sz w:val="14"/>
                <w:szCs w:val="14"/>
                <w:color w:val="auto"/>
              </w:rPr>
              <w:t>N/A</w:t>
            </w:r>
          </w:p>
        </w:tc>
        <w:tc>
          <w:tcPr>
            <w:tcW w:w="1020" w:type="dxa"/>
            <w:vAlign w:val="bottom"/>
            <w:shd w:val="clear" w:color="auto" w:fill="E9F0F3"/>
          </w:tcPr>
          <w:p>
            <w:pPr>
              <w:jc w:val="right"/>
              <w:ind w:right="109"/>
              <w:spacing w:after="0"/>
              <w:rPr>
                <w:sz w:val="20"/>
                <w:szCs w:val="20"/>
                <w:color w:val="auto"/>
              </w:rPr>
            </w:pPr>
            <w:r>
              <w:rPr>
                <w:rFonts w:ascii="Arial" w:cs="Arial" w:eastAsia="Arial" w:hAnsi="Arial"/>
                <w:sz w:val="14"/>
                <w:szCs w:val="14"/>
                <w:color w:val="auto"/>
              </w:rPr>
              <w:t>373,909</w:t>
            </w:r>
          </w:p>
        </w:tc>
        <w:tc>
          <w:tcPr>
            <w:tcW w:w="920" w:type="dxa"/>
            <w:vAlign w:val="bottom"/>
            <w:shd w:val="clear" w:color="auto" w:fill="E9F0F3"/>
          </w:tcPr>
          <w:p>
            <w:pPr>
              <w:jc w:val="right"/>
              <w:spacing w:after="0"/>
              <w:rPr>
                <w:sz w:val="20"/>
                <w:szCs w:val="20"/>
                <w:color w:val="auto"/>
              </w:rPr>
            </w:pPr>
            <w:r>
              <w:rPr>
                <w:rFonts w:ascii="Arial" w:cs="Arial" w:eastAsia="Arial" w:hAnsi="Arial"/>
                <w:sz w:val="14"/>
                <w:szCs w:val="14"/>
                <w:color w:val="auto"/>
              </w:rPr>
              <w:t>3,806,127</w:t>
            </w:r>
          </w:p>
        </w:tc>
        <w:tc>
          <w:tcPr>
            <w:tcW w:w="0" w:type="dxa"/>
            <w:vAlign w:val="bottom"/>
          </w:tcPr>
          <w:p>
            <w:pPr>
              <w:spacing w:after="0"/>
              <w:rPr>
                <w:sz w:val="1"/>
                <w:szCs w:val="1"/>
                <w:color w:val="auto"/>
              </w:rPr>
            </w:pPr>
          </w:p>
        </w:tc>
      </w:tr>
      <w:tr>
        <w:trPr>
          <w:trHeight w:val="133"/>
        </w:trPr>
        <w:tc>
          <w:tcPr>
            <w:tcW w:w="1800" w:type="dxa"/>
            <w:vAlign w:val="bottom"/>
            <w:shd w:val="clear" w:color="auto" w:fill="E9F0F3"/>
          </w:tcPr>
          <w:p>
            <w:pPr>
              <w:ind w:left="60"/>
              <w:spacing w:after="0" w:line="134" w:lineRule="exact"/>
              <w:rPr>
                <w:sz w:val="20"/>
                <w:szCs w:val="20"/>
                <w:color w:val="auto"/>
              </w:rPr>
            </w:pPr>
            <w:r>
              <w:rPr>
                <w:rFonts w:ascii="Arial" w:cs="Arial" w:eastAsia="Arial" w:hAnsi="Arial"/>
                <w:sz w:val="13"/>
                <w:szCs w:val="13"/>
                <w:color w:val="auto"/>
              </w:rPr>
              <w:t>Global Brand President,</w:t>
            </w:r>
          </w:p>
        </w:tc>
        <w:tc>
          <w:tcPr>
            <w:tcW w:w="700" w:type="dxa"/>
            <w:vAlign w:val="bottom"/>
            <w:vMerge w:val="restart"/>
            <w:shd w:val="clear" w:color="auto" w:fill="E9F0F3"/>
          </w:tcPr>
          <w:p>
            <w:pPr>
              <w:jc w:val="right"/>
              <w:ind w:right="69"/>
              <w:spacing w:after="0"/>
              <w:rPr>
                <w:sz w:val="20"/>
                <w:szCs w:val="20"/>
                <w:color w:val="auto"/>
              </w:rPr>
            </w:pPr>
            <w:r>
              <w:rPr>
                <w:rFonts w:ascii="Arial" w:cs="Arial" w:eastAsia="Arial" w:hAnsi="Arial"/>
                <w:sz w:val="14"/>
                <w:szCs w:val="14"/>
                <w:color w:val="auto"/>
              </w:rPr>
              <w:t>2024</w:t>
            </w:r>
          </w:p>
        </w:tc>
        <w:tc>
          <w:tcPr>
            <w:tcW w:w="920" w:type="dxa"/>
            <w:vAlign w:val="bottom"/>
            <w:vMerge w:val="restart"/>
            <w:shd w:val="clear" w:color="auto" w:fill="E9F0F3"/>
          </w:tcPr>
          <w:p>
            <w:pPr>
              <w:jc w:val="right"/>
              <w:ind w:right="69"/>
              <w:spacing w:after="0"/>
              <w:rPr>
                <w:sz w:val="20"/>
                <w:szCs w:val="20"/>
                <w:color w:val="auto"/>
              </w:rPr>
            </w:pPr>
            <w:r>
              <w:rPr>
                <w:rFonts w:ascii="Arial" w:cs="Arial" w:eastAsia="Arial" w:hAnsi="Arial"/>
                <w:sz w:val="14"/>
                <w:szCs w:val="14"/>
                <w:color w:val="auto"/>
              </w:rPr>
              <w:t>627,059</w:t>
            </w:r>
          </w:p>
        </w:tc>
        <w:tc>
          <w:tcPr>
            <w:tcW w:w="900" w:type="dxa"/>
            <w:vAlign w:val="bottom"/>
            <w:vMerge w:val="restart"/>
            <w:shd w:val="clear" w:color="auto" w:fill="E9F0F3"/>
          </w:tcPr>
          <w:p>
            <w:pPr>
              <w:jc w:val="right"/>
              <w:ind w:right="49"/>
              <w:spacing w:after="0"/>
              <w:rPr>
                <w:sz w:val="20"/>
                <w:szCs w:val="20"/>
                <w:color w:val="auto"/>
              </w:rPr>
            </w:pPr>
            <w:r>
              <w:rPr>
                <w:rFonts w:ascii="Arial" w:cs="Arial" w:eastAsia="Arial" w:hAnsi="Arial"/>
                <w:sz w:val="14"/>
                <w:szCs w:val="14"/>
                <w:color w:val="auto"/>
              </w:rPr>
              <w:t>195,996</w:t>
            </w:r>
          </w:p>
        </w:tc>
        <w:tc>
          <w:tcPr>
            <w:tcW w:w="1000" w:type="dxa"/>
            <w:vAlign w:val="bottom"/>
            <w:vMerge w:val="restart"/>
            <w:shd w:val="clear" w:color="auto" w:fill="E9F0F3"/>
          </w:tcPr>
          <w:p>
            <w:pPr>
              <w:jc w:val="right"/>
              <w:ind w:right="89"/>
              <w:spacing w:after="0"/>
              <w:rPr>
                <w:sz w:val="20"/>
                <w:szCs w:val="20"/>
                <w:color w:val="auto"/>
              </w:rPr>
            </w:pPr>
            <w:r>
              <w:rPr>
                <w:rFonts w:ascii="Arial" w:cs="Arial" w:eastAsia="Arial" w:hAnsi="Arial"/>
                <w:sz w:val="14"/>
                <w:szCs w:val="14"/>
                <w:color w:val="auto"/>
              </w:rPr>
              <w:t>1,604,478</w:t>
            </w:r>
          </w:p>
        </w:tc>
        <w:tc>
          <w:tcPr>
            <w:tcW w:w="1000" w:type="dxa"/>
            <w:vAlign w:val="bottom"/>
            <w:vMerge w:val="restart"/>
            <w:shd w:val="clear" w:color="auto" w:fill="E9F0F3"/>
          </w:tcPr>
          <w:p>
            <w:pPr>
              <w:jc w:val="right"/>
              <w:ind w:right="149"/>
              <w:spacing w:after="0"/>
              <w:rPr>
                <w:sz w:val="20"/>
                <w:szCs w:val="20"/>
                <w:color w:val="auto"/>
              </w:rPr>
            </w:pPr>
            <w:r>
              <w:rPr>
                <w:rFonts w:ascii="Arial" w:cs="Arial" w:eastAsia="Arial" w:hAnsi="Arial"/>
                <w:sz w:val="14"/>
                <w:szCs w:val="14"/>
                <w:color w:val="auto"/>
              </w:rPr>
              <w:t>N/A</w:t>
            </w:r>
          </w:p>
        </w:tc>
        <w:tc>
          <w:tcPr>
            <w:tcW w:w="1400" w:type="dxa"/>
            <w:vAlign w:val="bottom"/>
            <w:vMerge w:val="restart"/>
            <w:shd w:val="clear" w:color="auto" w:fill="E9F0F3"/>
          </w:tcPr>
          <w:p>
            <w:pPr>
              <w:jc w:val="right"/>
              <w:ind w:right="469"/>
              <w:spacing w:after="0"/>
              <w:rPr>
                <w:sz w:val="20"/>
                <w:szCs w:val="20"/>
                <w:color w:val="auto"/>
              </w:rPr>
            </w:pPr>
            <w:r>
              <w:rPr>
                <w:rFonts w:ascii="Arial" w:cs="Arial" w:eastAsia="Arial" w:hAnsi="Arial"/>
                <w:sz w:val="14"/>
                <w:szCs w:val="14"/>
                <w:color w:val="auto"/>
              </w:rPr>
              <w:t>566,880</w:t>
            </w:r>
          </w:p>
        </w:tc>
        <w:tc>
          <w:tcPr>
            <w:tcW w:w="1280" w:type="dxa"/>
            <w:vAlign w:val="bottom"/>
            <w:vMerge w:val="restart"/>
            <w:shd w:val="clear" w:color="auto" w:fill="E9F0F3"/>
          </w:tcPr>
          <w:p>
            <w:pPr>
              <w:jc w:val="right"/>
              <w:ind w:right="149"/>
              <w:spacing w:after="0"/>
              <w:rPr>
                <w:sz w:val="20"/>
                <w:szCs w:val="20"/>
                <w:color w:val="auto"/>
              </w:rPr>
            </w:pPr>
            <w:r>
              <w:rPr>
                <w:rFonts w:ascii="Arial" w:cs="Arial" w:eastAsia="Arial" w:hAnsi="Arial"/>
                <w:sz w:val="14"/>
                <w:szCs w:val="14"/>
                <w:color w:val="auto"/>
              </w:rPr>
              <w:t>N/A</w:t>
            </w:r>
          </w:p>
        </w:tc>
        <w:tc>
          <w:tcPr>
            <w:tcW w:w="1020" w:type="dxa"/>
            <w:vAlign w:val="bottom"/>
            <w:vMerge w:val="restart"/>
            <w:shd w:val="clear" w:color="auto" w:fill="E9F0F3"/>
          </w:tcPr>
          <w:p>
            <w:pPr>
              <w:jc w:val="right"/>
              <w:ind w:right="109"/>
              <w:spacing w:after="0"/>
              <w:rPr>
                <w:sz w:val="20"/>
                <w:szCs w:val="20"/>
                <w:color w:val="auto"/>
              </w:rPr>
            </w:pPr>
            <w:r>
              <w:rPr>
                <w:rFonts w:ascii="Arial" w:cs="Arial" w:eastAsia="Arial" w:hAnsi="Arial"/>
                <w:sz w:val="14"/>
                <w:szCs w:val="14"/>
                <w:color w:val="auto"/>
              </w:rPr>
              <w:t>387,599</w:t>
            </w:r>
          </w:p>
        </w:tc>
        <w:tc>
          <w:tcPr>
            <w:tcW w:w="920" w:type="dxa"/>
            <w:vAlign w:val="bottom"/>
            <w:vMerge w:val="restart"/>
            <w:shd w:val="clear" w:color="auto" w:fill="E9F0F3"/>
          </w:tcPr>
          <w:p>
            <w:pPr>
              <w:jc w:val="right"/>
              <w:spacing w:after="0"/>
              <w:rPr>
                <w:sz w:val="20"/>
                <w:szCs w:val="20"/>
                <w:color w:val="auto"/>
              </w:rPr>
            </w:pPr>
            <w:r>
              <w:rPr>
                <w:rFonts w:ascii="Arial" w:cs="Arial" w:eastAsia="Arial" w:hAnsi="Arial"/>
                <w:sz w:val="14"/>
                <w:szCs w:val="14"/>
                <w:color w:val="auto"/>
              </w:rPr>
              <w:t>3,382,012</w:t>
            </w:r>
          </w:p>
        </w:tc>
        <w:tc>
          <w:tcPr>
            <w:tcW w:w="0" w:type="dxa"/>
            <w:vAlign w:val="bottom"/>
          </w:tcPr>
          <w:p>
            <w:pPr>
              <w:spacing w:after="0"/>
              <w:rPr>
                <w:sz w:val="1"/>
                <w:szCs w:val="1"/>
                <w:color w:val="auto"/>
              </w:rPr>
            </w:pPr>
          </w:p>
        </w:tc>
      </w:tr>
      <w:tr>
        <w:trPr>
          <w:trHeight w:val="166"/>
        </w:trPr>
        <w:tc>
          <w:tcPr>
            <w:tcW w:w="1800" w:type="dxa"/>
            <w:vAlign w:val="bottom"/>
            <w:shd w:val="clear" w:color="auto" w:fill="E9F0F3"/>
          </w:tcPr>
          <w:p>
            <w:pPr>
              <w:ind w:left="60"/>
              <w:spacing w:after="0"/>
              <w:rPr>
                <w:sz w:val="20"/>
                <w:szCs w:val="20"/>
                <w:color w:val="auto"/>
              </w:rPr>
            </w:pPr>
            <w:r>
              <w:rPr>
                <w:rFonts w:ascii="Arial" w:cs="Arial" w:eastAsia="Arial" w:hAnsi="Arial"/>
                <w:sz w:val="13"/>
                <w:szCs w:val="13"/>
                <w:color w:val="auto"/>
              </w:rPr>
              <w:t>Tommy Hilfiger</w:t>
            </w:r>
          </w:p>
        </w:tc>
        <w:tc>
          <w:tcPr>
            <w:tcW w:w="700" w:type="dxa"/>
            <w:vAlign w:val="bottom"/>
            <w:vMerge w:val="continue"/>
            <w:shd w:val="clear" w:color="auto" w:fill="E9F0F3"/>
          </w:tcPr>
          <w:p>
            <w:pPr>
              <w:spacing w:after="0"/>
              <w:rPr>
                <w:sz w:val="14"/>
                <w:szCs w:val="14"/>
                <w:color w:val="auto"/>
              </w:rPr>
            </w:pPr>
          </w:p>
        </w:tc>
        <w:tc>
          <w:tcPr>
            <w:tcW w:w="920" w:type="dxa"/>
            <w:vAlign w:val="bottom"/>
            <w:vMerge w:val="continue"/>
            <w:shd w:val="clear" w:color="auto" w:fill="E9F0F3"/>
          </w:tcPr>
          <w:p>
            <w:pPr>
              <w:spacing w:after="0"/>
              <w:rPr>
                <w:sz w:val="14"/>
                <w:szCs w:val="14"/>
                <w:color w:val="auto"/>
              </w:rPr>
            </w:pPr>
          </w:p>
        </w:tc>
        <w:tc>
          <w:tcPr>
            <w:tcW w:w="900" w:type="dxa"/>
            <w:vAlign w:val="bottom"/>
            <w:vMerge w:val="continue"/>
            <w:shd w:val="clear" w:color="auto" w:fill="E9F0F3"/>
          </w:tcPr>
          <w:p>
            <w:pPr>
              <w:spacing w:after="0"/>
              <w:rPr>
                <w:sz w:val="14"/>
                <w:szCs w:val="14"/>
                <w:color w:val="auto"/>
              </w:rPr>
            </w:pPr>
          </w:p>
        </w:tc>
        <w:tc>
          <w:tcPr>
            <w:tcW w:w="1000" w:type="dxa"/>
            <w:vAlign w:val="bottom"/>
            <w:vMerge w:val="continue"/>
            <w:shd w:val="clear" w:color="auto" w:fill="E9F0F3"/>
          </w:tcPr>
          <w:p>
            <w:pPr>
              <w:spacing w:after="0"/>
              <w:rPr>
                <w:sz w:val="14"/>
                <w:szCs w:val="14"/>
                <w:color w:val="auto"/>
              </w:rPr>
            </w:pPr>
          </w:p>
        </w:tc>
        <w:tc>
          <w:tcPr>
            <w:tcW w:w="1000" w:type="dxa"/>
            <w:vAlign w:val="bottom"/>
            <w:vMerge w:val="continue"/>
            <w:shd w:val="clear" w:color="auto" w:fill="E9F0F3"/>
          </w:tcPr>
          <w:p>
            <w:pPr>
              <w:spacing w:after="0"/>
              <w:rPr>
                <w:sz w:val="14"/>
                <w:szCs w:val="14"/>
                <w:color w:val="auto"/>
              </w:rPr>
            </w:pPr>
          </w:p>
        </w:tc>
        <w:tc>
          <w:tcPr>
            <w:tcW w:w="1400" w:type="dxa"/>
            <w:vAlign w:val="bottom"/>
            <w:vMerge w:val="continue"/>
            <w:shd w:val="clear" w:color="auto" w:fill="E9F0F3"/>
          </w:tcPr>
          <w:p>
            <w:pPr>
              <w:spacing w:after="0"/>
              <w:rPr>
                <w:sz w:val="14"/>
                <w:szCs w:val="14"/>
                <w:color w:val="auto"/>
              </w:rPr>
            </w:pPr>
          </w:p>
        </w:tc>
        <w:tc>
          <w:tcPr>
            <w:tcW w:w="1280" w:type="dxa"/>
            <w:vAlign w:val="bottom"/>
            <w:vMerge w:val="continue"/>
            <w:shd w:val="clear" w:color="auto" w:fill="E9F0F3"/>
          </w:tcPr>
          <w:p>
            <w:pPr>
              <w:spacing w:after="0"/>
              <w:rPr>
                <w:sz w:val="14"/>
                <w:szCs w:val="14"/>
                <w:color w:val="auto"/>
              </w:rPr>
            </w:pPr>
          </w:p>
        </w:tc>
        <w:tc>
          <w:tcPr>
            <w:tcW w:w="1020" w:type="dxa"/>
            <w:vAlign w:val="bottom"/>
            <w:vMerge w:val="continue"/>
            <w:shd w:val="clear" w:color="auto" w:fill="E9F0F3"/>
          </w:tcPr>
          <w:p>
            <w:pPr>
              <w:spacing w:after="0"/>
              <w:rPr>
                <w:sz w:val="14"/>
                <w:szCs w:val="14"/>
                <w:color w:val="auto"/>
              </w:rPr>
            </w:pPr>
          </w:p>
        </w:tc>
        <w:tc>
          <w:tcPr>
            <w:tcW w:w="920" w:type="dxa"/>
            <w:vAlign w:val="bottom"/>
            <w:vMerge w:val="continue"/>
            <w:shd w:val="clear" w:color="auto" w:fill="E9F0F3"/>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800" w:type="dxa"/>
            <w:vAlign w:val="bottom"/>
            <w:shd w:val="clear" w:color="auto" w:fill="E9F0F3"/>
          </w:tcPr>
          <w:p>
            <w:pPr>
              <w:spacing w:after="0"/>
              <w:rPr>
                <w:sz w:val="5"/>
                <w:szCs w:val="5"/>
                <w:color w:val="auto"/>
              </w:rPr>
            </w:pPr>
          </w:p>
        </w:tc>
        <w:tc>
          <w:tcPr>
            <w:tcW w:w="700" w:type="dxa"/>
            <w:vAlign w:val="bottom"/>
            <w:shd w:val="clear" w:color="auto" w:fill="E9F0F3"/>
          </w:tcPr>
          <w:p>
            <w:pPr>
              <w:spacing w:after="0"/>
              <w:rPr>
                <w:sz w:val="5"/>
                <w:szCs w:val="5"/>
                <w:color w:val="auto"/>
              </w:rPr>
            </w:pPr>
          </w:p>
        </w:tc>
        <w:tc>
          <w:tcPr>
            <w:tcW w:w="920" w:type="dxa"/>
            <w:vAlign w:val="bottom"/>
            <w:shd w:val="clear" w:color="auto" w:fill="E9F0F3"/>
          </w:tcPr>
          <w:p>
            <w:pPr>
              <w:spacing w:after="0"/>
              <w:rPr>
                <w:sz w:val="5"/>
                <w:szCs w:val="5"/>
                <w:color w:val="auto"/>
              </w:rPr>
            </w:pPr>
          </w:p>
        </w:tc>
        <w:tc>
          <w:tcPr>
            <w:tcW w:w="900" w:type="dxa"/>
            <w:vAlign w:val="bottom"/>
            <w:shd w:val="clear" w:color="auto" w:fill="E9F0F3"/>
          </w:tcPr>
          <w:p>
            <w:pPr>
              <w:spacing w:after="0"/>
              <w:rPr>
                <w:sz w:val="5"/>
                <w:szCs w:val="5"/>
                <w:color w:val="auto"/>
              </w:rPr>
            </w:pPr>
          </w:p>
        </w:tc>
        <w:tc>
          <w:tcPr>
            <w:tcW w:w="1000" w:type="dxa"/>
            <w:vAlign w:val="bottom"/>
            <w:shd w:val="clear" w:color="auto" w:fill="E9F0F3"/>
          </w:tcPr>
          <w:p>
            <w:pPr>
              <w:spacing w:after="0"/>
              <w:rPr>
                <w:sz w:val="5"/>
                <w:szCs w:val="5"/>
                <w:color w:val="auto"/>
              </w:rPr>
            </w:pPr>
          </w:p>
        </w:tc>
        <w:tc>
          <w:tcPr>
            <w:tcW w:w="1000" w:type="dxa"/>
            <w:vAlign w:val="bottom"/>
            <w:shd w:val="clear" w:color="auto" w:fill="E9F0F3"/>
          </w:tcPr>
          <w:p>
            <w:pPr>
              <w:spacing w:after="0"/>
              <w:rPr>
                <w:sz w:val="5"/>
                <w:szCs w:val="5"/>
                <w:color w:val="auto"/>
              </w:rPr>
            </w:pPr>
          </w:p>
        </w:tc>
        <w:tc>
          <w:tcPr>
            <w:tcW w:w="1400" w:type="dxa"/>
            <w:vAlign w:val="bottom"/>
            <w:shd w:val="clear" w:color="auto" w:fill="E9F0F3"/>
          </w:tcPr>
          <w:p>
            <w:pPr>
              <w:spacing w:after="0"/>
              <w:rPr>
                <w:sz w:val="5"/>
                <w:szCs w:val="5"/>
                <w:color w:val="auto"/>
              </w:rPr>
            </w:pPr>
          </w:p>
        </w:tc>
        <w:tc>
          <w:tcPr>
            <w:tcW w:w="1280" w:type="dxa"/>
            <w:vAlign w:val="bottom"/>
            <w:shd w:val="clear" w:color="auto" w:fill="E9F0F3"/>
          </w:tcPr>
          <w:p>
            <w:pPr>
              <w:spacing w:after="0"/>
              <w:rPr>
                <w:sz w:val="5"/>
                <w:szCs w:val="5"/>
                <w:color w:val="auto"/>
              </w:rPr>
            </w:pPr>
          </w:p>
        </w:tc>
        <w:tc>
          <w:tcPr>
            <w:tcW w:w="1020" w:type="dxa"/>
            <w:vAlign w:val="bottom"/>
            <w:shd w:val="clear" w:color="auto" w:fill="E9F0F3"/>
          </w:tcPr>
          <w:p>
            <w:pPr>
              <w:spacing w:after="0"/>
              <w:rPr>
                <w:sz w:val="5"/>
                <w:szCs w:val="5"/>
                <w:color w:val="auto"/>
              </w:rPr>
            </w:pPr>
          </w:p>
        </w:tc>
        <w:tc>
          <w:tcPr>
            <w:tcW w:w="92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60"/>
              <w:spacing w:after="0"/>
              <w:rPr>
                <w:sz w:val="20"/>
                <w:szCs w:val="20"/>
                <w:color w:val="auto"/>
              </w:rPr>
            </w:pPr>
            <w:r>
              <w:rPr>
                <w:rFonts w:ascii="Arial" w:cs="Arial" w:eastAsia="Arial" w:hAnsi="Arial"/>
                <w:sz w:val="13"/>
                <w:szCs w:val="13"/>
                <w:b w:val="1"/>
                <w:bCs w:val="1"/>
                <w:color w:val="auto"/>
              </w:rPr>
              <w:t>Fredrik Olsson</w:t>
            </w:r>
            <w:r>
              <w:rPr>
                <w:rFonts w:ascii="Arial" w:cs="Arial" w:eastAsia="Arial" w:hAnsi="Arial"/>
                <w:sz w:val="14"/>
                <w:szCs w:val="14"/>
                <w:b w:val="1"/>
                <w:bCs w:val="1"/>
                <w:color w:val="auto"/>
                <w:vertAlign w:val="superscript"/>
              </w:rPr>
              <w:t>6</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2025</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989,924</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1,691,311</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N/A</w:t>
            </w:r>
          </w:p>
        </w:tc>
        <w:tc>
          <w:tcPr>
            <w:tcW w:w="1400" w:type="dxa"/>
            <w:vAlign w:val="bottom"/>
          </w:tcPr>
          <w:p>
            <w:pPr>
              <w:jc w:val="right"/>
              <w:ind w:right="469"/>
              <w:spacing w:after="0"/>
              <w:rPr>
                <w:sz w:val="20"/>
                <w:szCs w:val="20"/>
                <w:color w:val="auto"/>
              </w:rPr>
            </w:pPr>
            <w:r>
              <w:rPr>
                <w:rFonts w:ascii="Arial" w:cs="Arial" w:eastAsia="Arial" w:hAnsi="Arial"/>
                <w:sz w:val="14"/>
                <w:szCs w:val="14"/>
                <w:color w:val="auto"/>
              </w:rPr>
              <w:t>667,274</w:t>
            </w:r>
          </w:p>
        </w:tc>
        <w:tc>
          <w:tcPr>
            <w:tcW w:w="1280" w:type="dxa"/>
            <w:vAlign w:val="bottom"/>
          </w:tcPr>
          <w:p>
            <w:pPr>
              <w:jc w:val="right"/>
              <w:ind w:right="149"/>
              <w:spacing w:after="0"/>
              <w:rPr>
                <w:sz w:val="20"/>
                <w:szCs w:val="20"/>
                <w:color w:val="auto"/>
              </w:rPr>
            </w:pPr>
            <w:r>
              <w:rPr>
                <w:rFonts w:ascii="Arial" w:cs="Arial" w:eastAsia="Arial" w:hAnsi="Arial"/>
                <w:sz w:val="14"/>
                <w:szCs w:val="14"/>
                <w:color w:val="auto"/>
              </w:rPr>
              <w:t>N/A</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521,242</w:t>
            </w:r>
          </w:p>
        </w:tc>
        <w:tc>
          <w:tcPr>
            <w:tcW w:w="920" w:type="dxa"/>
            <w:vAlign w:val="bottom"/>
          </w:tcPr>
          <w:p>
            <w:pPr>
              <w:jc w:val="right"/>
              <w:spacing w:after="0"/>
              <w:rPr>
                <w:sz w:val="20"/>
                <w:szCs w:val="20"/>
                <w:color w:val="auto"/>
              </w:rPr>
            </w:pPr>
            <w:r>
              <w:rPr>
                <w:rFonts w:ascii="Arial" w:cs="Arial" w:eastAsia="Arial" w:hAnsi="Arial"/>
                <w:sz w:val="14"/>
                <w:szCs w:val="14"/>
                <w:color w:val="auto"/>
              </w:rPr>
              <w:t>3,869,751</w:t>
            </w:r>
          </w:p>
        </w:tc>
        <w:tc>
          <w:tcPr>
            <w:tcW w:w="0" w:type="dxa"/>
            <w:vAlign w:val="bottom"/>
          </w:tcPr>
          <w:p>
            <w:pPr>
              <w:spacing w:after="0"/>
              <w:rPr>
                <w:sz w:val="1"/>
                <w:szCs w:val="1"/>
                <w:color w:val="auto"/>
              </w:rPr>
            </w:pPr>
          </w:p>
        </w:tc>
      </w:tr>
      <w:tr>
        <w:trPr>
          <w:trHeight w:val="133"/>
        </w:trPr>
        <w:tc>
          <w:tcPr>
            <w:tcW w:w="1800" w:type="dxa"/>
            <w:vAlign w:val="bottom"/>
          </w:tcPr>
          <w:p>
            <w:pPr>
              <w:ind w:left="60"/>
              <w:spacing w:after="0" w:line="134" w:lineRule="exact"/>
              <w:rPr>
                <w:sz w:val="20"/>
                <w:szCs w:val="20"/>
                <w:color w:val="auto"/>
              </w:rPr>
            </w:pPr>
            <w:r>
              <w:rPr>
                <w:rFonts w:ascii="Arial" w:cs="Arial" w:eastAsia="Arial" w:hAnsi="Arial"/>
                <w:sz w:val="13"/>
                <w:szCs w:val="13"/>
                <w:color w:val="auto"/>
              </w:rPr>
              <w:t>Chief Executive Officer,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800" w:type="dxa"/>
            <w:vAlign w:val="bottom"/>
          </w:tcPr>
          <w:p>
            <w:pPr>
              <w:ind w:left="60"/>
              <w:spacing w:after="0"/>
              <w:rPr>
                <w:sz w:val="20"/>
                <w:szCs w:val="20"/>
                <w:color w:val="auto"/>
              </w:rPr>
            </w:pPr>
            <w:r>
              <w:rPr>
                <w:rFonts w:ascii="Arial" w:cs="Arial" w:eastAsia="Arial" w:hAnsi="Arial"/>
                <w:sz w:val="13"/>
                <w:szCs w:val="13"/>
                <w:color w:val="auto"/>
              </w:rPr>
              <w:t>PVH EMEA</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800" w:type="dxa"/>
            <w:vAlign w:val="bottom"/>
            <w:shd w:val="clear" w:color="auto" w:fill="E9F0F3"/>
          </w:tcPr>
          <w:p>
            <w:pPr>
              <w:ind w:left="60"/>
              <w:spacing w:after="0"/>
              <w:rPr>
                <w:sz w:val="20"/>
                <w:szCs w:val="20"/>
                <w:color w:val="auto"/>
              </w:rPr>
            </w:pPr>
            <w:r>
              <w:rPr>
                <w:rFonts w:ascii="Arial" w:cs="Arial" w:eastAsia="Arial" w:hAnsi="Arial"/>
                <w:sz w:val="13"/>
                <w:szCs w:val="13"/>
                <w:b w:val="1"/>
                <w:bCs w:val="1"/>
                <w:color w:val="auto"/>
              </w:rPr>
              <w:t>David Savman</w:t>
            </w:r>
          </w:p>
        </w:tc>
        <w:tc>
          <w:tcPr>
            <w:tcW w:w="70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2025</w:t>
            </w:r>
          </w:p>
        </w:tc>
        <w:tc>
          <w:tcPr>
            <w:tcW w:w="92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825,000</w:t>
            </w:r>
          </w:p>
        </w:tc>
        <w:tc>
          <w:tcPr>
            <w:tcW w:w="90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0</w:t>
            </w:r>
          </w:p>
        </w:tc>
        <w:tc>
          <w:tcPr>
            <w:tcW w:w="1000" w:type="dxa"/>
            <w:vAlign w:val="bottom"/>
            <w:shd w:val="clear" w:color="auto" w:fill="E9F0F3"/>
          </w:tcPr>
          <w:p>
            <w:pPr>
              <w:jc w:val="right"/>
              <w:ind w:right="89"/>
              <w:spacing w:after="0"/>
              <w:rPr>
                <w:sz w:val="20"/>
                <w:szCs w:val="20"/>
                <w:color w:val="auto"/>
              </w:rPr>
            </w:pPr>
            <w:r>
              <w:rPr>
                <w:rFonts w:ascii="Arial" w:cs="Arial" w:eastAsia="Arial" w:hAnsi="Arial"/>
                <w:sz w:val="14"/>
                <w:szCs w:val="14"/>
                <w:color w:val="auto"/>
              </w:rPr>
              <w:t>1,747,439</w:t>
            </w:r>
          </w:p>
        </w:tc>
        <w:tc>
          <w:tcPr>
            <w:tcW w:w="1000" w:type="dxa"/>
            <w:vAlign w:val="bottom"/>
            <w:shd w:val="clear" w:color="auto" w:fill="E9F0F3"/>
          </w:tcPr>
          <w:p>
            <w:pPr>
              <w:jc w:val="right"/>
              <w:ind w:right="149"/>
              <w:spacing w:after="0"/>
              <w:rPr>
                <w:sz w:val="20"/>
                <w:szCs w:val="20"/>
                <w:color w:val="auto"/>
              </w:rPr>
            </w:pPr>
            <w:r>
              <w:rPr>
                <w:rFonts w:ascii="Arial" w:cs="Arial" w:eastAsia="Arial" w:hAnsi="Arial"/>
                <w:sz w:val="14"/>
                <w:szCs w:val="14"/>
                <w:color w:val="auto"/>
              </w:rPr>
              <w:t>N/A</w:t>
            </w:r>
          </w:p>
        </w:tc>
        <w:tc>
          <w:tcPr>
            <w:tcW w:w="1400" w:type="dxa"/>
            <w:vAlign w:val="bottom"/>
            <w:shd w:val="clear" w:color="auto" w:fill="E9F0F3"/>
          </w:tcPr>
          <w:p>
            <w:pPr>
              <w:jc w:val="right"/>
              <w:ind w:right="469"/>
              <w:spacing w:after="0"/>
              <w:rPr>
                <w:sz w:val="20"/>
                <w:szCs w:val="20"/>
                <w:color w:val="auto"/>
              </w:rPr>
            </w:pPr>
            <w:r>
              <w:rPr>
                <w:rFonts w:ascii="Arial" w:cs="Arial" w:eastAsia="Arial" w:hAnsi="Arial"/>
                <w:sz w:val="14"/>
                <w:szCs w:val="14"/>
                <w:color w:val="auto"/>
              </w:rPr>
              <w:t>740,589</w:t>
            </w:r>
          </w:p>
        </w:tc>
        <w:tc>
          <w:tcPr>
            <w:tcW w:w="1280" w:type="dxa"/>
            <w:vAlign w:val="bottom"/>
            <w:shd w:val="clear" w:color="auto" w:fill="E9F0F3"/>
          </w:tcPr>
          <w:p>
            <w:pPr>
              <w:jc w:val="right"/>
              <w:ind w:right="149"/>
              <w:spacing w:after="0"/>
              <w:rPr>
                <w:sz w:val="20"/>
                <w:szCs w:val="20"/>
                <w:color w:val="auto"/>
              </w:rPr>
            </w:pPr>
            <w:r>
              <w:rPr>
                <w:rFonts w:ascii="Arial" w:cs="Arial" w:eastAsia="Arial" w:hAnsi="Arial"/>
                <w:sz w:val="14"/>
                <w:szCs w:val="14"/>
                <w:color w:val="auto"/>
              </w:rPr>
              <w:t>N/A</w:t>
            </w:r>
          </w:p>
        </w:tc>
        <w:tc>
          <w:tcPr>
            <w:tcW w:w="1020" w:type="dxa"/>
            <w:vAlign w:val="bottom"/>
            <w:shd w:val="clear" w:color="auto" w:fill="E9F0F3"/>
          </w:tcPr>
          <w:p>
            <w:pPr>
              <w:jc w:val="right"/>
              <w:ind w:right="109"/>
              <w:spacing w:after="0"/>
              <w:rPr>
                <w:sz w:val="20"/>
                <w:szCs w:val="20"/>
                <w:color w:val="auto"/>
              </w:rPr>
            </w:pPr>
            <w:r>
              <w:rPr>
                <w:rFonts w:ascii="Arial" w:cs="Arial" w:eastAsia="Arial" w:hAnsi="Arial"/>
                <w:sz w:val="14"/>
                <w:szCs w:val="14"/>
                <w:color w:val="auto"/>
              </w:rPr>
              <w:t>1,129,753</w:t>
            </w:r>
          </w:p>
        </w:tc>
        <w:tc>
          <w:tcPr>
            <w:tcW w:w="92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4,442,781</w:t>
            </w:r>
          </w:p>
        </w:tc>
        <w:tc>
          <w:tcPr>
            <w:tcW w:w="0" w:type="dxa"/>
            <w:vAlign w:val="bottom"/>
          </w:tcPr>
          <w:p>
            <w:pPr>
              <w:spacing w:after="0"/>
              <w:rPr>
                <w:sz w:val="1"/>
                <w:szCs w:val="1"/>
                <w:color w:val="auto"/>
              </w:rPr>
            </w:pPr>
          </w:p>
        </w:tc>
      </w:tr>
      <w:tr>
        <w:trPr>
          <w:trHeight w:val="133"/>
        </w:trPr>
        <w:tc>
          <w:tcPr>
            <w:tcW w:w="1800" w:type="dxa"/>
            <w:vAlign w:val="bottom"/>
            <w:shd w:val="clear" w:color="auto" w:fill="E9F0F3"/>
          </w:tcPr>
          <w:p>
            <w:pPr>
              <w:ind w:left="60"/>
              <w:spacing w:after="0" w:line="134" w:lineRule="exact"/>
              <w:rPr>
                <w:sz w:val="20"/>
                <w:szCs w:val="20"/>
                <w:color w:val="auto"/>
              </w:rPr>
            </w:pPr>
            <w:r>
              <w:rPr>
                <w:rFonts w:ascii="Arial" w:cs="Arial" w:eastAsia="Arial" w:hAnsi="Arial"/>
                <w:sz w:val="13"/>
                <w:szCs w:val="13"/>
                <w:color w:val="auto"/>
              </w:rPr>
              <w:t>Global Brand President,</w:t>
            </w:r>
          </w:p>
        </w:tc>
        <w:tc>
          <w:tcPr>
            <w:tcW w:w="700" w:type="dxa"/>
            <w:vAlign w:val="bottom"/>
            <w:vMerge w:val="restart"/>
            <w:shd w:val="clear" w:color="auto" w:fill="E9F0F3"/>
          </w:tcPr>
          <w:p>
            <w:pPr>
              <w:jc w:val="right"/>
              <w:ind w:right="69"/>
              <w:spacing w:after="0"/>
              <w:rPr>
                <w:sz w:val="20"/>
                <w:szCs w:val="20"/>
                <w:color w:val="auto"/>
              </w:rPr>
            </w:pPr>
            <w:r>
              <w:rPr>
                <w:rFonts w:ascii="Arial" w:cs="Arial" w:eastAsia="Arial" w:hAnsi="Arial"/>
                <w:sz w:val="14"/>
                <w:szCs w:val="14"/>
                <w:color w:val="auto"/>
              </w:rPr>
              <w:t>2024</w:t>
            </w:r>
          </w:p>
        </w:tc>
        <w:tc>
          <w:tcPr>
            <w:tcW w:w="920" w:type="dxa"/>
            <w:vAlign w:val="bottom"/>
            <w:vMerge w:val="restart"/>
            <w:shd w:val="clear" w:color="auto" w:fill="E9F0F3"/>
          </w:tcPr>
          <w:p>
            <w:pPr>
              <w:jc w:val="right"/>
              <w:ind w:right="69"/>
              <w:spacing w:after="0"/>
              <w:rPr>
                <w:sz w:val="20"/>
                <w:szCs w:val="20"/>
                <w:color w:val="auto"/>
              </w:rPr>
            </w:pPr>
            <w:r>
              <w:rPr>
                <w:rFonts w:ascii="Arial" w:cs="Arial" w:eastAsia="Arial" w:hAnsi="Arial"/>
                <w:sz w:val="14"/>
                <w:szCs w:val="14"/>
                <w:color w:val="auto"/>
              </w:rPr>
              <w:t>745,192</w:t>
            </w:r>
          </w:p>
        </w:tc>
        <w:tc>
          <w:tcPr>
            <w:tcW w:w="900" w:type="dxa"/>
            <w:vAlign w:val="bottom"/>
            <w:vMerge w:val="restart"/>
            <w:shd w:val="clear" w:color="auto" w:fill="E9F0F3"/>
          </w:tcPr>
          <w:p>
            <w:pPr>
              <w:jc w:val="right"/>
              <w:ind w:right="49"/>
              <w:spacing w:after="0"/>
              <w:rPr>
                <w:sz w:val="20"/>
                <w:szCs w:val="20"/>
                <w:color w:val="auto"/>
              </w:rPr>
            </w:pPr>
            <w:r>
              <w:rPr>
                <w:rFonts w:ascii="Arial" w:cs="Arial" w:eastAsia="Arial" w:hAnsi="Arial"/>
                <w:sz w:val="14"/>
                <w:szCs w:val="14"/>
                <w:color w:val="auto"/>
              </w:rPr>
              <w:t>500,000</w:t>
            </w:r>
          </w:p>
        </w:tc>
        <w:tc>
          <w:tcPr>
            <w:tcW w:w="1000" w:type="dxa"/>
            <w:vAlign w:val="bottom"/>
            <w:vMerge w:val="restart"/>
            <w:shd w:val="clear" w:color="auto" w:fill="E9F0F3"/>
          </w:tcPr>
          <w:p>
            <w:pPr>
              <w:jc w:val="right"/>
              <w:ind w:right="89"/>
              <w:spacing w:after="0"/>
              <w:rPr>
                <w:sz w:val="20"/>
                <w:szCs w:val="20"/>
                <w:color w:val="auto"/>
              </w:rPr>
            </w:pPr>
            <w:r>
              <w:rPr>
                <w:rFonts w:ascii="Arial" w:cs="Arial" w:eastAsia="Arial" w:hAnsi="Arial"/>
                <w:sz w:val="14"/>
                <w:szCs w:val="14"/>
                <w:color w:val="auto"/>
              </w:rPr>
              <w:t>1,069,339</w:t>
            </w:r>
          </w:p>
        </w:tc>
        <w:tc>
          <w:tcPr>
            <w:tcW w:w="1000" w:type="dxa"/>
            <w:vAlign w:val="bottom"/>
            <w:vMerge w:val="restart"/>
            <w:shd w:val="clear" w:color="auto" w:fill="E9F0F3"/>
          </w:tcPr>
          <w:p>
            <w:pPr>
              <w:jc w:val="right"/>
              <w:ind w:right="149"/>
              <w:spacing w:after="0"/>
              <w:rPr>
                <w:sz w:val="20"/>
                <w:szCs w:val="20"/>
                <w:color w:val="auto"/>
              </w:rPr>
            </w:pPr>
            <w:r>
              <w:rPr>
                <w:rFonts w:ascii="Arial" w:cs="Arial" w:eastAsia="Arial" w:hAnsi="Arial"/>
                <w:sz w:val="14"/>
                <w:szCs w:val="14"/>
                <w:color w:val="auto"/>
              </w:rPr>
              <w:t>N/A</w:t>
            </w:r>
          </w:p>
        </w:tc>
        <w:tc>
          <w:tcPr>
            <w:tcW w:w="1400" w:type="dxa"/>
            <w:vAlign w:val="bottom"/>
            <w:vMerge w:val="restart"/>
            <w:shd w:val="clear" w:color="auto" w:fill="E9F0F3"/>
          </w:tcPr>
          <w:p>
            <w:pPr>
              <w:jc w:val="right"/>
              <w:ind w:right="469"/>
              <w:spacing w:after="0"/>
              <w:rPr>
                <w:sz w:val="20"/>
                <w:szCs w:val="20"/>
                <w:color w:val="auto"/>
              </w:rPr>
            </w:pPr>
            <w:r>
              <w:rPr>
                <w:rFonts w:ascii="Arial" w:cs="Arial" w:eastAsia="Arial" w:hAnsi="Arial"/>
                <w:sz w:val="14"/>
                <w:szCs w:val="14"/>
                <w:color w:val="auto"/>
              </w:rPr>
              <w:t>726,450</w:t>
            </w:r>
          </w:p>
        </w:tc>
        <w:tc>
          <w:tcPr>
            <w:tcW w:w="1280" w:type="dxa"/>
            <w:vAlign w:val="bottom"/>
            <w:vMerge w:val="restart"/>
            <w:shd w:val="clear" w:color="auto" w:fill="E9F0F3"/>
          </w:tcPr>
          <w:p>
            <w:pPr>
              <w:jc w:val="right"/>
              <w:ind w:right="149"/>
              <w:spacing w:after="0"/>
              <w:rPr>
                <w:sz w:val="20"/>
                <w:szCs w:val="20"/>
                <w:color w:val="auto"/>
              </w:rPr>
            </w:pPr>
            <w:r>
              <w:rPr>
                <w:rFonts w:ascii="Arial" w:cs="Arial" w:eastAsia="Arial" w:hAnsi="Arial"/>
                <w:sz w:val="14"/>
                <w:szCs w:val="14"/>
                <w:color w:val="auto"/>
              </w:rPr>
              <w:t>N/A</w:t>
            </w:r>
          </w:p>
        </w:tc>
        <w:tc>
          <w:tcPr>
            <w:tcW w:w="1020" w:type="dxa"/>
            <w:vAlign w:val="bottom"/>
            <w:vMerge w:val="restart"/>
            <w:shd w:val="clear" w:color="auto" w:fill="E9F0F3"/>
          </w:tcPr>
          <w:p>
            <w:pPr>
              <w:jc w:val="right"/>
              <w:ind w:right="109"/>
              <w:spacing w:after="0"/>
              <w:rPr>
                <w:sz w:val="20"/>
                <w:szCs w:val="20"/>
                <w:color w:val="auto"/>
              </w:rPr>
            </w:pPr>
            <w:r>
              <w:rPr>
                <w:rFonts w:ascii="Arial" w:cs="Arial" w:eastAsia="Arial" w:hAnsi="Arial"/>
                <w:sz w:val="14"/>
                <w:szCs w:val="14"/>
                <w:color w:val="auto"/>
              </w:rPr>
              <w:t>469,288</w:t>
            </w:r>
          </w:p>
        </w:tc>
        <w:tc>
          <w:tcPr>
            <w:tcW w:w="920" w:type="dxa"/>
            <w:vAlign w:val="bottom"/>
            <w:vMerge w:val="restart"/>
            <w:shd w:val="clear" w:color="auto" w:fill="E9F0F3"/>
          </w:tcPr>
          <w:p>
            <w:pPr>
              <w:jc w:val="right"/>
              <w:spacing w:after="0"/>
              <w:rPr>
                <w:sz w:val="20"/>
                <w:szCs w:val="20"/>
                <w:color w:val="auto"/>
              </w:rPr>
            </w:pPr>
            <w:r>
              <w:rPr>
                <w:rFonts w:ascii="Arial" w:cs="Arial" w:eastAsia="Arial" w:hAnsi="Arial"/>
                <w:sz w:val="14"/>
                <w:szCs w:val="14"/>
                <w:color w:val="auto"/>
              </w:rPr>
              <w:t>3,510,269</w:t>
            </w:r>
          </w:p>
        </w:tc>
        <w:tc>
          <w:tcPr>
            <w:tcW w:w="0" w:type="dxa"/>
            <w:vAlign w:val="bottom"/>
          </w:tcPr>
          <w:p>
            <w:pPr>
              <w:spacing w:after="0"/>
              <w:rPr>
                <w:sz w:val="1"/>
                <w:szCs w:val="1"/>
                <w:color w:val="auto"/>
              </w:rPr>
            </w:pPr>
          </w:p>
        </w:tc>
      </w:tr>
      <w:tr>
        <w:trPr>
          <w:trHeight w:val="166"/>
        </w:trPr>
        <w:tc>
          <w:tcPr>
            <w:tcW w:w="1800" w:type="dxa"/>
            <w:vAlign w:val="bottom"/>
            <w:shd w:val="clear" w:color="auto" w:fill="E9F0F3"/>
          </w:tcPr>
          <w:p>
            <w:pPr>
              <w:ind w:left="60"/>
              <w:spacing w:after="0"/>
              <w:rPr>
                <w:sz w:val="20"/>
                <w:szCs w:val="20"/>
                <w:color w:val="auto"/>
              </w:rPr>
            </w:pPr>
            <w:r>
              <w:rPr>
                <w:rFonts w:ascii="Arial" w:cs="Arial" w:eastAsia="Arial" w:hAnsi="Arial"/>
                <w:sz w:val="13"/>
                <w:szCs w:val="13"/>
                <w:color w:val="auto"/>
              </w:rPr>
              <w:t>Calvin Klein</w:t>
            </w:r>
          </w:p>
        </w:tc>
        <w:tc>
          <w:tcPr>
            <w:tcW w:w="700" w:type="dxa"/>
            <w:vAlign w:val="bottom"/>
            <w:vMerge w:val="continue"/>
            <w:shd w:val="clear" w:color="auto" w:fill="E9F0F3"/>
          </w:tcPr>
          <w:p>
            <w:pPr>
              <w:spacing w:after="0"/>
              <w:rPr>
                <w:sz w:val="14"/>
                <w:szCs w:val="14"/>
                <w:color w:val="auto"/>
              </w:rPr>
            </w:pPr>
          </w:p>
        </w:tc>
        <w:tc>
          <w:tcPr>
            <w:tcW w:w="920" w:type="dxa"/>
            <w:vAlign w:val="bottom"/>
            <w:vMerge w:val="continue"/>
            <w:shd w:val="clear" w:color="auto" w:fill="E9F0F3"/>
          </w:tcPr>
          <w:p>
            <w:pPr>
              <w:spacing w:after="0"/>
              <w:rPr>
                <w:sz w:val="14"/>
                <w:szCs w:val="14"/>
                <w:color w:val="auto"/>
              </w:rPr>
            </w:pPr>
          </w:p>
        </w:tc>
        <w:tc>
          <w:tcPr>
            <w:tcW w:w="900" w:type="dxa"/>
            <w:vAlign w:val="bottom"/>
            <w:vMerge w:val="continue"/>
            <w:shd w:val="clear" w:color="auto" w:fill="E9F0F3"/>
          </w:tcPr>
          <w:p>
            <w:pPr>
              <w:spacing w:after="0"/>
              <w:rPr>
                <w:sz w:val="14"/>
                <w:szCs w:val="14"/>
                <w:color w:val="auto"/>
              </w:rPr>
            </w:pPr>
          </w:p>
        </w:tc>
        <w:tc>
          <w:tcPr>
            <w:tcW w:w="1000" w:type="dxa"/>
            <w:vAlign w:val="bottom"/>
            <w:vMerge w:val="continue"/>
            <w:shd w:val="clear" w:color="auto" w:fill="E9F0F3"/>
          </w:tcPr>
          <w:p>
            <w:pPr>
              <w:spacing w:after="0"/>
              <w:rPr>
                <w:sz w:val="14"/>
                <w:szCs w:val="14"/>
                <w:color w:val="auto"/>
              </w:rPr>
            </w:pPr>
          </w:p>
        </w:tc>
        <w:tc>
          <w:tcPr>
            <w:tcW w:w="1000" w:type="dxa"/>
            <w:vAlign w:val="bottom"/>
            <w:vMerge w:val="continue"/>
            <w:shd w:val="clear" w:color="auto" w:fill="E9F0F3"/>
          </w:tcPr>
          <w:p>
            <w:pPr>
              <w:spacing w:after="0"/>
              <w:rPr>
                <w:sz w:val="14"/>
                <w:szCs w:val="14"/>
                <w:color w:val="auto"/>
              </w:rPr>
            </w:pPr>
          </w:p>
        </w:tc>
        <w:tc>
          <w:tcPr>
            <w:tcW w:w="1400" w:type="dxa"/>
            <w:vAlign w:val="bottom"/>
            <w:vMerge w:val="continue"/>
            <w:shd w:val="clear" w:color="auto" w:fill="E9F0F3"/>
          </w:tcPr>
          <w:p>
            <w:pPr>
              <w:spacing w:after="0"/>
              <w:rPr>
                <w:sz w:val="14"/>
                <w:szCs w:val="14"/>
                <w:color w:val="auto"/>
              </w:rPr>
            </w:pPr>
          </w:p>
        </w:tc>
        <w:tc>
          <w:tcPr>
            <w:tcW w:w="1280" w:type="dxa"/>
            <w:vAlign w:val="bottom"/>
            <w:vMerge w:val="continue"/>
            <w:shd w:val="clear" w:color="auto" w:fill="E9F0F3"/>
          </w:tcPr>
          <w:p>
            <w:pPr>
              <w:spacing w:after="0"/>
              <w:rPr>
                <w:sz w:val="14"/>
                <w:szCs w:val="14"/>
                <w:color w:val="auto"/>
              </w:rPr>
            </w:pPr>
          </w:p>
        </w:tc>
        <w:tc>
          <w:tcPr>
            <w:tcW w:w="1020" w:type="dxa"/>
            <w:vAlign w:val="bottom"/>
            <w:vMerge w:val="continue"/>
            <w:shd w:val="clear" w:color="auto" w:fill="E9F0F3"/>
          </w:tcPr>
          <w:p>
            <w:pPr>
              <w:spacing w:after="0"/>
              <w:rPr>
                <w:sz w:val="14"/>
                <w:szCs w:val="14"/>
                <w:color w:val="auto"/>
              </w:rPr>
            </w:pPr>
          </w:p>
        </w:tc>
        <w:tc>
          <w:tcPr>
            <w:tcW w:w="920" w:type="dxa"/>
            <w:vAlign w:val="bottom"/>
            <w:vMerge w:val="continue"/>
            <w:shd w:val="clear" w:color="auto" w:fill="E9F0F3"/>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800" w:type="dxa"/>
            <w:vAlign w:val="bottom"/>
            <w:shd w:val="clear" w:color="auto" w:fill="E9F0F3"/>
          </w:tcPr>
          <w:p>
            <w:pPr>
              <w:spacing w:after="0"/>
              <w:rPr>
                <w:sz w:val="5"/>
                <w:szCs w:val="5"/>
                <w:color w:val="auto"/>
              </w:rPr>
            </w:pPr>
          </w:p>
        </w:tc>
        <w:tc>
          <w:tcPr>
            <w:tcW w:w="700" w:type="dxa"/>
            <w:vAlign w:val="bottom"/>
            <w:shd w:val="clear" w:color="auto" w:fill="E9F0F3"/>
          </w:tcPr>
          <w:p>
            <w:pPr>
              <w:spacing w:after="0"/>
              <w:rPr>
                <w:sz w:val="5"/>
                <w:szCs w:val="5"/>
                <w:color w:val="auto"/>
              </w:rPr>
            </w:pPr>
          </w:p>
        </w:tc>
        <w:tc>
          <w:tcPr>
            <w:tcW w:w="920" w:type="dxa"/>
            <w:vAlign w:val="bottom"/>
            <w:shd w:val="clear" w:color="auto" w:fill="E9F0F3"/>
          </w:tcPr>
          <w:p>
            <w:pPr>
              <w:spacing w:after="0"/>
              <w:rPr>
                <w:sz w:val="5"/>
                <w:szCs w:val="5"/>
                <w:color w:val="auto"/>
              </w:rPr>
            </w:pPr>
          </w:p>
        </w:tc>
        <w:tc>
          <w:tcPr>
            <w:tcW w:w="900" w:type="dxa"/>
            <w:vAlign w:val="bottom"/>
            <w:shd w:val="clear" w:color="auto" w:fill="E9F0F3"/>
          </w:tcPr>
          <w:p>
            <w:pPr>
              <w:spacing w:after="0"/>
              <w:rPr>
                <w:sz w:val="5"/>
                <w:szCs w:val="5"/>
                <w:color w:val="auto"/>
              </w:rPr>
            </w:pPr>
          </w:p>
        </w:tc>
        <w:tc>
          <w:tcPr>
            <w:tcW w:w="1000" w:type="dxa"/>
            <w:vAlign w:val="bottom"/>
            <w:shd w:val="clear" w:color="auto" w:fill="E9F0F3"/>
          </w:tcPr>
          <w:p>
            <w:pPr>
              <w:spacing w:after="0"/>
              <w:rPr>
                <w:sz w:val="5"/>
                <w:szCs w:val="5"/>
                <w:color w:val="auto"/>
              </w:rPr>
            </w:pPr>
          </w:p>
        </w:tc>
        <w:tc>
          <w:tcPr>
            <w:tcW w:w="1000" w:type="dxa"/>
            <w:vAlign w:val="bottom"/>
            <w:shd w:val="clear" w:color="auto" w:fill="E9F0F3"/>
          </w:tcPr>
          <w:p>
            <w:pPr>
              <w:spacing w:after="0"/>
              <w:rPr>
                <w:sz w:val="5"/>
                <w:szCs w:val="5"/>
                <w:color w:val="auto"/>
              </w:rPr>
            </w:pPr>
          </w:p>
        </w:tc>
        <w:tc>
          <w:tcPr>
            <w:tcW w:w="1400" w:type="dxa"/>
            <w:vAlign w:val="bottom"/>
            <w:shd w:val="clear" w:color="auto" w:fill="E9F0F3"/>
          </w:tcPr>
          <w:p>
            <w:pPr>
              <w:spacing w:after="0"/>
              <w:rPr>
                <w:sz w:val="5"/>
                <w:szCs w:val="5"/>
                <w:color w:val="auto"/>
              </w:rPr>
            </w:pPr>
          </w:p>
        </w:tc>
        <w:tc>
          <w:tcPr>
            <w:tcW w:w="1280" w:type="dxa"/>
            <w:vAlign w:val="bottom"/>
            <w:shd w:val="clear" w:color="auto" w:fill="E9F0F3"/>
          </w:tcPr>
          <w:p>
            <w:pPr>
              <w:spacing w:after="0"/>
              <w:rPr>
                <w:sz w:val="5"/>
                <w:szCs w:val="5"/>
                <w:color w:val="auto"/>
              </w:rPr>
            </w:pPr>
          </w:p>
        </w:tc>
        <w:tc>
          <w:tcPr>
            <w:tcW w:w="1020" w:type="dxa"/>
            <w:vAlign w:val="bottom"/>
            <w:shd w:val="clear" w:color="auto" w:fill="E9F0F3"/>
          </w:tcPr>
          <w:p>
            <w:pPr>
              <w:spacing w:after="0"/>
              <w:rPr>
                <w:sz w:val="5"/>
                <w:szCs w:val="5"/>
                <w:color w:val="auto"/>
              </w:rPr>
            </w:pPr>
          </w:p>
        </w:tc>
        <w:tc>
          <w:tcPr>
            <w:tcW w:w="92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60"/>
              <w:spacing w:after="0"/>
              <w:rPr>
                <w:sz w:val="20"/>
                <w:szCs w:val="20"/>
                <w:color w:val="auto"/>
              </w:rPr>
            </w:pPr>
            <w:r>
              <w:rPr>
                <w:rFonts w:ascii="Arial" w:cs="Arial" w:eastAsia="Arial" w:hAnsi="Arial"/>
                <w:sz w:val="13"/>
                <w:szCs w:val="13"/>
                <w:b w:val="1"/>
                <w:bCs w:val="1"/>
                <w:color w:val="auto"/>
              </w:rPr>
              <w:t>Zachary J. Coughlin</w:t>
            </w:r>
            <w:r>
              <w:rPr>
                <w:rFonts w:ascii="Arial" w:cs="Arial" w:eastAsia="Arial" w:hAnsi="Arial"/>
                <w:sz w:val="14"/>
                <w:szCs w:val="14"/>
                <w:b w:val="1"/>
                <w:bCs w:val="1"/>
                <w:color w:val="auto"/>
                <w:vertAlign w:val="superscript"/>
              </w:rPr>
              <w:t>7</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2025</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841,154</w:t>
            </w: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0</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4,396,662</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N/A</w:t>
            </w:r>
          </w:p>
        </w:tc>
        <w:tc>
          <w:tcPr>
            <w:tcW w:w="1400" w:type="dxa"/>
            <w:vAlign w:val="bottom"/>
          </w:tcPr>
          <w:p>
            <w:pPr>
              <w:jc w:val="right"/>
              <w:ind w:right="469"/>
              <w:spacing w:after="0"/>
              <w:rPr>
                <w:sz w:val="20"/>
                <w:szCs w:val="20"/>
                <w:color w:val="auto"/>
              </w:rPr>
            </w:pPr>
            <w:r>
              <w:rPr>
                <w:rFonts w:ascii="Arial" w:cs="Arial" w:eastAsia="Arial" w:hAnsi="Arial"/>
                <w:sz w:val="14"/>
                <w:szCs w:val="14"/>
                <w:color w:val="auto"/>
              </w:rPr>
              <w:t>N/A</w:t>
            </w:r>
          </w:p>
        </w:tc>
        <w:tc>
          <w:tcPr>
            <w:tcW w:w="1280" w:type="dxa"/>
            <w:vAlign w:val="bottom"/>
          </w:tcPr>
          <w:p>
            <w:pPr>
              <w:jc w:val="right"/>
              <w:ind w:right="149"/>
              <w:spacing w:after="0"/>
              <w:rPr>
                <w:sz w:val="20"/>
                <w:szCs w:val="20"/>
                <w:color w:val="auto"/>
              </w:rPr>
            </w:pPr>
            <w:r>
              <w:rPr>
                <w:rFonts w:ascii="Arial" w:cs="Arial" w:eastAsia="Arial" w:hAnsi="Arial"/>
                <w:sz w:val="14"/>
                <w:szCs w:val="14"/>
                <w:color w:val="auto"/>
              </w:rPr>
              <w:t>N/A</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136,127</w:t>
            </w:r>
          </w:p>
        </w:tc>
        <w:tc>
          <w:tcPr>
            <w:tcW w:w="920" w:type="dxa"/>
            <w:vAlign w:val="bottom"/>
          </w:tcPr>
          <w:p>
            <w:pPr>
              <w:jc w:val="right"/>
              <w:spacing w:after="0"/>
              <w:rPr>
                <w:sz w:val="20"/>
                <w:szCs w:val="20"/>
                <w:color w:val="auto"/>
              </w:rPr>
            </w:pPr>
            <w:r>
              <w:rPr>
                <w:rFonts w:ascii="Arial" w:cs="Arial" w:eastAsia="Arial" w:hAnsi="Arial"/>
                <w:sz w:val="14"/>
                <w:szCs w:val="14"/>
                <w:color w:val="auto"/>
              </w:rPr>
              <w:t>5,373,943</w:t>
            </w:r>
          </w:p>
        </w:tc>
        <w:tc>
          <w:tcPr>
            <w:tcW w:w="0" w:type="dxa"/>
            <w:vAlign w:val="bottom"/>
          </w:tcPr>
          <w:p>
            <w:pPr>
              <w:spacing w:after="0"/>
              <w:rPr>
                <w:sz w:val="1"/>
                <w:szCs w:val="1"/>
                <w:color w:val="auto"/>
              </w:rPr>
            </w:pPr>
          </w:p>
        </w:tc>
      </w:tr>
      <w:tr>
        <w:trPr>
          <w:trHeight w:val="133"/>
        </w:trPr>
        <w:tc>
          <w:tcPr>
            <w:tcW w:w="1800" w:type="dxa"/>
            <w:vAlign w:val="bottom"/>
          </w:tcPr>
          <w:p>
            <w:pPr>
              <w:ind w:left="60"/>
              <w:spacing w:after="0" w:line="134" w:lineRule="exact"/>
              <w:rPr>
                <w:sz w:val="20"/>
                <w:szCs w:val="20"/>
                <w:color w:val="auto"/>
              </w:rPr>
            </w:pPr>
            <w:r>
              <w:rPr>
                <w:rFonts w:ascii="Arial" w:cs="Arial" w:eastAsia="Arial" w:hAnsi="Arial"/>
                <w:sz w:val="13"/>
                <w:szCs w:val="13"/>
                <w:color w:val="auto"/>
              </w:rPr>
              <w:t>Former Executive Vice</w:t>
            </w:r>
          </w:p>
        </w:tc>
        <w:tc>
          <w:tcPr>
            <w:tcW w:w="700" w:type="dxa"/>
            <w:vAlign w:val="bottom"/>
            <w:vMerge w:val="restart"/>
          </w:tcPr>
          <w:p>
            <w:pPr>
              <w:jc w:val="right"/>
              <w:ind w:right="69"/>
              <w:spacing w:after="0"/>
              <w:rPr>
                <w:sz w:val="20"/>
                <w:szCs w:val="20"/>
                <w:color w:val="auto"/>
              </w:rPr>
            </w:pPr>
            <w:r>
              <w:rPr>
                <w:rFonts w:ascii="Arial" w:cs="Arial" w:eastAsia="Arial" w:hAnsi="Arial"/>
                <w:sz w:val="14"/>
                <w:szCs w:val="14"/>
                <w:color w:val="auto"/>
              </w:rPr>
              <w:t>2024</w:t>
            </w:r>
          </w:p>
        </w:tc>
        <w:tc>
          <w:tcPr>
            <w:tcW w:w="920" w:type="dxa"/>
            <w:vAlign w:val="bottom"/>
            <w:vMerge w:val="restart"/>
          </w:tcPr>
          <w:p>
            <w:pPr>
              <w:jc w:val="right"/>
              <w:ind w:right="69"/>
              <w:spacing w:after="0"/>
              <w:rPr>
                <w:sz w:val="20"/>
                <w:szCs w:val="20"/>
                <w:color w:val="auto"/>
              </w:rPr>
            </w:pPr>
            <w:r>
              <w:rPr>
                <w:rFonts w:ascii="Arial" w:cs="Arial" w:eastAsia="Arial" w:hAnsi="Arial"/>
                <w:sz w:val="14"/>
                <w:szCs w:val="14"/>
                <w:color w:val="auto"/>
              </w:rPr>
              <w:t>890,385</w:t>
            </w: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0</w:t>
            </w:r>
          </w:p>
        </w:tc>
        <w:tc>
          <w:tcPr>
            <w:tcW w:w="1000" w:type="dxa"/>
            <w:vAlign w:val="bottom"/>
            <w:vMerge w:val="restart"/>
          </w:tcPr>
          <w:p>
            <w:pPr>
              <w:jc w:val="right"/>
              <w:ind w:right="89"/>
              <w:spacing w:after="0"/>
              <w:rPr>
                <w:sz w:val="20"/>
                <w:szCs w:val="20"/>
                <w:color w:val="auto"/>
              </w:rPr>
            </w:pPr>
            <w:r>
              <w:rPr>
                <w:rFonts w:ascii="Arial" w:cs="Arial" w:eastAsia="Arial" w:hAnsi="Arial"/>
                <w:sz w:val="14"/>
                <w:szCs w:val="14"/>
                <w:color w:val="auto"/>
              </w:rPr>
              <w:t>3,130,223</w:t>
            </w:r>
          </w:p>
        </w:tc>
        <w:tc>
          <w:tcPr>
            <w:tcW w:w="1000" w:type="dxa"/>
            <w:vAlign w:val="bottom"/>
            <w:vMerge w:val="restart"/>
          </w:tcPr>
          <w:p>
            <w:pPr>
              <w:jc w:val="right"/>
              <w:ind w:right="149"/>
              <w:spacing w:after="0"/>
              <w:rPr>
                <w:sz w:val="20"/>
                <w:szCs w:val="20"/>
                <w:color w:val="auto"/>
              </w:rPr>
            </w:pPr>
            <w:r>
              <w:rPr>
                <w:rFonts w:ascii="Arial" w:cs="Arial" w:eastAsia="Arial" w:hAnsi="Arial"/>
                <w:sz w:val="14"/>
                <w:szCs w:val="14"/>
                <w:color w:val="auto"/>
              </w:rPr>
              <w:t>725,424</w:t>
            </w:r>
          </w:p>
        </w:tc>
        <w:tc>
          <w:tcPr>
            <w:tcW w:w="1400" w:type="dxa"/>
            <w:vAlign w:val="bottom"/>
            <w:vMerge w:val="restart"/>
          </w:tcPr>
          <w:p>
            <w:pPr>
              <w:jc w:val="right"/>
              <w:ind w:right="469"/>
              <w:spacing w:after="0"/>
              <w:rPr>
                <w:sz w:val="20"/>
                <w:szCs w:val="20"/>
                <w:color w:val="auto"/>
              </w:rPr>
            </w:pPr>
            <w:r>
              <w:rPr>
                <w:rFonts w:ascii="Arial" w:cs="Arial" w:eastAsia="Arial" w:hAnsi="Arial"/>
                <w:sz w:val="14"/>
                <w:szCs w:val="14"/>
                <w:color w:val="auto"/>
              </w:rPr>
              <w:t>1,089,675</w:t>
            </w:r>
          </w:p>
        </w:tc>
        <w:tc>
          <w:tcPr>
            <w:tcW w:w="1280" w:type="dxa"/>
            <w:vAlign w:val="bottom"/>
            <w:vMerge w:val="restart"/>
          </w:tcPr>
          <w:p>
            <w:pPr>
              <w:jc w:val="right"/>
              <w:ind w:right="149"/>
              <w:spacing w:after="0"/>
              <w:rPr>
                <w:sz w:val="20"/>
                <w:szCs w:val="20"/>
                <w:color w:val="auto"/>
              </w:rPr>
            </w:pPr>
            <w:r>
              <w:rPr>
                <w:rFonts w:ascii="Arial" w:cs="Arial" w:eastAsia="Arial" w:hAnsi="Arial"/>
                <w:sz w:val="14"/>
                <w:szCs w:val="14"/>
                <w:color w:val="auto"/>
              </w:rPr>
              <w:t>N/A</w:t>
            </w:r>
          </w:p>
        </w:tc>
        <w:tc>
          <w:tcPr>
            <w:tcW w:w="1020" w:type="dxa"/>
            <w:vAlign w:val="bottom"/>
            <w:vMerge w:val="restart"/>
          </w:tcPr>
          <w:p>
            <w:pPr>
              <w:jc w:val="right"/>
              <w:ind w:right="109"/>
              <w:spacing w:after="0"/>
              <w:rPr>
                <w:sz w:val="20"/>
                <w:szCs w:val="20"/>
                <w:color w:val="auto"/>
              </w:rPr>
            </w:pPr>
            <w:r>
              <w:rPr>
                <w:rFonts w:ascii="Arial" w:cs="Arial" w:eastAsia="Arial" w:hAnsi="Arial"/>
                <w:sz w:val="14"/>
                <w:szCs w:val="14"/>
                <w:color w:val="auto"/>
              </w:rPr>
              <w:t>124,047</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5,959,754</w:t>
            </w:r>
          </w:p>
        </w:tc>
        <w:tc>
          <w:tcPr>
            <w:tcW w:w="0" w:type="dxa"/>
            <w:vAlign w:val="bottom"/>
          </w:tcPr>
          <w:p>
            <w:pPr>
              <w:spacing w:after="0"/>
              <w:rPr>
                <w:sz w:val="1"/>
                <w:szCs w:val="1"/>
                <w:color w:val="auto"/>
              </w:rPr>
            </w:pPr>
          </w:p>
        </w:tc>
      </w:tr>
      <w:tr>
        <w:trPr>
          <w:trHeight w:val="141"/>
        </w:trPr>
        <w:tc>
          <w:tcPr>
            <w:tcW w:w="1800" w:type="dxa"/>
            <w:vAlign w:val="bottom"/>
          </w:tcPr>
          <w:p>
            <w:pPr>
              <w:ind w:left="60"/>
              <w:spacing w:after="0" w:line="141" w:lineRule="exact"/>
              <w:rPr>
                <w:sz w:val="20"/>
                <w:szCs w:val="20"/>
                <w:color w:val="auto"/>
              </w:rPr>
            </w:pPr>
            <w:r>
              <w:rPr>
                <w:rFonts w:ascii="Arial" w:cs="Arial" w:eastAsia="Arial" w:hAnsi="Arial"/>
                <w:sz w:val="13"/>
                <w:szCs w:val="13"/>
                <w:color w:val="auto"/>
              </w:rPr>
              <w:t>President and</w:t>
            </w:r>
          </w:p>
        </w:tc>
        <w:tc>
          <w:tcPr>
            <w:tcW w:w="7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800" w:type="dxa"/>
            <w:vAlign w:val="bottom"/>
          </w:tcPr>
          <w:p>
            <w:pPr>
              <w:ind w:left="60"/>
              <w:spacing w:after="0"/>
              <w:rPr>
                <w:sz w:val="20"/>
                <w:szCs w:val="20"/>
                <w:color w:val="auto"/>
              </w:rPr>
            </w:pPr>
            <w:r>
              <w:rPr>
                <w:rFonts w:ascii="Arial" w:cs="Arial" w:eastAsia="Arial" w:hAnsi="Arial"/>
                <w:sz w:val="13"/>
                <w:szCs w:val="13"/>
                <w:color w:val="auto"/>
              </w:rPr>
              <w:t>Chief Financial Officer</w:t>
            </w:r>
          </w:p>
        </w:tc>
        <w:tc>
          <w:tcPr>
            <w:tcW w:w="700" w:type="dxa"/>
            <w:vAlign w:val="bottom"/>
            <w:vMerge w:val="restart"/>
          </w:tcPr>
          <w:p>
            <w:pPr>
              <w:jc w:val="right"/>
              <w:ind w:right="69"/>
              <w:spacing w:after="0"/>
              <w:rPr>
                <w:sz w:val="20"/>
                <w:szCs w:val="20"/>
                <w:color w:val="auto"/>
              </w:rPr>
            </w:pPr>
            <w:r>
              <w:rPr>
                <w:rFonts w:ascii="Arial" w:cs="Arial" w:eastAsia="Arial" w:hAnsi="Arial"/>
                <w:sz w:val="14"/>
                <w:szCs w:val="14"/>
                <w:color w:val="auto"/>
              </w:rPr>
              <w:t>2023</w:t>
            </w:r>
          </w:p>
        </w:tc>
        <w:tc>
          <w:tcPr>
            <w:tcW w:w="920" w:type="dxa"/>
            <w:vAlign w:val="bottom"/>
            <w:vMerge w:val="restart"/>
          </w:tcPr>
          <w:p>
            <w:pPr>
              <w:jc w:val="right"/>
              <w:ind w:right="69"/>
              <w:spacing w:after="0"/>
              <w:rPr>
                <w:sz w:val="20"/>
                <w:szCs w:val="20"/>
                <w:color w:val="auto"/>
              </w:rPr>
            </w:pPr>
            <w:r>
              <w:rPr>
                <w:rFonts w:ascii="Arial" w:cs="Arial" w:eastAsia="Arial" w:hAnsi="Arial"/>
                <w:sz w:val="14"/>
                <w:szCs w:val="14"/>
                <w:color w:val="auto"/>
              </w:rPr>
              <w:t>844,561</w:t>
            </w: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200,000</w:t>
            </w:r>
          </w:p>
        </w:tc>
        <w:tc>
          <w:tcPr>
            <w:tcW w:w="1000" w:type="dxa"/>
            <w:vAlign w:val="bottom"/>
            <w:vMerge w:val="restart"/>
          </w:tcPr>
          <w:p>
            <w:pPr>
              <w:jc w:val="right"/>
              <w:ind w:right="89"/>
              <w:spacing w:after="0"/>
              <w:rPr>
                <w:sz w:val="20"/>
                <w:szCs w:val="20"/>
                <w:color w:val="auto"/>
              </w:rPr>
            </w:pPr>
            <w:r>
              <w:rPr>
                <w:rFonts w:ascii="Arial" w:cs="Arial" w:eastAsia="Arial" w:hAnsi="Arial"/>
                <w:sz w:val="14"/>
                <w:szCs w:val="14"/>
                <w:color w:val="auto"/>
              </w:rPr>
              <w:t>2,640,553</w:t>
            </w:r>
          </w:p>
        </w:tc>
        <w:tc>
          <w:tcPr>
            <w:tcW w:w="1000" w:type="dxa"/>
            <w:vAlign w:val="bottom"/>
            <w:vMerge w:val="restart"/>
          </w:tcPr>
          <w:p>
            <w:pPr>
              <w:jc w:val="right"/>
              <w:ind w:right="149"/>
              <w:spacing w:after="0"/>
              <w:rPr>
                <w:sz w:val="20"/>
                <w:szCs w:val="20"/>
                <w:color w:val="auto"/>
              </w:rPr>
            </w:pPr>
            <w:r>
              <w:rPr>
                <w:rFonts w:ascii="Arial" w:cs="Arial" w:eastAsia="Arial" w:hAnsi="Arial"/>
                <w:sz w:val="14"/>
                <w:szCs w:val="14"/>
                <w:color w:val="auto"/>
              </w:rPr>
              <w:t>660,744</w:t>
            </w:r>
          </w:p>
        </w:tc>
        <w:tc>
          <w:tcPr>
            <w:tcW w:w="1400" w:type="dxa"/>
            <w:vAlign w:val="bottom"/>
            <w:vMerge w:val="restart"/>
          </w:tcPr>
          <w:p>
            <w:pPr>
              <w:jc w:val="right"/>
              <w:ind w:right="469"/>
              <w:spacing w:after="0"/>
              <w:rPr>
                <w:sz w:val="20"/>
                <w:szCs w:val="20"/>
                <w:color w:val="auto"/>
              </w:rPr>
            </w:pPr>
            <w:r>
              <w:rPr>
                <w:rFonts w:ascii="Arial" w:cs="Arial" w:eastAsia="Arial" w:hAnsi="Arial"/>
                <w:sz w:val="14"/>
                <w:szCs w:val="14"/>
                <w:color w:val="auto"/>
              </w:rPr>
              <w:t>910,180</w:t>
            </w:r>
          </w:p>
        </w:tc>
        <w:tc>
          <w:tcPr>
            <w:tcW w:w="1280" w:type="dxa"/>
            <w:vAlign w:val="bottom"/>
            <w:vMerge w:val="restart"/>
          </w:tcPr>
          <w:p>
            <w:pPr>
              <w:jc w:val="right"/>
              <w:ind w:right="149"/>
              <w:spacing w:after="0"/>
              <w:rPr>
                <w:sz w:val="20"/>
                <w:szCs w:val="20"/>
                <w:color w:val="auto"/>
              </w:rPr>
            </w:pPr>
            <w:r>
              <w:rPr>
                <w:rFonts w:ascii="Arial" w:cs="Arial" w:eastAsia="Arial" w:hAnsi="Arial"/>
                <w:sz w:val="14"/>
                <w:szCs w:val="14"/>
                <w:color w:val="auto"/>
              </w:rPr>
              <w:t>N/A</w:t>
            </w:r>
          </w:p>
        </w:tc>
        <w:tc>
          <w:tcPr>
            <w:tcW w:w="1020" w:type="dxa"/>
            <w:vAlign w:val="bottom"/>
            <w:vMerge w:val="restart"/>
          </w:tcPr>
          <w:p>
            <w:pPr>
              <w:jc w:val="right"/>
              <w:ind w:right="109"/>
              <w:spacing w:after="0"/>
              <w:rPr>
                <w:sz w:val="20"/>
                <w:szCs w:val="20"/>
                <w:color w:val="auto"/>
              </w:rPr>
            </w:pPr>
            <w:r>
              <w:rPr>
                <w:rFonts w:ascii="Arial" w:cs="Arial" w:eastAsia="Arial" w:hAnsi="Arial"/>
                <w:sz w:val="14"/>
                <w:szCs w:val="14"/>
                <w:color w:val="auto"/>
              </w:rPr>
              <w:t>85,482</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5,341,520</w:t>
            </w:r>
          </w:p>
        </w:tc>
        <w:tc>
          <w:tcPr>
            <w:tcW w:w="0" w:type="dxa"/>
            <w:vAlign w:val="bottom"/>
          </w:tcPr>
          <w:p>
            <w:pPr>
              <w:spacing w:after="0"/>
              <w:rPr>
                <w:sz w:val="1"/>
                <w:szCs w:val="1"/>
                <w:color w:val="auto"/>
              </w:rPr>
            </w:pPr>
          </w:p>
        </w:tc>
      </w:tr>
      <w:tr>
        <w:trPr>
          <w:trHeight w:val="63"/>
        </w:trPr>
        <w:tc>
          <w:tcPr>
            <w:tcW w:w="18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800" w:type="dxa"/>
            <w:vAlign w:val="bottom"/>
            <w:shd w:val="clear" w:color="auto" w:fill="E9F0F3"/>
          </w:tcPr>
          <w:p>
            <w:pPr>
              <w:ind w:left="60"/>
              <w:spacing w:after="0"/>
              <w:rPr>
                <w:sz w:val="20"/>
                <w:szCs w:val="20"/>
                <w:color w:val="auto"/>
              </w:rPr>
            </w:pPr>
            <w:r>
              <w:rPr>
                <w:rFonts w:ascii="Arial" w:cs="Arial" w:eastAsia="Arial" w:hAnsi="Arial"/>
                <w:sz w:val="13"/>
                <w:szCs w:val="13"/>
                <w:b w:val="1"/>
                <w:bCs w:val="1"/>
                <w:color w:val="auto"/>
              </w:rPr>
              <w:t>Eva Serrano</w:t>
            </w:r>
            <w:r>
              <w:rPr>
                <w:rFonts w:ascii="Arial" w:cs="Arial" w:eastAsia="Arial" w:hAnsi="Arial"/>
                <w:sz w:val="14"/>
                <w:szCs w:val="14"/>
                <w:b w:val="1"/>
                <w:bCs w:val="1"/>
                <w:color w:val="auto"/>
                <w:vertAlign w:val="superscript"/>
              </w:rPr>
              <w:t>8</w:t>
            </w:r>
          </w:p>
        </w:tc>
        <w:tc>
          <w:tcPr>
            <w:tcW w:w="70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2025</w:t>
            </w:r>
          </w:p>
        </w:tc>
        <w:tc>
          <w:tcPr>
            <w:tcW w:w="92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794,423</w:t>
            </w:r>
          </w:p>
        </w:tc>
        <w:tc>
          <w:tcPr>
            <w:tcW w:w="90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0</w:t>
            </w:r>
          </w:p>
        </w:tc>
        <w:tc>
          <w:tcPr>
            <w:tcW w:w="1000" w:type="dxa"/>
            <w:vAlign w:val="bottom"/>
            <w:shd w:val="clear" w:color="auto" w:fill="E9F0F3"/>
          </w:tcPr>
          <w:p>
            <w:pPr>
              <w:jc w:val="right"/>
              <w:ind w:right="89"/>
              <w:spacing w:after="0"/>
              <w:rPr>
                <w:sz w:val="20"/>
                <w:szCs w:val="20"/>
                <w:color w:val="auto"/>
              </w:rPr>
            </w:pPr>
            <w:r>
              <w:rPr>
                <w:rFonts w:ascii="Arial" w:cs="Arial" w:eastAsia="Arial" w:hAnsi="Arial"/>
                <w:sz w:val="14"/>
                <w:szCs w:val="14"/>
                <w:color w:val="auto"/>
              </w:rPr>
              <w:t>1,917,069</w:t>
            </w:r>
          </w:p>
        </w:tc>
        <w:tc>
          <w:tcPr>
            <w:tcW w:w="1000" w:type="dxa"/>
            <w:vAlign w:val="bottom"/>
            <w:shd w:val="clear" w:color="auto" w:fill="E9F0F3"/>
          </w:tcPr>
          <w:p>
            <w:pPr>
              <w:jc w:val="right"/>
              <w:ind w:right="149"/>
              <w:spacing w:after="0"/>
              <w:rPr>
                <w:sz w:val="20"/>
                <w:szCs w:val="20"/>
                <w:color w:val="auto"/>
              </w:rPr>
            </w:pPr>
            <w:r>
              <w:rPr>
                <w:rFonts w:ascii="Arial" w:cs="Arial" w:eastAsia="Arial" w:hAnsi="Arial"/>
                <w:sz w:val="14"/>
                <w:szCs w:val="14"/>
                <w:color w:val="auto"/>
              </w:rPr>
              <w:t>N/A</w:t>
            </w:r>
          </w:p>
        </w:tc>
        <w:tc>
          <w:tcPr>
            <w:tcW w:w="1400" w:type="dxa"/>
            <w:vAlign w:val="bottom"/>
            <w:shd w:val="clear" w:color="auto" w:fill="E9F0F3"/>
          </w:tcPr>
          <w:p>
            <w:pPr>
              <w:jc w:val="right"/>
              <w:ind w:right="469"/>
              <w:spacing w:after="0"/>
              <w:rPr>
                <w:sz w:val="20"/>
                <w:szCs w:val="20"/>
                <w:color w:val="auto"/>
              </w:rPr>
            </w:pPr>
            <w:r>
              <w:rPr>
                <w:rFonts w:ascii="Arial" w:cs="Arial" w:eastAsia="Arial" w:hAnsi="Arial"/>
                <w:sz w:val="14"/>
                <w:szCs w:val="14"/>
                <w:color w:val="auto"/>
              </w:rPr>
              <w:t>485,485</w:t>
            </w:r>
          </w:p>
        </w:tc>
        <w:tc>
          <w:tcPr>
            <w:tcW w:w="1280" w:type="dxa"/>
            <w:vAlign w:val="bottom"/>
            <w:shd w:val="clear" w:color="auto" w:fill="E9F0F3"/>
          </w:tcPr>
          <w:p>
            <w:pPr>
              <w:jc w:val="right"/>
              <w:ind w:right="149"/>
              <w:spacing w:after="0"/>
              <w:rPr>
                <w:sz w:val="20"/>
                <w:szCs w:val="20"/>
                <w:color w:val="auto"/>
              </w:rPr>
            </w:pPr>
            <w:r>
              <w:rPr>
                <w:rFonts w:ascii="Arial" w:cs="Arial" w:eastAsia="Arial" w:hAnsi="Arial"/>
                <w:sz w:val="14"/>
                <w:szCs w:val="14"/>
                <w:color w:val="auto"/>
              </w:rPr>
              <w:t>N/A</w:t>
            </w:r>
          </w:p>
        </w:tc>
        <w:tc>
          <w:tcPr>
            <w:tcW w:w="1020" w:type="dxa"/>
            <w:vAlign w:val="bottom"/>
            <w:shd w:val="clear" w:color="auto" w:fill="E9F0F3"/>
          </w:tcPr>
          <w:p>
            <w:pPr>
              <w:jc w:val="right"/>
              <w:ind w:right="109"/>
              <w:spacing w:after="0"/>
              <w:rPr>
                <w:sz w:val="20"/>
                <w:szCs w:val="20"/>
                <w:color w:val="auto"/>
              </w:rPr>
            </w:pPr>
            <w:r>
              <w:rPr>
                <w:rFonts w:ascii="Arial" w:cs="Arial" w:eastAsia="Arial" w:hAnsi="Arial"/>
                <w:sz w:val="14"/>
                <w:szCs w:val="14"/>
                <w:color w:val="auto"/>
              </w:rPr>
              <w:t>3,595,358</w:t>
            </w:r>
          </w:p>
        </w:tc>
        <w:tc>
          <w:tcPr>
            <w:tcW w:w="920" w:type="dxa"/>
            <w:vAlign w:val="bottom"/>
            <w:shd w:val="clear" w:color="auto" w:fill="E9F0F3"/>
          </w:tcPr>
          <w:p>
            <w:pPr>
              <w:jc w:val="right"/>
              <w:spacing w:after="0"/>
              <w:rPr>
                <w:sz w:val="20"/>
                <w:szCs w:val="20"/>
                <w:color w:val="auto"/>
              </w:rPr>
            </w:pPr>
            <w:r>
              <w:rPr>
                <w:rFonts w:ascii="Arial" w:cs="Arial" w:eastAsia="Arial" w:hAnsi="Arial"/>
                <w:sz w:val="14"/>
                <w:szCs w:val="14"/>
                <w:color w:val="auto"/>
              </w:rPr>
              <w:t>6,792,335</w:t>
            </w:r>
          </w:p>
        </w:tc>
        <w:tc>
          <w:tcPr>
            <w:tcW w:w="0" w:type="dxa"/>
            <w:vAlign w:val="bottom"/>
          </w:tcPr>
          <w:p>
            <w:pPr>
              <w:spacing w:after="0"/>
              <w:rPr>
                <w:sz w:val="1"/>
                <w:szCs w:val="1"/>
                <w:color w:val="auto"/>
              </w:rPr>
            </w:pPr>
          </w:p>
        </w:tc>
      </w:tr>
      <w:tr>
        <w:trPr>
          <w:trHeight w:val="133"/>
        </w:trPr>
        <w:tc>
          <w:tcPr>
            <w:tcW w:w="1800" w:type="dxa"/>
            <w:vAlign w:val="bottom"/>
            <w:shd w:val="clear" w:color="auto" w:fill="E9F0F3"/>
          </w:tcPr>
          <w:p>
            <w:pPr>
              <w:ind w:left="60"/>
              <w:spacing w:after="0" w:line="134" w:lineRule="exact"/>
              <w:rPr>
                <w:sz w:val="20"/>
                <w:szCs w:val="20"/>
                <w:color w:val="auto"/>
              </w:rPr>
            </w:pPr>
            <w:r>
              <w:rPr>
                <w:rFonts w:ascii="Arial" w:cs="Arial" w:eastAsia="Arial" w:hAnsi="Arial"/>
                <w:sz w:val="13"/>
                <w:szCs w:val="13"/>
                <w:color w:val="auto"/>
              </w:rPr>
              <w:t>Former Global Brand</w:t>
            </w:r>
          </w:p>
        </w:tc>
        <w:tc>
          <w:tcPr>
            <w:tcW w:w="700" w:type="dxa"/>
            <w:vAlign w:val="bottom"/>
            <w:vMerge w:val="restart"/>
            <w:shd w:val="clear" w:color="auto" w:fill="E9F0F3"/>
          </w:tcPr>
          <w:p>
            <w:pPr>
              <w:jc w:val="right"/>
              <w:ind w:right="69"/>
              <w:spacing w:after="0"/>
              <w:rPr>
                <w:sz w:val="20"/>
                <w:szCs w:val="20"/>
                <w:color w:val="auto"/>
              </w:rPr>
            </w:pPr>
            <w:r>
              <w:rPr>
                <w:rFonts w:ascii="Arial" w:cs="Arial" w:eastAsia="Arial" w:hAnsi="Arial"/>
                <w:sz w:val="14"/>
                <w:szCs w:val="14"/>
                <w:color w:val="auto"/>
              </w:rPr>
              <w:t>2024</w:t>
            </w:r>
          </w:p>
        </w:tc>
        <w:tc>
          <w:tcPr>
            <w:tcW w:w="920" w:type="dxa"/>
            <w:vAlign w:val="bottom"/>
            <w:vMerge w:val="restart"/>
            <w:shd w:val="clear" w:color="auto" w:fill="E9F0F3"/>
          </w:tcPr>
          <w:p>
            <w:pPr>
              <w:jc w:val="right"/>
              <w:ind w:right="69"/>
              <w:spacing w:after="0"/>
              <w:rPr>
                <w:sz w:val="20"/>
                <w:szCs w:val="20"/>
                <w:color w:val="auto"/>
              </w:rPr>
            </w:pPr>
            <w:r>
              <w:rPr>
                <w:rFonts w:ascii="Arial" w:cs="Arial" w:eastAsia="Arial" w:hAnsi="Arial"/>
                <w:sz w:val="14"/>
                <w:szCs w:val="14"/>
                <w:color w:val="auto"/>
              </w:rPr>
              <w:t>850,000</w:t>
            </w:r>
          </w:p>
        </w:tc>
        <w:tc>
          <w:tcPr>
            <w:tcW w:w="900" w:type="dxa"/>
            <w:vAlign w:val="bottom"/>
            <w:vMerge w:val="restart"/>
            <w:shd w:val="clear" w:color="auto" w:fill="E9F0F3"/>
          </w:tcPr>
          <w:p>
            <w:pPr>
              <w:jc w:val="right"/>
              <w:ind w:right="49"/>
              <w:spacing w:after="0"/>
              <w:rPr>
                <w:sz w:val="20"/>
                <w:szCs w:val="20"/>
                <w:color w:val="auto"/>
              </w:rPr>
            </w:pPr>
            <w:r>
              <w:rPr>
                <w:rFonts w:ascii="Arial" w:cs="Arial" w:eastAsia="Arial" w:hAnsi="Arial"/>
                <w:sz w:val="14"/>
                <w:szCs w:val="14"/>
                <w:color w:val="auto"/>
              </w:rPr>
              <w:t>0</w:t>
            </w:r>
          </w:p>
        </w:tc>
        <w:tc>
          <w:tcPr>
            <w:tcW w:w="1000" w:type="dxa"/>
            <w:vAlign w:val="bottom"/>
            <w:vMerge w:val="restart"/>
            <w:shd w:val="clear" w:color="auto" w:fill="E9F0F3"/>
          </w:tcPr>
          <w:p>
            <w:pPr>
              <w:jc w:val="right"/>
              <w:ind w:right="89"/>
              <w:spacing w:after="0"/>
              <w:rPr>
                <w:sz w:val="20"/>
                <w:szCs w:val="20"/>
                <w:color w:val="auto"/>
              </w:rPr>
            </w:pPr>
            <w:r>
              <w:rPr>
                <w:rFonts w:ascii="Arial" w:cs="Arial" w:eastAsia="Arial" w:hAnsi="Arial"/>
                <w:sz w:val="14"/>
                <w:szCs w:val="14"/>
                <w:color w:val="auto"/>
              </w:rPr>
              <w:t>1,818,533</w:t>
            </w:r>
          </w:p>
        </w:tc>
        <w:tc>
          <w:tcPr>
            <w:tcW w:w="1000" w:type="dxa"/>
            <w:vAlign w:val="bottom"/>
            <w:vMerge w:val="restart"/>
            <w:shd w:val="clear" w:color="auto" w:fill="E9F0F3"/>
          </w:tcPr>
          <w:p>
            <w:pPr>
              <w:jc w:val="right"/>
              <w:ind w:right="149"/>
              <w:spacing w:after="0"/>
              <w:rPr>
                <w:sz w:val="20"/>
                <w:szCs w:val="20"/>
                <w:color w:val="auto"/>
              </w:rPr>
            </w:pPr>
            <w:r>
              <w:rPr>
                <w:rFonts w:ascii="Arial" w:cs="Arial" w:eastAsia="Arial" w:hAnsi="Arial"/>
                <w:sz w:val="14"/>
                <w:szCs w:val="14"/>
                <w:color w:val="auto"/>
              </w:rPr>
              <w:t>N/A</w:t>
            </w:r>
          </w:p>
        </w:tc>
        <w:tc>
          <w:tcPr>
            <w:tcW w:w="1400" w:type="dxa"/>
            <w:vAlign w:val="bottom"/>
            <w:vMerge w:val="restart"/>
            <w:shd w:val="clear" w:color="auto" w:fill="E9F0F3"/>
          </w:tcPr>
          <w:p>
            <w:pPr>
              <w:jc w:val="right"/>
              <w:ind w:right="469"/>
              <w:spacing w:after="0"/>
              <w:rPr>
                <w:sz w:val="20"/>
                <w:szCs w:val="20"/>
                <w:color w:val="auto"/>
              </w:rPr>
            </w:pPr>
            <w:r>
              <w:rPr>
                <w:rFonts w:ascii="Arial" w:cs="Arial" w:eastAsia="Arial" w:hAnsi="Arial"/>
                <w:sz w:val="14"/>
                <w:szCs w:val="14"/>
                <w:color w:val="auto"/>
              </w:rPr>
              <w:t>776,543</w:t>
            </w:r>
          </w:p>
        </w:tc>
        <w:tc>
          <w:tcPr>
            <w:tcW w:w="1280" w:type="dxa"/>
            <w:vAlign w:val="bottom"/>
            <w:vMerge w:val="restart"/>
            <w:shd w:val="clear" w:color="auto" w:fill="E9F0F3"/>
          </w:tcPr>
          <w:p>
            <w:pPr>
              <w:jc w:val="right"/>
              <w:ind w:right="149"/>
              <w:spacing w:after="0"/>
              <w:rPr>
                <w:sz w:val="20"/>
                <w:szCs w:val="20"/>
                <w:color w:val="auto"/>
              </w:rPr>
            </w:pPr>
            <w:r>
              <w:rPr>
                <w:rFonts w:ascii="Arial" w:cs="Arial" w:eastAsia="Arial" w:hAnsi="Arial"/>
                <w:sz w:val="14"/>
                <w:szCs w:val="14"/>
                <w:color w:val="auto"/>
              </w:rPr>
              <w:t>N/A</w:t>
            </w:r>
          </w:p>
        </w:tc>
        <w:tc>
          <w:tcPr>
            <w:tcW w:w="1020" w:type="dxa"/>
            <w:vAlign w:val="bottom"/>
            <w:vMerge w:val="restart"/>
            <w:shd w:val="clear" w:color="auto" w:fill="E9F0F3"/>
          </w:tcPr>
          <w:p>
            <w:pPr>
              <w:jc w:val="right"/>
              <w:ind w:right="109"/>
              <w:spacing w:after="0"/>
              <w:rPr>
                <w:sz w:val="20"/>
                <w:szCs w:val="20"/>
                <w:color w:val="auto"/>
              </w:rPr>
            </w:pPr>
            <w:r>
              <w:rPr>
                <w:rFonts w:ascii="Arial" w:cs="Arial" w:eastAsia="Arial" w:hAnsi="Arial"/>
                <w:sz w:val="14"/>
                <w:szCs w:val="14"/>
                <w:color w:val="auto"/>
              </w:rPr>
              <w:t>73,362</w:t>
            </w:r>
          </w:p>
        </w:tc>
        <w:tc>
          <w:tcPr>
            <w:tcW w:w="920" w:type="dxa"/>
            <w:vAlign w:val="bottom"/>
            <w:vMerge w:val="restart"/>
            <w:shd w:val="clear" w:color="auto" w:fill="E9F0F3"/>
          </w:tcPr>
          <w:p>
            <w:pPr>
              <w:jc w:val="right"/>
              <w:spacing w:after="0"/>
              <w:rPr>
                <w:sz w:val="20"/>
                <w:szCs w:val="20"/>
                <w:color w:val="auto"/>
              </w:rPr>
            </w:pPr>
            <w:r>
              <w:rPr>
                <w:rFonts w:ascii="Arial" w:cs="Arial" w:eastAsia="Arial" w:hAnsi="Arial"/>
                <w:sz w:val="14"/>
                <w:szCs w:val="14"/>
                <w:color w:val="auto"/>
              </w:rPr>
              <w:t>3,518,438</w:t>
            </w:r>
          </w:p>
        </w:tc>
        <w:tc>
          <w:tcPr>
            <w:tcW w:w="0" w:type="dxa"/>
            <w:vAlign w:val="bottom"/>
          </w:tcPr>
          <w:p>
            <w:pPr>
              <w:spacing w:after="0"/>
              <w:rPr>
                <w:sz w:val="1"/>
                <w:szCs w:val="1"/>
                <w:color w:val="auto"/>
              </w:rPr>
            </w:pPr>
          </w:p>
        </w:tc>
      </w:tr>
      <w:tr>
        <w:trPr>
          <w:trHeight w:val="166"/>
        </w:trPr>
        <w:tc>
          <w:tcPr>
            <w:tcW w:w="1800" w:type="dxa"/>
            <w:vAlign w:val="bottom"/>
            <w:shd w:val="clear" w:color="auto" w:fill="E9F0F3"/>
          </w:tcPr>
          <w:p>
            <w:pPr>
              <w:ind w:left="60"/>
              <w:spacing w:after="0"/>
              <w:rPr>
                <w:sz w:val="20"/>
                <w:szCs w:val="20"/>
                <w:color w:val="auto"/>
              </w:rPr>
            </w:pPr>
            <w:r>
              <w:rPr>
                <w:rFonts w:ascii="Arial" w:cs="Arial" w:eastAsia="Arial" w:hAnsi="Arial"/>
                <w:sz w:val="13"/>
                <w:szCs w:val="13"/>
                <w:color w:val="auto"/>
              </w:rPr>
              <w:t>President, Calvin Klein</w:t>
            </w:r>
          </w:p>
        </w:tc>
        <w:tc>
          <w:tcPr>
            <w:tcW w:w="700" w:type="dxa"/>
            <w:vAlign w:val="bottom"/>
            <w:vMerge w:val="continue"/>
            <w:shd w:val="clear" w:color="auto" w:fill="E9F0F3"/>
          </w:tcPr>
          <w:p>
            <w:pPr>
              <w:spacing w:after="0"/>
              <w:rPr>
                <w:sz w:val="14"/>
                <w:szCs w:val="14"/>
                <w:color w:val="auto"/>
              </w:rPr>
            </w:pPr>
          </w:p>
        </w:tc>
        <w:tc>
          <w:tcPr>
            <w:tcW w:w="920" w:type="dxa"/>
            <w:vAlign w:val="bottom"/>
            <w:vMerge w:val="continue"/>
            <w:shd w:val="clear" w:color="auto" w:fill="E9F0F3"/>
          </w:tcPr>
          <w:p>
            <w:pPr>
              <w:spacing w:after="0"/>
              <w:rPr>
                <w:sz w:val="14"/>
                <w:szCs w:val="14"/>
                <w:color w:val="auto"/>
              </w:rPr>
            </w:pPr>
          </w:p>
        </w:tc>
        <w:tc>
          <w:tcPr>
            <w:tcW w:w="900" w:type="dxa"/>
            <w:vAlign w:val="bottom"/>
            <w:vMerge w:val="continue"/>
            <w:shd w:val="clear" w:color="auto" w:fill="E9F0F3"/>
          </w:tcPr>
          <w:p>
            <w:pPr>
              <w:spacing w:after="0"/>
              <w:rPr>
                <w:sz w:val="14"/>
                <w:szCs w:val="14"/>
                <w:color w:val="auto"/>
              </w:rPr>
            </w:pPr>
          </w:p>
        </w:tc>
        <w:tc>
          <w:tcPr>
            <w:tcW w:w="1000" w:type="dxa"/>
            <w:vAlign w:val="bottom"/>
            <w:vMerge w:val="continue"/>
            <w:shd w:val="clear" w:color="auto" w:fill="E9F0F3"/>
          </w:tcPr>
          <w:p>
            <w:pPr>
              <w:spacing w:after="0"/>
              <w:rPr>
                <w:sz w:val="14"/>
                <w:szCs w:val="14"/>
                <w:color w:val="auto"/>
              </w:rPr>
            </w:pPr>
          </w:p>
        </w:tc>
        <w:tc>
          <w:tcPr>
            <w:tcW w:w="1000" w:type="dxa"/>
            <w:vAlign w:val="bottom"/>
            <w:vMerge w:val="continue"/>
            <w:shd w:val="clear" w:color="auto" w:fill="E9F0F3"/>
          </w:tcPr>
          <w:p>
            <w:pPr>
              <w:spacing w:after="0"/>
              <w:rPr>
                <w:sz w:val="14"/>
                <w:szCs w:val="14"/>
                <w:color w:val="auto"/>
              </w:rPr>
            </w:pPr>
          </w:p>
        </w:tc>
        <w:tc>
          <w:tcPr>
            <w:tcW w:w="1400" w:type="dxa"/>
            <w:vAlign w:val="bottom"/>
            <w:vMerge w:val="continue"/>
            <w:shd w:val="clear" w:color="auto" w:fill="E9F0F3"/>
          </w:tcPr>
          <w:p>
            <w:pPr>
              <w:spacing w:after="0"/>
              <w:rPr>
                <w:sz w:val="14"/>
                <w:szCs w:val="14"/>
                <w:color w:val="auto"/>
              </w:rPr>
            </w:pPr>
          </w:p>
        </w:tc>
        <w:tc>
          <w:tcPr>
            <w:tcW w:w="1280" w:type="dxa"/>
            <w:vAlign w:val="bottom"/>
            <w:vMerge w:val="continue"/>
            <w:shd w:val="clear" w:color="auto" w:fill="E9F0F3"/>
          </w:tcPr>
          <w:p>
            <w:pPr>
              <w:spacing w:after="0"/>
              <w:rPr>
                <w:sz w:val="14"/>
                <w:szCs w:val="14"/>
                <w:color w:val="auto"/>
              </w:rPr>
            </w:pPr>
          </w:p>
        </w:tc>
        <w:tc>
          <w:tcPr>
            <w:tcW w:w="1020" w:type="dxa"/>
            <w:vAlign w:val="bottom"/>
            <w:vMerge w:val="continue"/>
            <w:shd w:val="clear" w:color="auto" w:fill="E9F0F3"/>
          </w:tcPr>
          <w:p>
            <w:pPr>
              <w:spacing w:after="0"/>
              <w:rPr>
                <w:sz w:val="14"/>
                <w:szCs w:val="14"/>
                <w:color w:val="auto"/>
              </w:rPr>
            </w:pPr>
          </w:p>
        </w:tc>
        <w:tc>
          <w:tcPr>
            <w:tcW w:w="920" w:type="dxa"/>
            <w:vAlign w:val="bottom"/>
            <w:vMerge w:val="continue"/>
            <w:shd w:val="clear" w:color="auto" w:fill="E9F0F3"/>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800" w:type="dxa"/>
            <w:vAlign w:val="bottom"/>
            <w:shd w:val="clear" w:color="auto" w:fill="E9F0F3"/>
          </w:tcPr>
          <w:p>
            <w:pPr>
              <w:spacing w:after="0"/>
              <w:rPr>
                <w:sz w:val="17"/>
                <w:szCs w:val="17"/>
                <w:color w:val="auto"/>
              </w:rPr>
            </w:pPr>
          </w:p>
        </w:tc>
        <w:tc>
          <w:tcPr>
            <w:tcW w:w="70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2023</w:t>
            </w:r>
          </w:p>
        </w:tc>
        <w:tc>
          <w:tcPr>
            <w:tcW w:w="92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764,059</w:t>
            </w:r>
          </w:p>
        </w:tc>
        <w:tc>
          <w:tcPr>
            <w:tcW w:w="90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1,318,000</w:t>
            </w:r>
          </w:p>
        </w:tc>
        <w:tc>
          <w:tcPr>
            <w:tcW w:w="1000" w:type="dxa"/>
            <w:vAlign w:val="bottom"/>
            <w:shd w:val="clear" w:color="auto" w:fill="E9F0F3"/>
          </w:tcPr>
          <w:p>
            <w:pPr>
              <w:jc w:val="right"/>
              <w:ind w:right="89"/>
              <w:spacing w:after="0"/>
              <w:rPr>
                <w:sz w:val="20"/>
                <w:szCs w:val="20"/>
                <w:color w:val="auto"/>
              </w:rPr>
            </w:pPr>
            <w:r>
              <w:rPr>
                <w:rFonts w:ascii="Arial" w:cs="Arial" w:eastAsia="Arial" w:hAnsi="Arial"/>
                <w:sz w:val="14"/>
                <w:szCs w:val="14"/>
                <w:color w:val="auto"/>
              </w:rPr>
              <w:t>2,500,659</w:t>
            </w:r>
          </w:p>
        </w:tc>
        <w:tc>
          <w:tcPr>
            <w:tcW w:w="1000" w:type="dxa"/>
            <w:vAlign w:val="bottom"/>
            <w:shd w:val="clear" w:color="auto" w:fill="E9F0F3"/>
          </w:tcPr>
          <w:p>
            <w:pPr>
              <w:jc w:val="right"/>
              <w:ind w:right="149"/>
              <w:spacing w:after="0"/>
              <w:rPr>
                <w:sz w:val="20"/>
                <w:szCs w:val="20"/>
                <w:color w:val="auto"/>
              </w:rPr>
            </w:pPr>
            <w:r>
              <w:rPr>
                <w:rFonts w:ascii="Arial" w:cs="Arial" w:eastAsia="Arial" w:hAnsi="Arial"/>
                <w:sz w:val="14"/>
                <w:szCs w:val="14"/>
                <w:color w:val="auto"/>
              </w:rPr>
              <w:t>N/A</w:t>
            </w:r>
          </w:p>
        </w:tc>
        <w:tc>
          <w:tcPr>
            <w:tcW w:w="1400" w:type="dxa"/>
            <w:vAlign w:val="bottom"/>
            <w:shd w:val="clear" w:color="auto" w:fill="E9F0F3"/>
          </w:tcPr>
          <w:p>
            <w:pPr>
              <w:jc w:val="right"/>
              <w:ind w:right="469"/>
              <w:spacing w:after="0"/>
              <w:rPr>
                <w:sz w:val="20"/>
                <w:szCs w:val="20"/>
                <w:color w:val="auto"/>
              </w:rPr>
            </w:pPr>
            <w:r>
              <w:rPr>
                <w:rFonts w:ascii="Arial" w:cs="Arial" w:eastAsia="Arial" w:hAnsi="Arial"/>
                <w:sz w:val="14"/>
                <w:szCs w:val="14"/>
                <w:color w:val="auto"/>
              </w:rPr>
              <w:t>873,028</w:t>
            </w:r>
          </w:p>
        </w:tc>
        <w:tc>
          <w:tcPr>
            <w:tcW w:w="1280" w:type="dxa"/>
            <w:vAlign w:val="bottom"/>
            <w:shd w:val="clear" w:color="auto" w:fill="E9F0F3"/>
          </w:tcPr>
          <w:p>
            <w:pPr>
              <w:jc w:val="right"/>
              <w:ind w:right="149"/>
              <w:spacing w:after="0"/>
              <w:rPr>
                <w:sz w:val="20"/>
                <w:szCs w:val="20"/>
                <w:color w:val="auto"/>
              </w:rPr>
            </w:pPr>
            <w:r>
              <w:rPr>
                <w:rFonts w:ascii="Arial" w:cs="Arial" w:eastAsia="Arial" w:hAnsi="Arial"/>
                <w:sz w:val="14"/>
                <w:szCs w:val="14"/>
                <w:color w:val="auto"/>
              </w:rPr>
              <w:t>N/A</w:t>
            </w:r>
          </w:p>
        </w:tc>
        <w:tc>
          <w:tcPr>
            <w:tcW w:w="1020" w:type="dxa"/>
            <w:vAlign w:val="bottom"/>
            <w:shd w:val="clear" w:color="auto" w:fill="E9F0F3"/>
          </w:tcPr>
          <w:p>
            <w:pPr>
              <w:jc w:val="right"/>
              <w:ind w:right="109"/>
              <w:spacing w:after="0"/>
              <w:rPr>
                <w:sz w:val="20"/>
                <w:szCs w:val="20"/>
                <w:color w:val="auto"/>
              </w:rPr>
            </w:pPr>
            <w:r>
              <w:rPr>
                <w:rFonts w:ascii="Arial" w:cs="Arial" w:eastAsia="Arial" w:hAnsi="Arial"/>
                <w:sz w:val="14"/>
                <w:szCs w:val="14"/>
                <w:color w:val="auto"/>
              </w:rPr>
              <w:t>816,726</w:t>
            </w:r>
          </w:p>
        </w:tc>
        <w:tc>
          <w:tcPr>
            <w:tcW w:w="920" w:type="dxa"/>
            <w:vAlign w:val="bottom"/>
            <w:shd w:val="clear" w:color="auto" w:fill="E9F0F3"/>
          </w:tcPr>
          <w:p>
            <w:pPr>
              <w:jc w:val="right"/>
              <w:spacing w:after="0"/>
              <w:rPr>
                <w:sz w:val="20"/>
                <w:szCs w:val="20"/>
                <w:color w:val="auto"/>
              </w:rPr>
            </w:pPr>
            <w:r>
              <w:rPr>
                <w:rFonts w:ascii="Arial" w:cs="Arial" w:eastAsia="Arial" w:hAnsi="Arial"/>
                <w:sz w:val="14"/>
                <w:szCs w:val="14"/>
                <w:color w:val="auto"/>
              </w:rPr>
              <w:t>6,272,472</w:t>
            </w:r>
          </w:p>
        </w:tc>
        <w:tc>
          <w:tcPr>
            <w:tcW w:w="0" w:type="dxa"/>
            <w:vAlign w:val="bottom"/>
          </w:tcPr>
          <w:p>
            <w:pPr>
              <w:spacing w:after="0"/>
              <w:rPr>
                <w:sz w:val="1"/>
                <w:szCs w:val="1"/>
                <w:color w:val="auto"/>
              </w:rPr>
            </w:pPr>
          </w:p>
        </w:tc>
      </w:tr>
      <w:tr>
        <w:trPr>
          <w:trHeight w:val="86"/>
        </w:trPr>
        <w:tc>
          <w:tcPr>
            <w:tcW w:w="1800" w:type="dxa"/>
            <w:vAlign w:val="bottom"/>
            <w:shd w:val="clear" w:color="auto" w:fill="E9F0F3"/>
          </w:tcPr>
          <w:p>
            <w:pPr>
              <w:spacing w:after="0"/>
              <w:rPr>
                <w:sz w:val="7"/>
                <w:szCs w:val="7"/>
                <w:color w:val="auto"/>
              </w:rPr>
            </w:pPr>
          </w:p>
        </w:tc>
        <w:tc>
          <w:tcPr>
            <w:tcW w:w="700" w:type="dxa"/>
            <w:vAlign w:val="bottom"/>
            <w:shd w:val="clear" w:color="auto" w:fill="E9F0F3"/>
          </w:tcPr>
          <w:p>
            <w:pPr>
              <w:spacing w:after="0"/>
              <w:rPr>
                <w:sz w:val="7"/>
                <w:szCs w:val="7"/>
                <w:color w:val="auto"/>
              </w:rPr>
            </w:pPr>
          </w:p>
        </w:tc>
        <w:tc>
          <w:tcPr>
            <w:tcW w:w="920" w:type="dxa"/>
            <w:vAlign w:val="bottom"/>
            <w:shd w:val="clear" w:color="auto" w:fill="E9F0F3"/>
          </w:tcPr>
          <w:p>
            <w:pPr>
              <w:spacing w:after="0"/>
              <w:rPr>
                <w:sz w:val="7"/>
                <w:szCs w:val="7"/>
                <w:color w:val="auto"/>
              </w:rPr>
            </w:pPr>
          </w:p>
        </w:tc>
        <w:tc>
          <w:tcPr>
            <w:tcW w:w="900" w:type="dxa"/>
            <w:vAlign w:val="bottom"/>
            <w:shd w:val="clear" w:color="auto" w:fill="E9F0F3"/>
          </w:tcPr>
          <w:p>
            <w:pPr>
              <w:spacing w:after="0"/>
              <w:rPr>
                <w:sz w:val="7"/>
                <w:szCs w:val="7"/>
                <w:color w:val="auto"/>
              </w:rPr>
            </w:pPr>
          </w:p>
        </w:tc>
        <w:tc>
          <w:tcPr>
            <w:tcW w:w="1000" w:type="dxa"/>
            <w:vAlign w:val="bottom"/>
            <w:shd w:val="clear" w:color="auto" w:fill="E9F0F3"/>
          </w:tcPr>
          <w:p>
            <w:pPr>
              <w:spacing w:after="0"/>
              <w:rPr>
                <w:sz w:val="7"/>
                <w:szCs w:val="7"/>
                <w:color w:val="auto"/>
              </w:rPr>
            </w:pPr>
          </w:p>
        </w:tc>
        <w:tc>
          <w:tcPr>
            <w:tcW w:w="1000" w:type="dxa"/>
            <w:vAlign w:val="bottom"/>
            <w:shd w:val="clear" w:color="auto" w:fill="E9F0F3"/>
          </w:tcPr>
          <w:p>
            <w:pPr>
              <w:spacing w:after="0"/>
              <w:rPr>
                <w:sz w:val="7"/>
                <w:szCs w:val="7"/>
                <w:color w:val="auto"/>
              </w:rPr>
            </w:pPr>
          </w:p>
        </w:tc>
        <w:tc>
          <w:tcPr>
            <w:tcW w:w="1400" w:type="dxa"/>
            <w:vAlign w:val="bottom"/>
            <w:shd w:val="clear" w:color="auto" w:fill="E9F0F3"/>
          </w:tcPr>
          <w:p>
            <w:pPr>
              <w:spacing w:after="0"/>
              <w:rPr>
                <w:sz w:val="7"/>
                <w:szCs w:val="7"/>
                <w:color w:val="auto"/>
              </w:rPr>
            </w:pPr>
          </w:p>
        </w:tc>
        <w:tc>
          <w:tcPr>
            <w:tcW w:w="1280" w:type="dxa"/>
            <w:vAlign w:val="bottom"/>
            <w:shd w:val="clear" w:color="auto" w:fill="E9F0F3"/>
          </w:tcPr>
          <w:p>
            <w:pPr>
              <w:spacing w:after="0"/>
              <w:rPr>
                <w:sz w:val="7"/>
                <w:szCs w:val="7"/>
                <w:color w:val="auto"/>
              </w:rPr>
            </w:pPr>
          </w:p>
        </w:tc>
        <w:tc>
          <w:tcPr>
            <w:tcW w:w="1020" w:type="dxa"/>
            <w:vAlign w:val="bottom"/>
            <w:shd w:val="clear" w:color="auto" w:fill="E9F0F3"/>
          </w:tcPr>
          <w:p>
            <w:pPr>
              <w:spacing w:after="0"/>
              <w:rPr>
                <w:sz w:val="7"/>
                <w:szCs w:val="7"/>
                <w:color w:val="auto"/>
              </w:rPr>
            </w:pPr>
          </w:p>
        </w:tc>
        <w:tc>
          <w:tcPr>
            <w:tcW w:w="920" w:type="dxa"/>
            <w:vAlign w:val="bottom"/>
            <w:shd w:val="clear" w:color="auto" w:fill="E9F0F3"/>
          </w:tcPr>
          <w:p>
            <w:pPr>
              <w:spacing w:after="0"/>
              <w:rPr>
                <w:sz w:val="7"/>
                <w:szCs w:val="7"/>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160" w:right="60" w:hanging="149"/>
        <w:spacing w:after="0" w:line="239" w:lineRule="auto"/>
        <w:tabs>
          <w:tab w:leader="none" w:pos="167"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compensation reported represents the aggregate grant date fair value of RSUs and PSUs granted in the fiscal year listed. These are multi-year awards that pay out in future years only if performance objectives and/or service requirements are met. The reported compensation includes the full grant date value of each award in accordance with SEC rules, but we expense the cost over the requisite service period.</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 xml:space="preserve">60 </w:t>
      </w:r>
      <w:r>
        <w:rPr>
          <w:rFonts w:ascii="Arial" w:cs="Arial" w:eastAsia="Arial" w:hAnsi="Arial"/>
          <w:sz w:val="11"/>
          <w:szCs w:val="11"/>
          <w:color w:val="auto"/>
        </w:rPr>
        <w:t>/ PVH CORP.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695515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60" w:top="94" w:right="499" w:bottom="1440" w:gutter="0" w:footer="0" w:header="0"/>
        </w:sectPr>
      </w:pPr>
    </w:p>
    <w:bookmarkStart w:id="63" w:name="page64"/>
    <w:bookmarkEnd w:id="63"/>
    <w:p>
      <w:pPr>
        <w:ind w:left="149"/>
        <w:spacing w:after="0"/>
        <w:rPr>
          <w:sz w:val="20"/>
          <w:szCs w:val="20"/>
          <w:color w:val="auto"/>
        </w:rPr>
      </w:pPr>
      <w:r>
        <w:rPr>
          <w:rFonts w:ascii="Arial" w:cs="Arial" w:eastAsia="Arial" w:hAnsi="Arial"/>
          <w:sz w:val="13"/>
          <w:szCs w:val="13"/>
          <w:color w:val="auto"/>
        </w:rPr>
        <w:t>The following sets forth the breakdown between RSUs and PSUs of the referenced stock awards:</w:t>
      </w:r>
    </w:p>
    <w:p>
      <w:pPr>
        <w:spacing w:after="0" w:line="153" w:lineRule="exact"/>
        <w:rPr>
          <w:sz w:val="20"/>
          <w:szCs w:val="20"/>
          <w:color w:val="auto"/>
        </w:rPr>
      </w:pPr>
    </w:p>
    <w:tbl>
      <w:tblPr>
        <w:tblLayout w:type="fixed"/>
        <w:tblInd w:w="229" w:type="dxa"/>
        <w:tblCellMar>
          <w:top w:w="0" w:type="dxa"/>
          <w:left w:w="0" w:type="dxa"/>
          <w:bottom w:w="0" w:type="dxa"/>
          <w:right w:w="0" w:type="dxa"/>
        </w:tblCellMar>
      </w:tblPr>
      <w:tr>
        <w:trPr>
          <w:trHeight w:val="150"/>
        </w:trPr>
        <w:tc>
          <w:tcPr>
            <w:tcW w:w="2520" w:type="dxa"/>
            <w:vAlign w:val="bottom"/>
            <w:shd w:val="clear" w:color="auto" w:fill="D1D3D4"/>
          </w:tcPr>
          <w:p>
            <w:pPr>
              <w:spacing w:after="0"/>
              <w:rPr>
                <w:sz w:val="13"/>
                <w:szCs w:val="13"/>
                <w:color w:val="auto"/>
              </w:rPr>
            </w:pPr>
          </w:p>
        </w:tc>
        <w:tc>
          <w:tcPr>
            <w:tcW w:w="2320" w:type="dxa"/>
            <w:vAlign w:val="bottom"/>
            <w:shd w:val="clear" w:color="auto" w:fill="D1D3D4"/>
          </w:tcPr>
          <w:p>
            <w:pPr>
              <w:jc w:val="right"/>
              <w:ind w:right="698"/>
              <w:spacing w:after="0"/>
              <w:rPr>
                <w:sz w:val="20"/>
                <w:szCs w:val="20"/>
                <w:color w:val="auto"/>
              </w:rPr>
            </w:pPr>
            <w:r>
              <w:rPr>
                <w:rFonts w:ascii="Arial" w:cs="Arial" w:eastAsia="Arial" w:hAnsi="Arial"/>
                <w:sz w:val="11"/>
                <w:szCs w:val="11"/>
                <w:color w:val="auto"/>
              </w:rPr>
              <w:t>Fiscal</w:t>
            </w:r>
          </w:p>
        </w:tc>
        <w:tc>
          <w:tcPr>
            <w:tcW w:w="2240" w:type="dxa"/>
            <w:vAlign w:val="bottom"/>
            <w:shd w:val="clear" w:color="auto" w:fill="D1D3D4"/>
          </w:tcPr>
          <w:p>
            <w:pPr>
              <w:jc w:val="right"/>
              <w:ind w:right="798"/>
              <w:spacing w:after="0"/>
              <w:rPr>
                <w:sz w:val="20"/>
                <w:szCs w:val="20"/>
                <w:color w:val="auto"/>
              </w:rPr>
            </w:pPr>
            <w:r>
              <w:rPr>
                <w:rFonts w:ascii="Arial" w:cs="Arial" w:eastAsia="Arial" w:hAnsi="Arial"/>
                <w:sz w:val="11"/>
                <w:szCs w:val="11"/>
                <w:color w:val="auto"/>
              </w:rPr>
              <w:t>RSU Awards</w:t>
            </w:r>
          </w:p>
        </w:tc>
        <w:tc>
          <w:tcPr>
            <w:tcW w:w="2060" w:type="dxa"/>
            <w:vAlign w:val="bottom"/>
            <w:shd w:val="clear" w:color="auto" w:fill="D1D3D4"/>
          </w:tcPr>
          <w:p>
            <w:pPr>
              <w:jc w:val="right"/>
              <w:ind w:right="538"/>
              <w:spacing w:after="0"/>
              <w:rPr>
                <w:sz w:val="20"/>
                <w:szCs w:val="20"/>
                <w:color w:val="auto"/>
              </w:rPr>
            </w:pPr>
            <w:r>
              <w:rPr>
                <w:rFonts w:ascii="Arial" w:cs="Arial" w:eastAsia="Arial" w:hAnsi="Arial"/>
                <w:sz w:val="11"/>
                <w:szCs w:val="11"/>
                <w:color w:val="auto"/>
              </w:rPr>
              <w:t>PSU Awards</w:t>
            </w:r>
          </w:p>
        </w:tc>
        <w:tc>
          <w:tcPr>
            <w:tcW w:w="1560" w:type="dxa"/>
            <w:vAlign w:val="bottom"/>
            <w:shd w:val="clear" w:color="auto" w:fill="D1D3D4"/>
          </w:tcPr>
          <w:p>
            <w:pPr>
              <w:jc w:val="right"/>
              <w:spacing w:after="0"/>
              <w:rPr>
                <w:sz w:val="20"/>
                <w:szCs w:val="20"/>
                <w:color w:val="auto"/>
              </w:rPr>
            </w:pPr>
            <w:r>
              <w:rPr>
                <w:rFonts w:ascii="Arial" w:cs="Arial" w:eastAsia="Arial" w:hAnsi="Arial"/>
                <w:sz w:val="11"/>
                <w:szCs w:val="11"/>
                <w:color w:val="auto"/>
              </w:rPr>
              <w:t>Total Stock Awards</w:t>
            </w:r>
          </w:p>
        </w:tc>
      </w:tr>
      <w:tr>
        <w:trPr>
          <w:trHeight w:val="148"/>
        </w:trPr>
        <w:tc>
          <w:tcPr>
            <w:tcW w:w="2520" w:type="dxa"/>
            <w:vAlign w:val="bottom"/>
            <w:tcBorders>
              <w:bottom w:val="single" w:sz="8" w:color="D1D3D4"/>
            </w:tcBorders>
            <w:shd w:val="clear" w:color="auto" w:fill="D1D3D4"/>
          </w:tcPr>
          <w:p>
            <w:pPr>
              <w:ind w:left="40"/>
              <w:spacing w:after="0"/>
              <w:rPr>
                <w:sz w:val="20"/>
                <w:szCs w:val="20"/>
                <w:color w:val="auto"/>
              </w:rPr>
            </w:pPr>
            <w:r>
              <w:rPr>
                <w:rFonts w:ascii="Arial" w:cs="Arial" w:eastAsia="Arial" w:hAnsi="Arial"/>
                <w:sz w:val="11"/>
                <w:szCs w:val="11"/>
                <w:color w:val="auto"/>
              </w:rPr>
              <w:t>Name</w:t>
            </w:r>
          </w:p>
        </w:tc>
        <w:tc>
          <w:tcPr>
            <w:tcW w:w="2320" w:type="dxa"/>
            <w:vAlign w:val="bottom"/>
            <w:tcBorders>
              <w:bottom w:val="single" w:sz="8" w:color="D1D3D4"/>
            </w:tcBorders>
            <w:shd w:val="clear" w:color="auto" w:fill="D1D3D4"/>
          </w:tcPr>
          <w:p>
            <w:pPr>
              <w:jc w:val="right"/>
              <w:ind w:right="698"/>
              <w:spacing w:after="0"/>
              <w:rPr>
                <w:sz w:val="20"/>
                <w:szCs w:val="20"/>
                <w:color w:val="auto"/>
              </w:rPr>
            </w:pPr>
            <w:r>
              <w:rPr>
                <w:rFonts w:ascii="Arial" w:cs="Arial" w:eastAsia="Arial" w:hAnsi="Arial"/>
                <w:sz w:val="11"/>
                <w:szCs w:val="11"/>
                <w:color w:val="auto"/>
              </w:rPr>
              <w:t>Year</w:t>
            </w:r>
          </w:p>
        </w:tc>
        <w:tc>
          <w:tcPr>
            <w:tcW w:w="2240" w:type="dxa"/>
            <w:vAlign w:val="bottom"/>
            <w:tcBorders>
              <w:bottom w:val="single" w:sz="8" w:color="D1D3D4"/>
            </w:tcBorders>
            <w:shd w:val="clear" w:color="auto" w:fill="D1D3D4"/>
          </w:tcPr>
          <w:p>
            <w:pPr>
              <w:jc w:val="right"/>
              <w:ind w:right="798"/>
              <w:spacing w:after="0"/>
              <w:rPr>
                <w:sz w:val="20"/>
                <w:szCs w:val="20"/>
                <w:color w:val="auto"/>
              </w:rPr>
            </w:pPr>
            <w:r>
              <w:rPr>
                <w:rFonts w:ascii="Arial" w:cs="Arial" w:eastAsia="Arial" w:hAnsi="Arial"/>
                <w:sz w:val="11"/>
                <w:szCs w:val="11"/>
                <w:color w:val="auto"/>
              </w:rPr>
              <w:t>($)</w:t>
            </w:r>
          </w:p>
        </w:tc>
        <w:tc>
          <w:tcPr>
            <w:tcW w:w="2060" w:type="dxa"/>
            <w:vAlign w:val="bottom"/>
            <w:tcBorders>
              <w:bottom w:val="single" w:sz="8" w:color="D1D3D4"/>
            </w:tcBorders>
            <w:shd w:val="clear" w:color="auto" w:fill="D1D3D4"/>
          </w:tcPr>
          <w:p>
            <w:pPr>
              <w:jc w:val="right"/>
              <w:ind w:right="538"/>
              <w:spacing w:after="0"/>
              <w:rPr>
                <w:sz w:val="20"/>
                <w:szCs w:val="20"/>
                <w:color w:val="auto"/>
              </w:rPr>
            </w:pPr>
            <w:r>
              <w:rPr>
                <w:rFonts w:ascii="Arial" w:cs="Arial" w:eastAsia="Arial" w:hAnsi="Arial"/>
                <w:sz w:val="11"/>
                <w:szCs w:val="11"/>
                <w:color w:val="auto"/>
              </w:rPr>
              <w:t>($)</w:t>
            </w:r>
          </w:p>
        </w:tc>
        <w:tc>
          <w:tcPr>
            <w:tcW w:w="1560" w:type="dxa"/>
            <w:vAlign w:val="bottom"/>
            <w:tcBorders>
              <w:bottom w:val="single" w:sz="8" w:color="D1D3D4"/>
            </w:tcBorders>
            <w:shd w:val="clear" w:color="auto" w:fill="D1D3D4"/>
          </w:tcPr>
          <w:p>
            <w:pPr>
              <w:jc w:val="right"/>
              <w:spacing w:after="0"/>
              <w:rPr>
                <w:sz w:val="20"/>
                <w:szCs w:val="20"/>
                <w:color w:val="auto"/>
              </w:rPr>
            </w:pPr>
            <w:r>
              <w:rPr>
                <w:rFonts w:ascii="Arial" w:cs="Arial" w:eastAsia="Arial" w:hAnsi="Arial"/>
                <w:sz w:val="11"/>
                <w:szCs w:val="11"/>
                <w:color w:val="auto"/>
              </w:rPr>
              <w:t>($)</w:t>
            </w:r>
          </w:p>
        </w:tc>
      </w:tr>
      <w:tr>
        <w:trPr>
          <w:trHeight w:val="211"/>
        </w:trPr>
        <w:tc>
          <w:tcPr>
            <w:tcW w:w="2520" w:type="dxa"/>
            <w:vAlign w:val="bottom"/>
            <w:shd w:val="clear" w:color="auto" w:fill="F1F2F2"/>
          </w:tcPr>
          <w:p>
            <w:pPr>
              <w:ind w:left="40"/>
              <w:spacing w:after="0"/>
              <w:rPr>
                <w:sz w:val="20"/>
                <w:szCs w:val="20"/>
                <w:color w:val="auto"/>
              </w:rPr>
            </w:pPr>
            <w:r>
              <w:rPr>
                <w:rFonts w:ascii="Arial" w:cs="Arial" w:eastAsia="Arial" w:hAnsi="Arial"/>
                <w:sz w:val="13"/>
                <w:szCs w:val="13"/>
                <w:b w:val="1"/>
                <w:bCs w:val="1"/>
                <w:color w:val="auto"/>
              </w:rPr>
              <w:t>Stefan Larsson</w:t>
            </w:r>
          </w:p>
        </w:tc>
        <w:tc>
          <w:tcPr>
            <w:tcW w:w="2320" w:type="dxa"/>
            <w:vAlign w:val="bottom"/>
            <w:shd w:val="clear" w:color="auto" w:fill="F1F2F2"/>
          </w:tcPr>
          <w:p>
            <w:pPr>
              <w:jc w:val="right"/>
              <w:ind w:right="698"/>
              <w:spacing w:after="0"/>
              <w:rPr>
                <w:sz w:val="20"/>
                <w:szCs w:val="20"/>
                <w:color w:val="auto"/>
              </w:rPr>
            </w:pPr>
            <w:r>
              <w:rPr>
                <w:rFonts w:ascii="Arial" w:cs="Arial" w:eastAsia="Arial" w:hAnsi="Arial"/>
                <w:sz w:val="13"/>
                <w:szCs w:val="13"/>
                <w:color w:val="auto"/>
              </w:rPr>
              <w:t>2025</w:t>
            </w:r>
          </w:p>
        </w:tc>
        <w:tc>
          <w:tcPr>
            <w:tcW w:w="2240" w:type="dxa"/>
            <w:vAlign w:val="bottom"/>
            <w:shd w:val="clear" w:color="auto" w:fill="F1F2F2"/>
          </w:tcPr>
          <w:p>
            <w:pPr>
              <w:jc w:val="right"/>
              <w:ind w:right="798"/>
              <w:spacing w:after="0"/>
              <w:rPr>
                <w:sz w:val="20"/>
                <w:szCs w:val="20"/>
                <w:color w:val="auto"/>
              </w:rPr>
            </w:pPr>
            <w:r>
              <w:rPr>
                <w:rFonts w:ascii="Arial" w:cs="Arial" w:eastAsia="Arial" w:hAnsi="Arial"/>
                <w:sz w:val="13"/>
                <w:szCs w:val="13"/>
                <w:color w:val="auto"/>
              </w:rPr>
              <w:t>5,550,256</w:t>
            </w:r>
          </w:p>
        </w:tc>
        <w:tc>
          <w:tcPr>
            <w:tcW w:w="2060" w:type="dxa"/>
            <w:vAlign w:val="bottom"/>
            <w:shd w:val="clear" w:color="auto" w:fill="F1F2F2"/>
          </w:tcPr>
          <w:p>
            <w:pPr>
              <w:jc w:val="right"/>
              <w:ind w:right="538"/>
              <w:spacing w:after="0"/>
              <w:rPr>
                <w:sz w:val="20"/>
                <w:szCs w:val="20"/>
                <w:color w:val="auto"/>
              </w:rPr>
            </w:pPr>
            <w:r>
              <w:rPr>
                <w:rFonts w:ascii="Arial" w:cs="Arial" w:eastAsia="Arial" w:hAnsi="Arial"/>
                <w:sz w:val="13"/>
                <w:szCs w:val="13"/>
                <w:color w:val="auto"/>
              </w:rPr>
              <w:t>6,650,274</w:t>
            </w:r>
          </w:p>
        </w:tc>
        <w:tc>
          <w:tcPr>
            <w:tcW w:w="15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12,200,530</w:t>
            </w:r>
          </w:p>
        </w:tc>
      </w:tr>
      <w:tr>
        <w:trPr>
          <w:trHeight w:val="182"/>
        </w:trPr>
        <w:tc>
          <w:tcPr>
            <w:tcW w:w="2520" w:type="dxa"/>
            <w:vAlign w:val="bottom"/>
            <w:shd w:val="clear" w:color="auto" w:fill="F1F2F2"/>
          </w:tcPr>
          <w:p>
            <w:pPr>
              <w:spacing w:after="0"/>
              <w:rPr>
                <w:sz w:val="15"/>
                <w:szCs w:val="15"/>
                <w:color w:val="auto"/>
              </w:rPr>
            </w:pPr>
          </w:p>
        </w:tc>
        <w:tc>
          <w:tcPr>
            <w:tcW w:w="2320" w:type="dxa"/>
            <w:vAlign w:val="bottom"/>
            <w:shd w:val="clear" w:color="auto" w:fill="F1F2F2"/>
          </w:tcPr>
          <w:p>
            <w:pPr>
              <w:jc w:val="right"/>
              <w:ind w:right="698"/>
              <w:spacing w:after="0"/>
              <w:rPr>
                <w:sz w:val="20"/>
                <w:szCs w:val="20"/>
                <w:color w:val="auto"/>
              </w:rPr>
            </w:pPr>
            <w:r>
              <w:rPr>
                <w:rFonts w:ascii="Arial" w:cs="Arial" w:eastAsia="Arial" w:hAnsi="Arial"/>
                <w:sz w:val="13"/>
                <w:szCs w:val="13"/>
                <w:color w:val="auto"/>
              </w:rPr>
              <w:t>2024</w:t>
            </w:r>
          </w:p>
        </w:tc>
        <w:tc>
          <w:tcPr>
            <w:tcW w:w="2240" w:type="dxa"/>
            <w:vAlign w:val="bottom"/>
            <w:shd w:val="clear" w:color="auto" w:fill="F1F2F2"/>
          </w:tcPr>
          <w:p>
            <w:pPr>
              <w:jc w:val="right"/>
              <w:ind w:right="798"/>
              <w:spacing w:after="0"/>
              <w:rPr>
                <w:sz w:val="20"/>
                <w:szCs w:val="20"/>
                <w:color w:val="auto"/>
              </w:rPr>
            </w:pPr>
            <w:r>
              <w:rPr>
                <w:rFonts w:ascii="Arial" w:cs="Arial" w:eastAsia="Arial" w:hAnsi="Arial"/>
                <w:sz w:val="13"/>
                <w:szCs w:val="13"/>
                <w:color w:val="auto"/>
              </w:rPr>
              <w:t>3,330,254</w:t>
            </w:r>
          </w:p>
        </w:tc>
        <w:tc>
          <w:tcPr>
            <w:tcW w:w="2060" w:type="dxa"/>
            <w:vAlign w:val="bottom"/>
            <w:shd w:val="clear" w:color="auto" w:fill="F1F2F2"/>
          </w:tcPr>
          <w:p>
            <w:pPr>
              <w:jc w:val="right"/>
              <w:ind w:right="538"/>
              <w:spacing w:after="0"/>
              <w:rPr>
                <w:sz w:val="20"/>
                <w:szCs w:val="20"/>
                <w:color w:val="auto"/>
              </w:rPr>
            </w:pPr>
            <w:r>
              <w:rPr>
                <w:rFonts w:ascii="Arial" w:cs="Arial" w:eastAsia="Arial" w:hAnsi="Arial"/>
                <w:sz w:val="13"/>
                <w:szCs w:val="13"/>
                <w:color w:val="auto"/>
              </w:rPr>
              <w:t>6,039,814</w:t>
            </w:r>
          </w:p>
        </w:tc>
        <w:tc>
          <w:tcPr>
            <w:tcW w:w="15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9,370,068</w:t>
            </w:r>
          </w:p>
        </w:tc>
      </w:tr>
      <w:tr>
        <w:trPr>
          <w:trHeight w:val="246"/>
        </w:trPr>
        <w:tc>
          <w:tcPr>
            <w:tcW w:w="2520" w:type="dxa"/>
            <w:vAlign w:val="bottom"/>
            <w:tcBorders>
              <w:bottom w:val="single" w:sz="8" w:color="F1F2F2"/>
            </w:tcBorders>
            <w:shd w:val="clear" w:color="auto" w:fill="F1F2F2"/>
          </w:tcPr>
          <w:p>
            <w:pPr>
              <w:spacing w:after="0"/>
              <w:rPr>
                <w:sz w:val="21"/>
                <w:szCs w:val="21"/>
                <w:color w:val="auto"/>
              </w:rPr>
            </w:pPr>
          </w:p>
        </w:tc>
        <w:tc>
          <w:tcPr>
            <w:tcW w:w="2320" w:type="dxa"/>
            <w:vAlign w:val="bottom"/>
            <w:tcBorders>
              <w:bottom w:val="single" w:sz="8" w:color="F1F2F2"/>
            </w:tcBorders>
            <w:shd w:val="clear" w:color="auto" w:fill="F1F2F2"/>
          </w:tcPr>
          <w:p>
            <w:pPr>
              <w:jc w:val="right"/>
              <w:ind w:right="698"/>
              <w:spacing w:after="0"/>
              <w:rPr>
                <w:sz w:val="20"/>
                <w:szCs w:val="20"/>
                <w:color w:val="auto"/>
              </w:rPr>
            </w:pPr>
            <w:r>
              <w:rPr>
                <w:rFonts w:ascii="Arial" w:cs="Arial" w:eastAsia="Arial" w:hAnsi="Arial"/>
                <w:sz w:val="13"/>
                <w:szCs w:val="13"/>
                <w:color w:val="auto"/>
              </w:rPr>
              <w:t>2023</w:t>
            </w:r>
          </w:p>
        </w:tc>
        <w:tc>
          <w:tcPr>
            <w:tcW w:w="2240" w:type="dxa"/>
            <w:vAlign w:val="bottom"/>
            <w:tcBorders>
              <w:bottom w:val="single" w:sz="8" w:color="F1F2F2"/>
            </w:tcBorders>
            <w:shd w:val="clear" w:color="auto" w:fill="F1F2F2"/>
          </w:tcPr>
          <w:p>
            <w:pPr>
              <w:jc w:val="right"/>
              <w:ind w:right="798"/>
              <w:spacing w:after="0"/>
              <w:rPr>
                <w:sz w:val="20"/>
                <w:szCs w:val="20"/>
                <w:color w:val="auto"/>
              </w:rPr>
            </w:pPr>
            <w:r>
              <w:rPr>
                <w:rFonts w:ascii="Arial" w:cs="Arial" w:eastAsia="Arial" w:hAnsi="Arial"/>
                <w:sz w:val="13"/>
                <w:szCs w:val="13"/>
                <w:color w:val="auto"/>
              </w:rPr>
              <w:t>3,330,212</w:t>
            </w:r>
          </w:p>
        </w:tc>
        <w:tc>
          <w:tcPr>
            <w:tcW w:w="2060" w:type="dxa"/>
            <w:vAlign w:val="bottom"/>
            <w:tcBorders>
              <w:bottom w:val="single" w:sz="8" w:color="F1F2F2"/>
            </w:tcBorders>
            <w:shd w:val="clear" w:color="auto" w:fill="F1F2F2"/>
          </w:tcPr>
          <w:p>
            <w:pPr>
              <w:jc w:val="right"/>
              <w:ind w:right="538"/>
              <w:spacing w:after="0"/>
              <w:rPr>
                <w:sz w:val="20"/>
                <w:szCs w:val="20"/>
                <w:color w:val="auto"/>
              </w:rPr>
            </w:pPr>
            <w:r>
              <w:rPr>
                <w:rFonts w:ascii="Arial" w:cs="Arial" w:eastAsia="Arial" w:hAnsi="Arial"/>
                <w:sz w:val="13"/>
                <w:szCs w:val="13"/>
                <w:color w:val="auto"/>
              </w:rPr>
              <w:t>5,550,243</w:t>
            </w:r>
            <w:r>
              <w:rPr>
                <w:rFonts w:ascii="Arial" w:cs="Arial" w:eastAsia="Arial" w:hAnsi="Arial"/>
                <w:sz w:val="14"/>
                <w:szCs w:val="14"/>
                <w:color w:val="auto"/>
                <w:vertAlign w:val="superscript"/>
              </w:rPr>
              <w:t>a</w:t>
            </w:r>
          </w:p>
        </w:tc>
        <w:tc>
          <w:tcPr>
            <w:tcW w:w="15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8,880,455</w:t>
            </w:r>
          </w:p>
        </w:tc>
      </w:tr>
      <w:tr>
        <w:trPr>
          <w:trHeight w:val="239"/>
        </w:trPr>
        <w:tc>
          <w:tcPr>
            <w:tcW w:w="2520" w:type="dxa"/>
            <w:vAlign w:val="bottom"/>
          </w:tcPr>
          <w:p>
            <w:pPr>
              <w:ind w:left="40"/>
              <w:spacing w:after="0"/>
              <w:rPr>
                <w:sz w:val="20"/>
                <w:szCs w:val="20"/>
                <w:color w:val="auto"/>
              </w:rPr>
            </w:pPr>
            <w:r>
              <w:rPr>
                <w:rFonts w:ascii="Arial" w:cs="Arial" w:eastAsia="Arial" w:hAnsi="Arial"/>
                <w:sz w:val="13"/>
                <w:szCs w:val="13"/>
                <w:b w:val="1"/>
                <w:bCs w:val="1"/>
                <w:color w:val="auto"/>
              </w:rPr>
              <w:t>Melissa Stone</w:t>
            </w:r>
          </w:p>
        </w:tc>
        <w:tc>
          <w:tcPr>
            <w:tcW w:w="2320" w:type="dxa"/>
            <w:vAlign w:val="bottom"/>
          </w:tcPr>
          <w:p>
            <w:pPr>
              <w:jc w:val="right"/>
              <w:ind w:right="698"/>
              <w:spacing w:after="0"/>
              <w:rPr>
                <w:sz w:val="20"/>
                <w:szCs w:val="20"/>
                <w:color w:val="auto"/>
              </w:rPr>
            </w:pPr>
            <w:r>
              <w:rPr>
                <w:rFonts w:ascii="Arial" w:cs="Arial" w:eastAsia="Arial" w:hAnsi="Arial"/>
                <w:sz w:val="13"/>
                <w:szCs w:val="13"/>
                <w:color w:val="auto"/>
              </w:rPr>
              <w:t>2025</w:t>
            </w:r>
          </w:p>
        </w:tc>
        <w:tc>
          <w:tcPr>
            <w:tcW w:w="2240" w:type="dxa"/>
            <w:vAlign w:val="bottom"/>
          </w:tcPr>
          <w:p>
            <w:pPr>
              <w:jc w:val="right"/>
              <w:ind w:right="798"/>
              <w:spacing w:after="0"/>
              <w:rPr>
                <w:sz w:val="20"/>
                <w:szCs w:val="20"/>
                <w:color w:val="auto"/>
              </w:rPr>
            </w:pPr>
            <w:r>
              <w:rPr>
                <w:rFonts w:ascii="Arial" w:cs="Arial" w:eastAsia="Arial" w:hAnsi="Arial"/>
                <w:sz w:val="13"/>
                <w:szCs w:val="13"/>
                <w:color w:val="auto"/>
              </w:rPr>
              <w:t>500,231</w:t>
            </w:r>
            <w:r>
              <w:rPr>
                <w:rFonts w:ascii="Arial" w:cs="Arial" w:eastAsia="Arial" w:hAnsi="Arial"/>
                <w:sz w:val="14"/>
                <w:szCs w:val="14"/>
                <w:color w:val="auto"/>
                <w:vertAlign w:val="superscript"/>
              </w:rPr>
              <w:t>b</w:t>
            </w:r>
          </w:p>
        </w:tc>
        <w:tc>
          <w:tcPr>
            <w:tcW w:w="2060" w:type="dxa"/>
            <w:vAlign w:val="bottom"/>
          </w:tcPr>
          <w:p>
            <w:pPr>
              <w:jc w:val="right"/>
              <w:ind w:right="538"/>
              <w:spacing w:after="0"/>
              <w:rPr>
                <w:sz w:val="20"/>
                <w:szCs w:val="20"/>
                <w:color w:val="auto"/>
              </w:rPr>
            </w:pPr>
            <w:r>
              <w:rPr>
                <w:rFonts w:ascii="Arial" w:cs="Arial" w:eastAsia="Arial" w:hAnsi="Arial"/>
                <w:sz w:val="13"/>
                <w:szCs w:val="13"/>
                <w:color w:val="auto"/>
              </w:rPr>
              <w:t>N/A</w:t>
            </w:r>
          </w:p>
        </w:tc>
        <w:tc>
          <w:tcPr>
            <w:tcW w:w="1560" w:type="dxa"/>
            <w:vAlign w:val="bottom"/>
          </w:tcPr>
          <w:p>
            <w:pPr>
              <w:jc w:val="right"/>
              <w:spacing w:after="0"/>
              <w:rPr>
                <w:sz w:val="20"/>
                <w:szCs w:val="20"/>
                <w:color w:val="auto"/>
              </w:rPr>
            </w:pPr>
            <w:r>
              <w:rPr>
                <w:rFonts w:ascii="Arial" w:cs="Arial" w:eastAsia="Arial" w:hAnsi="Arial"/>
                <w:sz w:val="13"/>
                <w:szCs w:val="13"/>
                <w:color w:val="auto"/>
              </w:rPr>
              <w:t>500,231</w:t>
            </w:r>
          </w:p>
        </w:tc>
      </w:tr>
      <w:tr>
        <w:trPr>
          <w:trHeight w:val="44"/>
        </w:trPr>
        <w:tc>
          <w:tcPr>
            <w:tcW w:w="25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11"/>
        </w:trPr>
        <w:tc>
          <w:tcPr>
            <w:tcW w:w="2520" w:type="dxa"/>
            <w:vAlign w:val="bottom"/>
            <w:shd w:val="clear" w:color="auto" w:fill="F1F2F2"/>
          </w:tcPr>
          <w:p>
            <w:pPr>
              <w:ind w:left="40"/>
              <w:spacing w:after="0"/>
              <w:rPr>
                <w:sz w:val="20"/>
                <w:szCs w:val="20"/>
                <w:color w:val="auto"/>
              </w:rPr>
            </w:pPr>
            <w:r>
              <w:rPr>
                <w:rFonts w:ascii="Arial" w:cs="Arial" w:eastAsia="Arial" w:hAnsi="Arial"/>
                <w:sz w:val="13"/>
                <w:szCs w:val="13"/>
                <w:b w:val="1"/>
                <w:bCs w:val="1"/>
                <w:color w:val="auto"/>
              </w:rPr>
              <w:t>Lea Rytz Goldman</w:t>
            </w:r>
          </w:p>
        </w:tc>
        <w:tc>
          <w:tcPr>
            <w:tcW w:w="2320" w:type="dxa"/>
            <w:vAlign w:val="bottom"/>
            <w:shd w:val="clear" w:color="auto" w:fill="F1F2F2"/>
          </w:tcPr>
          <w:p>
            <w:pPr>
              <w:jc w:val="right"/>
              <w:ind w:right="698"/>
              <w:spacing w:after="0"/>
              <w:rPr>
                <w:sz w:val="20"/>
                <w:szCs w:val="20"/>
                <w:color w:val="auto"/>
              </w:rPr>
            </w:pPr>
            <w:r>
              <w:rPr>
                <w:rFonts w:ascii="Arial" w:cs="Arial" w:eastAsia="Arial" w:hAnsi="Arial"/>
                <w:sz w:val="13"/>
                <w:szCs w:val="13"/>
                <w:color w:val="auto"/>
              </w:rPr>
              <w:t>2025</w:t>
            </w:r>
          </w:p>
        </w:tc>
        <w:tc>
          <w:tcPr>
            <w:tcW w:w="2240" w:type="dxa"/>
            <w:vAlign w:val="bottom"/>
            <w:shd w:val="clear" w:color="auto" w:fill="F1F2F2"/>
          </w:tcPr>
          <w:p>
            <w:pPr>
              <w:jc w:val="right"/>
              <w:ind w:right="798"/>
              <w:spacing w:after="0"/>
              <w:rPr>
                <w:sz w:val="20"/>
                <w:szCs w:val="20"/>
                <w:color w:val="auto"/>
              </w:rPr>
            </w:pPr>
            <w:r>
              <w:rPr>
                <w:rFonts w:ascii="Arial" w:cs="Arial" w:eastAsia="Arial" w:hAnsi="Arial"/>
                <w:sz w:val="13"/>
                <w:szCs w:val="13"/>
                <w:color w:val="auto"/>
              </w:rPr>
              <w:t>850,268</w:t>
            </w:r>
          </w:p>
        </w:tc>
        <w:tc>
          <w:tcPr>
            <w:tcW w:w="2060" w:type="dxa"/>
            <w:vAlign w:val="bottom"/>
            <w:shd w:val="clear" w:color="auto" w:fill="F1F2F2"/>
          </w:tcPr>
          <w:p>
            <w:pPr>
              <w:jc w:val="right"/>
              <w:ind w:right="538"/>
              <w:spacing w:after="0"/>
              <w:rPr>
                <w:sz w:val="20"/>
                <w:szCs w:val="20"/>
                <w:color w:val="auto"/>
              </w:rPr>
            </w:pPr>
            <w:r>
              <w:rPr>
                <w:rFonts w:ascii="Arial" w:cs="Arial" w:eastAsia="Arial" w:hAnsi="Arial"/>
                <w:sz w:val="13"/>
                <w:szCs w:val="13"/>
                <w:color w:val="auto"/>
              </w:rPr>
              <w:t>1,066,801</w:t>
            </w:r>
          </w:p>
        </w:tc>
        <w:tc>
          <w:tcPr>
            <w:tcW w:w="15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1,917,069</w:t>
            </w:r>
          </w:p>
        </w:tc>
      </w:tr>
      <w:tr>
        <w:trPr>
          <w:trHeight w:val="182"/>
        </w:trPr>
        <w:tc>
          <w:tcPr>
            <w:tcW w:w="2520" w:type="dxa"/>
            <w:vAlign w:val="bottom"/>
            <w:shd w:val="clear" w:color="auto" w:fill="F1F2F2"/>
          </w:tcPr>
          <w:p>
            <w:pPr>
              <w:spacing w:after="0"/>
              <w:rPr>
                <w:sz w:val="15"/>
                <w:szCs w:val="15"/>
                <w:color w:val="auto"/>
              </w:rPr>
            </w:pPr>
          </w:p>
        </w:tc>
        <w:tc>
          <w:tcPr>
            <w:tcW w:w="2320" w:type="dxa"/>
            <w:vAlign w:val="bottom"/>
            <w:shd w:val="clear" w:color="auto" w:fill="F1F2F2"/>
          </w:tcPr>
          <w:p>
            <w:pPr>
              <w:jc w:val="right"/>
              <w:ind w:right="698"/>
              <w:spacing w:after="0"/>
              <w:rPr>
                <w:sz w:val="20"/>
                <w:szCs w:val="20"/>
                <w:color w:val="auto"/>
              </w:rPr>
            </w:pPr>
            <w:r>
              <w:rPr>
                <w:rFonts w:ascii="Arial" w:cs="Arial" w:eastAsia="Arial" w:hAnsi="Arial"/>
                <w:sz w:val="13"/>
                <w:szCs w:val="13"/>
                <w:color w:val="auto"/>
              </w:rPr>
              <w:t>2024</w:t>
            </w:r>
          </w:p>
        </w:tc>
        <w:tc>
          <w:tcPr>
            <w:tcW w:w="2240" w:type="dxa"/>
            <w:vAlign w:val="bottom"/>
            <w:shd w:val="clear" w:color="auto" w:fill="F1F2F2"/>
          </w:tcPr>
          <w:p>
            <w:pPr>
              <w:jc w:val="right"/>
              <w:ind w:right="798"/>
              <w:spacing w:after="0"/>
              <w:rPr>
                <w:sz w:val="20"/>
                <w:szCs w:val="20"/>
                <w:color w:val="auto"/>
              </w:rPr>
            </w:pPr>
            <w:r>
              <w:rPr>
                <w:rFonts w:ascii="Arial" w:cs="Arial" w:eastAsia="Arial" w:hAnsi="Arial"/>
                <w:sz w:val="13"/>
                <w:szCs w:val="13"/>
                <w:color w:val="auto"/>
              </w:rPr>
              <w:t>750,251</w:t>
            </w:r>
          </w:p>
        </w:tc>
        <w:tc>
          <w:tcPr>
            <w:tcW w:w="2060" w:type="dxa"/>
            <w:vAlign w:val="bottom"/>
            <w:shd w:val="clear" w:color="auto" w:fill="F1F2F2"/>
          </w:tcPr>
          <w:p>
            <w:pPr>
              <w:jc w:val="right"/>
              <w:ind w:right="538"/>
              <w:spacing w:after="0"/>
              <w:rPr>
                <w:sz w:val="20"/>
                <w:szCs w:val="20"/>
                <w:color w:val="auto"/>
              </w:rPr>
            </w:pPr>
            <w:r>
              <w:rPr>
                <w:rFonts w:ascii="Arial" w:cs="Arial" w:eastAsia="Arial" w:hAnsi="Arial"/>
                <w:sz w:val="13"/>
                <w:szCs w:val="13"/>
                <w:color w:val="auto"/>
              </w:rPr>
              <w:t>854,227</w:t>
            </w:r>
          </w:p>
        </w:tc>
        <w:tc>
          <w:tcPr>
            <w:tcW w:w="15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1,604,478</w:t>
            </w:r>
          </w:p>
        </w:tc>
      </w:tr>
      <w:tr>
        <w:trPr>
          <w:trHeight w:val="78"/>
        </w:trPr>
        <w:tc>
          <w:tcPr>
            <w:tcW w:w="2520" w:type="dxa"/>
            <w:vAlign w:val="bottom"/>
            <w:shd w:val="clear" w:color="auto" w:fill="F1F2F2"/>
          </w:tcPr>
          <w:p>
            <w:pPr>
              <w:spacing w:after="0"/>
              <w:rPr>
                <w:sz w:val="6"/>
                <w:szCs w:val="6"/>
                <w:color w:val="auto"/>
              </w:rPr>
            </w:pPr>
          </w:p>
        </w:tc>
        <w:tc>
          <w:tcPr>
            <w:tcW w:w="2320" w:type="dxa"/>
            <w:vAlign w:val="bottom"/>
            <w:shd w:val="clear" w:color="auto" w:fill="F1F2F2"/>
          </w:tcPr>
          <w:p>
            <w:pPr>
              <w:spacing w:after="0"/>
              <w:rPr>
                <w:sz w:val="6"/>
                <w:szCs w:val="6"/>
                <w:color w:val="auto"/>
              </w:rPr>
            </w:pPr>
          </w:p>
        </w:tc>
        <w:tc>
          <w:tcPr>
            <w:tcW w:w="2240" w:type="dxa"/>
            <w:vAlign w:val="bottom"/>
            <w:shd w:val="clear" w:color="auto" w:fill="F1F2F2"/>
          </w:tcPr>
          <w:p>
            <w:pPr>
              <w:spacing w:after="0"/>
              <w:rPr>
                <w:sz w:val="6"/>
                <w:szCs w:val="6"/>
                <w:color w:val="auto"/>
              </w:rPr>
            </w:pPr>
          </w:p>
        </w:tc>
        <w:tc>
          <w:tcPr>
            <w:tcW w:w="2060" w:type="dxa"/>
            <w:vAlign w:val="bottom"/>
            <w:shd w:val="clear" w:color="auto" w:fill="F1F2F2"/>
          </w:tcPr>
          <w:p>
            <w:pPr>
              <w:spacing w:after="0"/>
              <w:rPr>
                <w:sz w:val="6"/>
                <w:szCs w:val="6"/>
                <w:color w:val="auto"/>
              </w:rPr>
            </w:pPr>
          </w:p>
        </w:tc>
        <w:tc>
          <w:tcPr>
            <w:tcW w:w="1560" w:type="dxa"/>
            <w:vAlign w:val="bottom"/>
            <w:shd w:val="clear" w:color="auto" w:fill="F1F2F2"/>
          </w:tcPr>
          <w:p>
            <w:pPr>
              <w:spacing w:after="0"/>
              <w:rPr>
                <w:sz w:val="6"/>
                <w:szCs w:val="6"/>
                <w:color w:val="auto"/>
              </w:rPr>
            </w:pPr>
          </w:p>
        </w:tc>
      </w:tr>
      <w:tr>
        <w:trPr>
          <w:trHeight w:val="211"/>
        </w:trPr>
        <w:tc>
          <w:tcPr>
            <w:tcW w:w="2520" w:type="dxa"/>
            <w:vAlign w:val="bottom"/>
          </w:tcPr>
          <w:p>
            <w:pPr>
              <w:ind w:left="40"/>
              <w:spacing w:after="0"/>
              <w:rPr>
                <w:sz w:val="20"/>
                <w:szCs w:val="20"/>
                <w:color w:val="auto"/>
              </w:rPr>
            </w:pPr>
            <w:r>
              <w:rPr>
                <w:rFonts w:ascii="Arial" w:cs="Arial" w:eastAsia="Arial" w:hAnsi="Arial"/>
                <w:sz w:val="13"/>
                <w:szCs w:val="13"/>
                <w:b w:val="1"/>
                <w:bCs w:val="1"/>
                <w:color w:val="auto"/>
              </w:rPr>
              <w:t>Fredrik Olsson</w:t>
            </w:r>
          </w:p>
        </w:tc>
        <w:tc>
          <w:tcPr>
            <w:tcW w:w="2320" w:type="dxa"/>
            <w:vAlign w:val="bottom"/>
          </w:tcPr>
          <w:p>
            <w:pPr>
              <w:jc w:val="right"/>
              <w:ind w:right="698"/>
              <w:spacing w:after="0"/>
              <w:rPr>
                <w:sz w:val="20"/>
                <w:szCs w:val="20"/>
                <w:color w:val="auto"/>
              </w:rPr>
            </w:pPr>
            <w:r>
              <w:rPr>
                <w:rFonts w:ascii="Arial" w:cs="Arial" w:eastAsia="Arial" w:hAnsi="Arial"/>
                <w:sz w:val="13"/>
                <w:szCs w:val="13"/>
                <w:color w:val="auto"/>
              </w:rPr>
              <w:t>2025</w:t>
            </w:r>
          </w:p>
        </w:tc>
        <w:tc>
          <w:tcPr>
            <w:tcW w:w="2240" w:type="dxa"/>
            <w:vAlign w:val="bottom"/>
          </w:tcPr>
          <w:p>
            <w:pPr>
              <w:jc w:val="right"/>
              <w:ind w:right="798"/>
              <w:spacing w:after="0"/>
              <w:rPr>
                <w:sz w:val="20"/>
                <w:szCs w:val="20"/>
                <w:color w:val="auto"/>
              </w:rPr>
            </w:pPr>
            <w:r>
              <w:rPr>
                <w:rFonts w:ascii="Arial" w:cs="Arial" w:eastAsia="Arial" w:hAnsi="Arial"/>
                <w:sz w:val="13"/>
                <w:szCs w:val="13"/>
                <w:color w:val="auto"/>
              </w:rPr>
              <w:t>750,139</w:t>
            </w:r>
          </w:p>
        </w:tc>
        <w:tc>
          <w:tcPr>
            <w:tcW w:w="2060" w:type="dxa"/>
            <w:vAlign w:val="bottom"/>
          </w:tcPr>
          <w:p>
            <w:pPr>
              <w:jc w:val="right"/>
              <w:ind w:right="538"/>
              <w:spacing w:after="0"/>
              <w:rPr>
                <w:sz w:val="20"/>
                <w:szCs w:val="20"/>
                <w:color w:val="auto"/>
              </w:rPr>
            </w:pPr>
            <w:r>
              <w:rPr>
                <w:rFonts w:ascii="Arial" w:cs="Arial" w:eastAsia="Arial" w:hAnsi="Arial"/>
                <w:sz w:val="13"/>
                <w:szCs w:val="13"/>
                <w:color w:val="auto"/>
              </w:rPr>
              <w:t>941,172</w:t>
            </w:r>
          </w:p>
        </w:tc>
        <w:tc>
          <w:tcPr>
            <w:tcW w:w="1560" w:type="dxa"/>
            <w:vAlign w:val="bottom"/>
          </w:tcPr>
          <w:p>
            <w:pPr>
              <w:jc w:val="right"/>
              <w:spacing w:after="0"/>
              <w:rPr>
                <w:sz w:val="20"/>
                <w:szCs w:val="20"/>
                <w:color w:val="auto"/>
              </w:rPr>
            </w:pPr>
            <w:r>
              <w:rPr>
                <w:rFonts w:ascii="Arial" w:cs="Arial" w:eastAsia="Arial" w:hAnsi="Arial"/>
                <w:sz w:val="13"/>
                <w:szCs w:val="13"/>
                <w:color w:val="auto"/>
              </w:rPr>
              <w:t>1,691,311</w:t>
            </w:r>
          </w:p>
        </w:tc>
      </w:tr>
      <w:tr>
        <w:trPr>
          <w:trHeight w:val="72"/>
        </w:trPr>
        <w:tc>
          <w:tcPr>
            <w:tcW w:w="25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60" w:type="dxa"/>
            <w:vAlign w:val="bottom"/>
          </w:tcPr>
          <w:p>
            <w:pPr>
              <w:spacing w:after="0"/>
              <w:rPr>
                <w:sz w:val="6"/>
                <w:szCs w:val="6"/>
                <w:color w:val="auto"/>
              </w:rPr>
            </w:pPr>
          </w:p>
        </w:tc>
      </w:tr>
      <w:tr>
        <w:trPr>
          <w:trHeight w:val="211"/>
        </w:trPr>
        <w:tc>
          <w:tcPr>
            <w:tcW w:w="2520" w:type="dxa"/>
            <w:vAlign w:val="bottom"/>
            <w:shd w:val="clear" w:color="auto" w:fill="F1F2F2"/>
          </w:tcPr>
          <w:p>
            <w:pPr>
              <w:ind w:left="40"/>
              <w:spacing w:after="0"/>
              <w:rPr>
                <w:sz w:val="20"/>
                <w:szCs w:val="20"/>
                <w:color w:val="auto"/>
              </w:rPr>
            </w:pPr>
            <w:r>
              <w:rPr>
                <w:rFonts w:ascii="Arial" w:cs="Arial" w:eastAsia="Arial" w:hAnsi="Arial"/>
                <w:sz w:val="13"/>
                <w:szCs w:val="13"/>
                <w:b w:val="1"/>
                <w:bCs w:val="1"/>
                <w:color w:val="auto"/>
              </w:rPr>
              <w:t>David Savman</w:t>
            </w:r>
          </w:p>
        </w:tc>
        <w:tc>
          <w:tcPr>
            <w:tcW w:w="2320" w:type="dxa"/>
            <w:vAlign w:val="bottom"/>
            <w:shd w:val="clear" w:color="auto" w:fill="F1F2F2"/>
          </w:tcPr>
          <w:p>
            <w:pPr>
              <w:jc w:val="right"/>
              <w:ind w:right="698"/>
              <w:spacing w:after="0"/>
              <w:rPr>
                <w:sz w:val="20"/>
                <w:szCs w:val="20"/>
                <w:color w:val="auto"/>
              </w:rPr>
            </w:pPr>
            <w:r>
              <w:rPr>
                <w:rFonts w:ascii="Arial" w:cs="Arial" w:eastAsia="Arial" w:hAnsi="Arial"/>
                <w:sz w:val="13"/>
                <w:szCs w:val="13"/>
                <w:color w:val="auto"/>
              </w:rPr>
              <w:t>2025</w:t>
            </w:r>
          </w:p>
        </w:tc>
        <w:tc>
          <w:tcPr>
            <w:tcW w:w="2240" w:type="dxa"/>
            <w:vAlign w:val="bottom"/>
            <w:shd w:val="clear" w:color="auto" w:fill="F1F2F2"/>
          </w:tcPr>
          <w:p>
            <w:pPr>
              <w:jc w:val="right"/>
              <w:ind w:right="798"/>
              <w:spacing w:after="0"/>
              <w:rPr>
                <w:sz w:val="20"/>
                <w:szCs w:val="20"/>
                <w:color w:val="auto"/>
              </w:rPr>
            </w:pPr>
            <w:r>
              <w:rPr>
                <w:rFonts w:ascii="Arial" w:cs="Arial" w:eastAsia="Arial" w:hAnsi="Arial"/>
                <w:sz w:val="13"/>
                <w:szCs w:val="13"/>
                <w:color w:val="auto"/>
              </w:rPr>
              <w:t>775,033</w:t>
            </w:r>
          </w:p>
        </w:tc>
        <w:tc>
          <w:tcPr>
            <w:tcW w:w="2060" w:type="dxa"/>
            <w:vAlign w:val="bottom"/>
            <w:shd w:val="clear" w:color="auto" w:fill="F1F2F2"/>
          </w:tcPr>
          <w:p>
            <w:pPr>
              <w:jc w:val="right"/>
              <w:ind w:right="538"/>
              <w:spacing w:after="0"/>
              <w:rPr>
                <w:sz w:val="20"/>
                <w:szCs w:val="20"/>
                <w:color w:val="auto"/>
              </w:rPr>
            </w:pPr>
            <w:r>
              <w:rPr>
                <w:rFonts w:ascii="Arial" w:cs="Arial" w:eastAsia="Arial" w:hAnsi="Arial"/>
                <w:sz w:val="13"/>
                <w:szCs w:val="13"/>
                <w:color w:val="auto"/>
              </w:rPr>
              <w:t>972,406</w:t>
            </w:r>
          </w:p>
        </w:tc>
        <w:tc>
          <w:tcPr>
            <w:tcW w:w="15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1,747,439</w:t>
            </w:r>
          </w:p>
        </w:tc>
      </w:tr>
      <w:tr>
        <w:trPr>
          <w:trHeight w:val="182"/>
        </w:trPr>
        <w:tc>
          <w:tcPr>
            <w:tcW w:w="2520" w:type="dxa"/>
            <w:vAlign w:val="bottom"/>
            <w:shd w:val="clear" w:color="auto" w:fill="F1F2F2"/>
          </w:tcPr>
          <w:p>
            <w:pPr>
              <w:spacing w:after="0"/>
              <w:rPr>
                <w:sz w:val="15"/>
                <w:szCs w:val="15"/>
                <w:color w:val="auto"/>
              </w:rPr>
            </w:pPr>
          </w:p>
        </w:tc>
        <w:tc>
          <w:tcPr>
            <w:tcW w:w="2320" w:type="dxa"/>
            <w:vAlign w:val="bottom"/>
            <w:shd w:val="clear" w:color="auto" w:fill="F1F2F2"/>
          </w:tcPr>
          <w:p>
            <w:pPr>
              <w:jc w:val="right"/>
              <w:ind w:right="698"/>
              <w:spacing w:after="0"/>
              <w:rPr>
                <w:sz w:val="20"/>
                <w:szCs w:val="20"/>
                <w:color w:val="auto"/>
              </w:rPr>
            </w:pPr>
            <w:r>
              <w:rPr>
                <w:rFonts w:ascii="Arial" w:cs="Arial" w:eastAsia="Arial" w:hAnsi="Arial"/>
                <w:sz w:val="13"/>
                <w:szCs w:val="13"/>
                <w:color w:val="auto"/>
              </w:rPr>
              <w:t>2024</w:t>
            </w:r>
          </w:p>
        </w:tc>
        <w:tc>
          <w:tcPr>
            <w:tcW w:w="2240" w:type="dxa"/>
            <w:vAlign w:val="bottom"/>
            <w:shd w:val="clear" w:color="auto" w:fill="F1F2F2"/>
          </w:tcPr>
          <w:p>
            <w:pPr>
              <w:jc w:val="right"/>
              <w:ind w:right="798"/>
              <w:spacing w:after="0"/>
              <w:rPr>
                <w:sz w:val="20"/>
                <w:szCs w:val="20"/>
                <w:color w:val="auto"/>
              </w:rPr>
            </w:pPr>
            <w:r>
              <w:rPr>
                <w:rFonts w:ascii="Arial" w:cs="Arial" w:eastAsia="Arial" w:hAnsi="Arial"/>
                <w:sz w:val="13"/>
                <w:szCs w:val="13"/>
                <w:color w:val="auto"/>
              </w:rPr>
              <w:t>500,021</w:t>
            </w:r>
          </w:p>
        </w:tc>
        <w:tc>
          <w:tcPr>
            <w:tcW w:w="2060" w:type="dxa"/>
            <w:vAlign w:val="bottom"/>
            <w:shd w:val="clear" w:color="auto" w:fill="F1F2F2"/>
          </w:tcPr>
          <w:p>
            <w:pPr>
              <w:jc w:val="right"/>
              <w:ind w:right="538"/>
              <w:spacing w:after="0"/>
              <w:rPr>
                <w:sz w:val="20"/>
                <w:szCs w:val="20"/>
                <w:color w:val="auto"/>
              </w:rPr>
            </w:pPr>
            <w:r>
              <w:rPr>
                <w:rFonts w:ascii="Arial" w:cs="Arial" w:eastAsia="Arial" w:hAnsi="Arial"/>
                <w:sz w:val="13"/>
                <w:szCs w:val="13"/>
                <w:color w:val="auto"/>
              </w:rPr>
              <w:t>569,318</w:t>
            </w:r>
          </w:p>
        </w:tc>
        <w:tc>
          <w:tcPr>
            <w:tcW w:w="15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1,069,339</w:t>
            </w:r>
          </w:p>
        </w:tc>
      </w:tr>
      <w:tr>
        <w:trPr>
          <w:trHeight w:val="78"/>
        </w:trPr>
        <w:tc>
          <w:tcPr>
            <w:tcW w:w="2520" w:type="dxa"/>
            <w:vAlign w:val="bottom"/>
            <w:shd w:val="clear" w:color="auto" w:fill="F1F2F2"/>
          </w:tcPr>
          <w:p>
            <w:pPr>
              <w:spacing w:after="0"/>
              <w:rPr>
                <w:sz w:val="6"/>
                <w:szCs w:val="6"/>
                <w:color w:val="auto"/>
              </w:rPr>
            </w:pPr>
          </w:p>
        </w:tc>
        <w:tc>
          <w:tcPr>
            <w:tcW w:w="2320" w:type="dxa"/>
            <w:vAlign w:val="bottom"/>
            <w:shd w:val="clear" w:color="auto" w:fill="F1F2F2"/>
          </w:tcPr>
          <w:p>
            <w:pPr>
              <w:spacing w:after="0"/>
              <w:rPr>
                <w:sz w:val="6"/>
                <w:szCs w:val="6"/>
                <w:color w:val="auto"/>
              </w:rPr>
            </w:pPr>
          </w:p>
        </w:tc>
        <w:tc>
          <w:tcPr>
            <w:tcW w:w="2240" w:type="dxa"/>
            <w:vAlign w:val="bottom"/>
            <w:shd w:val="clear" w:color="auto" w:fill="F1F2F2"/>
          </w:tcPr>
          <w:p>
            <w:pPr>
              <w:spacing w:after="0"/>
              <w:rPr>
                <w:sz w:val="6"/>
                <w:szCs w:val="6"/>
                <w:color w:val="auto"/>
              </w:rPr>
            </w:pPr>
          </w:p>
        </w:tc>
        <w:tc>
          <w:tcPr>
            <w:tcW w:w="2060" w:type="dxa"/>
            <w:vAlign w:val="bottom"/>
            <w:shd w:val="clear" w:color="auto" w:fill="F1F2F2"/>
          </w:tcPr>
          <w:p>
            <w:pPr>
              <w:spacing w:after="0"/>
              <w:rPr>
                <w:sz w:val="6"/>
                <w:szCs w:val="6"/>
                <w:color w:val="auto"/>
              </w:rPr>
            </w:pPr>
          </w:p>
        </w:tc>
        <w:tc>
          <w:tcPr>
            <w:tcW w:w="1560" w:type="dxa"/>
            <w:vAlign w:val="bottom"/>
            <w:shd w:val="clear" w:color="auto" w:fill="F1F2F2"/>
          </w:tcPr>
          <w:p>
            <w:pPr>
              <w:spacing w:after="0"/>
              <w:rPr>
                <w:sz w:val="6"/>
                <w:szCs w:val="6"/>
                <w:color w:val="auto"/>
              </w:rPr>
            </w:pPr>
          </w:p>
        </w:tc>
      </w:tr>
      <w:tr>
        <w:trPr>
          <w:trHeight w:val="211"/>
        </w:trPr>
        <w:tc>
          <w:tcPr>
            <w:tcW w:w="2520" w:type="dxa"/>
            <w:vAlign w:val="bottom"/>
          </w:tcPr>
          <w:p>
            <w:pPr>
              <w:ind w:left="40"/>
              <w:spacing w:after="0"/>
              <w:rPr>
                <w:sz w:val="20"/>
                <w:szCs w:val="20"/>
                <w:color w:val="auto"/>
              </w:rPr>
            </w:pPr>
            <w:r>
              <w:rPr>
                <w:rFonts w:ascii="Arial" w:cs="Arial" w:eastAsia="Arial" w:hAnsi="Arial"/>
                <w:sz w:val="13"/>
                <w:szCs w:val="13"/>
                <w:b w:val="1"/>
                <w:bCs w:val="1"/>
                <w:color w:val="auto"/>
              </w:rPr>
              <w:t>Zachary J. Coughlin</w:t>
            </w:r>
          </w:p>
        </w:tc>
        <w:tc>
          <w:tcPr>
            <w:tcW w:w="2320" w:type="dxa"/>
            <w:vAlign w:val="bottom"/>
          </w:tcPr>
          <w:p>
            <w:pPr>
              <w:jc w:val="right"/>
              <w:ind w:right="698"/>
              <w:spacing w:after="0"/>
              <w:rPr>
                <w:sz w:val="20"/>
                <w:szCs w:val="20"/>
                <w:color w:val="auto"/>
              </w:rPr>
            </w:pPr>
            <w:r>
              <w:rPr>
                <w:rFonts w:ascii="Arial" w:cs="Arial" w:eastAsia="Arial" w:hAnsi="Arial"/>
                <w:sz w:val="13"/>
                <w:szCs w:val="13"/>
                <w:color w:val="auto"/>
              </w:rPr>
              <w:t>2025</w:t>
            </w:r>
          </w:p>
        </w:tc>
        <w:tc>
          <w:tcPr>
            <w:tcW w:w="2240" w:type="dxa"/>
            <w:vAlign w:val="bottom"/>
          </w:tcPr>
          <w:p>
            <w:pPr>
              <w:jc w:val="right"/>
              <w:ind w:right="798"/>
              <w:spacing w:after="0"/>
              <w:rPr>
                <w:sz w:val="20"/>
                <w:szCs w:val="20"/>
                <w:color w:val="auto"/>
              </w:rPr>
            </w:pPr>
            <w:r>
              <w:rPr>
                <w:rFonts w:ascii="Arial" w:cs="Arial" w:eastAsia="Arial" w:hAnsi="Arial"/>
                <w:sz w:val="13"/>
                <w:szCs w:val="13"/>
                <w:color w:val="auto"/>
              </w:rPr>
              <w:t>1,950,030</w:t>
            </w:r>
          </w:p>
        </w:tc>
        <w:tc>
          <w:tcPr>
            <w:tcW w:w="2060" w:type="dxa"/>
            <w:vAlign w:val="bottom"/>
          </w:tcPr>
          <w:p>
            <w:pPr>
              <w:jc w:val="right"/>
              <w:ind w:right="538"/>
              <w:spacing w:after="0"/>
              <w:rPr>
                <w:sz w:val="20"/>
                <w:szCs w:val="20"/>
                <w:color w:val="auto"/>
              </w:rPr>
            </w:pPr>
            <w:r>
              <w:rPr>
                <w:rFonts w:ascii="Arial" w:cs="Arial" w:eastAsia="Arial" w:hAnsi="Arial"/>
                <w:sz w:val="13"/>
                <w:szCs w:val="13"/>
                <w:color w:val="auto"/>
              </w:rPr>
              <w:t>2,446,632</w:t>
            </w:r>
          </w:p>
        </w:tc>
        <w:tc>
          <w:tcPr>
            <w:tcW w:w="1560" w:type="dxa"/>
            <w:vAlign w:val="bottom"/>
          </w:tcPr>
          <w:p>
            <w:pPr>
              <w:jc w:val="right"/>
              <w:spacing w:after="0"/>
              <w:rPr>
                <w:sz w:val="20"/>
                <w:szCs w:val="20"/>
                <w:color w:val="auto"/>
              </w:rPr>
            </w:pPr>
            <w:r>
              <w:rPr>
                <w:rFonts w:ascii="Arial" w:cs="Arial" w:eastAsia="Arial" w:hAnsi="Arial"/>
                <w:sz w:val="13"/>
                <w:szCs w:val="13"/>
                <w:color w:val="auto"/>
              </w:rPr>
              <w:t>4,396,662</w:t>
            </w:r>
          </w:p>
        </w:tc>
      </w:tr>
      <w:tr>
        <w:trPr>
          <w:trHeight w:val="182"/>
        </w:trPr>
        <w:tc>
          <w:tcPr>
            <w:tcW w:w="2520" w:type="dxa"/>
            <w:vAlign w:val="bottom"/>
          </w:tcPr>
          <w:p>
            <w:pPr>
              <w:spacing w:after="0"/>
              <w:rPr>
                <w:sz w:val="15"/>
                <w:szCs w:val="15"/>
                <w:color w:val="auto"/>
              </w:rPr>
            </w:pPr>
          </w:p>
        </w:tc>
        <w:tc>
          <w:tcPr>
            <w:tcW w:w="2320" w:type="dxa"/>
            <w:vAlign w:val="bottom"/>
          </w:tcPr>
          <w:p>
            <w:pPr>
              <w:jc w:val="right"/>
              <w:ind w:right="698"/>
              <w:spacing w:after="0"/>
              <w:rPr>
                <w:sz w:val="20"/>
                <w:szCs w:val="20"/>
                <w:color w:val="auto"/>
              </w:rPr>
            </w:pPr>
            <w:r>
              <w:rPr>
                <w:rFonts w:ascii="Arial" w:cs="Arial" w:eastAsia="Arial" w:hAnsi="Arial"/>
                <w:sz w:val="13"/>
                <w:szCs w:val="13"/>
                <w:color w:val="auto"/>
              </w:rPr>
              <w:t>2024</w:t>
            </w:r>
          </w:p>
        </w:tc>
        <w:tc>
          <w:tcPr>
            <w:tcW w:w="2240" w:type="dxa"/>
            <w:vAlign w:val="bottom"/>
          </w:tcPr>
          <w:p>
            <w:pPr>
              <w:jc w:val="right"/>
              <w:ind w:right="798"/>
              <w:spacing w:after="0"/>
              <w:rPr>
                <w:sz w:val="20"/>
                <w:szCs w:val="20"/>
                <w:color w:val="auto"/>
              </w:rPr>
            </w:pPr>
            <w:r>
              <w:rPr>
                <w:rFonts w:ascii="Arial" w:cs="Arial" w:eastAsia="Arial" w:hAnsi="Arial"/>
                <w:sz w:val="13"/>
                <w:szCs w:val="13"/>
                <w:color w:val="auto"/>
              </w:rPr>
              <w:t>1,080,379</w:t>
            </w:r>
          </w:p>
        </w:tc>
        <w:tc>
          <w:tcPr>
            <w:tcW w:w="2060" w:type="dxa"/>
            <w:vAlign w:val="bottom"/>
          </w:tcPr>
          <w:p>
            <w:pPr>
              <w:jc w:val="right"/>
              <w:ind w:right="538"/>
              <w:spacing w:after="0"/>
              <w:rPr>
                <w:sz w:val="20"/>
                <w:szCs w:val="20"/>
                <w:color w:val="auto"/>
              </w:rPr>
            </w:pPr>
            <w:r>
              <w:rPr>
                <w:rFonts w:ascii="Arial" w:cs="Arial" w:eastAsia="Arial" w:hAnsi="Arial"/>
                <w:sz w:val="13"/>
                <w:szCs w:val="13"/>
                <w:color w:val="auto"/>
              </w:rPr>
              <w:t>2,049,844</w:t>
            </w:r>
          </w:p>
        </w:tc>
        <w:tc>
          <w:tcPr>
            <w:tcW w:w="1560" w:type="dxa"/>
            <w:vAlign w:val="bottom"/>
          </w:tcPr>
          <w:p>
            <w:pPr>
              <w:jc w:val="right"/>
              <w:spacing w:after="0"/>
              <w:rPr>
                <w:sz w:val="20"/>
                <w:szCs w:val="20"/>
                <w:color w:val="auto"/>
              </w:rPr>
            </w:pPr>
            <w:r>
              <w:rPr>
                <w:rFonts w:ascii="Arial" w:cs="Arial" w:eastAsia="Arial" w:hAnsi="Arial"/>
                <w:sz w:val="13"/>
                <w:szCs w:val="13"/>
                <w:color w:val="auto"/>
              </w:rPr>
              <w:t>3,130,223</w:t>
            </w:r>
          </w:p>
        </w:tc>
      </w:tr>
      <w:tr>
        <w:trPr>
          <w:trHeight w:val="222"/>
        </w:trPr>
        <w:tc>
          <w:tcPr>
            <w:tcW w:w="2520" w:type="dxa"/>
            <w:vAlign w:val="bottom"/>
          </w:tcPr>
          <w:p>
            <w:pPr>
              <w:spacing w:after="0"/>
              <w:rPr>
                <w:sz w:val="19"/>
                <w:szCs w:val="19"/>
                <w:color w:val="auto"/>
              </w:rPr>
            </w:pPr>
          </w:p>
        </w:tc>
        <w:tc>
          <w:tcPr>
            <w:tcW w:w="2320" w:type="dxa"/>
            <w:vAlign w:val="bottom"/>
          </w:tcPr>
          <w:p>
            <w:pPr>
              <w:jc w:val="right"/>
              <w:ind w:right="698"/>
              <w:spacing w:after="0"/>
              <w:rPr>
                <w:sz w:val="20"/>
                <w:szCs w:val="20"/>
                <w:color w:val="auto"/>
              </w:rPr>
            </w:pPr>
            <w:r>
              <w:rPr>
                <w:rFonts w:ascii="Arial" w:cs="Arial" w:eastAsia="Arial" w:hAnsi="Arial"/>
                <w:sz w:val="13"/>
                <w:szCs w:val="13"/>
                <w:color w:val="auto"/>
              </w:rPr>
              <w:t>2023</w:t>
            </w:r>
          </w:p>
        </w:tc>
        <w:tc>
          <w:tcPr>
            <w:tcW w:w="2240" w:type="dxa"/>
            <w:vAlign w:val="bottom"/>
          </w:tcPr>
          <w:p>
            <w:pPr>
              <w:jc w:val="right"/>
              <w:ind w:right="798"/>
              <w:spacing w:after="0"/>
              <w:rPr>
                <w:sz w:val="20"/>
                <w:szCs w:val="20"/>
                <w:color w:val="auto"/>
              </w:rPr>
            </w:pPr>
            <w:r>
              <w:rPr>
                <w:rFonts w:ascii="Arial" w:cs="Arial" w:eastAsia="Arial" w:hAnsi="Arial"/>
                <w:sz w:val="13"/>
                <w:szCs w:val="13"/>
                <w:color w:val="auto"/>
              </w:rPr>
              <w:t>990,181</w:t>
            </w:r>
          </w:p>
        </w:tc>
        <w:tc>
          <w:tcPr>
            <w:tcW w:w="2060" w:type="dxa"/>
            <w:vAlign w:val="bottom"/>
          </w:tcPr>
          <w:p>
            <w:pPr>
              <w:jc w:val="right"/>
              <w:ind w:right="538"/>
              <w:spacing w:after="0"/>
              <w:rPr>
                <w:sz w:val="20"/>
                <w:szCs w:val="20"/>
                <w:color w:val="auto"/>
              </w:rPr>
            </w:pPr>
            <w:r>
              <w:rPr>
                <w:rFonts w:ascii="Arial" w:cs="Arial" w:eastAsia="Arial" w:hAnsi="Arial"/>
                <w:sz w:val="13"/>
                <w:szCs w:val="13"/>
                <w:color w:val="auto"/>
              </w:rPr>
              <w:t>1,650,372</w:t>
            </w:r>
            <w:r>
              <w:rPr>
                <w:rFonts w:ascii="Arial" w:cs="Arial" w:eastAsia="Arial" w:hAnsi="Arial"/>
                <w:sz w:val="14"/>
                <w:szCs w:val="14"/>
                <w:color w:val="auto"/>
                <w:vertAlign w:val="superscript"/>
              </w:rPr>
              <w:t>a</w:t>
            </w:r>
          </w:p>
        </w:tc>
        <w:tc>
          <w:tcPr>
            <w:tcW w:w="1560" w:type="dxa"/>
            <w:vAlign w:val="bottom"/>
          </w:tcPr>
          <w:p>
            <w:pPr>
              <w:jc w:val="right"/>
              <w:spacing w:after="0"/>
              <w:rPr>
                <w:sz w:val="20"/>
                <w:szCs w:val="20"/>
                <w:color w:val="auto"/>
              </w:rPr>
            </w:pPr>
            <w:r>
              <w:rPr>
                <w:rFonts w:ascii="Arial" w:cs="Arial" w:eastAsia="Arial" w:hAnsi="Arial"/>
                <w:sz w:val="13"/>
                <w:szCs w:val="13"/>
                <w:color w:val="auto"/>
              </w:rPr>
              <w:t>2,640,553</w:t>
            </w:r>
          </w:p>
        </w:tc>
      </w:tr>
      <w:tr>
        <w:trPr>
          <w:trHeight w:val="44"/>
        </w:trPr>
        <w:tc>
          <w:tcPr>
            <w:tcW w:w="25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11"/>
        </w:trPr>
        <w:tc>
          <w:tcPr>
            <w:tcW w:w="2520" w:type="dxa"/>
            <w:vAlign w:val="bottom"/>
            <w:shd w:val="clear" w:color="auto" w:fill="F1F2F2"/>
          </w:tcPr>
          <w:p>
            <w:pPr>
              <w:ind w:left="40"/>
              <w:spacing w:after="0"/>
              <w:rPr>
                <w:sz w:val="20"/>
                <w:szCs w:val="20"/>
                <w:color w:val="auto"/>
              </w:rPr>
            </w:pPr>
            <w:r>
              <w:rPr>
                <w:rFonts w:ascii="Arial" w:cs="Arial" w:eastAsia="Arial" w:hAnsi="Arial"/>
                <w:sz w:val="13"/>
                <w:szCs w:val="13"/>
                <w:b w:val="1"/>
                <w:bCs w:val="1"/>
                <w:color w:val="auto"/>
              </w:rPr>
              <w:t>Eva Serrano</w:t>
            </w:r>
          </w:p>
        </w:tc>
        <w:tc>
          <w:tcPr>
            <w:tcW w:w="2320" w:type="dxa"/>
            <w:vAlign w:val="bottom"/>
            <w:shd w:val="clear" w:color="auto" w:fill="F1F2F2"/>
          </w:tcPr>
          <w:p>
            <w:pPr>
              <w:jc w:val="right"/>
              <w:ind w:right="698"/>
              <w:spacing w:after="0"/>
              <w:rPr>
                <w:sz w:val="20"/>
                <w:szCs w:val="20"/>
                <w:color w:val="auto"/>
              </w:rPr>
            </w:pPr>
            <w:r>
              <w:rPr>
                <w:rFonts w:ascii="Arial" w:cs="Arial" w:eastAsia="Arial" w:hAnsi="Arial"/>
                <w:sz w:val="13"/>
                <w:szCs w:val="13"/>
                <w:color w:val="auto"/>
              </w:rPr>
              <w:t>2025</w:t>
            </w:r>
          </w:p>
        </w:tc>
        <w:tc>
          <w:tcPr>
            <w:tcW w:w="2240" w:type="dxa"/>
            <w:vAlign w:val="bottom"/>
            <w:shd w:val="clear" w:color="auto" w:fill="F1F2F2"/>
          </w:tcPr>
          <w:p>
            <w:pPr>
              <w:jc w:val="right"/>
              <w:ind w:right="798"/>
              <w:spacing w:after="0"/>
              <w:rPr>
                <w:sz w:val="20"/>
                <w:szCs w:val="20"/>
                <w:color w:val="auto"/>
              </w:rPr>
            </w:pPr>
            <w:r>
              <w:rPr>
                <w:rFonts w:ascii="Arial" w:cs="Arial" w:eastAsia="Arial" w:hAnsi="Arial"/>
                <w:sz w:val="13"/>
                <w:szCs w:val="13"/>
                <w:color w:val="auto"/>
              </w:rPr>
              <w:t>850,268</w:t>
            </w:r>
          </w:p>
        </w:tc>
        <w:tc>
          <w:tcPr>
            <w:tcW w:w="2060" w:type="dxa"/>
            <w:vAlign w:val="bottom"/>
            <w:shd w:val="clear" w:color="auto" w:fill="F1F2F2"/>
          </w:tcPr>
          <w:p>
            <w:pPr>
              <w:jc w:val="right"/>
              <w:ind w:right="538"/>
              <w:spacing w:after="0"/>
              <w:rPr>
                <w:sz w:val="20"/>
                <w:szCs w:val="20"/>
                <w:color w:val="auto"/>
              </w:rPr>
            </w:pPr>
            <w:r>
              <w:rPr>
                <w:rFonts w:ascii="Arial" w:cs="Arial" w:eastAsia="Arial" w:hAnsi="Arial"/>
                <w:sz w:val="13"/>
                <w:szCs w:val="13"/>
                <w:color w:val="auto"/>
              </w:rPr>
              <w:t>1,066,801</w:t>
            </w:r>
          </w:p>
        </w:tc>
        <w:tc>
          <w:tcPr>
            <w:tcW w:w="15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1,917,069</w:t>
            </w:r>
          </w:p>
        </w:tc>
      </w:tr>
      <w:tr>
        <w:trPr>
          <w:trHeight w:val="206"/>
        </w:trPr>
        <w:tc>
          <w:tcPr>
            <w:tcW w:w="2520" w:type="dxa"/>
            <w:vAlign w:val="bottom"/>
            <w:shd w:val="clear" w:color="auto" w:fill="F1F2F2"/>
          </w:tcPr>
          <w:p>
            <w:pPr>
              <w:spacing w:after="0"/>
              <w:rPr>
                <w:sz w:val="17"/>
                <w:szCs w:val="17"/>
                <w:color w:val="auto"/>
              </w:rPr>
            </w:pPr>
          </w:p>
        </w:tc>
        <w:tc>
          <w:tcPr>
            <w:tcW w:w="2320" w:type="dxa"/>
            <w:vAlign w:val="bottom"/>
            <w:shd w:val="clear" w:color="auto" w:fill="F1F2F2"/>
          </w:tcPr>
          <w:p>
            <w:pPr>
              <w:jc w:val="right"/>
              <w:ind w:right="698"/>
              <w:spacing w:after="0"/>
              <w:rPr>
                <w:sz w:val="20"/>
                <w:szCs w:val="20"/>
                <w:color w:val="auto"/>
              </w:rPr>
            </w:pPr>
            <w:r>
              <w:rPr>
                <w:rFonts w:ascii="Arial" w:cs="Arial" w:eastAsia="Arial" w:hAnsi="Arial"/>
                <w:sz w:val="13"/>
                <w:szCs w:val="13"/>
                <w:color w:val="auto"/>
              </w:rPr>
              <w:t>2024</w:t>
            </w:r>
          </w:p>
        </w:tc>
        <w:tc>
          <w:tcPr>
            <w:tcW w:w="2240" w:type="dxa"/>
            <w:vAlign w:val="bottom"/>
            <w:shd w:val="clear" w:color="auto" w:fill="F1F2F2"/>
          </w:tcPr>
          <w:p>
            <w:pPr>
              <w:jc w:val="right"/>
              <w:ind w:right="798"/>
              <w:spacing w:after="0"/>
              <w:rPr>
                <w:sz w:val="20"/>
                <w:szCs w:val="20"/>
                <w:color w:val="auto"/>
              </w:rPr>
            </w:pPr>
            <w:r>
              <w:rPr>
                <w:rFonts w:ascii="Arial" w:cs="Arial" w:eastAsia="Arial" w:hAnsi="Arial"/>
                <w:sz w:val="13"/>
                <w:szCs w:val="13"/>
                <w:color w:val="auto"/>
              </w:rPr>
              <w:t>850,343</w:t>
            </w:r>
          </w:p>
        </w:tc>
        <w:tc>
          <w:tcPr>
            <w:tcW w:w="2060" w:type="dxa"/>
            <w:vAlign w:val="bottom"/>
            <w:shd w:val="clear" w:color="auto" w:fill="F1F2F2"/>
          </w:tcPr>
          <w:p>
            <w:pPr>
              <w:jc w:val="right"/>
              <w:ind w:right="538"/>
              <w:spacing w:after="0"/>
              <w:rPr>
                <w:sz w:val="20"/>
                <w:szCs w:val="20"/>
                <w:color w:val="auto"/>
              </w:rPr>
            </w:pPr>
            <w:r>
              <w:rPr>
                <w:rFonts w:ascii="Arial" w:cs="Arial" w:eastAsia="Arial" w:hAnsi="Arial"/>
                <w:sz w:val="13"/>
                <w:szCs w:val="13"/>
                <w:color w:val="auto"/>
              </w:rPr>
              <w:t>968,190</w:t>
            </w:r>
          </w:p>
        </w:tc>
        <w:tc>
          <w:tcPr>
            <w:tcW w:w="15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1,818,533</w:t>
            </w:r>
          </w:p>
        </w:tc>
      </w:tr>
      <w:tr>
        <w:trPr>
          <w:trHeight w:val="234"/>
        </w:trPr>
        <w:tc>
          <w:tcPr>
            <w:tcW w:w="2520" w:type="dxa"/>
            <w:vAlign w:val="bottom"/>
            <w:shd w:val="clear" w:color="auto" w:fill="F1F2F2"/>
          </w:tcPr>
          <w:p>
            <w:pPr>
              <w:spacing w:after="0"/>
              <w:rPr>
                <w:sz w:val="20"/>
                <w:szCs w:val="20"/>
                <w:color w:val="auto"/>
              </w:rPr>
            </w:pPr>
          </w:p>
        </w:tc>
        <w:tc>
          <w:tcPr>
            <w:tcW w:w="2320" w:type="dxa"/>
            <w:vAlign w:val="bottom"/>
            <w:shd w:val="clear" w:color="auto" w:fill="F1F2F2"/>
          </w:tcPr>
          <w:p>
            <w:pPr>
              <w:jc w:val="right"/>
              <w:ind w:right="698"/>
              <w:spacing w:after="0"/>
              <w:rPr>
                <w:sz w:val="20"/>
                <w:szCs w:val="20"/>
                <w:color w:val="auto"/>
              </w:rPr>
            </w:pPr>
            <w:r>
              <w:rPr>
                <w:rFonts w:ascii="Arial" w:cs="Arial" w:eastAsia="Arial" w:hAnsi="Arial"/>
                <w:sz w:val="13"/>
                <w:szCs w:val="13"/>
                <w:color w:val="auto"/>
              </w:rPr>
              <w:t>2023</w:t>
            </w:r>
          </w:p>
        </w:tc>
        <w:tc>
          <w:tcPr>
            <w:tcW w:w="2240" w:type="dxa"/>
            <w:vAlign w:val="bottom"/>
            <w:shd w:val="clear" w:color="auto" w:fill="F1F2F2"/>
          </w:tcPr>
          <w:p>
            <w:pPr>
              <w:jc w:val="right"/>
              <w:ind w:right="798"/>
              <w:spacing w:after="0"/>
              <w:rPr>
                <w:sz w:val="20"/>
                <w:szCs w:val="20"/>
                <w:color w:val="auto"/>
              </w:rPr>
            </w:pPr>
            <w:r>
              <w:rPr>
                <w:rFonts w:ascii="Arial" w:cs="Arial" w:eastAsia="Arial" w:hAnsi="Arial"/>
                <w:sz w:val="13"/>
                <w:szCs w:val="13"/>
                <w:color w:val="auto"/>
              </w:rPr>
              <w:t>1,750,414</w:t>
            </w:r>
            <w:r>
              <w:rPr>
                <w:rFonts w:ascii="Arial" w:cs="Arial" w:eastAsia="Arial" w:hAnsi="Arial"/>
                <w:sz w:val="14"/>
                <w:szCs w:val="14"/>
                <w:color w:val="auto"/>
                <w:vertAlign w:val="superscript"/>
              </w:rPr>
              <w:t>b</w:t>
            </w:r>
          </w:p>
        </w:tc>
        <w:tc>
          <w:tcPr>
            <w:tcW w:w="2060" w:type="dxa"/>
            <w:vAlign w:val="bottom"/>
            <w:shd w:val="clear" w:color="auto" w:fill="F1F2F2"/>
          </w:tcPr>
          <w:p>
            <w:pPr>
              <w:jc w:val="right"/>
              <w:ind w:right="538"/>
              <w:spacing w:after="0"/>
              <w:rPr>
                <w:sz w:val="20"/>
                <w:szCs w:val="20"/>
                <w:color w:val="auto"/>
              </w:rPr>
            </w:pPr>
            <w:r>
              <w:rPr>
                <w:rFonts w:ascii="Arial" w:cs="Arial" w:eastAsia="Arial" w:hAnsi="Arial"/>
                <w:sz w:val="13"/>
                <w:szCs w:val="13"/>
                <w:color w:val="auto"/>
              </w:rPr>
              <w:t>750,245</w:t>
            </w:r>
            <w:r>
              <w:rPr>
                <w:rFonts w:ascii="Arial" w:cs="Arial" w:eastAsia="Arial" w:hAnsi="Arial"/>
                <w:sz w:val="14"/>
                <w:szCs w:val="14"/>
                <w:color w:val="auto"/>
                <w:vertAlign w:val="superscript"/>
              </w:rPr>
              <w:t>a</w:t>
            </w:r>
          </w:p>
        </w:tc>
        <w:tc>
          <w:tcPr>
            <w:tcW w:w="15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2,500,659</w:t>
            </w:r>
          </w:p>
        </w:tc>
      </w:tr>
      <w:tr>
        <w:trPr>
          <w:trHeight w:val="44"/>
        </w:trPr>
        <w:tc>
          <w:tcPr>
            <w:tcW w:w="2520" w:type="dxa"/>
            <w:vAlign w:val="bottom"/>
            <w:shd w:val="clear" w:color="auto" w:fill="F1F2F2"/>
          </w:tcPr>
          <w:p>
            <w:pPr>
              <w:spacing w:after="0"/>
              <w:rPr>
                <w:sz w:val="3"/>
                <w:szCs w:val="3"/>
                <w:color w:val="auto"/>
              </w:rPr>
            </w:pPr>
          </w:p>
        </w:tc>
        <w:tc>
          <w:tcPr>
            <w:tcW w:w="2320" w:type="dxa"/>
            <w:vAlign w:val="bottom"/>
            <w:shd w:val="clear" w:color="auto" w:fill="F1F2F2"/>
          </w:tcPr>
          <w:p>
            <w:pPr>
              <w:spacing w:after="0"/>
              <w:rPr>
                <w:sz w:val="3"/>
                <w:szCs w:val="3"/>
                <w:color w:val="auto"/>
              </w:rPr>
            </w:pPr>
          </w:p>
        </w:tc>
        <w:tc>
          <w:tcPr>
            <w:tcW w:w="2240" w:type="dxa"/>
            <w:vAlign w:val="bottom"/>
            <w:shd w:val="clear" w:color="auto" w:fill="F1F2F2"/>
          </w:tcPr>
          <w:p>
            <w:pPr>
              <w:spacing w:after="0"/>
              <w:rPr>
                <w:sz w:val="3"/>
                <w:szCs w:val="3"/>
                <w:color w:val="auto"/>
              </w:rPr>
            </w:pPr>
          </w:p>
        </w:tc>
        <w:tc>
          <w:tcPr>
            <w:tcW w:w="2060" w:type="dxa"/>
            <w:vAlign w:val="bottom"/>
            <w:shd w:val="clear" w:color="auto" w:fill="F1F2F2"/>
          </w:tcPr>
          <w:p>
            <w:pPr>
              <w:spacing w:after="0"/>
              <w:rPr>
                <w:sz w:val="3"/>
                <w:szCs w:val="3"/>
                <w:color w:val="auto"/>
              </w:rPr>
            </w:pPr>
          </w:p>
        </w:tc>
        <w:tc>
          <w:tcPr>
            <w:tcW w:w="1560" w:type="dxa"/>
            <w:vAlign w:val="bottom"/>
            <w:shd w:val="clear" w:color="auto" w:fill="F1F2F2"/>
          </w:tcPr>
          <w:p>
            <w:pPr>
              <w:spacing w:after="0"/>
              <w:rPr>
                <w:sz w:val="3"/>
                <w:szCs w:val="3"/>
                <w:color w:val="auto"/>
              </w:rPr>
            </w:pPr>
          </w:p>
        </w:tc>
      </w:tr>
    </w:tbl>
    <w:p>
      <w:pPr>
        <w:spacing w:after="0" w:line="157" w:lineRule="exact"/>
        <w:rPr>
          <w:sz w:val="20"/>
          <w:szCs w:val="20"/>
          <w:color w:val="auto"/>
        </w:rPr>
      </w:pPr>
    </w:p>
    <w:p>
      <w:pPr>
        <w:ind w:left="149" w:right="3400" w:firstLine="8"/>
        <w:spacing w:after="0" w:line="328" w:lineRule="auto"/>
        <w:tabs>
          <w:tab w:leader="none" w:pos="313" w:val="left"/>
        </w:tabs>
        <w:numPr>
          <w:ilvl w:val="0"/>
          <w:numId w:val="95"/>
        </w:numPr>
        <w:rPr>
          <w:rFonts w:ascii="Arial" w:cs="Arial" w:eastAsia="Arial" w:hAnsi="Arial"/>
          <w:sz w:val="13"/>
          <w:szCs w:val="13"/>
          <w:color w:val="auto"/>
        </w:rPr>
      </w:pPr>
      <w:r>
        <w:rPr>
          <w:rFonts w:ascii="Arial" w:cs="Arial" w:eastAsia="Arial" w:hAnsi="Arial"/>
          <w:sz w:val="13"/>
          <w:szCs w:val="13"/>
          <w:color w:val="auto"/>
        </w:rPr>
        <w:t xml:space="preserve">Reflects grant date value. For performance achieved and awards earned, please </w:t>
      </w:r>
      <w:r>
        <w:rPr>
          <w:rFonts w:ascii="Arial" w:cs="Arial" w:eastAsia="Arial" w:hAnsi="Arial"/>
          <w:sz w:val="13"/>
          <w:szCs w:val="13"/>
          <w:i w:val="1"/>
          <w:iCs w:val="1"/>
          <w:color w:val="auto"/>
        </w:rPr>
        <w:t>see</w:t>
      </w:r>
      <w:r>
        <w:rPr>
          <w:rFonts w:ascii="Arial" w:cs="Arial" w:eastAsia="Arial" w:hAnsi="Arial"/>
          <w:sz w:val="13"/>
          <w:szCs w:val="13"/>
          <w:color w:val="auto"/>
        </w:rPr>
        <w:t xml:space="preserve"> the </w:t>
      </w:r>
      <w:r>
        <w:rPr>
          <w:rFonts w:ascii="Arial" w:cs="Arial" w:eastAsia="Arial" w:hAnsi="Arial"/>
          <w:sz w:val="13"/>
          <w:szCs w:val="13"/>
          <w:i w:val="1"/>
          <w:iCs w:val="1"/>
          <w:color w:val="auto"/>
        </w:rPr>
        <w:t>Pay for Performance</w:t>
      </w:r>
      <w:r>
        <w:rPr>
          <w:rFonts w:ascii="Arial" w:cs="Arial" w:eastAsia="Arial" w:hAnsi="Arial"/>
          <w:sz w:val="13"/>
          <w:szCs w:val="13"/>
          <w:color w:val="auto"/>
        </w:rPr>
        <w:t xml:space="preserve"> section on page 52. b Includes special RSU grants. See discussion on page 63 regarding the special grant to Ms. Stone.</w:t>
      </w:r>
    </w:p>
    <w:p>
      <w:pPr>
        <w:spacing w:after="0" w:line="27" w:lineRule="exact"/>
        <w:rPr>
          <w:sz w:val="20"/>
          <w:szCs w:val="20"/>
          <w:color w:val="auto"/>
        </w:rPr>
      </w:pPr>
    </w:p>
    <w:p>
      <w:pPr>
        <w:jc w:val="both"/>
        <w:ind w:left="149" w:right="20"/>
        <w:spacing w:after="0" w:line="236" w:lineRule="auto"/>
        <w:rPr>
          <w:sz w:val="20"/>
          <w:szCs w:val="20"/>
          <w:color w:val="auto"/>
        </w:rPr>
      </w:pPr>
      <w:r>
        <w:rPr>
          <w:rFonts w:ascii="Arial" w:cs="Arial" w:eastAsia="Arial" w:hAnsi="Arial"/>
          <w:sz w:val="13"/>
          <w:szCs w:val="13"/>
          <w:color w:val="auto"/>
        </w:rPr>
        <w:t>The fair value of RSUs is equal to the closing price of our common stock on the grant date multiplied by the number of units granted. The PSUs are divided equally between market-based awards and non-market-based awards. The fair value of the non-market-based awards is equal to the closing price of our common stock minus the present value of any dividends expected to be paid on our common stock during the three-year requisite service period, as these contingently issuable PSUs do not accrue dividends. The fair value of the market-based awards was established on the grant date using the Monte Carlo simulation model, which was based on the following assumptions:</w:t>
      </w:r>
    </w:p>
    <w:p>
      <w:pPr>
        <w:spacing w:after="0" w:line="138" w:lineRule="exact"/>
        <w:rPr>
          <w:sz w:val="20"/>
          <w:szCs w:val="20"/>
          <w:color w:val="auto"/>
        </w:rPr>
      </w:pPr>
    </w:p>
    <w:tbl>
      <w:tblPr>
        <w:tblLayout w:type="fixed"/>
        <w:tblInd w:w="229" w:type="dxa"/>
        <w:tblCellMar>
          <w:top w:w="0" w:type="dxa"/>
          <w:left w:w="0" w:type="dxa"/>
          <w:bottom w:w="0" w:type="dxa"/>
          <w:right w:w="0" w:type="dxa"/>
        </w:tblCellMar>
      </w:tblPr>
      <w:tr>
        <w:trPr>
          <w:trHeight w:val="227"/>
        </w:trPr>
        <w:tc>
          <w:tcPr>
            <w:tcW w:w="4380" w:type="dxa"/>
            <w:vAlign w:val="bottom"/>
            <w:tcBorders>
              <w:bottom w:val="single" w:sz="8" w:color="D1D3D4"/>
            </w:tcBorders>
            <w:shd w:val="clear" w:color="auto" w:fill="D1D3D4"/>
          </w:tcPr>
          <w:p>
            <w:pPr>
              <w:spacing w:after="0"/>
              <w:rPr>
                <w:sz w:val="19"/>
                <w:szCs w:val="19"/>
                <w:color w:val="auto"/>
              </w:rPr>
            </w:pPr>
          </w:p>
        </w:tc>
        <w:tc>
          <w:tcPr>
            <w:tcW w:w="2740" w:type="dxa"/>
            <w:vAlign w:val="bottom"/>
            <w:tcBorders>
              <w:bottom w:val="single" w:sz="8" w:color="D1D3D4"/>
            </w:tcBorders>
            <w:shd w:val="clear" w:color="auto" w:fill="D1D3D4"/>
          </w:tcPr>
          <w:p>
            <w:pPr>
              <w:jc w:val="right"/>
              <w:ind w:right="819"/>
              <w:spacing w:after="0"/>
              <w:rPr>
                <w:sz w:val="20"/>
                <w:szCs w:val="20"/>
                <w:color w:val="auto"/>
              </w:rPr>
            </w:pPr>
            <w:r>
              <w:rPr>
                <w:rFonts w:ascii="Arial" w:cs="Arial" w:eastAsia="Arial" w:hAnsi="Arial"/>
                <w:sz w:val="11"/>
                <w:szCs w:val="11"/>
                <w:color w:val="auto"/>
              </w:rPr>
              <w:t>2025</w:t>
            </w:r>
          </w:p>
        </w:tc>
        <w:tc>
          <w:tcPr>
            <w:tcW w:w="2220" w:type="dxa"/>
            <w:vAlign w:val="bottom"/>
            <w:tcBorders>
              <w:bottom w:val="single" w:sz="8" w:color="D1D3D4"/>
            </w:tcBorders>
            <w:shd w:val="clear" w:color="auto" w:fill="D1D3D4"/>
          </w:tcPr>
          <w:p>
            <w:pPr>
              <w:jc w:val="right"/>
              <w:ind w:right="799"/>
              <w:spacing w:after="0"/>
              <w:rPr>
                <w:sz w:val="20"/>
                <w:szCs w:val="20"/>
                <w:color w:val="auto"/>
              </w:rPr>
            </w:pPr>
            <w:r>
              <w:rPr>
                <w:rFonts w:ascii="Arial" w:cs="Arial" w:eastAsia="Arial" w:hAnsi="Arial"/>
                <w:sz w:val="11"/>
                <w:szCs w:val="11"/>
                <w:color w:val="auto"/>
              </w:rPr>
              <w:t>2024</w:t>
            </w:r>
          </w:p>
        </w:tc>
        <w:tc>
          <w:tcPr>
            <w:tcW w:w="1360" w:type="dxa"/>
            <w:vAlign w:val="bottom"/>
            <w:tcBorders>
              <w:bottom w:val="single" w:sz="8" w:color="D1D3D4"/>
            </w:tcBorders>
            <w:shd w:val="clear" w:color="auto" w:fill="D1D3D4"/>
          </w:tcPr>
          <w:p>
            <w:pPr>
              <w:jc w:val="right"/>
              <w:spacing w:after="0"/>
              <w:rPr>
                <w:sz w:val="20"/>
                <w:szCs w:val="20"/>
                <w:color w:val="auto"/>
              </w:rPr>
            </w:pPr>
            <w:r>
              <w:rPr>
                <w:rFonts w:ascii="Arial" w:cs="Arial" w:eastAsia="Arial" w:hAnsi="Arial"/>
                <w:sz w:val="11"/>
                <w:szCs w:val="11"/>
                <w:color w:val="auto"/>
              </w:rPr>
              <w:t>2023</w:t>
            </w:r>
          </w:p>
        </w:tc>
      </w:tr>
      <w:tr>
        <w:trPr>
          <w:trHeight w:val="224"/>
        </w:trPr>
        <w:tc>
          <w:tcPr>
            <w:tcW w:w="4380" w:type="dxa"/>
            <w:vAlign w:val="bottom"/>
            <w:shd w:val="clear" w:color="auto" w:fill="F1F2F2"/>
          </w:tcPr>
          <w:p>
            <w:pPr>
              <w:ind w:left="40"/>
              <w:spacing w:after="0"/>
              <w:rPr>
                <w:sz w:val="20"/>
                <w:szCs w:val="20"/>
                <w:color w:val="auto"/>
              </w:rPr>
            </w:pPr>
            <w:r>
              <w:rPr>
                <w:rFonts w:ascii="Arial" w:cs="Arial" w:eastAsia="Arial" w:hAnsi="Arial"/>
                <w:sz w:val="13"/>
                <w:szCs w:val="13"/>
                <w:b w:val="1"/>
                <w:bCs w:val="1"/>
                <w:color w:val="auto"/>
              </w:rPr>
              <w:t>Weighted Average Grant Date Fair Value Per PSU</w:t>
            </w:r>
          </w:p>
        </w:tc>
        <w:tc>
          <w:tcPr>
            <w:tcW w:w="2740" w:type="dxa"/>
            <w:vAlign w:val="bottom"/>
            <w:shd w:val="clear" w:color="auto" w:fill="F1F2F2"/>
          </w:tcPr>
          <w:p>
            <w:pPr>
              <w:jc w:val="right"/>
              <w:ind w:right="819"/>
              <w:spacing w:after="0"/>
              <w:rPr>
                <w:sz w:val="20"/>
                <w:szCs w:val="20"/>
                <w:color w:val="auto"/>
              </w:rPr>
            </w:pPr>
            <w:r>
              <w:rPr>
                <w:rFonts w:ascii="Arial" w:cs="Arial" w:eastAsia="Arial" w:hAnsi="Arial"/>
                <w:sz w:val="13"/>
                <w:szCs w:val="13"/>
                <w:color w:val="auto"/>
              </w:rPr>
              <w:t>$102.35</w:t>
            </w:r>
          </w:p>
        </w:tc>
        <w:tc>
          <w:tcPr>
            <w:tcW w:w="2220" w:type="dxa"/>
            <w:vAlign w:val="bottom"/>
            <w:shd w:val="clear" w:color="auto" w:fill="F1F2F2"/>
          </w:tcPr>
          <w:p>
            <w:pPr>
              <w:jc w:val="right"/>
              <w:ind w:right="799"/>
              <w:spacing w:after="0"/>
              <w:rPr>
                <w:sz w:val="20"/>
                <w:szCs w:val="20"/>
                <w:color w:val="auto"/>
              </w:rPr>
            </w:pPr>
            <w:r>
              <w:rPr>
                <w:rFonts w:ascii="Arial" w:cs="Arial" w:eastAsia="Arial" w:hAnsi="Arial"/>
                <w:sz w:val="13"/>
                <w:szCs w:val="13"/>
                <w:color w:val="auto"/>
              </w:rPr>
              <w:t>$137.44</w:t>
            </w:r>
          </w:p>
        </w:tc>
        <w:tc>
          <w:tcPr>
            <w:tcW w:w="13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$119.51</w:t>
            </w:r>
          </w:p>
        </w:tc>
      </w:tr>
      <w:tr>
        <w:trPr>
          <w:trHeight w:val="217"/>
        </w:trPr>
        <w:tc>
          <w:tcPr>
            <w:tcW w:w="4380" w:type="dxa"/>
            <w:vAlign w:val="bottom"/>
          </w:tcPr>
          <w:p>
            <w:pPr>
              <w:ind w:left="40"/>
              <w:spacing w:after="0"/>
              <w:rPr>
                <w:sz w:val="20"/>
                <w:szCs w:val="20"/>
                <w:color w:val="auto"/>
              </w:rPr>
            </w:pPr>
            <w:r>
              <w:rPr>
                <w:rFonts w:ascii="Arial" w:cs="Arial" w:eastAsia="Arial" w:hAnsi="Arial"/>
                <w:sz w:val="13"/>
                <w:szCs w:val="13"/>
                <w:b w:val="1"/>
                <w:bCs w:val="1"/>
                <w:color w:val="auto"/>
              </w:rPr>
              <w:t>Weighted Average Risk-Free Interest Rate</w:t>
            </w:r>
          </w:p>
        </w:tc>
        <w:tc>
          <w:tcPr>
            <w:tcW w:w="2740" w:type="dxa"/>
            <w:vAlign w:val="bottom"/>
          </w:tcPr>
          <w:p>
            <w:pPr>
              <w:jc w:val="right"/>
              <w:ind w:right="819"/>
              <w:spacing w:after="0"/>
              <w:rPr>
                <w:sz w:val="20"/>
                <w:szCs w:val="20"/>
                <w:color w:val="auto"/>
              </w:rPr>
            </w:pPr>
            <w:r>
              <w:rPr>
                <w:rFonts w:ascii="Arial" w:cs="Arial" w:eastAsia="Arial" w:hAnsi="Arial"/>
                <w:sz w:val="13"/>
                <w:szCs w:val="13"/>
                <w:color w:val="auto"/>
              </w:rPr>
              <w:t>3.81%</w:t>
            </w:r>
          </w:p>
        </w:tc>
        <w:tc>
          <w:tcPr>
            <w:tcW w:w="2220" w:type="dxa"/>
            <w:vAlign w:val="bottom"/>
          </w:tcPr>
          <w:p>
            <w:pPr>
              <w:jc w:val="right"/>
              <w:ind w:right="799"/>
              <w:spacing w:after="0"/>
              <w:rPr>
                <w:sz w:val="20"/>
                <w:szCs w:val="20"/>
                <w:color w:val="auto"/>
              </w:rPr>
            </w:pPr>
            <w:r>
              <w:rPr>
                <w:rFonts w:ascii="Arial" w:cs="Arial" w:eastAsia="Arial" w:hAnsi="Arial"/>
                <w:sz w:val="13"/>
                <w:szCs w:val="13"/>
                <w:color w:val="auto"/>
              </w:rPr>
              <w:t>4.71%</w:t>
            </w:r>
          </w:p>
        </w:tc>
        <w:tc>
          <w:tcPr>
            <w:tcW w:w="1360" w:type="dxa"/>
            <w:vAlign w:val="bottom"/>
          </w:tcPr>
          <w:p>
            <w:pPr>
              <w:jc w:val="right"/>
              <w:spacing w:after="0"/>
              <w:rPr>
                <w:sz w:val="20"/>
                <w:szCs w:val="20"/>
                <w:color w:val="auto"/>
              </w:rPr>
            </w:pPr>
            <w:r>
              <w:rPr>
                <w:rFonts w:ascii="Arial" w:cs="Arial" w:eastAsia="Arial" w:hAnsi="Arial"/>
                <w:sz w:val="13"/>
                <w:szCs w:val="13"/>
                <w:color w:val="auto"/>
              </w:rPr>
              <w:t>3.56%</w:t>
            </w:r>
          </w:p>
        </w:tc>
      </w:tr>
      <w:tr>
        <w:trPr>
          <w:trHeight w:val="230"/>
        </w:trPr>
        <w:tc>
          <w:tcPr>
            <w:tcW w:w="4380" w:type="dxa"/>
            <w:vAlign w:val="bottom"/>
            <w:shd w:val="clear" w:color="auto" w:fill="F1F2F2"/>
          </w:tcPr>
          <w:p>
            <w:pPr>
              <w:ind w:left="40"/>
              <w:spacing w:after="0"/>
              <w:rPr>
                <w:sz w:val="20"/>
                <w:szCs w:val="20"/>
                <w:color w:val="auto"/>
              </w:rPr>
            </w:pPr>
            <w:r>
              <w:rPr>
                <w:rFonts w:ascii="Arial" w:cs="Arial" w:eastAsia="Arial" w:hAnsi="Arial"/>
                <w:sz w:val="13"/>
                <w:szCs w:val="13"/>
                <w:b w:val="1"/>
                <w:bCs w:val="1"/>
                <w:color w:val="auto"/>
              </w:rPr>
              <w:t>Expected Annual Dividends Per Share</w:t>
            </w:r>
          </w:p>
        </w:tc>
        <w:tc>
          <w:tcPr>
            <w:tcW w:w="2740" w:type="dxa"/>
            <w:vAlign w:val="bottom"/>
            <w:shd w:val="clear" w:color="auto" w:fill="F1F2F2"/>
          </w:tcPr>
          <w:p>
            <w:pPr>
              <w:jc w:val="right"/>
              <w:ind w:right="819"/>
              <w:spacing w:after="0"/>
              <w:rPr>
                <w:sz w:val="20"/>
                <w:szCs w:val="20"/>
                <w:color w:val="auto"/>
              </w:rPr>
            </w:pPr>
            <w:r>
              <w:rPr>
                <w:rFonts w:ascii="Arial" w:cs="Arial" w:eastAsia="Arial" w:hAnsi="Arial"/>
                <w:sz w:val="13"/>
                <w:szCs w:val="13"/>
                <w:color w:val="auto"/>
              </w:rPr>
              <w:t>$0.15</w:t>
            </w:r>
          </w:p>
        </w:tc>
        <w:tc>
          <w:tcPr>
            <w:tcW w:w="2220" w:type="dxa"/>
            <w:vAlign w:val="bottom"/>
            <w:shd w:val="clear" w:color="auto" w:fill="F1F2F2"/>
          </w:tcPr>
          <w:p>
            <w:pPr>
              <w:jc w:val="right"/>
              <w:ind w:right="799"/>
              <w:spacing w:after="0"/>
              <w:rPr>
                <w:sz w:val="20"/>
                <w:szCs w:val="20"/>
                <w:color w:val="auto"/>
              </w:rPr>
            </w:pPr>
            <w:r>
              <w:rPr>
                <w:rFonts w:ascii="Arial" w:cs="Arial" w:eastAsia="Arial" w:hAnsi="Arial"/>
                <w:sz w:val="13"/>
                <w:szCs w:val="13"/>
                <w:color w:val="auto"/>
              </w:rPr>
              <w:t>$0.15</w:t>
            </w:r>
          </w:p>
        </w:tc>
        <w:tc>
          <w:tcPr>
            <w:tcW w:w="13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$0.15</w:t>
            </w:r>
          </w:p>
        </w:tc>
      </w:tr>
      <w:tr>
        <w:trPr>
          <w:trHeight w:val="211"/>
        </w:trPr>
        <w:tc>
          <w:tcPr>
            <w:tcW w:w="4380" w:type="dxa"/>
            <w:vAlign w:val="bottom"/>
          </w:tcPr>
          <w:p>
            <w:pPr>
              <w:ind w:left="40"/>
              <w:spacing w:after="0"/>
              <w:rPr>
                <w:sz w:val="20"/>
                <w:szCs w:val="20"/>
                <w:color w:val="auto"/>
              </w:rPr>
            </w:pPr>
            <w:r>
              <w:rPr>
                <w:rFonts w:ascii="Arial" w:cs="Arial" w:eastAsia="Arial" w:hAnsi="Arial"/>
                <w:sz w:val="13"/>
                <w:szCs w:val="13"/>
                <w:b w:val="1"/>
                <w:bCs w:val="1"/>
                <w:color w:val="auto"/>
              </w:rPr>
              <w:t>Weighted Average Company Volatility</w:t>
            </w:r>
          </w:p>
        </w:tc>
        <w:tc>
          <w:tcPr>
            <w:tcW w:w="2740" w:type="dxa"/>
            <w:vAlign w:val="bottom"/>
          </w:tcPr>
          <w:p>
            <w:pPr>
              <w:jc w:val="right"/>
              <w:ind w:right="819"/>
              <w:spacing w:after="0"/>
              <w:rPr>
                <w:sz w:val="20"/>
                <w:szCs w:val="20"/>
                <w:color w:val="auto"/>
              </w:rPr>
            </w:pPr>
            <w:r>
              <w:rPr>
                <w:rFonts w:ascii="Arial" w:cs="Arial" w:eastAsia="Arial" w:hAnsi="Arial"/>
                <w:sz w:val="13"/>
                <w:szCs w:val="13"/>
                <w:color w:val="auto"/>
              </w:rPr>
              <w:t>47.02%</w:t>
            </w:r>
          </w:p>
        </w:tc>
        <w:tc>
          <w:tcPr>
            <w:tcW w:w="2220" w:type="dxa"/>
            <w:vAlign w:val="bottom"/>
          </w:tcPr>
          <w:p>
            <w:pPr>
              <w:jc w:val="right"/>
              <w:ind w:right="799"/>
              <w:spacing w:after="0"/>
              <w:rPr>
                <w:sz w:val="20"/>
                <w:szCs w:val="20"/>
                <w:color w:val="auto"/>
              </w:rPr>
            </w:pPr>
            <w:r>
              <w:rPr>
                <w:rFonts w:ascii="Arial" w:cs="Arial" w:eastAsia="Arial" w:hAnsi="Arial"/>
                <w:sz w:val="13"/>
                <w:szCs w:val="13"/>
                <w:color w:val="auto"/>
              </w:rPr>
              <w:t>48.28%</w:t>
            </w:r>
          </w:p>
        </w:tc>
        <w:tc>
          <w:tcPr>
            <w:tcW w:w="1360" w:type="dxa"/>
            <w:vAlign w:val="bottom"/>
          </w:tcPr>
          <w:p>
            <w:pPr>
              <w:jc w:val="right"/>
              <w:spacing w:after="0"/>
              <w:rPr>
                <w:sz w:val="20"/>
                <w:szCs w:val="20"/>
                <w:color w:val="auto"/>
              </w:rPr>
            </w:pPr>
            <w:r>
              <w:rPr>
                <w:rFonts w:ascii="Arial" w:cs="Arial" w:eastAsia="Arial" w:hAnsi="Arial"/>
                <w:sz w:val="13"/>
                <w:szCs w:val="13"/>
                <w:color w:val="auto"/>
              </w:rPr>
              <w:t>58.21%</w:t>
            </w:r>
          </w:p>
        </w:tc>
      </w:tr>
    </w:tbl>
    <w:p>
      <w:pPr>
        <w:spacing w:after="0" w:line="170" w:lineRule="exact"/>
        <w:rPr>
          <w:sz w:val="20"/>
          <w:szCs w:val="20"/>
          <w:color w:val="auto"/>
        </w:rPr>
      </w:pPr>
    </w:p>
    <w:p>
      <w:pPr>
        <w:ind w:left="149" w:right="140"/>
        <w:spacing w:after="0" w:line="236" w:lineRule="auto"/>
        <w:rPr>
          <w:sz w:val="20"/>
          <w:szCs w:val="20"/>
          <w:color w:val="auto"/>
        </w:rPr>
      </w:pPr>
      <w:r>
        <w:rPr>
          <w:rFonts w:ascii="Arial" w:cs="Arial" w:eastAsia="Arial" w:hAnsi="Arial"/>
          <w:sz w:val="13"/>
          <w:szCs w:val="13"/>
          <w:color w:val="auto"/>
        </w:rPr>
        <w:t>The fair value of PSUs reflects the value of the award at the grant date based on the probable outcome of the performance conditions. Mr. Larsson’s awards granted are subject to a holding period of one year after the applicable vesting date. For such awards, the grant date fair values were discounted 4.50%, 4.40%, and 7.40% respectively, for the restriction of liquidity, which we calculated using the Finnerty model. The value of the NEOs’ PSUs on the grant date at the maximum performance payout level is shown in the following table and was calculated by multiplying the maximum number of shares payable by the closing price of our common stock on the grant date.</w:t>
      </w:r>
    </w:p>
    <w:p>
      <w:pPr>
        <w:spacing w:after="0" w:line="138" w:lineRule="exact"/>
        <w:rPr>
          <w:sz w:val="20"/>
          <w:szCs w:val="20"/>
          <w:color w:val="auto"/>
        </w:rPr>
      </w:pPr>
    </w:p>
    <w:tbl>
      <w:tblPr>
        <w:tblLayout w:type="fixed"/>
        <w:tblInd w:w="229" w:type="dxa"/>
        <w:tblCellMar>
          <w:top w:w="0" w:type="dxa"/>
          <w:left w:w="0" w:type="dxa"/>
          <w:bottom w:w="0" w:type="dxa"/>
          <w:right w:w="0" w:type="dxa"/>
        </w:tblCellMar>
      </w:tblPr>
      <w:tr>
        <w:trPr>
          <w:trHeight w:val="192"/>
        </w:trPr>
        <w:tc>
          <w:tcPr>
            <w:tcW w:w="3440" w:type="dxa"/>
            <w:vAlign w:val="bottom"/>
            <w:tcBorders>
              <w:bottom w:val="single" w:sz="8" w:color="D1D3D4"/>
            </w:tcBorders>
            <w:shd w:val="clear" w:color="auto" w:fill="D1D3D4"/>
          </w:tcPr>
          <w:p>
            <w:pPr>
              <w:ind w:left="40"/>
              <w:spacing w:after="0"/>
              <w:rPr>
                <w:sz w:val="20"/>
                <w:szCs w:val="20"/>
                <w:color w:val="auto"/>
              </w:rPr>
            </w:pPr>
            <w:r>
              <w:rPr>
                <w:rFonts w:ascii="Arial" w:cs="Arial" w:eastAsia="Arial" w:hAnsi="Arial"/>
                <w:sz w:val="11"/>
                <w:szCs w:val="11"/>
                <w:color w:val="auto"/>
              </w:rPr>
              <w:t>Name</w:t>
            </w:r>
          </w:p>
        </w:tc>
        <w:tc>
          <w:tcPr>
            <w:tcW w:w="3600" w:type="dxa"/>
            <w:vAlign w:val="bottom"/>
            <w:tcBorders>
              <w:bottom w:val="single" w:sz="8" w:color="D1D3D4"/>
            </w:tcBorders>
            <w:shd w:val="clear" w:color="auto" w:fill="D1D3D4"/>
          </w:tcPr>
          <w:p>
            <w:pPr>
              <w:jc w:val="right"/>
              <w:ind w:right="738"/>
              <w:spacing w:after="0"/>
              <w:rPr>
                <w:sz w:val="20"/>
                <w:szCs w:val="20"/>
                <w:color w:val="auto"/>
              </w:rPr>
            </w:pPr>
            <w:r>
              <w:rPr>
                <w:rFonts w:ascii="Arial" w:cs="Arial" w:eastAsia="Arial" w:hAnsi="Arial"/>
                <w:sz w:val="11"/>
                <w:szCs w:val="11"/>
                <w:color w:val="auto"/>
              </w:rPr>
              <w:t>2025</w:t>
            </w:r>
          </w:p>
        </w:tc>
        <w:tc>
          <w:tcPr>
            <w:tcW w:w="2240" w:type="dxa"/>
            <w:vAlign w:val="bottom"/>
            <w:tcBorders>
              <w:bottom w:val="single" w:sz="8" w:color="D1D3D4"/>
            </w:tcBorders>
            <w:shd w:val="clear" w:color="auto" w:fill="D1D3D4"/>
          </w:tcPr>
          <w:p>
            <w:pPr>
              <w:jc w:val="right"/>
              <w:ind w:right="738"/>
              <w:spacing w:after="0"/>
              <w:rPr>
                <w:sz w:val="20"/>
                <w:szCs w:val="20"/>
                <w:color w:val="auto"/>
              </w:rPr>
            </w:pPr>
            <w:r>
              <w:rPr>
                <w:rFonts w:ascii="Arial" w:cs="Arial" w:eastAsia="Arial" w:hAnsi="Arial"/>
                <w:sz w:val="11"/>
                <w:szCs w:val="11"/>
                <w:color w:val="auto"/>
              </w:rPr>
              <w:t>2024</w:t>
            </w:r>
          </w:p>
        </w:tc>
        <w:tc>
          <w:tcPr>
            <w:tcW w:w="1420" w:type="dxa"/>
            <w:vAlign w:val="bottom"/>
            <w:tcBorders>
              <w:bottom w:val="single" w:sz="8" w:color="D1D3D4"/>
            </w:tcBorders>
            <w:shd w:val="clear" w:color="auto" w:fill="D1D3D4"/>
          </w:tcPr>
          <w:p>
            <w:pPr>
              <w:jc w:val="right"/>
              <w:spacing w:after="0"/>
              <w:rPr>
                <w:sz w:val="20"/>
                <w:szCs w:val="20"/>
                <w:color w:val="auto"/>
              </w:rPr>
            </w:pPr>
            <w:r>
              <w:rPr>
                <w:rFonts w:ascii="Arial" w:cs="Arial" w:eastAsia="Arial" w:hAnsi="Arial"/>
                <w:sz w:val="11"/>
                <w:szCs w:val="11"/>
                <w:color w:val="auto"/>
              </w:rPr>
              <w:t>2023</w:t>
            </w:r>
          </w:p>
        </w:tc>
      </w:tr>
      <w:tr>
        <w:trPr>
          <w:trHeight w:val="224"/>
        </w:trPr>
        <w:tc>
          <w:tcPr>
            <w:tcW w:w="3440" w:type="dxa"/>
            <w:vAlign w:val="bottom"/>
            <w:shd w:val="clear" w:color="auto" w:fill="F1F2F2"/>
          </w:tcPr>
          <w:p>
            <w:pPr>
              <w:ind w:left="40"/>
              <w:spacing w:after="0"/>
              <w:rPr>
                <w:sz w:val="20"/>
                <w:szCs w:val="20"/>
                <w:color w:val="auto"/>
              </w:rPr>
            </w:pPr>
            <w:r>
              <w:rPr>
                <w:rFonts w:ascii="Arial" w:cs="Arial" w:eastAsia="Arial" w:hAnsi="Arial"/>
                <w:sz w:val="13"/>
                <w:szCs w:val="13"/>
                <w:b w:val="1"/>
                <w:bCs w:val="1"/>
                <w:color w:val="auto"/>
              </w:rPr>
              <w:t>Stefan Larsson</w:t>
            </w:r>
          </w:p>
        </w:tc>
        <w:tc>
          <w:tcPr>
            <w:tcW w:w="3600" w:type="dxa"/>
            <w:vAlign w:val="bottom"/>
            <w:shd w:val="clear" w:color="auto" w:fill="F1F2F2"/>
          </w:tcPr>
          <w:p>
            <w:pPr>
              <w:jc w:val="right"/>
              <w:ind w:right="738"/>
              <w:spacing w:after="0"/>
              <w:rPr>
                <w:sz w:val="20"/>
                <w:szCs w:val="20"/>
                <w:color w:val="auto"/>
              </w:rPr>
            </w:pPr>
            <w:r>
              <w:rPr>
                <w:rFonts w:ascii="Arial" w:cs="Arial" w:eastAsia="Arial" w:hAnsi="Arial"/>
                <w:sz w:val="13"/>
                <w:szCs w:val="13"/>
                <w:color w:val="auto"/>
              </w:rPr>
              <w:t>11,100,511</w:t>
            </w:r>
          </w:p>
        </w:tc>
        <w:tc>
          <w:tcPr>
            <w:tcW w:w="2240" w:type="dxa"/>
            <w:vAlign w:val="bottom"/>
            <w:shd w:val="clear" w:color="auto" w:fill="F1F2F2"/>
          </w:tcPr>
          <w:p>
            <w:pPr>
              <w:jc w:val="right"/>
              <w:ind w:right="738"/>
              <w:spacing w:after="0"/>
              <w:rPr>
                <w:sz w:val="20"/>
                <w:szCs w:val="20"/>
                <w:color w:val="auto"/>
              </w:rPr>
            </w:pPr>
            <w:r>
              <w:rPr>
                <w:rFonts w:ascii="Arial" w:cs="Arial" w:eastAsia="Arial" w:hAnsi="Arial"/>
                <w:sz w:val="13"/>
                <w:szCs w:val="13"/>
                <w:color w:val="auto"/>
              </w:rPr>
              <w:t>11,100,554</w:t>
            </w:r>
          </w:p>
        </w:tc>
        <w:tc>
          <w:tcPr>
            <w:tcW w:w="14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9,655,101</w:t>
            </w:r>
          </w:p>
        </w:tc>
      </w:tr>
      <w:tr>
        <w:trPr>
          <w:trHeight w:val="217"/>
        </w:trPr>
        <w:tc>
          <w:tcPr>
            <w:tcW w:w="3440" w:type="dxa"/>
            <w:vAlign w:val="bottom"/>
          </w:tcPr>
          <w:p>
            <w:pPr>
              <w:ind w:left="40"/>
              <w:spacing w:after="0"/>
              <w:rPr>
                <w:sz w:val="20"/>
                <w:szCs w:val="20"/>
                <w:color w:val="auto"/>
              </w:rPr>
            </w:pPr>
            <w:r>
              <w:rPr>
                <w:rFonts w:ascii="Arial" w:cs="Arial" w:eastAsia="Arial" w:hAnsi="Arial"/>
                <w:sz w:val="13"/>
                <w:szCs w:val="13"/>
                <w:b w:val="1"/>
                <w:bCs w:val="1"/>
                <w:color w:val="auto"/>
              </w:rPr>
              <w:t>Melissa Stone</w:t>
            </w:r>
          </w:p>
        </w:tc>
        <w:tc>
          <w:tcPr>
            <w:tcW w:w="3600" w:type="dxa"/>
            <w:vAlign w:val="bottom"/>
          </w:tcPr>
          <w:p>
            <w:pPr>
              <w:jc w:val="right"/>
              <w:ind w:right="738"/>
              <w:spacing w:after="0"/>
              <w:rPr>
                <w:sz w:val="20"/>
                <w:szCs w:val="20"/>
                <w:color w:val="auto"/>
              </w:rPr>
            </w:pPr>
            <w:r>
              <w:rPr>
                <w:rFonts w:ascii="Arial" w:cs="Arial" w:eastAsia="Arial" w:hAnsi="Arial"/>
                <w:sz w:val="13"/>
                <w:szCs w:val="13"/>
                <w:color w:val="auto"/>
              </w:rPr>
              <w:t>N/A</w:t>
            </w:r>
          </w:p>
        </w:tc>
        <w:tc>
          <w:tcPr>
            <w:tcW w:w="2240" w:type="dxa"/>
            <w:vAlign w:val="bottom"/>
          </w:tcPr>
          <w:p>
            <w:pPr>
              <w:jc w:val="right"/>
              <w:ind w:right="738"/>
              <w:spacing w:after="0"/>
              <w:rPr>
                <w:sz w:val="20"/>
                <w:szCs w:val="20"/>
                <w:color w:val="auto"/>
              </w:rPr>
            </w:pPr>
            <w:r>
              <w:rPr>
                <w:rFonts w:ascii="Arial" w:cs="Arial" w:eastAsia="Arial" w:hAnsi="Arial"/>
                <w:sz w:val="13"/>
                <w:szCs w:val="13"/>
                <w:color w:val="auto"/>
              </w:rPr>
              <w:t>N/A</w:t>
            </w:r>
          </w:p>
        </w:tc>
        <w:tc>
          <w:tcPr>
            <w:tcW w:w="1420" w:type="dxa"/>
            <w:vAlign w:val="bottom"/>
          </w:tcPr>
          <w:p>
            <w:pPr>
              <w:jc w:val="right"/>
              <w:spacing w:after="0"/>
              <w:rPr>
                <w:sz w:val="20"/>
                <w:szCs w:val="20"/>
                <w:color w:val="auto"/>
              </w:rPr>
            </w:pPr>
            <w:r>
              <w:rPr>
                <w:rFonts w:ascii="Arial" w:cs="Arial" w:eastAsia="Arial" w:hAnsi="Arial"/>
                <w:sz w:val="13"/>
                <w:szCs w:val="13"/>
                <w:color w:val="auto"/>
              </w:rPr>
              <w:t>N/A</w:t>
            </w:r>
          </w:p>
        </w:tc>
      </w:tr>
      <w:tr>
        <w:trPr>
          <w:trHeight w:val="230"/>
        </w:trPr>
        <w:tc>
          <w:tcPr>
            <w:tcW w:w="3440" w:type="dxa"/>
            <w:vAlign w:val="bottom"/>
            <w:shd w:val="clear" w:color="auto" w:fill="F1F2F2"/>
          </w:tcPr>
          <w:p>
            <w:pPr>
              <w:ind w:left="40"/>
              <w:spacing w:after="0"/>
              <w:rPr>
                <w:sz w:val="20"/>
                <w:szCs w:val="20"/>
                <w:color w:val="auto"/>
              </w:rPr>
            </w:pPr>
            <w:r>
              <w:rPr>
                <w:rFonts w:ascii="Arial" w:cs="Arial" w:eastAsia="Arial" w:hAnsi="Arial"/>
                <w:sz w:val="13"/>
                <w:szCs w:val="13"/>
                <w:b w:val="1"/>
                <w:bCs w:val="1"/>
                <w:color w:val="auto"/>
              </w:rPr>
              <w:t>Lea Rytz Goldman</w:t>
            </w:r>
          </w:p>
        </w:tc>
        <w:tc>
          <w:tcPr>
            <w:tcW w:w="3600" w:type="dxa"/>
            <w:vAlign w:val="bottom"/>
            <w:shd w:val="clear" w:color="auto" w:fill="F1F2F2"/>
          </w:tcPr>
          <w:p>
            <w:pPr>
              <w:jc w:val="right"/>
              <w:ind w:right="738"/>
              <w:spacing w:after="0"/>
              <w:rPr>
                <w:sz w:val="20"/>
                <w:szCs w:val="20"/>
                <w:color w:val="auto"/>
              </w:rPr>
            </w:pPr>
            <w:r>
              <w:rPr>
                <w:rFonts w:ascii="Arial" w:cs="Arial" w:eastAsia="Arial" w:hAnsi="Arial"/>
                <w:sz w:val="13"/>
                <w:szCs w:val="13"/>
                <w:color w:val="auto"/>
              </w:rPr>
              <w:t>1,700,537</w:t>
            </w:r>
          </w:p>
        </w:tc>
        <w:tc>
          <w:tcPr>
            <w:tcW w:w="2240" w:type="dxa"/>
            <w:vAlign w:val="bottom"/>
            <w:shd w:val="clear" w:color="auto" w:fill="F1F2F2"/>
          </w:tcPr>
          <w:p>
            <w:pPr>
              <w:jc w:val="right"/>
              <w:ind w:right="738"/>
              <w:spacing w:after="0"/>
              <w:rPr>
                <w:sz w:val="20"/>
                <w:szCs w:val="20"/>
                <w:color w:val="auto"/>
              </w:rPr>
            </w:pPr>
            <w:r>
              <w:rPr>
                <w:rFonts w:ascii="Arial" w:cs="Arial" w:eastAsia="Arial" w:hAnsi="Arial"/>
                <w:sz w:val="13"/>
                <w:szCs w:val="13"/>
                <w:color w:val="auto"/>
              </w:rPr>
              <w:t>1,500,502</w:t>
            </w:r>
          </w:p>
        </w:tc>
        <w:tc>
          <w:tcPr>
            <w:tcW w:w="14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N/A</w:t>
            </w:r>
          </w:p>
        </w:tc>
      </w:tr>
      <w:tr>
        <w:trPr>
          <w:trHeight w:val="217"/>
        </w:trPr>
        <w:tc>
          <w:tcPr>
            <w:tcW w:w="3440" w:type="dxa"/>
            <w:vAlign w:val="bottom"/>
          </w:tcPr>
          <w:p>
            <w:pPr>
              <w:ind w:left="40"/>
              <w:spacing w:after="0"/>
              <w:rPr>
                <w:sz w:val="20"/>
                <w:szCs w:val="20"/>
                <w:color w:val="auto"/>
              </w:rPr>
            </w:pPr>
            <w:r>
              <w:rPr>
                <w:rFonts w:ascii="Arial" w:cs="Arial" w:eastAsia="Arial" w:hAnsi="Arial"/>
                <w:sz w:val="13"/>
                <w:szCs w:val="13"/>
                <w:b w:val="1"/>
                <w:bCs w:val="1"/>
                <w:color w:val="auto"/>
              </w:rPr>
              <w:t>Fredrik Olsson</w:t>
            </w:r>
          </w:p>
        </w:tc>
        <w:tc>
          <w:tcPr>
            <w:tcW w:w="3600" w:type="dxa"/>
            <w:vAlign w:val="bottom"/>
          </w:tcPr>
          <w:p>
            <w:pPr>
              <w:jc w:val="right"/>
              <w:ind w:right="738"/>
              <w:spacing w:after="0"/>
              <w:rPr>
                <w:sz w:val="20"/>
                <w:szCs w:val="20"/>
                <w:color w:val="auto"/>
              </w:rPr>
            </w:pPr>
            <w:r>
              <w:rPr>
                <w:rFonts w:ascii="Arial" w:cs="Arial" w:eastAsia="Arial" w:hAnsi="Arial"/>
                <w:sz w:val="13"/>
                <w:szCs w:val="13"/>
                <w:color w:val="auto"/>
              </w:rPr>
              <w:t>1,500,278</w:t>
            </w:r>
          </w:p>
        </w:tc>
        <w:tc>
          <w:tcPr>
            <w:tcW w:w="2240" w:type="dxa"/>
            <w:vAlign w:val="bottom"/>
          </w:tcPr>
          <w:p>
            <w:pPr>
              <w:jc w:val="right"/>
              <w:ind w:right="738"/>
              <w:spacing w:after="0"/>
              <w:rPr>
                <w:sz w:val="20"/>
                <w:szCs w:val="20"/>
                <w:color w:val="auto"/>
              </w:rPr>
            </w:pPr>
            <w:r>
              <w:rPr>
                <w:rFonts w:ascii="Arial" w:cs="Arial" w:eastAsia="Arial" w:hAnsi="Arial"/>
                <w:sz w:val="13"/>
                <w:szCs w:val="13"/>
                <w:color w:val="auto"/>
              </w:rPr>
              <w:t>N/A</w:t>
            </w:r>
          </w:p>
        </w:tc>
        <w:tc>
          <w:tcPr>
            <w:tcW w:w="1420" w:type="dxa"/>
            <w:vAlign w:val="bottom"/>
          </w:tcPr>
          <w:p>
            <w:pPr>
              <w:jc w:val="right"/>
              <w:spacing w:after="0"/>
              <w:rPr>
                <w:sz w:val="20"/>
                <w:szCs w:val="20"/>
                <w:color w:val="auto"/>
              </w:rPr>
            </w:pPr>
            <w:r>
              <w:rPr>
                <w:rFonts w:ascii="Arial" w:cs="Arial" w:eastAsia="Arial" w:hAnsi="Arial"/>
                <w:sz w:val="13"/>
                <w:szCs w:val="13"/>
                <w:color w:val="auto"/>
              </w:rPr>
              <w:t>N/A</w:t>
            </w:r>
          </w:p>
        </w:tc>
      </w:tr>
      <w:tr>
        <w:trPr>
          <w:trHeight w:val="230"/>
        </w:trPr>
        <w:tc>
          <w:tcPr>
            <w:tcW w:w="3440" w:type="dxa"/>
            <w:vAlign w:val="bottom"/>
            <w:shd w:val="clear" w:color="auto" w:fill="F1F2F2"/>
          </w:tcPr>
          <w:p>
            <w:pPr>
              <w:ind w:left="40"/>
              <w:spacing w:after="0"/>
              <w:rPr>
                <w:sz w:val="20"/>
                <w:szCs w:val="20"/>
                <w:color w:val="auto"/>
              </w:rPr>
            </w:pPr>
            <w:r>
              <w:rPr>
                <w:rFonts w:ascii="Arial" w:cs="Arial" w:eastAsia="Arial" w:hAnsi="Arial"/>
                <w:sz w:val="13"/>
                <w:szCs w:val="13"/>
                <w:b w:val="1"/>
                <w:bCs w:val="1"/>
                <w:color w:val="auto"/>
              </w:rPr>
              <w:t>David Savman</w:t>
            </w:r>
          </w:p>
        </w:tc>
        <w:tc>
          <w:tcPr>
            <w:tcW w:w="3600" w:type="dxa"/>
            <w:vAlign w:val="bottom"/>
            <w:shd w:val="clear" w:color="auto" w:fill="F1F2F2"/>
          </w:tcPr>
          <w:p>
            <w:pPr>
              <w:jc w:val="right"/>
              <w:ind w:right="738"/>
              <w:spacing w:after="0"/>
              <w:rPr>
                <w:sz w:val="20"/>
                <w:szCs w:val="20"/>
                <w:color w:val="auto"/>
              </w:rPr>
            </w:pPr>
            <w:r>
              <w:rPr>
                <w:rFonts w:ascii="Arial" w:cs="Arial" w:eastAsia="Arial" w:hAnsi="Arial"/>
                <w:sz w:val="13"/>
                <w:szCs w:val="13"/>
                <w:color w:val="auto"/>
              </w:rPr>
              <w:t>1,550,066</w:t>
            </w:r>
          </w:p>
        </w:tc>
        <w:tc>
          <w:tcPr>
            <w:tcW w:w="2240" w:type="dxa"/>
            <w:vAlign w:val="bottom"/>
            <w:shd w:val="clear" w:color="auto" w:fill="F1F2F2"/>
          </w:tcPr>
          <w:p>
            <w:pPr>
              <w:jc w:val="right"/>
              <w:ind w:right="738"/>
              <w:spacing w:after="0"/>
              <w:rPr>
                <w:sz w:val="20"/>
                <w:szCs w:val="20"/>
                <w:color w:val="auto"/>
              </w:rPr>
            </w:pPr>
            <w:r>
              <w:rPr>
                <w:rFonts w:ascii="Arial" w:cs="Arial" w:eastAsia="Arial" w:hAnsi="Arial"/>
                <w:sz w:val="13"/>
                <w:szCs w:val="13"/>
                <w:color w:val="auto"/>
              </w:rPr>
              <w:t>1,000,042</w:t>
            </w:r>
          </w:p>
        </w:tc>
        <w:tc>
          <w:tcPr>
            <w:tcW w:w="14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N/A</w:t>
            </w:r>
          </w:p>
        </w:tc>
      </w:tr>
      <w:tr>
        <w:trPr>
          <w:trHeight w:val="217"/>
        </w:trPr>
        <w:tc>
          <w:tcPr>
            <w:tcW w:w="3440" w:type="dxa"/>
            <w:vAlign w:val="bottom"/>
          </w:tcPr>
          <w:p>
            <w:pPr>
              <w:ind w:left="40"/>
              <w:spacing w:after="0"/>
              <w:rPr>
                <w:sz w:val="20"/>
                <w:szCs w:val="20"/>
                <w:color w:val="auto"/>
              </w:rPr>
            </w:pPr>
            <w:r>
              <w:rPr>
                <w:rFonts w:ascii="Arial" w:cs="Arial" w:eastAsia="Arial" w:hAnsi="Arial"/>
                <w:sz w:val="13"/>
                <w:szCs w:val="13"/>
                <w:b w:val="1"/>
                <w:bCs w:val="1"/>
                <w:color w:val="auto"/>
              </w:rPr>
              <w:t>Zachary J. Coughlin</w:t>
            </w:r>
          </w:p>
        </w:tc>
        <w:tc>
          <w:tcPr>
            <w:tcW w:w="3600" w:type="dxa"/>
            <w:vAlign w:val="bottom"/>
          </w:tcPr>
          <w:p>
            <w:pPr>
              <w:jc w:val="right"/>
              <w:ind w:right="738"/>
              <w:spacing w:after="0"/>
              <w:rPr>
                <w:sz w:val="20"/>
                <w:szCs w:val="20"/>
                <w:color w:val="auto"/>
              </w:rPr>
            </w:pPr>
            <w:r>
              <w:rPr>
                <w:rFonts w:ascii="Arial" w:cs="Arial" w:eastAsia="Arial" w:hAnsi="Arial"/>
                <w:sz w:val="13"/>
                <w:szCs w:val="13"/>
                <w:color w:val="auto"/>
              </w:rPr>
              <w:t>3,900,060</w:t>
            </w:r>
          </w:p>
        </w:tc>
        <w:tc>
          <w:tcPr>
            <w:tcW w:w="2240" w:type="dxa"/>
            <w:vAlign w:val="bottom"/>
          </w:tcPr>
          <w:p>
            <w:pPr>
              <w:jc w:val="right"/>
              <w:ind w:right="738"/>
              <w:spacing w:after="0"/>
              <w:rPr>
                <w:sz w:val="20"/>
                <w:szCs w:val="20"/>
                <w:color w:val="auto"/>
              </w:rPr>
            </w:pPr>
            <w:r>
              <w:rPr>
                <w:rFonts w:ascii="Arial" w:cs="Arial" w:eastAsia="Arial" w:hAnsi="Arial"/>
                <w:sz w:val="13"/>
                <w:szCs w:val="13"/>
                <w:color w:val="auto"/>
              </w:rPr>
              <w:t>3,600,678</w:t>
            </w:r>
          </w:p>
        </w:tc>
        <w:tc>
          <w:tcPr>
            <w:tcW w:w="1420" w:type="dxa"/>
            <w:vAlign w:val="bottom"/>
          </w:tcPr>
          <w:p>
            <w:pPr>
              <w:jc w:val="right"/>
              <w:spacing w:after="0"/>
              <w:rPr>
                <w:sz w:val="20"/>
                <w:szCs w:val="20"/>
                <w:color w:val="auto"/>
              </w:rPr>
            </w:pPr>
            <w:r>
              <w:rPr>
                <w:rFonts w:ascii="Arial" w:cs="Arial" w:eastAsia="Arial" w:hAnsi="Arial"/>
                <w:sz w:val="13"/>
                <w:szCs w:val="13"/>
                <w:color w:val="auto"/>
              </w:rPr>
              <w:t>2,657,466</w:t>
            </w:r>
          </w:p>
        </w:tc>
      </w:tr>
      <w:tr>
        <w:trPr>
          <w:trHeight w:val="230"/>
        </w:trPr>
        <w:tc>
          <w:tcPr>
            <w:tcW w:w="3440" w:type="dxa"/>
            <w:vAlign w:val="bottom"/>
            <w:shd w:val="clear" w:color="auto" w:fill="F1F2F2"/>
          </w:tcPr>
          <w:p>
            <w:pPr>
              <w:ind w:left="40"/>
              <w:spacing w:after="0"/>
              <w:rPr>
                <w:sz w:val="20"/>
                <w:szCs w:val="20"/>
                <w:color w:val="auto"/>
              </w:rPr>
            </w:pPr>
            <w:r>
              <w:rPr>
                <w:rFonts w:ascii="Arial" w:cs="Arial" w:eastAsia="Arial" w:hAnsi="Arial"/>
                <w:sz w:val="13"/>
                <w:szCs w:val="13"/>
                <w:b w:val="1"/>
                <w:bCs w:val="1"/>
                <w:color w:val="auto"/>
              </w:rPr>
              <w:t>Eva Serrano</w:t>
            </w:r>
          </w:p>
        </w:tc>
        <w:tc>
          <w:tcPr>
            <w:tcW w:w="3600" w:type="dxa"/>
            <w:vAlign w:val="bottom"/>
            <w:shd w:val="clear" w:color="auto" w:fill="F1F2F2"/>
          </w:tcPr>
          <w:p>
            <w:pPr>
              <w:jc w:val="right"/>
              <w:ind w:right="738"/>
              <w:spacing w:after="0"/>
              <w:rPr>
                <w:sz w:val="20"/>
                <w:szCs w:val="20"/>
                <w:color w:val="auto"/>
              </w:rPr>
            </w:pPr>
            <w:r>
              <w:rPr>
                <w:rFonts w:ascii="Arial" w:cs="Arial" w:eastAsia="Arial" w:hAnsi="Arial"/>
                <w:sz w:val="13"/>
                <w:szCs w:val="13"/>
                <w:color w:val="auto"/>
              </w:rPr>
              <w:t>1,700,537</w:t>
            </w:r>
          </w:p>
        </w:tc>
        <w:tc>
          <w:tcPr>
            <w:tcW w:w="2240" w:type="dxa"/>
            <w:vAlign w:val="bottom"/>
            <w:shd w:val="clear" w:color="auto" w:fill="F1F2F2"/>
          </w:tcPr>
          <w:p>
            <w:pPr>
              <w:jc w:val="right"/>
              <w:ind w:right="738"/>
              <w:spacing w:after="0"/>
              <w:rPr>
                <w:sz w:val="20"/>
                <w:szCs w:val="20"/>
                <w:color w:val="auto"/>
              </w:rPr>
            </w:pPr>
            <w:r>
              <w:rPr>
                <w:rFonts w:ascii="Arial" w:cs="Arial" w:eastAsia="Arial" w:hAnsi="Arial"/>
                <w:sz w:val="13"/>
                <w:szCs w:val="13"/>
                <w:color w:val="auto"/>
              </w:rPr>
              <w:t>1,700,686</w:t>
            </w:r>
          </w:p>
        </w:tc>
        <w:tc>
          <w:tcPr>
            <w:tcW w:w="14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1,208,061</w:t>
            </w:r>
          </w:p>
        </w:tc>
      </w:tr>
    </w:tbl>
    <w:p>
      <w:pPr>
        <w:spacing w:after="0" w:line="145" w:lineRule="exact"/>
        <w:rPr>
          <w:sz w:val="20"/>
          <w:szCs w:val="20"/>
          <w:color w:val="auto"/>
        </w:rPr>
      </w:pPr>
    </w:p>
    <w:p>
      <w:pPr>
        <w:ind w:left="149" w:right="320" w:hanging="149"/>
        <w:spacing w:after="0" w:line="252" w:lineRule="auto"/>
        <w:tabs>
          <w:tab w:leader="none" w:pos="156" w:val="left"/>
        </w:tabs>
        <w:numPr>
          <w:ilvl w:val="0"/>
          <w:numId w:val="96"/>
        </w:numPr>
        <w:rPr>
          <w:rFonts w:ascii="Arial" w:cs="Arial" w:eastAsia="Arial" w:hAnsi="Arial"/>
          <w:sz w:val="13"/>
          <w:szCs w:val="13"/>
          <w:color w:val="auto"/>
        </w:rPr>
      </w:pPr>
      <w:r>
        <w:rPr>
          <w:rFonts w:ascii="Arial" w:cs="Arial" w:eastAsia="Arial" w:hAnsi="Arial"/>
          <w:sz w:val="13"/>
          <w:szCs w:val="13"/>
          <w:color w:val="auto"/>
        </w:rPr>
        <w:t>No stock options were granted in 2025. The compensation reported in 2024 and 2023 represents the aggregate grant date fair value of stock options granted in the fiscal year listed. The fair value of each award is estimated as of the grant date using the Black-Scholes-Merton option valuation model.</w:t>
      </w:r>
    </w:p>
    <w:p>
      <w:pPr>
        <w:spacing w:after="0" w:line="15" w:lineRule="exact"/>
        <w:rPr>
          <w:rFonts w:ascii="Arial" w:cs="Arial" w:eastAsia="Arial" w:hAnsi="Arial"/>
          <w:sz w:val="13"/>
          <w:szCs w:val="13"/>
          <w:color w:val="auto"/>
        </w:rPr>
      </w:pPr>
    </w:p>
    <w:p>
      <w:pPr>
        <w:ind w:left="149"/>
        <w:spacing w:after="0"/>
        <w:rPr>
          <w:rFonts w:ascii="Arial" w:cs="Arial" w:eastAsia="Arial" w:hAnsi="Arial"/>
          <w:sz w:val="13"/>
          <w:szCs w:val="13"/>
          <w:color w:val="auto"/>
        </w:rPr>
      </w:pPr>
      <w:r>
        <w:rPr>
          <w:rFonts w:ascii="Arial" w:cs="Arial" w:eastAsia="Arial" w:hAnsi="Arial"/>
          <w:sz w:val="13"/>
          <w:szCs w:val="13"/>
          <w:color w:val="auto"/>
        </w:rPr>
        <w:t>The following summarizes the assumptions used to estimate the fair value of stock options granted in the fiscal year listed:</w:t>
      </w:r>
    </w:p>
    <w:p>
      <w:pPr>
        <w:spacing w:after="0" w:line="165" w:lineRule="exact"/>
        <w:rPr>
          <w:sz w:val="20"/>
          <w:szCs w:val="20"/>
          <w:color w:val="auto"/>
        </w:rPr>
      </w:pPr>
    </w:p>
    <w:tbl>
      <w:tblPr>
        <w:tblLayout w:type="fixed"/>
        <w:tblInd w:w="209" w:type="dxa"/>
        <w:tblCellMar>
          <w:top w:w="0" w:type="dxa"/>
          <w:left w:w="0" w:type="dxa"/>
          <w:bottom w:w="0" w:type="dxa"/>
          <w:right w:w="0" w:type="dxa"/>
        </w:tblCellMar>
      </w:tblPr>
      <w:tr>
        <w:trPr>
          <w:trHeight w:val="227"/>
        </w:trPr>
        <w:tc>
          <w:tcPr>
            <w:tcW w:w="5580" w:type="dxa"/>
            <w:vAlign w:val="bottom"/>
            <w:tcBorders>
              <w:bottom w:val="single" w:sz="8" w:color="D1D3D4"/>
            </w:tcBorders>
            <w:shd w:val="clear" w:color="auto" w:fill="D1D3D4"/>
          </w:tcPr>
          <w:p>
            <w:pPr>
              <w:spacing w:after="0"/>
              <w:rPr>
                <w:sz w:val="19"/>
                <w:szCs w:val="19"/>
                <w:color w:val="auto"/>
              </w:rPr>
            </w:pPr>
          </w:p>
        </w:tc>
        <w:tc>
          <w:tcPr>
            <w:tcW w:w="3780" w:type="dxa"/>
            <w:vAlign w:val="bottom"/>
            <w:tcBorders>
              <w:bottom w:val="single" w:sz="8" w:color="D1D3D4"/>
            </w:tcBorders>
            <w:shd w:val="clear" w:color="auto" w:fill="D1D3D4"/>
          </w:tcPr>
          <w:p>
            <w:pPr>
              <w:jc w:val="right"/>
              <w:ind w:right="819"/>
              <w:spacing w:after="0"/>
              <w:rPr>
                <w:sz w:val="20"/>
                <w:szCs w:val="20"/>
                <w:color w:val="auto"/>
              </w:rPr>
            </w:pPr>
            <w:r>
              <w:rPr>
                <w:rFonts w:ascii="Arial" w:cs="Arial" w:eastAsia="Arial" w:hAnsi="Arial"/>
                <w:sz w:val="11"/>
                <w:szCs w:val="11"/>
                <w:color w:val="auto"/>
              </w:rPr>
              <w:t>2024</w:t>
            </w:r>
          </w:p>
        </w:tc>
        <w:tc>
          <w:tcPr>
            <w:tcW w:w="1360" w:type="dxa"/>
            <w:vAlign w:val="bottom"/>
            <w:tcBorders>
              <w:bottom w:val="single" w:sz="8" w:color="D1D3D4"/>
            </w:tcBorders>
            <w:shd w:val="clear" w:color="auto" w:fill="D1D3D4"/>
          </w:tcPr>
          <w:p>
            <w:pPr>
              <w:jc w:val="right"/>
              <w:spacing w:after="0"/>
              <w:rPr>
                <w:sz w:val="20"/>
                <w:szCs w:val="20"/>
                <w:color w:val="auto"/>
              </w:rPr>
            </w:pPr>
            <w:r>
              <w:rPr>
                <w:rFonts w:ascii="Arial" w:cs="Arial" w:eastAsia="Arial" w:hAnsi="Arial"/>
                <w:sz w:val="11"/>
                <w:szCs w:val="11"/>
                <w:color w:val="auto"/>
              </w:rPr>
              <w:t>2023</w:t>
            </w:r>
          </w:p>
        </w:tc>
      </w:tr>
      <w:tr>
        <w:trPr>
          <w:trHeight w:val="224"/>
        </w:trPr>
        <w:tc>
          <w:tcPr>
            <w:tcW w:w="5580" w:type="dxa"/>
            <w:vAlign w:val="bottom"/>
            <w:shd w:val="clear" w:color="auto" w:fill="F1F2F2"/>
          </w:tcPr>
          <w:p>
            <w:pPr>
              <w:ind w:left="60"/>
              <w:spacing w:after="0"/>
              <w:rPr>
                <w:sz w:val="20"/>
                <w:szCs w:val="20"/>
                <w:color w:val="auto"/>
              </w:rPr>
            </w:pPr>
            <w:r>
              <w:rPr>
                <w:rFonts w:ascii="Arial" w:cs="Arial" w:eastAsia="Arial" w:hAnsi="Arial"/>
                <w:sz w:val="13"/>
                <w:szCs w:val="13"/>
                <w:b w:val="1"/>
                <w:bCs w:val="1"/>
                <w:color w:val="auto"/>
              </w:rPr>
              <w:t>Weighted Average Grant Date Fair Value Per Option</w:t>
            </w:r>
          </w:p>
        </w:tc>
        <w:tc>
          <w:tcPr>
            <w:tcW w:w="3780" w:type="dxa"/>
            <w:vAlign w:val="bottom"/>
            <w:shd w:val="clear" w:color="auto" w:fill="F1F2F2"/>
          </w:tcPr>
          <w:p>
            <w:pPr>
              <w:jc w:val="right"/>
              <w:ind w:right="819"/>
              <w:spacing w:after="0"/>
              <w:rPr>
                <w:sz w:val="20"/>
                <w:szCs w:val="20"/>
                <w:color w:val="auto"/>
              </w:rPr>
            </w:pPr>
            <w:r>
              <w:rPr>
                <w:rFonts w:ascii="Arial" w:cs="Arial" w:eastAsia="Arial" w:hAnsi="Arial"/>
                <w:sz w:val="13"/>
                <w:szCs w:val="13"/>
                <w:color w:val="auto"/>
              </w:rPr>
              <w:t>$60.96</w:t>
            </w:r>
          </w:p>
        </w:tc>
        <w:tc>
          <w:tcPr>
            <w:tcW w:w="13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$43.47</w:t>
            </w:r>
          </w:p>
        </w:tc>
      </w:tr>
      <w:tr>
        <w:trPr>
          <w:trHeight w:val="217"/>
        </w:trPr>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Weighted Average Risk-Free Interest Rate</w:t>
            </w:r>
          </w:p>
        </w:tc>
        <w:tc>
          <w:tcPr>
            <w:tcW w:w="3780" w:type="dxa"/>
            <w:vAlign w:val="bottom"/>
          </w:tcPr>
          <w:p>
            <w:pPr>
              <w:jc w:val="right"/>
              <w:ind w:right="819"/>
              <w:spacing w:after="0"/>
              <w:rPr>
                <w:sz w:val="20"/>
                <w:szCs w:val="20"/>
                <w:color w:val="auto"/>
              </w:rPr>
            </w:pPr>
            <w:r>
              <w:rPr>
                <w:rFonts w:ascii="Arial" w:cs="Arial" w:eastAsia="Arial" w:hAnsi="Arial"/>
                <w:sz w:val="13"/>
                <w:szCs w:val="13"/>
                <w:color w:val="auto"/>
              </w:rPr>
              <w:t>4.33%</w:t>
            </w:r>
          </w:p>
        </w:tc>
        <w:tc>
          <w:tcPr>
            <w:tcW w:w="1360" w:type="dxa"/>
            <w:vAlign w:val="bottom"/>
          </w:tcPr>
          <w:p>
            <w:pPr>
              <w:jc w:val="right"/>
              <w:spacing w:after="0"/>
              <w:rPr>
                <w:sz w:val="20"/>
                <w:szCs w:val="20"/>
                <w:color w:val="auto"/>
              </w:rPr>
            </w:pPr>
            <w:r>
              <w:rPr>
                <w:rFonts w:ascii="Arial" w:cs="Arial" w:eastAsia="Arial" w:hAnsi="Arial"/>
                <w:sz w:val="13"/>
                <w:szCs w:val="13"/>
                <w:color w:val="auto"/>
              </w:rPr>
              <w:t>3.33%</w:t>
            </w:r>
          </w:p>
        </w:tc>
      </w:tr>
      <w:tr>
        <w:trPr>
          <w:trHeight w:val="230"/>
        </w:trPr>
        <w:tc>
          <w:tcPr>
            <w:tcW w:w="5580" w:type="dxa"/>
            <w:vAlign w:val="bottom"/>
            <w:shd w:val="clear" w:color="auto" w:fill="F1F2F2"/>
          </w:tcPr>
          <w:p>
            <w:pPr>
              <w:ind w:left="60"/>
              <w:spacing w:after="0"/>
              <w:rPr>
                <w:sz w:val="20"/>
                <w:szCs w:val="20"/>
                <w:color w:val="auto"/>
              </w:rPr>
            </w:pPr>
            <w:r>
              <w:rPr>
                <w:rFonts w:ascii="Arial" w:cs="Arial" w:eastAsia="Arial" w:hAnsi="Arial"/>
                <w:sz w:val="13"/>
                <w:szCs w:val="13"/>
                <w:b w:val="1"/>
                <w:bCs w:val="1"/>
                <w:color w:val="auto"/>
              </w:rPr>
              <w:t>Expected Annual Dividends Per Share</w:t>
            </w:r>
          </w:p>
        </w:tc>
        <w:tc>
          <w:tcPr>
            <w:tcW w:w="3780" w:type="dxa"/>
            <w:vAlign w:val="bottom"/>
            <w:shd w:val="clear" w:color="auto" w:fill="F1F2F2"/>
          </w:tcPr>
          <w:p>
            <w:pPr>
              <w:jc w:val="right"/>
              <w:ind w:right="819"/>
              <w:spacing w:after="0"/>
              <w:rPr>
                <w:sz w:val="20"/>
                <w:szCs w:val="20"/>
                <w:color w:val="auto"/>
              </w:rPr>
            </w:pPr>
            <w:r>
              <w:rPr>
                <w:rFonts w:ascii="Arial" w:cs="Arial" w:eastAsia="Arial" w:hAnsi="Arial"/>
                <w:sz w:val="13"/>
                <w:szCs w:val="13"/>
                <w:color w:val="auto"/>
              </w:rPr>
              <w:t>$0.15</w:t>
            </w:r>
          </w:p>
        </w:tc>
        <w:tc>
          <w:tcPr>
            <w:tcW w:w="13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$0.15</w:t>
            </w:r>
          </w:p>
        </w:tc>
      </w:tr>
      <w:tr>
        <w:trPr>
          <w:trHeight w:val="217"/>
        </w:trPr>
        <w:tc>
          <w:tcPr>
            <w:tcW w:w="5580" w:type="dxa"/>
            <w:vAlign w:val="bottom"/>
          </w:tcPr>
          <w:p>
            <w:pPr>
              <w:ind w:left="60"/>
              <w:spacing w:after="0"/>
              <w:rPr>
                <w:sz w:val="20"/>
                <w:szCs w:val="20"/>
                <w:color w:val="auto"/>
              </w:rPr>
            </w:pPr>
            <w:r>
              <w:rPr>
                <w:rFonts w:ascii="Arial" w:cs="Arial" w:eastAsia="Arial" w:hAnsi="Arial"/>
                <w:sz w:val="13"/>
                <w:szCs w:val="13"/>
                <w:b w:val="1"/>
                <w:bCs w:val="1"/>
                <w:color w:val="auto"/>
              </w:rPr>
              <w:t>Weighted Average Company Volatility</w:t>
            </w:r>
          </w:p>
        </w:tc>
        <w:tc>
          <w:tcPr>
            <w:tcW w:w="3780" w:type="dxa"/>
            <w:vAlign w:val="bottom"/>
          </w:tcPr>
          <w:p>
            <w:pPr>
              <w:jc w:val="right"/>
              <w:ind w:right="819"/>
              <w:spacing w:after="0"/>
              <w:rPr>
                <w:sz w:val="20"/>
                <w:szCs w:val="20"/>
                <w:color w:val="auto"/>
              </w:rPr>
            </w:pPr>
            <w:r>
              <w:rPr>
                <w:rFonts w:ascii="Arial" w:cs="Arial" w:eastAsia="Arial" w:hAnsi="Arial"/>
                <w:sz w:val="13"/>
                <w:szCs w:val="13"/>
                <w:color w:val="auto"/>
              </w:rPr>
              <w:t>53.32%</w:t>
            </w:r>
          </w:p>
        </w:tc>
        <w:tc>
          <w:tcPr>
            <w:tcW w:w="1360" w:type="dxa"/>
            <w:vAlign w:val="bottom"/>
          </w:tcPr>
          <w:p>
            <w:pPr>
              <w:jc w:val="right"/>
              <w:spacing w:after="0"/>
              <w:rPr>
                <w:sz w:val="20"/>
                <w:szCs w:val="20"/>
                <w:color w:val="auto"/>
              </w:rPr>
            </w:pPr>
            <w:r>
              <w:rPr>
                <w:rFonts w:ascii="Arial" w:cs="Arial" w:eastAsia="Arial" w:hAnsi="Arial"/>
                <w:sz w:val="13"/>
                <w:szCs w:val="13"/>
                <w:color w:val="auto"/>
              </w:rPr>
              <w:t>50.60%</w:t>
            </w:r>
          </w:p>
        </w:tc>
      </w:tr>
      <w:tr>
        <w:trPr>
          <w:trHeight w:val="230"/>
        </w:trPr>
        <w:tc>
          <w:tcPr>
            <w:tcW w:w="5580" w:type="dxa"/>
            <w:vAlign w:val="bottom"/>
            <w:shd w:val="clear" w:color="auto" w:fill="F1F2F2"/>
          </w:tcPr>
          <w:p>
            <w:pPr>
              <w:ind w:left="60"/>
              <w:spacing w:after="0"/>
              <w:rPr>
                <w:sz w:val="20"/>
                <w:szCs w:val="20"/>
                <w:color w:val="auto"/>
              </w:rPr>
            </w:pPr>
            <w:r>
              <w:rPr>
                <w:rFonts w:ascii="Arial" w:cs="Arial" w:eastAsia="Arial" w:hAnsi="Arial"/>
                <w:sz w:val="13"/>
                <w:szCs w:val="13"/>
                <w:b w:val="1"/>
                <w:bCs w:val="1"/>
                <w:color w:val="auto"/>
              </w:rPr>
              <w:t>Weighted Average Expected Option Term, In Years</w:t>
            </w:r>
          </w:p>
        </w:tc>
        <w:tc>
          <w:tcPr>
            <w:tcW w:w="3780" w:type="dxa"/>
            <w:vAlign w:val="bottom"/>
            <w:shd w:val="clear" w:color="auto" w:fill="F1F2F2"/>
          </w:tcPr>
          <w:p>
            <w:pPr>
              <w:jc w:val="right"/>
              <w:ind w:right="819"/>
              <w:spacing w:after="0"/>
              <w:rPr>
                <w:sz w:val="20"/>
                <w:szCs w:val="20"/>
                <w:color w:val="auto"/>
              </w:rPr>
            </w:pPr>
            <w:r>
              <w:rPr>
                <w:rFonts w:ascii="Arial" w:cs="Arial" w:eastAsia="Arial" w:hAnsi="Arial"/>
                <w:sz w:val="13"/>
                <w:szCs w:val="13"/>
                <w:color w:val="auto"/>
              </w:rPr>
              <w:t>6.25</w:t>
            </w:r>
          </w:p>
        </w:tc>
        <w:tc>
          <w:tcPr>
            <w:tcW w:w="13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6.25</w:t>
            </w:r>
          </w:p>
        </w:tc>
      </w:tr>
    </w:tbl>
    <w:p>
      <w:pPr>
        <w:spacing w:after="0" w:line="145" w:lineRule="exact"/>
        <w:rPr>
          <w:sz w:val="20"/>
          <w:szCs w:val="20"/>
          <w:color w:val="auto"/>
        </w:rPr>
      </w:pPr>
    </w:p>
    <w:p>
      <w:pPr>
        <w:ind w:left="149" w:right="140" w:hanging="149"/>
        <w:spacing w:after="0" w:line="252" w:lineRule="auto"/>
        <w:tabs>
          <w:tab w:leader="none" w:pos="156"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compensation reported consists of payouts under our Performance Incentive Bonus Plan earned with respect to the fiscal years listed. Included for Mr. Savman is a $200,000 adjustment of his bonus in recognition of his outstanding performance while executing two leadership roles for a significant portion of 2025.</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EXECUTIVE COMPENSATION TABLES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179" w:right="479" w:bottom="1440" w:gutter="0" w:footer="0" w:header="0"/>
        </w:sectPr>
      </w:pPr>
    </w:p>
    <w:bookmarkStart w:id="64" w:name="page65"/>
    <w:bookmarkEnd w:id="64"/>
    <w:p>
      <w:pPr>
        <w:ind w:left="9"/>
        <w:spacing w:after="0"/>
        <w:rPr>
          <w:sz w:val="20"/>
          <w:szCs w:val="20"/>
          <w:color w:val="auto"/>
        </w:rPr>
      </w:pPr>
      <w:r>
        <w:rPr>
          <w:rFonts w:ascii="Arial" w:cs="Arial" w:eastAsia="Arial" w:hAnsi="Arial"/>
          <w:sz w:val="13"/>
          <w:szCs w:val="13"/>
          <w:color w:val="auto"/>
        </w:rPr>
        <w:t>4  The compensation reported consists of the changes in values under our Pension Plan and our Supplemental Pension Plan as follows:</w:t>
      </w:r>
    </w:p>
    <w:p>
      <w:pPr>
        <w:spacing w:after="0" w:line="153" w:lineRule="exact"/>
        <w:rPr>
          <w:sz w:val="20"/>
          <w:szCs w:val="20"/>
          <w:color w:val="auto"/>
        </w:rPr>
      </w:pPr>
    </w:p>
    <w:tbl>
      <w:tblPr>
        <w:tblLayout w:type="fixed"/>
        <w:tblInd w:w="229" w:type="dxa"/>
        <w:tblCellMar>
          <w:top w:w="0" w:type="dxa"/>
          <w:left w:w="0" w:type="dxa"/>
          <w:bottom w:w="0" w:type="dxa"/>
          <w:right w:w="0" w:type="dxa"/>
        </w:tblCellMar>
      </w:tblPr>
      <w:tr>
        <w:trPr>
          <w:trHeight w:val="160"/>
        </w:trPr>
        <w:tc>
          <w:tcPr>
            <w:tcW w:w="1660" w:type="dxa"/>
            <w:vAlign w:val="bottom"/>
            <w:shd w:val="clear" w:color="auto" w:fill="D1D3D4"/>
          </w:tcPr>
          <w:p>
            <w:pPr>
              <w:spacing w:after="0"/>
              <w:rPr>
                <w:sz w:val="13"/>
                <w:szCs w:val="13"/>
                <w:color w:val="auto"/>
              </w:rPr>
            </w:pPr>
          </w:p>
        </w:tc>
        <w:tc>
          <w:tcPr>
            <w:tcW w:w="1520" w:type="dxa"/>
            <w:vAlign w:val="bottom"/>
            <w:shd w:val="clear" w:color="auto" w:fill="D1D3D4"/>
          </w:tcPr>
          <w:p>
            <w:pPr>
              <w:spacing w:after="0"/>
              <w:rPr>
                <w:sz w:val="13"/>
                <w:szCs w:val="13"/>
                <w:color w:val="auto"/>
              </w:rPr>
            </w:pPr>
          </w:p>
        </w:tc>
        <w:tc>
          <w:tcPr>
            <w:tcW w:w="2860" w:type="dxa"/>
            <w:vAlign w:val="bottom"/>
            <w:shd w:val="clear" w:color="auto" w:fill="D1D3D4"/>
          </w:tcPr>
          <w:p>
            <w:pPr>
              <w:spacing w:after="0"/>
              <w:rPr>
                <w:sz w:val="13"/>
                <w:szCs w:val="13"/>
                <w:color w:val="auto"/>
              </w:rPr>
            </w:pPr>
          </w:p>
        </w:tc>
        <w:tc>
          <w:tcPr>
            <w:tcW w:w="2220" w:type="dxa"/>
            <w:vAlign w:val="bottom"/>
            <w:shd w:val="clear" w:color="auto" w:fill="D1D3D4"/>
          </w:tcPr>
          <w:p>
            <w:pPr>
              <w:jc w:val="right"/>
              <w:ind w:right="219"/>
              <w:spacing w:after="0"/>
              <w:rPr>
                <w:sz w:val="20"/>
                <w:szCs w:val="20"/>
                <w:color w:val="auto"/>
              </w:rPr>
            </w:pPr>
            <w:r>
              <w:rPr>
                <w:rFonts w:ascii="Arial" w:cs="Arial" w:eastAsia="Arial" w:hAnsi="Arial"/>
                <w:sz w:val="11"/>
                <w:szCs w:val="11"/>
                <w:color w:val="auto"/>
              </w:rPr>
              <w:t>Change in Supplemental</w:t>
            </w:r>
          </w:p>
        </w:tc>
        <w:tc>
          <w:tcPr>
            <w:tcW w:w="2440" w:type="dxa"/>
            <w:vAlign w:val="bottom"/>
            <w:shd w:val="clear" w:color="auto" w:fill="D1D3D4"/>
          </w:tcPr>
          <w:p>
            <w:pPr>
              <w:jc w:val="right"/>
              <w:ind w:right="19"/>
              <w:spacing w:after="0"/>
              <w:rPr>
                <w:sz w:val="20"/>
                <w:szCs w:val="20"/>
                <w:color w:val="auto"/>
              </w:rPr>
            </w:pPr>
            <w:r>
              <w:rPr>
                <w:rFonts w:ascii="Arial" w:cs="Arial" w:eastAsia="Arial" w:hAnsi="Arial"/>
                <w:sz w:val="11"/>
                <w:szCs w:val="11"/>
                <w:color w:val="auto"/>
              </w:rPr>
              <w:t>Change in Pension Value and Non-qualified</w:t>
            </w:r>
          </w:p>
        </w:tc>
      </w:tr>
      <w:tr>
        <w:trPr>
          <w:trHeight w:val="119"/>
        </w:trPr>
        <w:tc>
          <w:tcPr>
            <w:tcW w:w="1660" w:type="dxa"/>
            <w:vAlign w:val="bottom"/>
            <w:shd w:val="clear" w:color="auto" w:fill="D1D3D4"/>
          </w:tcPr>
          <w:p>
            <w:pPr>
              <w:spacing w:after="0"/>
              <w:rPr>
                <w:sz w:val="10"/>
                <w:szCs w:val="10"/>
                <w:color w:val="auto"/>
              </w:rPr>
            </w:pPr>
          </w:p>
        </w:tc>
        <w:tc>
          <w:tcPr>
            <w:tcW w:w="1520" w:type="dxa"/>
            <w:vAlign w:val="bottom"/>
            <w:shd w:val="clear" w:color="auto" w:fill="D1D3D4"/>
          </w:tcPr>
          <w:p>
            <w:pPr>
              <w:spacing w:after="0"/>
              <w:rPr>
                <w:sz w:val="10"/>
                <w:szCs w:val="10"/>
                <w:color w:val="auto"/>
              </w:rPr>
            </w:pPr>
          </w:p>
        </w:tc>
        <w:tc>
          <w:tcPr>
            <w:tcW w:w="2860" w:type="dxa"/>
            <w:vAlign w:val="bottom"/>
            <w:shd w:val="clear" w:color="auto" w:fill="D1D3D4"/>
          </w:tcPr>
          <w:p>
            <w:pPr>
              <w:jc w:val="right"/>
              <w:ind w:right="718"/>
              <w:spacing w:after="0" w:line="119" w:lineRule="exact"/>
              <w:rPr>
                <w:sz w:val="20"/>
                <w:szCs w:val="20"/>
                <w:color w:val="auto"/>
              </w:rPr>
            </w:pPr>
            <w:r>
              <w:rPr>
                <w:rFonts w:ascii="Arial" w:cs="Arial" w:eastAsia="Arial" w:hAnsi="Arial"/>
                <w:sz w:val="11"/>
                <w:szCs w:val="11"/>
                <w:color w:val="auto"/>
              </w:rPr>
              <w:t>Change in Pension Plan Value</w:t>
            </w:r>
          </w:p>
        </w:tc>
        <w:tc>
          <w:tcPr>
            <w:tcW w:w="2220" w:type="dxa"/>
            <w:vAlign w:val="bottom"/>
            <w:shd w:val="clear" w:color="auto" w:fill="D1D3D4"/>
          </w:tcPr>
          <w:p>
            <w:pPr>
              <w:jc w:val="right"/>
              <w:ind w:right="219"/>
              <w:spacing w:after="0" w:line="119" w:lineRule="exact"/>
              <w:rPr>
                <w:sz w:val="20"/>
                <w:szCs w:val="20"/>
                <w:color w:val="auto"/>
              </w:rPr>
            </w:pPr>
            <w:r>
              <w:rPr>
                <w:rFonts w:ascii="Arial" w:cs="Arial" w:eastAsia="Arial" w:hAnsi="Arial"/>
                <w:sz w:val="11"/>
                <w:szCs w:val="11"/>
                <w:color w:val="auto"/>
              </w:rPr>
              <w:t>Pension Plan Value</w:t>
            </w:r>
          </w:p>
        </w:tc>
        <w:tc>
          <w:tcPr>
            <w:tcW w:w="2440" w:type="dxa"/>
            <w:vAlign w:val="bottom"/>
            <w:shd w:val="clear" w:color="auto" w:fill="D1D3D4"/>
          </w:tcPr>
          <w:p>
            <w:pPr>
              <w:jc w:val="right"/>
              <w:spacing w:after="0" w:line="120" w:lineRule="exact"/>
              <w:rPr>
                <w:sz w:val="20"/>
                <w:szCs w:val="20"/>
                <w:color w:val="auto"/>
              </w:rPr>
            </w:pPr>
            <w:r>
              <w:rPr>
                <w:rFonts w:ascii="Arial" w:cs="Arial" w:eastAsia="Arial" w:hAnsi="Arial"/>
                <w:sz w:val="11"/>
                <w:szCs w:val="11"/>
                <w:color w:val="auto"/>
              </w:rPr>
              <w:t>Deferred Compensation Earnings</w:t>
            </w:r>
            <w:r>
              <w:rPr>
                <w:rFonts w:ascii="Arial" w:cs="Arial" w:eastAsia="Arial" w:hAnsi="Arial"/>
                <w:sz w:val="12"/>
                <w:szCs w:val="12"/>
                <w:color w:val="auto"/>
                <w:vertAlign w:val="superscript"/>
              </w:rPr>
              <w:t>†</w:t>
            </w:r>
          </w:p>
        </w:tc>
      </w:tr>
      <w:tr>
        <w:trPr>
          <w:trHeight w:val="148"/>
        </w:trPr>
        <w:tc>
          <w:tcPr>
            <w:tcW w:w="1660" w:type="dxa"/>
            <w:vAlign w:val="bottom"/>
            <w:tcBorders>
              <w:bottom w:val="single" w:sz="8" w:color="D1D3D4"/>
            </w:tcBorders>
            <w:shd w:val="clear" w:color="auto" w:fill="D1D3D4"/>
          </w:tcPr>
          <w:p>
            <w:pPr>
              <w:ind w:left="60"/>
              <w:spacing w:after="0"/>
              <w:rPr>
                <w:sz w:val="20"/>
                <w:szCs w:val="20"/>
                <w:color w:val="auto"/>
              </w:rPr>
            </w:pPr>
            <w:r>
              <w:rPr>
                <w:rFonts w:ascii="Arial" w:cs="Arial" w:eastAsia="Arial" w:hAnsi="Arial"/>
                <w:sz w:val="11"/>
                <w:szCs w:val="11"/>
                <w:color w:val="auto"/>
              </w:rPr>
              <w:t>Name</w:t>
            </w:r>
          </w:p>
        </w:tc>
        <w:tc>
          <w:tcPr>
            <w:tcW w:w="1520" w:type="dxa"/>
            <w:vAlign w:val="bottom"/>
            <w:tcBorders>
              <w:bottom w:val="single" w:sz="8" w:color="D1D3D4"/>
            </w:tcBorders>
            <w:shd w:val="clear" w:color="auto" w:fill="D1D3D4"/>
          </w:tcPr>
          <w:p>
            <w:pPr>
              <w:jc w:val="right"/>
              <w:ind w:right="538"/>
              <w:spacing w:after="0"/>
              <w:rPr>
                <w:sz w:val="20"/>
                <w:szCs w:val="20"/>
                <w:color w:val="auto"/>
              </w:rPr>
            </w:pPr>
            <w:r>
              <w:rPr>
                <w:rFonts w:ascii="Arial" w:cs="Arial" w:eastAsia="Arial" w:hAnsi="Arial"/>
                <w:sz w:val="11"/>
                <w:szCs w:val="11"/>
                <w:color w:val="auto"/>
              </w:rPr>
              <w:t>Fiscal Year</w:t>
            </w:r>
          </w:p>
        </w:tc>
        <w:tc>
          <w:tcPr>
            <w:tcW w:w="2860" w:type="dxa"/>
            <w:vAlign w:val="bottom"/>
            <w:tcBorders>
              <w:bottom w:val="single" w:sz="8" w:color="D1D3D4"/>
            </w:tcBorders>
            <w:shd w:val="clear" w:color="auto" w:fill="D1D3D4"/>
          </w:tcPr>
          <w:p>
            <w:pPr>
              <w:jc w:val="right"/>
              <w:ind w:right="678"/>
              <w:spacing w:after="0"/>
              <w:rPr>
                <w:sz w:val="20"/>
                <w:szCs w:val="20"/>
                <w:color w:val="auto"/>
              </w:rPr>
            </w:pPr>
            <w:r>
              <w:rPr>
                <w:rFonts w:ascii="Arial" w:cs="Arial" w:eastAsia="Arial" w:hAnsi="Arial"/>
                <w:sz w:val="11"/>
                <w:szCs w:val="11"/>
                <w:color w:val="auto"/>
              </w:rPr>
              <w:t>($)</w:t>
            </w:r>
          </w:p>
        </w:tc>
        <w:tc>
          <w:tcPr>
            <w:tcW w:w="2220" w:type="dxa"/>
            <w:vAlign w:val="bottom"/>
            <w:tcBorders>
              <w:bottom w:val="single" w:sz="8" w:color="D1D3D4"/>
            </w:tcBorders>
            <w:shd w:val="clear" w:color="auto" w:fill="D1D3D4"/>
          </w:tcPr>
          <w:p>
            <w:pPr>
              <w:jc w:val="right"/>
              <w:ind w:right="199"/>
              <w:spacing w:after="0"/>
              <w:rPr>
                <w:sz w:val="20"/>
                <w:szCs w:val="20"/>
                <w:color w:val="auto"/>
              </w:rPr>
            </w:pPr>
            <w:r>
              <w:rPr>
                <w:rFonts w:ascii="Arial" w:cs="Arial" w:eastAsia="Arial" w:hAnsi="Arial"/>
                <w:sz w:val="11"/>
                <w:szCs w:val="11"/>
                <w:color w:val="auto"/>
              </w:rPr>
              <w:t>($)</w:t>
            </w:r>
          </w:p>
        </w:tc>
        <w:tc>
          <w:tcPr>
            <w:tcW w:w="2440" w:type="dxa"/>
            <w:vAlign w:val="bottom"/>
            <w:tcBorders>
              <w:bottom w:val="single" w:sz="8" w:color="D1D3D4"/>
            </w:tcBorders>
            <w:shd w:val="clear" w:color="auto" w:fill="D1D3D4"/>
          </w:tcPr>
          <w:p>
            <w:pPr>
              <w:jc w:val="right"/>
              <w:spacing w:after="0"/>
              <w:rPr>
                <w:sz w:val="20"/>
                <w:szCs w:val="20"/>
                <w:color w:val="auto"/>
              </w:rPr>
            </w:pPr>
            <w:r>
              <w:rPr>
                <w:rFonts w:ascii="Arial" w:cs="Arial" w:eastAsia="Arial" w:hAnsi="Arial"/>
                <w:sz w:val="11"/>
                <w:szCs w:val="11"/>
                <w:color w:val="auto"/>
              </w:rPr>
              <w:t>($)</w:t>
            </w:r>
          </w:p>
        </w:tc>
      </w:tr>
      <w:tr>
        <w:trPr>
          <w:trHeight w:val="211"/>
        </w:trPr>
        <w:tc>
          <w:tcPr>
            <w:tcW w:w="1660" w:type="dxa"/>
            <w:vAlign w:val="bottom"/>
            <w:shd w:val="clear" w:color="auto" w:fill="F1F2F2"/>
          </w:tcPr>
          <w:p>
            <w:pPr>
              <w:ind w:left="60"/>
              <w:spacing w:after="0"/>
              <w:rPr>
                <w:sz w:val="20"/>
                <w:szCs w:val="20"/>
                <w:color w:val="auto"/>
              </w:rPr>
            </w:pPr>
            <w:r>
              <w:rPr>
                <w:rFonts w:ascii="Arial" w:cs="Arial" w:eastAsia="Arial" w:hAnsi="Arial"/>
                <w:sz w:val="13"/>
                <w:szCs w:val="13"/>
                <w:b w:val="1"/>
                <w:bCs w:val="1"/>
                <w:color w:val="auto"/>
              </w:rPr>
              <w:t>Stefan Larsson</w:t>
            </w:r>
          </w:p>
        </w:tc>
        <w:tc>
          <w:tcPr>
            <w:tcW w:w="1520" w:type="dxa"/>
            <w:vAlign w:val="bottom"/>
            <w:shd w:val="clear" w:color="auto" w:fill="F1F2F2"/>
          </w:tcPr>
          <w:p>
            <w:pPr>
              <w:jc w:val="right"/>
              <w:ind w:right="538"/>
              <w:spacing w:after="0"/>
              <w:rPr>
                <w:sz w:val="20"/>
                <w:szCs w:val="20"/>
                <w:color w:val="auto"/>
              </w:rPr>
            </w:pPr>
            <w:r>
              <w:rPr>
                <w:rFonts w:ascii="Arial" w:cs="Arial" w:eastAsia="Arial" w:hAnsi="Arial"/>
                <w:sz w:val="13"/>
                <w:szCs w:val="13"/>
                <w:color w:val="auto"/>
              </w:rPr>
              <w:t>2025</w:t>
            </w:r>
          </w:p>
        </w:tc>
        <w:tc>
          <w:tcPr>
            <w:tcW w:w="2860" w:type="dxa"/>
            <w:vAlign w:val="bottom"/>
            <w:shd w:val="clear" w:color="auto" w:fill="F1F2F2"/>
          </w:tcPr>
          <w:p>
            <w:pPr>
              <w:jc w:val="right"/>
              <w:ind w:right="678"/>
              <w:spacing w:after="0"/>
              <w:rPr>
                <w:sz w:val="20"/>
                <w:szCs w:val="20"/>
                <w:color w:val="auto"/>
              </w:rPr>
            </w:pPr>
            <w:r>
              <w:rPr>
                <w:rFonts w:ascii="Arial" w:cs="Arial" w:eastAsia="Arial" w:hAnsi="Arial"/>
                <w:sz w:val="13"/>
                <w:szCs w:val="13"/>
                <w:color w:val="auto"/>
              </w:rPr>
              <w:t>3,784</w:t>
            </w:r>
          </w:p>
        </w:tc>
        <w:tc>
          <w:tcPr>
            <w:tcW w:w="2220" w:type="dxa"/>
            <w:vAlign w:val="bottom"/>
            <w:shd w:val="clear" w:color="auto" w:fill="F1F2F2"/>
          </w:tcPr>
          <w:p>
            <w:pPr>
              <w:jc w:val="right"/>
              <w:ind w:right="199"/>
              <w:spacing w:after="0"/>
              <w:rPr>
                <w:sz w:val="20"/>
                <w:szCs w:val="20"/>
                <w:color w:val="auto"/>
              </w:rPr>
            </w:pPr>
            <w:r>
              <w:rPr>
                <w:rFonts w:ascii="Arial" w:cs="Arial" w:eastAsia="Arial" w:hAnsi="Arial"/>
                <w:sz w:val="13"/>
                <w:szCs w:val="13"/>
                <w:color w:val="auto"/>
              </w:rPr>
              <w:t>41,296</w:t>
            </w:r>
          </w:p>
        </w:tc>
        <w:tc>
          <w:tcPr>
            <w:tcW w:w="24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45,080</w:t>
            </w:r>
          </w:p>
        </w:tc>
      </w:tr>
      <w:tr>
        <w:trPr>
          <w:trHeight w:val="182"/>
        </w:trPr>
        <w:tc>
          <w:tcPr>
            <w:tcW w:w="1660" w:type="dxa"/>
            <w:vAlign w:val="bottom"/>
            <w:shd w:val="clear" w:color="auto" w:fill="F1F2F2"/>
          </w:tcPr>
          <w:p>
            <w:pPr>
              <w:spacing w:after="0"/>
              <w:rPr>
                <w:sz w:val="15"/>
                <w:szCs w:val="15"/>
                <w:color w:val="auto"/>
              </w:rPr>
            </w:pPr>
          </w:p>
        </w:tc>
        <w:tc>
          <w:tcPr>
            <w:tcW w:w="1520" w:type="dxa"/>
            <w:vAlign w:val="bottom"/>
            <w:shd w:val="clear" w:color="auto" w:fill="F1F2F2"/>
          </w:tcPr>
          <w:p>
            <w:pPr>
              <w:jc w:val="right"/>
              <w:ind w:right="538"/>
              <w:spacing w:after="0"/>
              <w:rPr>
                <w:sz w:val="20"/>
                <w:szCs w:val="20"/>
                <w:color w:val="auto"/>
              </w:rPr>
            </w:pPr>
            <w:r>
              <w:rPr>
                <w:rFonts w:ascii="Arial" w:cs="Arial" w:eastAsia="Arial" w:hAnsi="Arial"/>
                <w:sz w:val="13"/>
                <w:szCs w:val="13"/>
                <w:color w:val="auto"/>
              </w:rPr>
              <w:t>2024</w:t>
            </w:r>
          </w:p>
        </w:tc>
        <w:tc>
          <w:tcPr>
            <w:tcW w:w="2860" w:type="dxa"/>
            <w:vAlign w:val="bottom"/>
            <w:shd w:val="clear" w:color="auto" w:fill="F1F2F2"/>
          </w:tcPr>
          <w:p>
            <w:pPr>
              <w:jc w:val="right"/>
              <w:ind w:right="678"/>
              <w:spacing w:after="0"/>
              <w:rPr>
                <w:sz w:val="20"/>
                <w:szCs w:val="20"/>
                <w:color w:val="auto"/>
              </w:rPr>
            </w:pPr>
            <w:r>
              <w:rPr>
                <w:rFonts w:ascii="Arial" w:cs="Arial" w:eastAsia="Arial" w:hAnsi="Arial"/>
                <w:sz w:val="13"/>
                <w:szCs w:val="13"/>
                <w:color w:val="auto"/>
              </w:rPr>
              <w:t>18,933</w:t>
            </w:r>
          </w:p>
        </w:tc>
        <w:tc>
          <w:tcPr>
            <w:tcW w:w="2220" w:type="dxa"/>
            <w:vAlign w:val="bottom"/>
            <w:shd w:val="clear" w:color="auto" w:fill="F1F2F2"/>
          </w:tcPr>
          <w:p>
            <w:pPr>
              <w:jc w:val="right"/>
              <w:ind w:right="199"/>
              <w:spacing w:after="0"/>
              <w:rPr>
                <w:sz w:val="20"/>
                <w:szCs w:val="20"/>
                <w:color w:val="auto"/>
              </w:rPr>
            </w:pPr>
            <w:r>
              <w:rPr>
                <w:rFonts w:ascii="Arial" w:cs="Arial" w:eastAsia="Arial" w:hAnsi="Arial"/>
                <w:sz w:val="13"/>
                <w:szCs w:val="13"/>
                <w:color w:val="auto"/>
              </w:rPr>
              <w:t>226,057</w:t>
            </w:r>
          </w:p>
        </w:tc>
        <w:tc>
          <w:tcPr>
            <w:tcW w:w="24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244,990</w:t>
            </w:r>
          </w:p>
        </w:tc>
      </w:tr>
      <w:tr>
        <w:trPr>
          <w:trHeight w:val="188"/>
        </w:trPr>
        <w:tc>
          <w:tcPr>
            <w:tcW w:w="1660" w:type="dxa"/>
            <w:vAlign w:val="bottom"/>
            <w:shd w:val="clear" w:color="auto" w:fill="F1F2F2"/>
          </w:tcPr>
          <w:p>
            <w:pPr>
              <w:spacing w:after="0"/>
              <w:rPr>
                <w:sz w:val="16"/>
                <w:szCs w:val="16"/>
                <w:color w:val="auto"/>
              </w:rPr>
            </w:pPr>
          </w:p>
        </w:tc>
        <w:tc>
          <w:tcPr>
            <w:tcW w:w="1520" w:type="dxa"/>
            <w:vAlign w:val="bottom"/>
            <w:shd w:val="clear" w:color="auto" w:fill="F1F2F2"/>
          </w:tcPr>
          <w:p>
            <w:pPr>
              <w:jc w:val="right"/>
              <w:ind w:right="538"/>
              <w:spacing w:after="0"/>
              <w:rPr>
                <w:sz w:val="20"/>
                <w:szCs w:val="20"/>
                <w:color w:val="auto"/>
              </w:rPr>
            </w:pPr>
            <w:r>
              <w:rPr>
                <w:rFonts w:ascii="Arial" w:cs="Arial" w:eastAsia="Arial" w:hAnsi="Arial"/>
                <w:sz w:val="13"/>
                <w:szCs w:val="13"/>
                <w:color w:val="auto"/>
              </w:rPr>
              <w:t>2023</w:t>
            </w:r>
          </w:p>
        </w:tc>
        <w:tc>
          <w:tcPr>
            <w:tcW w:w="2860" w:type="dxa"/>
            <w:vAlign w:val="bottom"/>
            <w:shd w:val="clear" w:color="auto" w:fill="F1F2F2"/>
          </w:tcPr>
          <w:p>
            <w:pPr>
              <w:jc w:val="right"/>
              <w:ind w:right="678"/>
              <w:spacing w:after="0"/>
              <w:rPr>
                <w:sz w:val="20"/>
                <w:szCs w:val="20"/>
                <w:color w:val="auto"/>
              </w:rPr>
            </w:pPr>
            <w:r>
              <w:rPr>
                <w:rFonts w:ascii="Arial" w:cs="Arial" w:eastAsia="Arial" w:hAnsi="Arial"/>
                <w:sz w:val="13"/>
                <w:szCs w:val="13"/>
                <w:color w:val="auto"/>
              </w:rPr>
              <w:t>23,450</w:t>
            </w:r>
          </w:p>
        </w:tc>
        <w:tc>
          <w:tcPr>
            <w:tcW w:w="2220" w:type="dxa"/>
            <w:vAlign w:val="bottom"/>
            <w:shd w:val="clear" w:color="auto" w:fill="F1F2F2"/>
          </w:tcPr>
          <w:p>
            <w:pPr>
              <w:jc w:val="right"/>
              <w:ind w:right="199"/>
              <w:spacing w:after="0"/>
              <w:rPr>
                <w:sz w:val="20"/>
                <w:szCs w:val="20"/>
                <w:color w:val="auto"/>
              </w:rPr>
            </w:pPr>
            <w:r>
              <w:rPr>
                <w:rFonts w:ascii="Arial" w:cs="Arial" w:eastAsia="Arial" w:hAnsi="Arial"/>
                <w:sz w:val="13"/>
                <w:szCs w:val="13"/>
                <w:color w:val="auto"/>
              </w:rPr>
              <w:t>251,221</w:t>
            </w:r>
          </w:p>
        </w:tc>
        <w:tc>
          <w:tcPr>
            <w:tcW w:w="24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274,671</w:t>
            </w:r>
          </w:p>
        </w:tc>
      </w:tr>
      <w:tr>
        <w:trPr>
          <w:trHeight w:val="66"/>
        </w:trPr>
        <w:tc>
          <w:tcPr>
            <w:tcW w:w="1660" w:type="dxa"/>
            <w:vAlign w:val="bottom"/>
            <w:shd w:val="clear" w:color="auto" w:fill="F1F2F2"/>
          </w:tcPr>
          <w:p>
            <w:pPr>
              <w:spacing w:after="0"/>
              <w:rPr>
                <w:sz w:val="5"/>
                <w:szCs w:val="5"/>
                <w:color w:val="auto"/>
              </w:rPr>
            </w:pPr>
          </w:p>
        </w:tc>
        <w:tc>
          <w:tcPr>
            <w:tcW w:w="1520" w:type="dxa"/>
            <w:vAlign w:val="bottom"/>
            <w:shd w:val="clear" w:color="auto" w:fill="F1F2F2"/>
          </w:tcPr>
          <w:p>
            <w:pPr>
              <w:spacing w:after="0"/>
              <w:rPr>
                <w:sz w:val="5"/>
                <w:szCs w:val="5"/>
                <w:color w:val="auto"/>
              </w:rPr>
            </w:pPr>
          </w:p>
        </w:tc>
        <w:tc>
          <w:tcPr>
            <w:tcW w:w="2860" w:type="dxa"/>
            <w:vAlign w:val="bottom"/>
            <w:shd w:val="clear" w:color="auto" w:fill="F1F2F2"/>
          </w:tcPr>
          <w:p>
            <w:pPr>
              <w:spacing w:after="0"/>
              <w:rPr>
                <w:sz w:val="5"/>
                <w:szCs w:val="5"/>
                <w:color w:val="auto"/>
              </w:rPr>
            </w:pPr>
          </w:p>
        </w:tc>
        <w:tc>
          <w:tcPr>
            <w:tcW w:w="2220" w:type="dxa"/>
            <w:vAlign w:val="bottom"/>
            <w:shd w:val="clear" w:color="auto" w:fill="F1F2F2"/>
          </w:tcPr>
          <w:p>
            <w:pPr>
              <w:spacing w:after="0"/>
              <w:rPr>
                <w:sz w:val="5"/>
                <w:szCs w:val="5"/>
                <w:color w:val="auto"/>
              </w:rPr>
            </w:pPr>
          </w:p>
        </w:tc>
        <w:tc>
          <w:tcPr>
            <w:tcW w:w="2440" w:type="dxa"/>
            <w:vAlign w:val="bottom"/>
            <w:shd w:val="clear" w:color="auto" w:fill="F1F2F2"/>
          </w:tcPr>
          <w:p>
            <w:pPr>
              <w:spacing w:after="0"/>
              <w:rPr>
                <w:sz w:val="5"/>
                <w:szCs w:val="5"/>
                <w:color w:val="auto"/>
              </w:rPr>
            </w:pPr>
          </w:p>
        </w:tc>
      </w:tr>
      <w:tr>
        <w:trPr>
          <w:trHeight w:val="211"/>
        </w:trPr>
        <w:tc>
          <w:tcPr>
            <w:tcW w:w="1660" w:type="dxa"/>
            <w:vAlign w:val="bottom"/>
          </w:tcPr>
          <w:p>
            <w:pPr>
              <w:ind w:left="60"/>
              <w:spacing w:after="0"/>
              <w:rPr>
                <w:sz w:val="20"/>
                <w:szCs w:val="20"/>
                <w:color w:val="auto"/>
              </w:rPr>
            </w:pPr>
            <w:r>
              <w:rPr>
                <w:rFonts w:ascii="Arial" w:cs="Arial" w:eastAsia="Arial" w:hAnsi="Arial"/>
                <w:sz w:val="13"/>
                <w:szCs w:val="13"/>
                <w:b w:val="1"/>
                <w:bCs w:val="1"/>
                <w:color w:val="auto"/>
              </w:rPr>
              <w:t>Melissa Stone</w:t>
            </w:r>
          </w:p>
        </w:tc>
        <w:tc>
          <w:tcPr>
            <w:tcW w:w="1520" w:type="dxa"/>
            <w:vAlign w:val="bottom"/>
          </w:tcPr>
          <w:p>
            <w:pPr>
              <w:jc w:val="right"/>
              <w:ind w:right="538"/>
              <w:spacing w:after="0"/>
              <w:rPr>
                <w:sz w:val="20"/>
                <w:szCs w:val="20"/>
                <w:color w:val="auto"/>
              </w:rPr>
            </w:pPr>
            <w:r>
              <w:rPr>
                <w:rFonts w:ascii="Arial" w:cs="Arial" w:eastAsia="Arial" w:hAnsi="Arial"/>
                <w:sz w:val="13"/>
                <w:szCs w:val="13"/>
                <w:color w:val="auto"/>
              </w:rPr>
              <w:t>2025</w:t>
            </w:r>
          </w:p>
        </w:tc>
        <w:tc>
          <w:tcPr>
            <w:tcW w:w="2860" w:type="dxa"/>
            <w:vAlign w:val="bottom"/>
          </w:tcPr>
          <w:p>
            <w:pPr>
              <w:jc w:val="right"/>
              <w:ind w:right="678"/>
              <w:spacing w:after="0"/>
              <w:rPr>
                <w:sz w:val="20"/>
                <w:szCs w:val="20"/>
                <w:color w:val="auto"/>
              </w:rPr>
            </w:pPr>
            <w:r>
              <w:rPr>
                <w:rFonts w:ascii="Arial" w:cs="Arial" w:eastAsia="Arial" w:hAnsi="Arial"/>
                <w:sz w:val="13"/>
                <w:szCs w:val="13"/>
                <w:color w:val="auto"/>
              </w:rPr>
              <w:t>13,469</w:t>
            </w:r>
          </w:p>
        </w:tc>
        <w:tc>
          <w:tcPr>
            <w:tcW w:w="2220" w:type="dxa"/>
            <w:vAlign w:val="bottom"/>
          </w:tcPr>
          <w:p>
            <w:pPr>
              <w:jc w:val="right"/>
              <w:ind w:right="199"/>
              <w:spacing w:after="0"/>
              <w:rPr>
                <w:sz w:val="20"/>
                <w:szCs w:val="20"/>
                <w:color w:val="auto"/>
              </w:rPr>
            </w:pPr>
            <w:r>
              <w:rPr>
                <w:rFonts w:ascii="Arial" w:cs="Arial" w:eastAsia="Arial" w:hAnsi="Arial"/>
                <w:sz w:val="13"/>
                <w:szCs w:val="13"/>
                <w:color w:val="auto"/>
              </w:rPr>
              <w:t>13,735</w:t>
            </w:r>
          </w:p>
        </w:tc>
        <w:tc>
          <w:tcPr>
            <w:tcW w:w="2440" w:type="dxa"/>
            <w:vAlign w:val="bottom"/>
          </w:tcPr>
          <w:p>
            <w:pPr>
              <w:jc w:val="right"/>
              <w:spacing w:after="0"/>
              <w:rPr>
                <w:sz w:val="20"/>
                <w:szCs w:val="20"/>
                <w:color w:val="auto"/>
              </w:rPr>
            </w:pPr>
            <w:r>
              <w:rPr>
                <w:rFonts w:ascii="Arial" w:cs="Arial" w:eastAsia="Arial" w:hAnsi="Arial"/>
                <w:sz w:val="13"/>
                <w:szCs w:val="13"/>
                <w:color w:val="auto"/>
              </w:rPr>
              <w:t>27,204</w:t>
            </w:r>
          </w:p>
        </w:tc>
      </w:tr>
      <w:tr>
        <w:trPr>
          <w:trHeight w:val="60"/>
        </w:trPr>
        <w:tc>
          <w:tcPr>
            <w:tcW w:w="16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2440" w:type="dxa"/>
            <w:vAlign w:val="bottom"/>
          </w:tcPr>
          <w:p>
            <w:pPr>
              <w:spacing w:after="0"/>
              <w:rPr>
                <w:sz w:val="5"/>
                <w:szCs w:val="5"/>
                <w:color w:val="auto"/>
              </w:rPr>
            </w:pPr>
          </w:p>
        </w:tc>
      </w:tr>
      <w:tr>
        <w:trPr>
          <w:trHeight w:val="211"/>
        </w:trPr>
        <w:tc>
          <w:tcPr>
            <w:tcW w:w="1660" w:type="dxa"/>
            <w:vAlign w:val="bottom"/>
            <w:shd w:val="clear" w:color="auto" w:fill="F1F2F2"/>
          </w:tcPr>
          <w:p>
            <w:pPr>
              <w:ind w:left="60"/>
              <w:spacing w:after="0"/>
              <w:rPr>
                <w:sz w:val="20"/>
                <w:szCs w:val="20"/>
                <w:color w:val="auto"/>
              </w:rPr>
            </w:pPr>
            <w:r>
              <w:rPr>
                <w:rFonts w:ascii="Arial" w:cs="Arial" w:eastAsia="Arial" w:hAnsi="Arial"/>
                <w:sz w:val="13"/>
                <w:szCs w:val="13"/>
                <w:b w:val="1"/>
                <w:bCs w:val="1"/>
                <w:color w:val="auto"/>
              </w:rPr>
              <w:t>Lea Rytz Goldman</w:t>
            </w:r>
          </w:p>
        </w:tc>
        <w:tc>
          <w:tcPr>
            <w:tcW w:w="1520" w:type="dxa"/>
            <w:vAlign w:val="bottom"/>
            <w:shd w:val="clear" w:color="auto" w:fill="F1F2F2"/>
          </w:tcPr>
          <w:p>
            <w:pPr>
              <w:jc w:val="right"/>
              <w:ind w:right="538"/>
              <w:spacing w:after="0"/>
              <w:rPr>
                <w:sz w:val="20"/>
                <w:szCs w:val="20"/>
                <w:color w:val="auto"/>
              </w:rPr>
            </w:pPr>
            <w:r>
              <w:rPr>
                <w:rFonts w:ascii="Arial" w:cs="Arial" w:eastAsia="Arial" w:hAnsi="Arial"/>
                <w:sz w:val="13"/>
                <w:szCs w:val="13"/>
                <w:color w:val="auto"/>
              </w:rPr>
              <w:t>2025</w:t>
            </w:r>
          </w:p>
        </w:tc>
        <w:tc>
          <w:tcPr>
            <w:tcW w:w="2860" w:type="dxa"/>
            <w:vAlign w:val="bottom"/>
            <w:shd w:val="clear" w:color="auto" w:fill="F1F2F2"/>
          </w:tcPr>
          <w:p>
            <w:pPr>
              <w:jc w:val="right"/>
              <w:ind w:right="678"/>
              <w:spacing w:after="0"/>
              <w:rPr>
                <w:sz w:val="20"/>
                <w:szCs w:val="20"/>
                <w:color w:val="auto"/>
              </w:rPr>
            </w:pPr>
            <w:r>
              <w:rPr>
                <w:rFonts w:ascii="Arial" w:cs="Arial" w:eastAsia="Arial" w:hAnsi="Arial"/>
                <w:sz w:val="13"/>
                <w:szCs w:val="13"/>
                <w:color w:val="auto"/>
              </w:rPr>
              <w:t>N/A</w:t>
            </w:r>
          </w:p>
        </w:tc>
        <w:tc>
          <w:tcPr>
            <w:tcW w:w="2220" w:type="dxa"/>
            <w:vAlign w:val="bottom"/>
            <w:shd w:val="clear" w:color="auto" w:fill="F1F2F2"/>
          </w:tcPr>
          <w:p>
            <w:pPr>
              <w:jc w:val="right"/>
              <w:ind w:right="199"/>
              <w:spacing w:after="0"/>
              <w:rPr>
                <w:sz w:val="20"/>
                <w:szCs w:val="20"/>
                <w:color w:val="auto"/>
              </w:rPr>
            </w:pPr>
            <w:r>
              <w:rPr>
                <w:rFonts w:ascii="Arial" w:cs="Arial" w:eastAsia="Arial" w:hAnsi="Arial"/>
                <w:sz w:val="13"/>
                <w:szCs w:val="13"/>
                <w:color w:val="auto"/>
              </w:rPr>
              <w:t>N/A</w:t>
            </w:r>
          </w:p>
        </w:tc>
        <w:tc>
          <w:tcPr>
            <w:tcW w:w="24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N/A</w:t>
            </w:r>
          </w:p>
        </w:tc>
      </w:tr>
      <w:tr>
        <w:trPr>
          <w:trHeight w:val="182"/>
        </w:trPr>
        <w:tc>
          <w:tcPr>
            <w:tcW w:w="1660" w:type="dxa"/>
            <w:vAlign w:val="bottom"/>
            <w:shd w:val="clear" w:color="auto" w:fill="F1F2F2"/>
          </w:tcPr>
          <w:p>
            <w:pPr>
              <w:spacing w:after="0"/>
              <w:rPr>
                <w:sz w:val="15"/>
                <w:szCs w:val="15"/>
                <w:color w:val="auto"/>
              </w:rPr>
            </w:pPr>
          </w:p>
        </w:tc>
        <w:tc>
          <w:tcPr>
            <w:tcW w:w="1520" w:type="dxa"/>
            <w:vAlign w:val="bottom"/>
            <w:shd w:val="clear" w:color="auto" w:fill="F1F2F2"/>
          </w:tcPr>
          <w:p>
            <w:pPr>
              <w:jc w:val="right"/>
              <w:ind w:right="538"/>
              <w:spacing w:after="0"/>
              <w:rPr>
                <w:sz w:val="20"/>
                <w:szCs w:val="20"/>
                <w:color w:val="auto"/>
              </w:rPr>
            </w:pPr>
            <w:r>
              <w:rPr>
                <w:rFonts w:ascii="Arial" w:cs="Arial" w:eastAsia="Arial" w:hAnsi="Arial"/>
                <w:sz w:val="13"/>
                <w:szCs w:val="13"/>
                <w:color w:val="auto"/>
              </w:rPr>
              <w:t>2024</w:t>
            </w:r>
          </w:p>
        </w:tc>
        <w:tc>
          <w:tcPr>
            <w:tcW w:w="2860" w:type="dxa"/>
            <w:vAlign w:val="bottom"/>
            <w:shd w:val="clear" w:color="auto" w:fill="F1F2F2"/>
          </w:tcPr>
          <w:p>
            <w:pPr>
              <w:jc w:val="right"/>
              <w:ind w:right="678"/>
              <w:spacing w:after="0"/>
              <w:rPr>
                <w:sz w:val="20"/>
                <w:szCs w:val="20"/>
                <w:color w:val="auto"/>
              </w:rPr>
            </w:pPr>
            <w:r>
              <w:rPr>
                <w:rFonts w:ascii="Arial" w:cs="Arial" w:eastAsia="Arial" w:hAnsi="Arial"/>
                <w:sz w:val="13"/>
                <w:szCs w:val="13"/>
                <w:color w:val="auto"/>
              </w:rPr>
              <w:t>N/A</w:t>
            </w:r>
          </w:p>
        </w:tc>
        <w:tc>
          <w:tcPr>
            <w:tcW w:w="2220" w:type="dxa"/>
            <w:vAlign w:val="bottom"/>
            <w:shd w:val="clear" w:color="auto" w:fill="F1F2F2"/>
          </w:tcPr>
          <w:p>
            <w:pPr>
              <w:jc w:val="right"/>
              <w:ind w:right="199"/>
              <w:spacing w:after="0"/>
              <w:rPr>
                <w:sz w:val="20"/>
                <w:szCs w:val="20"/>
                <w:color w:val="auto"/>
              </w:rPr>
            </w:pPr>
            <w:r>
              <w:rPr>
                <w:rFonts w:ascii="Arial" w:cs="Arial" w:eastAsia="Arial" w:hAnsi="Arial"/>
                <w:sz w:val="13"/>
                <w:szCs w:val="13"/>
                <w:color w:val="auto"/>
              </w:rPr>
              <w:t>N/A</w:t>
            </w:r>
          </w:p>
        </w:tc>
        <w:tc>
          <w:tcPr>
            <w:tcW w:w="24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N/A</w:t>
            </w:r>
          </w:p>
        </w:tc>
      </w:tr>
      <w:tr>
        <w:trPr>
          <w:trHeight w:val="66"/>
        </w:trPr>
        <w:tc>
          <w:tcPr>
            <w:tcW w:w="1660" w:type="dxa"/>
            <w:vAlign w:val="bottom"/>
            <w:shd w:val="clear" w:color="auto" w:fill="F1F2F2"/>
          </w:tcPr>
          <w:p>
            <w:pPr>
              <w:spacing w:after="0"/>
              <w:rPr>
                <w:sz w:val="5"/>
                <w:szCs w:val="5"/>
                <w:color w:val="auto"/>
              </w:rPr>
            </w:pPr>
          </w:p>
        </w:tc>
        <w:tc>
          <w:tcPr>
            <w:tcW w:w="1520" w:type="dxa"/>
            <w:vAlign w:val="bottom"/>
            <w:shd w:val="clear" w:color="auto" w:fill="F1F2F2"/>
          </w:tcPr>
          <w:p>
            <w:pPr>
              <w:spacing w:after="0"/>
              <w:rPr>
                <w:sz w:val="5"/>
                <w:szCs w:val="5"/>
                <w:color w:val="auto"/>
              </w:rPr>
            </w:pPr>
          </w:p>
        </w:tc>
        <w:tc>
          <w:tcPr>
            <w:tcW w:w="2860" w:type="dxa"/>
            <w:vAlign w:val="bottom"/>
            <w:shd w:val="clear" w:color="auto" w:fill="F1F2F2"/>
          </w:tcPr>
          <w:p>
            <w:pPr>
              <w:spacing w:after="0"/>
              <w:rPr>
                <w:sz w:val="5"/>
                <w:szCs w:val="5"/>
                <w:color w:val="auto"/>
              </w:rPr>
            </w:pPr>
          </w:p>
        </w:tc>
        <w:tc>
          <w:tcPr>
            <w:tcW w:w="2220" w:type="dxa"/>
            <w:vAlign w:val="bottom"/>
            <w:shd w:val="clear" w:color="auto" w:fill="F1F2F2"/>
          </w:tcPr>
          <w:p>
            <w:pPr>
              <w:spacing w:after="0"/>
              <w:rPr>
                <w:sz w:val="5"/>
                <w:szCs w:val="5"/>
                <w:color w:val="auto"/>
              </w:rPr>
            </w:pPr>
          </w:p>
        </w:tc>
        <w:tc>
          <w:tcPr>
            <w:tcW w:w="2440" w:type="dxa"/>
            <w:vAlign w:val="bottom"/>
            <w:shd w:val="clear" w:color="auto" w:fill="F1F2F2"/>
          </w:tcPr>
          <w:p>
            <w:pPr>
              <w:spacing w:after="0"/>
              <w:rPr>
                <w:sz w:val="5"/>
                <w:szCs w:val="5"/>
                <w:color w:val="auto"/>
              </w:rPr>
            </w:pPr>
          </w:p>
        </w:tc>
      </w:tr>
      <w:tr>
        <w:trPr>
          <w:trHeight w:val="211"/>
        </w:trPr>
        <w:tc>
          <w:tcPr>
            <w:tcW w:w="1660" w:type="dxa"/>
            <w:vAlign w:val="bottom"/>
          </w:tcPr>
          <w:p>
            <w:pPr>
              <w:ind w:left="60"/>
              <w:spacing w:after="0"/>
              <w:rPr>
                <w:sz w:val="20"/>
                <w:szCs w:val="20"/>
                <w:color w:val="auto"/>
              </w:rPr>
            </w:pPr>
            <w:r>
              <w:rPr>
                <w:rFonts w:ascii="Arial" w:cs="Arial" w:eastAsia="Arial" w:hAnsi="Arial"/>
                <w:sz w:val="13"/>
                <w:szCs w:val="13"/>
                <w:b w:val="1"/>
                <w:bCs w:val="1"/>
                <w:color w:val="auto"/>
              </w:rPr>
              <w:t>Fredrik Olsson</w:t>
            </w:r>
          </w:p>
        </w:tc>
        <w:tc>
          <w:tcPr>
            <w:tcW w:w="1520" w:type="dxa"/>
            <w:vAlign w:val="bottom"/>
          </w:tcPr>
          <w:p>
            <w:pPr>
              <w:jc w:val="right"/>
              <w:ind w:right="538"/>
              <w:spacing w:after="0"/>
              <w:rPr>
                <w:sz w:val="20"/>
                <w:szCs w:val="20"/>
                <w:color w:val="auto"/>
              </w:rPr>
            </w:pPr>
            <w:r>
              <w:rPr>
                <w:rFonts w:ascii="Arial" w:cs="Arial" w:eastAsia="Arial" w:hAnsi="Arial"/>
                <w:sz w:val="13"/>
                <w:szCs w:val="13"/>
                <w:color w:val="auto"/>
              </w:rPr>
              <w:t>2025</w:t>
            </w:r>
          </w:p>
        </w:tc>
        <w:tc>
          <w:tcPr>
            <w:tcW w:w="2860" w:type="dxa"/>
            <w:vAlign w:val="bottom"/>
          </w:tcPr>
          <w:p>
            <w:pPr>
              <w:jc w:val="right"/>
              <w:ind w:right="678"/>
              <w:spacing w:after="0"/>
              <w:rPr>
                <w:sz w:val="20"/>
                <w:szCs w:val="20"/>
                <w:color w:val="auto"/>
              </w:rPr>
            </w:pPr>
            <w:r>
              <w:rPr>
                <w:rFonts w:ascii="Arial" w:cs="Arial" w:eastAsia="Arial" w:hAnsi="Arial"/>
                <w:sz w:val="13"/>
                <w:szCs w:val="13"/>
                <w:color w:val="auto"/>
              </w:rPr>
              <w:t>N/A</w:t>
            </w:r>
          </w:p>
        </w:tc>
        <w:tc>
          <w:tcPr>
            <w:tcW w:w="2220" w:type="dxa"/>
            <w:vAlign w:val="bottom"/>
          </w:tcPr>
          <w:p>
            <w:pPr>
              <w:jc w:val="right"/>
              <w:ind w:right="199"/>
              <w:spacing w:after="0"/>
              <w:rPr>
                <w:sz w:val="20"/>
                <w:szCs w:val="20"/>
                <w:color w:val="auto"/>
              </w:rPr>
            </w:pPr>
            <w:r>
              <w:rPr>
                <w:rFonts w:ascii="Arial" w:cs="Arial" w:eastAsia="Arial" w:hAnsi="Arial"/>
                <w:sz w:val="13"/>
                <w:szCs w:val="13"/>
                <w:color w:val="auto"/>
              </w:rPr>
              <w:t>N/A</w:t>
            </w:r>
          </w:p>
        </w:tc>
        <w:tc>
          <w:tcPr>
            <w:tcW w:w="2440" w:type="dxa"/>
            <w:vAlign w:val="bottom"/>
          </w:tcPr>
          <w:p>
            <w:pPr>
              <w:jc w:val="right"/>
              <w:spacing w:after="0"/>
              <w:rPr>
                <w:sz w:val="20"/>
                <w:szCs w:val="20"/>
                <w:color w:val="auto"/>
              </w:rPr>
            </w:pPr>
            <w:r>
              <w:rPr>
                <w:rFonts w:ascii="Arial" w:cs="Arial" w:eastAsia="Arial" w:hAnsi="Arial"/>
                <w:sz w:val="13"/>
                <w:szCs w:val="13"/>
                <w:color w:val="auto"/>
              </w:rPr>
              <w:t>N/A</w:t>
            </w:r>
          </w:p>
        </w:tc>
      </w:tr>
      <w:tr>
        <w:trPr>
          <w:trHeight w:val="60"/>
        </w:trPr>
        <w:tc>
          <w:tcPr>
            <w:tcW w:w="16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2440" w:type="dxa"/>
            <w:vAlign w:val="bottom"/>
          </w:tcPr>
          <w:p>
            <w:pPr>
              <w:spacing w:after="0"/>
              <w:rPr>
                <w:sz w:val="5"/>
                <w:szCs w:val="5"/>
                <w:color w:val="auto"/>
              </w:rPr>
            </w:pPr>
          </w:p>
        </w:tc>
      </w:tr>
      <w:tr>
        <w:trPr>
          <w:trHeight w:val="211"/>
        </w:trPr>
        <w:tc>
          <w:tcPr>
            <w:tcW w:w="1660" w:type="dxa"/>
            <w:vAlign w:val="bottom"/>
            <w:shd w:val="clear" w:color="auto" w:fill="F1F2F2"/>
          </w:tcPr>
          <w:p>
            <w:pPr>
              <w:ind w:left="60"/>
              <w:spacing w:after="0"/>
              <w:rPr>
                <w:sz w:val="20"/>
                <w:szCs w:val="20"/>
                <w:color w:val="auto"/>
              </w:rPr>
            </w:pPr>
            <w:r>
              <w:rPr>
                <w:rFonts w:ascii="Arial" w:cs="Arial" w:eastAsia="Arial" w:hAnsi="Arial"/>
                <w:sz w:val="13"/>
                <w:szCs w:val="13"/>
                <w:b w:val="1"/>
                <w:bCs w:val="1"/>
                <w:color w:val="auto"/>
              </w:rPr>
              <w:t>David Savman</w:t>
            </w:r>
          </w:p>
        </w:tc>
        <w:tc>
          <w:tcPr>
            <w:tcW w:w="1520" w:type="dxa"/>
            <w:vAlign w:val="bottom"/>
            <w:shd w:val="clear" w:color="auto" w:fill="F1F2F2"/>
          </w:tcPr>
          <w:p>
            <w:pPr>
              <w:jc w:val="right"/>
              <w:ind w:right="538"/>
              <w:spacing w:after="0"/>
              <w:rPr>
                <w:sz w:val="20"/>
                <w:szCs w:val="20"/>
                <w:color w:val="auto"/>
              </w:rPr>
            </w:pPr>
            <w:r>
              <w:rPr>
                <w:rFonts w:ascii="Arial" w:cs="Arial" w:eastAsia="Arial" w:hAnsi="Arial"/>
                <w:sz w:val="13"/>
                <w:szCs w:val="13"/>
                <w:color w:val="auto"/>
              </w:rPr>
              <w:t>2025</w:t>
            </w:r>
          </w:p>
        </w:tc>
        <w:tc>
          <w:tcPr>
            <w:tcW w:w="2860" w:type="dxa"/>
            <w:vAlign w:val="bottom"/>
            <w:shd w:val="clear" w:color="auto" w:fill="F1F2F2"/>
          </w:tcPr>
          <w:p>
            <w:pPr>
              <w:jc w:val="right"/>
              <w:ind w:right="678"/>
              <w:spacing w:after="0"/>
              <w:rPr>
                <w:sz w:val="20"/>
                <w:szCs w:val="20"/>
                <w:color w:val="auto"/>
              </w:rPr>
            </w:pPr>
            <w:r>
              <w:rPr>
                <w:rFonts w:ascii="Arial" w:cs="Arial" w:eastAsia="Arial" w:hAnsi="Arial"/>
                <w:sz w:val="13"/>
                <w:szCs w:val="13"/>
                <w:color w:val="auto"/>
              </w:rPr>
              <w:t>N/A</w:t>
            </w:r>
          </w:p>
        </w:tc>
        <w:tc>
          <w:tcPr>
            <w:tcW w:w="2220" w:type="dxa"/>
            <w:vAlign w:val="bottom"/>
            <w:shd w:val="clear" w:color="auto" w:fill="F1F2F2"/>
          </w:tcPr>
          <w:p>
            <w:pPr>
              <w:jc w:val="right"/>
              <w:ind w:right="199"/>
              <w:spacing w:after="0"/>
              <w:rPr>
                <w:sz w:val="20"/>
                <w:szCs w:val="20"/>
                <w:color w:val="auto"/>
              </w:rPr>
            </w:pPr>
            <w:r>
              <w:rPr>
                <w:rFonts w:ascii="Arial" w:cs="Arial" w:eastAsia="Arial" w:hAnsi="Arial"/>
                <w:sz w:val="13"/>
                <w:szCs w:val="13"/>
                <w:color w:val="auto"/>
              </w:rPr>
              <w:t>N/A</w:t>
            </w:r>
          </w:p>
        </w:tc>
        <w:tc>
          <w:tcPr>
            <w:tcW w:w="24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N/A</w:t>
            </w:r>
          </w:p>
        </w:tc>
      </w:tr>
      <w:tr>
        <w:trPr>
          <w:trHeight w:val="182"/>
        </w:trPr>
        <w:tc>
          <w:tcPr>
            <w:tcW w:w="1660" w:type="dxa"/>
            <w:vAlign w:val="bottom"/>
            <w:shd w:val="clear" w:color="auto" w:fill="F1F2F2"/>
          </w:tcPr>
          <w:p>
            <w:pPr>
              <w:spacing w:after="0"/>
              <w:rPr>
                <w:sz w:val="15"/>
                <w:szCs w:val="15"/>
                <w:color w:val="auto"/>
              </w:rPr>
            </w:pPr>
          </w:p>
        </w:tc>
        <w:tc>
          <w:tcPr>
            <w:tcW w:w="1520" w:type="dxa"/>
            <w:vAlign w:val="bottom"/>
            <w:shd w:val="clear" w:color="auto" w:fill="F1F2F2"/>
          </w:tcPr>
          <w:p>
            <w:pPr>
              <w:jc w:val="right"/>
              <w:ind w:right="538"/>
              <w:spacing w:after="0"/>
              <w:rPr>
                <w:sz w:val="20"/>
                <w:szCs w:val="20"/>
                <w:color w:val="auto"/>
              </w:rPr>
            </w:pPr>
            <w:r>
              <w:rPr>
                <w:rFonts w:ascii="Arial" w:cs="Arial" w:eastAsia="Arial" w:hAnsi="Arial"/>
                <w:sz w:val="13"/>
                <w:szCs w:val="13"/>
                <w:color w:val="auto"/>
              </w:rPr>
              <w:t>2024</w:t>
            </w:r>
          </w:p>
        </w:tc>
        <w:tc>
          <w:tcPr>
            <w:tcW w:w="2860" w:type="dxa"/>
            <w:vAlign w:val="bottom"/>
            <w:shd w:val="clear" w:color="auto" w:fill="F1F2F2"/>
          </w:tcPr>
          <w:p>
            <w:pPr>
              <w:jc w:val="right"/>
              <w:ind w:right="678"/>
              <w:spacing w:after="0"/>
              <w:rPr>
                <w:sz w:val="20"/>
                <w:szCs w:val="20"/>
                <w:color w:val="auto"/>
              </w:rPr>
            </w:pPr>
            <w:r>
              <w:rPr>
                <w:rFonts w:ascii="Arial" w:cs="Arial" w:eastAsia="Arial" w:hAnsi="Arial"/>
                <w:sz w:val="13"/>
                <w:szCs w:val="13"/>
                <w:color w:val="auto"/>
              </w:rPr>
              <w:t>N/A</w:t>
            </w:r>
          </w:p>
        </w:tc>
        <w:tc>
          <w:tcPr>
            <w:tcW w:w="2220" w:type="dxa"/>
            <w:vAlign w:val="bottom"/>
            <w:shd w:val="clear" w:color="auto" w:fill="F1F2F2"/>
          </w:tcPr>
          <w:p>
            <w:pPr>
              <w:jc w:val="right"/>
              <w:ind w:right="199"/>
              <w:spacing w:after="0"/>
              <w:rPr>
                <w:sz w:val="20"/>
                <w:szCs w:val="20"/>
                <w:color w:val="auto"/>
              </w:rPr>
            </w:pPr>
            <w:r>
              <w:rPr>
                <w:rFonts w:ascii="Arial" w:cs="Arial" w:eastAsia="Arial" w:hAnsi="Arial"/>
                <w:sz w:val="13"/>
                <w:szCs w:val="13"/>
                <w:color w:val="auto"/>
              </w:rPr>
              <w:t>N/A</w:t>
            </w:r>
          </w:p>
        </w:tc>
        <w:tc>
          <w:tcPr>
            <w:tcW w:w="24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N/A</w:t>
            </w:r>
          </w:p>
        </w:tc>
      </w:tr>
      <w:tr>
        <w:trPr>
          <w:trHeight w:val="78"/>
        </w:trPr>
        <w:tc>
          <w:tcPr>
            <w:tcW w:w="1660" w:type="dxa"/>
            <w:vAlign w:val="bottom"/>
            <w:shd w:val="clear" w:color="auto" w:fill="F1F2F2"/>
          </w:tcPr>
          <w:p>
            <w:pPr>
              <w:spacing w:after="0"/>
              <w:rPr>
                <w:sz w:val="6"/>
                <w:szCs w:val="6"/>
                <w:color w:val="auto"/>
              </w:rPr>
            </w:pPr>
          </w:p>
        </w:tc>
        <w:tc>
          <w:tcPr>
            <w:tcW w:w="1520" w:type="dxa"/>
            <w:vAlign w:val="bottom"/>
            <w:shd w:val="clear" w:color="auto" w:fill="F1F2F2"/>
          </w:tcPr>
          <w:p>
            <w:pPr>
              <w:spacing w:after="0"/>
              <w:rPr>
                <w:sz w:val="6"/>
                <w:szCs w:val="6"/>
                <w:color w:val="auto"/>
              </w:rPr>
            </w:pPr>
          </w:p>
        </w:tc>
        <w:tc>
          <w:tcPr>
            <w:tcW w:w="2860" w:type="dxa"/>
            <w:vAlign w:val="bottom"/>
            <w:shd w:val="clear" w:color="auto" w:fill="F1F2F2"/>
          </w:tcPr>
          <w:p>
            <w:pPr>
              <w:spacing w:after="0"/>
              <w:rPr>
                <w:sz w:val="6"/>
                <w:szCs w:val="6"/>
                <w:color w:val="auto"/>
              </w:rPr>
            </w:pPr>
          </w:p>
        </w:tc>
        <w:tc>
          <w:tcPr>
            <w:tcW w:w="2220" w:type="dxa"/>
            <w:vAlign w:val="bottom"/>
            <w:shd w:val="clear" w:color="auto" w:fill="F1F2F2"/>
          </w:tcPr>
          <w:p>
            <w:pPr>
              <w:spacing w:after="0"/>
              <w:rPr>
                <w:sz w:val="6"/>
                <w:szCs w:val="6"/>
                <w:color w:val="auto"/>
              </w:rPr>
            </w:pPr>
          </w:p>
        </w:tc>
        <w:tc>
          <w:tcPr>
            <w:tcW w:w="2440" w:type="dxa"/>
            <w:vAlign w:val="bottom"/>
            <w:shd w:val="clear" w:color="auto" w:fill="F1F2F2"/>
          </w:tcPr>
          <w:p>
            <w:pPr>
              <w:spacing w:after="0"/>
              <w:rPr>
                <w:sz w:val="6"/>
                <w:szCs w:val="6"/>
                <w:color w:val="auto"/>
              </w:rPr>
            </w:pPr>
          </w:p>
        </w:tc>
      </w:tr>
      <w:tr>
        <w:trPr>
          <w:trHeight w:val="211"/>
        </w:trPr>
        <w:tc>
          <w:tcPr>
            <w:tcW w:w="1660" w:type="dxa"/>
            <w:vAlign w:val="bottom"/>
          </w:tcPr>
          <w:p>
            <w:pPr>
              <w:ind w:left="60"/>
              <w:spacing w:after="0"/>
              <w:rPr>
                <w:sz w:val="20"/>
                <w:szCs w:val="20"/>
                <w:color w:val="auto"/>
              </w:rPr>
            </w:pPr>
            <w:r>
              <w:rPr>
                <w:rFonts w:ascii="Arial" w:cs="Arial" w:eastAsia="Arial" w:hAnsi="Arial"/>
                <w:sz w:val="13"/>
                <w:szCs w:val="13"/>
                <w:b w:val="1"/>
                <w:bCs w:val="1"/>
                <w:color w:val="auto"/>
              </w:rPr>
              <w:t>Zachary J. Coughlin</w:t>
            </w:r>
          </w:p>
        </w:tc>
        <w:tc>
          <w:tcPr>
            <w:tcW w:w="1520" w:type="dxa"/>
            <w:vAlign w:val="bottom"/>
          </w:tcPr>
          <w:p>
            <w:pPr>
              <w:jc w:val="right"/>
              <w:ind w:right="538"/>
              <w:spacing w:after="0"/>
              <w:rPr>
                <w:sz w:val="20"/>
                <w:szCs w:val="20"/>
                <w:color w:val="auto"/>
              </w:rPr>
            </w:pPr>
            <w:r>
              <w:rPr>
                <w:rFonts w:ascii="Arial" w:cs="Arial" w:eastAsia="Arial" w:hAnsi="Arial"/>
                <w:sz w:val="13"/>
                <w:szCs w:val="13"/>
                <w:color w:val="auto"/>
              </w:rPr>
              <w:t>2025</w:t>
            </w:r>
          </w:p>
        </w:tc>
        <w:tc>
          <w:tcPr>
            <w:tcW w:w="2860" w:type="dxa"/>
            <w:vAlign w:val="bottom"/>
          </w:tcPr>
          <w:p>
            <w:pPr>
              <w:jc w:val="right"/>
              <w:ind w:right="678"/>
              <w:spacing w:after="0"/>
              <w:rPr>
                <w:sz w:val="20"/>
                <w:szCs w:val="20"/>
                <w:color w:val="auto"/>
              </w:rPr>
            </w:pPr>
            <w:r>
              <w:rPr>
                <w:rFonts w:ascii="Arial" w:cs="Arial" w:eastAsia="Arial" w:hAnsi="Arial"/>
                <w:sz w:val="13"/>
                <w:szCs w:val="13"/>
                <w:color w:val="auto"/>
              </w:rPr>
              <w:t>N/A</w:t>
            </w:r>
          </w:p>
        </w:tc>
        <w:tc>
          <w:tcPr>
            <w:tcW w:w="2220" w:type="dxa"/>
            <w:vAlign w:val="bottom"/>
          </w:tcPr>
          <w:p>
            <w:pPr>
              <w:jc w:val="right"/>
              <w:ind w:right="199"/>
              <w:spacing w:after="0"/>
              <w:rPr>
                <w:sz w:val="20"/>
                <w:szCs w:val="20"/>
                <w:color w:val="auto"/>
              </w:rPr>
            </w:pPr>
            <w:r>
              <w:rPr>
                <w:rFonts w:ascii="Arial" w:cs="Arial" w:eastAsia="Arial" w:hAnsi="Arial"/>
                <w:sz w:val="13"/>
                <w:szCs w:val="13"/>
                <w:color w:val="auto"/>
              </w:rPr>
              <w:t>N/A</w:t>
            </w:r>
          </w:p>
        </w:tc>
        <w:tc>
          <w:tcPr>
            <w:tcW w:w="2440" w:type="dxa"/>
            <w:vAlign w:val="bottom"/>
          </w:tcPr>
          <w:p>
            <w:pPr>
              <w:jc w:val="right"/>
              <w:spacing w:after="0"/>
              <w:rPr>
                <w:sz w:val="20"/>
                <w:szCs w:val="20"/>
                <w:color w:val="auto"/>
              </w:rPr>
            </w:pPr>
            <w:r>
              <w:rPr>
                <w:rFonts w:ascii="Arial" w:cs="Arial" w:eastAsia="Arial" w:hAnsi="Arial"/>
                <w:sz w:val="13"/>
                <w:szCs w:val="13"/>
                <w:color w:val="auto"/>
              </w:rPr>
              <w:t>N/A</w:t>
            </w:r>
          </w:p>
        </w:tc>
      </w:tr>
      <w:tr>
        <w:trPr>
          <w:trHeight w:val="182"/>
        </w:trPr>
        <w:tc>
          <w:tcPr>
            <w:tcW w:w="1660" w:type="dxa"/>
            <w:vAlign w:val="bottom"/>
          </w:tcPr>
          <w:p>
            <w:pPr>
              <w:spacing w:after="0"/>
              <w:rPr>
                <w:sz w:val="15"/>
                <w:szCs w:val="15"/>
                <w:color w:val="auto"/>
              </w:rPr>
            </w:pPr>
          </w:p>
        </w:tc>
        <w:tc>
          <w:tcPr>
            <w:tcW w:w="1520" w:type="dxa"/>
            <w:vAlign w:val="bottom"/>
          </w:tcPr>
          <w:p>
            <w:pPr>
              <w:jc w:val="right"/>
              <w:ind w:right="538"/>
              <w:spacing w:after="0"/>
              <w:rPr>
                <w:sz w:val="20"/>
                <w:szCs w:val="20"/>
                <w:color w:val="auto"/>
              </w:rPr>
            </w:pPr>
            <w:r>
              <w:rPr>
                <w:rFonts w:ascii="Arial" w:cs="Arial" w:eastAsia="Arial" w:hAnsi="Arial"/>
                <w:sz w:val="13"/>
                <w:szCs w:val="13"/>
                <w:color w:val="auto"/>
              </w:rPr>
              <w:t>2024</w:t>
            </w:r>
          </w:p>
        </w:tc>
        <w:tc>
          <w:tcPr>
            <w:tcW w:w="2860" w:type="dxa"/>
            <w:vAlign w:val="bottom"/>
          </w:tcPr>
          <w:p>
            <w:pPr>
              <w:jc w:val="right"/>
              <w:ind w:right="678"/>
              <w:spacing w:after="0"/>
              <w:rPr>
                <w:sz w:val="20"/>
                <w:szCs w:val="20"/>
                <w:color w:val="auto"/>
              </w:rPr>
            </w:pPr>
            <w:r>
              <w:rPr>
                <w:rFonts w:ascii="Arial" w:cs="Arial" w:eastAsia="Arial" w:hAnsi="Arial"/>
                <w:sz w:val="13"/>
                <w:szCs w:val="13"/>
                <w:color w:val="auto"/>
              </w:rPr>
              <w:t>N/A</w:t>
            </w:r>
          </w:p>
        </w:tc>
        <w:tc>
          <w:tcPr>
            <w:tcW w:w="2220" w:type="dxa"/>
            <w:vAlign w:val="bottom"/>
          </w:tcPr>
          <w:p>
            <w:pPr>
              <w:jc w:val="right"/>
              <w:ind w:right="199"/>
              <w:spacing w:after="0"/>
              <w:rPr>
                <w:sz w:val="20"/>
                <w:szCs w:val="20"/>
                <w:color w:val="auto"/>
              </w:rPr>
            </w:pPr>
            <w:r>
              <w:rPr>
                <w:rFonts w:ascii="Arial" w:cs="Arial" w:eastAsia="Arial" w:hAnsi="Arial"/>
                <w:sz w:val="13"/>
                <w:szCs w:val="13"/>
                <w:color w:val="auto"/>
              </w:rPr>
              <w:t>N/A</w:t>
            </w:r>
          </w:p>
        </w:tc>
        <w:tc>
          <w:tcPr>
            <w:tcW w:w="2440" w:type="dxa"/>
            <w:vAlign w:val="bottom"/>
          </w:tcPr>
          <w:p>
            <w:pPr>
              <w:jc w:val="right"/>
              <w:spacing w:after="0"/>
              <w:rPr>
                <w:sz w:val="20"/>
                <w:szCs w:val="20"/>
                <w:color w:val="auto"/>
              </w:rPr>
            </w:pPr>
            <w:r>
              <w:rPr>
                <w:rFonts w:ascii="Arial" w:cs="Arial" w:eastAsia="Arial" w:hAnsi="Arial"/>
                <w:sz w:val="13"/>
                <w:szCs w:val="13"/>
                <w:color w:val="auto"/>
              </w:rPr>
              <w:t>N/A</w:t>
            </w:r>
          </w:p>
        </w:tc>
      </w:tr>
      <w:tr>
        <w:trPr>
          <w:trHeight w:val="188"/>
        </w:trPr>
        <w:tc>
          <w:tcPr>
            <w:tcW w:w="1660" w:type="dxa"/>
            <w:vAlign w:val="bottom"/>
          </w:tcPr>
          <w:p>
            <w:pPr>
              <w:spacing w:after="0"/>
              <w:rPr>
                <w:sz w:val="16"/>
                <w:szCs w:val="16"/>
                <w:color w:val="auto"/>
              </w:rPr>
            </w:pPr>
          </w:p>
        </w:tc>
        <w:tc>
          <w:tcPr>
            <w:tcW w:w="1520" w:type="dxa"/>
            <w:vAlign w:val="bottom"/>
          </w:tcPr>
          <w:p>
            <w:pPr>
              <w:jc w:val="right"/>
              <w:ind w:right="538"/>
              <w:spacing w:after="0"/>
              <w:rPr>
                <w:sz w:val="20"/>
                <w:szCs w:val="20"/>
                <w:color w:val="auto"/>
              </w:rPr>
            </w:pPr>
            <w:r>
              <w:rPr>
                <w:rFonts w:ascii="Arial" w:cs="Arial" w:eastAsia="Arial" w:hAnsi="Arial"/>
                <w:sz w:val="13"/>
                <w:szCs w:val="13"/>
                <w:color w:val="auto"/>
              </w:rPr>
              <w:t>2023</w:t>
            </w:r>
          </w:p>
        </w:tc>
        <w:tc>
          <w:tcPr>
            <w:tcW w:w="2860" w:type="dxa"/>
            <w:vAlign w:val="bottom"/>
          </w:tcPr>
          <w:p>
            <w:pPr>
              <w:jc w:val="right"/>
              <w:ind w:right="678"/>
              <w:spacing w:after="0"/>
              <w:rPr>
                <w:sz w:val="20"/>
                <w:szCs w:val="20"/>
                <w:color w:val="auto"/>
              </w:rPr>
            </w:pPr>
            <w:r>
              <w:rPr>
                <w:rFonts w:ascii="Arial" w:cs="Arial" w:eastAsia="Arial" w:hAnsi="Arial"/>
                <w:sz w:val="13"/>
                <w:szCs w:val="13"/>
                <w:color w:val="auto"/>
              </w:rPr>
              <w:t>N/A</w:t>
            </w:r>
          </w:p>
        </w:tc>
        <w:tc>
          <w:tcPr>
            <w:tcW w:w="2220" w:type="dxa"/>
            <w:vAlign w:val="bottom"/>
          </w:tcPr>
          <w:p>
            <w:pPr>
              <w:jc w:val="right"/>
              <w:ind w:right="199"/>
              <w:spacing w:after="0"/>
              <w:rPr>
                <w:sz w:val="20"/>
                <w:szCs w:val="20"/>
                <w:color w:val="auto"/>
              </w:rPr>
            </w:pPr>
            <w:r>
              <w:rPr>
                <w:rFonts w:ascii="Arial" w:cs="Arial" w:eastAsia="Arial" w:hAnsi="Arial"/>
                <w:sz w:val="13"/>
                <w:szCs w:val="13"/>
                <w:color w:val="auto"/>
              </w:rPr>
              <w:t>N/A</w:t>
            </w:r>
          </w:p>
        </w:tc>
        <w:tc>
          <w:tcPr>
            <w:tcW w:w="2440" w:type="dxa"/>
            <w:vAlign w:val="bottom"/>
          </w:tcPr>
          <w:p>
            <w:pPr>
              <w:jc w:val="right"/>
              <w:spacing w:after="0"/>
              <w:rPr>
                <w:sz w:val="20"/>
                <w:szCs w:val="20"/>
                <w:color w:val="auto"/>
              </w:rPr>
            </w:pPr>
            <w:r>
              <w:rPr>
                <w:rFonts w:ascii="Arial" w:cs="Arial" w:eastAsia="Arial" w:hAnsi="Arial"/>
                <w:sz w:val="13"/>
                <w:szCs w:val="13"/>
                <w:color w:val="auto"/>
              </w:rPr>
              <w:t>N/A</w:t>
            </w:r>
          </w:p>
        </w:tc>
      </w:tr>
      <w:tr>
        <w:trPr>
          <w:trHeight w:val="66"/>
        </w:trPr>
        <w:tc>
          <w:tcPr>
            <w:tcW w:w="16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2440" w:type="dxa"/>
            <w:vAlign w:val="bottom"/>
          </w:tcPr>
          <w:p>
            <w:pPr>
              <w:spacing w:after="0"/>
              <w:rPr>
                <w:sz w:val="5"/>
                <w:szCs w:val="5"/>
                <w:color w:val="auto"/>
              </w:rPr>
            </w:pPr>
          </w:p>
        </w:tc>
      </w:tr>
      <w:tr>
        <w:trPr>
          <w:trHeight w:val="211"/>
        </w:trPr>
        <w:tc>
          <w:tcPr>
            <w:tcW w:w="1660" w:type="dxa"/>
            <w:vAlign w:val="bottom"/>
            <w:shd w:val="clear" w:color="auto" w:fill="F1F2F2"/>
          </w:tcPr>
          <w:p>
            <w:pPr>
              <w:ind w:left="60"/>
              <w:spacing w:after="0"/>
              <w:rPr>
                <w:sz w:val="20"/>
                <w:szCs w:val="20"/>
                <w:color w:val="auto"/>
              </w:rPr>
            </w:pPr>
            <w:r>
              <w:rPr>
                <w:rFonts w:ascii="Arial" w:cs="Arial" w:eastAsia="Arial" w:hAnsi="Arial"/>
                <w:sz w:val="13"/>
                <w:szCs w:val="13"/>
                <w:b w:val="1"/>
                <w:bCs w:val="1"/>
                <w:color w:val="auto"/>
              </w:rPr>
              <w:t>Eva Serrano</w:t>
            </w:r>
          </w:p>
        </w:tc>
        <w:tc>
          <w:tcPr>
            <w:tcW w:w="1520" w:type="dxa"/>
            <w:vAlign w:val="bottom"/>
            <w:shd w:val="clear" w:color="auto" w:fill="F1F2F2"/>
          </w:tcPr>
          <w:p>
            <w:pPr>
              <w:jc w:val="right"/>
              <w:ind w:right="538"/>
              <w:spacing w:after="0"/>
              <w:rPr>
                <w:sz w:val="20"/>
                <w:szCs w:val="20"/>
                <w:color w:val="auto"/>
              </w:rPr>
            </w:pPr>
            <w:r>
              <w:rPr>
                <w:rFonts w:ascii="Arial" w:cs="Arial" w:eastAsia="Arial" w:hAnsi="Arial"/>
                <w:sz w:val="13"/>
                <w:szCs w:val="13"/>
                <w:color w:val="auto"/>
              </w:rPr>
              <w:t>2025</w:t>
            </w:r>
          </w:p>
        </w:tc>
        <w:tc>
          <w:tcPr>
            <w:tcW w:w="2860" w:type="dxa"/>
            <w:vAlign w:val="bottom"/>
            <w:shd w:val="clear" w:color="auto" w:fill="F1F2F2"/>
          </w:tcPr>
          <w:p>
            <w:pPr>
              <w:jc w:val="right"/>
              <w:ind w:right="678"/>
              <w:spacing w:after="0"/>
              <w:rPr>
                <w:sz w:val="20"/>
                <w:szCs w:val="20"/>
                <w:color w:val="auto"/>
              </w:rPr>
            </w:pPr>
            <w:r>
              <w:rPr>
                <w:rFonts w:ascii="Arial" w:cs="Arial" w:eastAsia="Arial" w:hAnsi="Arial"/>
                <w:sz w:val="13"/>
                <w:szCs w:val="13"/>
                <w:color w:val="auto"/>
              </w:rPr>
              <w:t>N/A</w:t>
            </w:r>
          </w:p>
        </w:tc>
        <w:tc>
          <w:tcPr>
            <w:tcW w:w="2220" w:type="dxa"/>
            <w:vAlign w:val="bottom"/>
            <w:shd w:val="clear" w:color="auto" w:fill="F1F2F2"/>
          </w:tcPr>
          <w:p>
            <w:pPr>
              <w:jc w:val="right"/>
              <w:ind w:right="199"/>
              <w:spacing w:after="0"/>
              <w:rPr>
                <w:sz w:val="20"/>
                <w:szCs w:val="20"/>
                <w:color w:val="auto"/>
              </w:rPr>
            </w:pPr>
            <w:r>
              <w:rPr>
                <w:rFonts w:ascii="Arial" w:cs="Arial" w:eastAsia="Arial" w:hAnsi="Arial"/>
                <w:sz w:val="13"/>
                <w:szCs w:val="13"/>
                <w:color w:val="auto"/>
              </w:rPr>
              <w:t>N/A</w:t>
            </w:r>
          </w:p>
        </w:tc>
        <w:tc>
          <w:tcPr>
            <w:tcW w:w="24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N/A</w:t>
            </w:r>
          </w:p>
        </w:tc>
      </w:tr>
      <w:tr>
        <w:trPr>
          <w:trHeight w:val="182"/>
        </w:trPr>
        <w:tc>
          <w:tcPr>
            <w:tcW w:w="1660" w:type="dxa"/>
            <w:vAlign w:val="bottom"/>
            <w:shd w:val="clear" w:color="auto" w:fill="F1F2F2"/>
          </w:tcPr>
          <w:p>
            <w:pPr>
              <w:spacing w:after="0"/>
              <w:rPr>
                <w:sz w:val="15"/>
                <w:szCs w:val="15"/>
                <w:color w:val="auto"/>
              </w:rPr>
            </w:pPr>
          </w:p>
        </w:tc>
        <w:tc>
          <w:tcPr>
            <w:tcW w:w="1520" w:type="dxa"/>
            <w:vAlign w:val="bottom"/>
            <w:shd w:val="clear" w:color="auto" w:fill="F1F2F2"/>
          </w:tcPr>
          <w:p>
            <w:pPr>
              <w:jc w:val="right"/>
              <w:ind w:right="538"/>
              <w:spacing w:after="0"/>
              <w:rPr>
                <w:sz w:val="20"/>
                <w:szCs w:val="20"/>
                <w:color w:val="auto"/>
              </w:rPr>
            </w:pPr>
            <w:r>
              <w:rPr>
                <w:rFonts w:ascii="Arial" w:cs="Arial" w:eastAsia="Arial" w:hAnsi="Arial"/>
                <w:sz w:val="13"/>
                <w:szCs w:val="13"/>
                <w:color w:val="auto"/>
              </w:rPr>
              <w:t>2024</w:t>
            </w:r>
          </w:p>
        </w:tc>
        <w:tc>
          <w:tcPr>
            <w:tcW w:w="2860" w:type="dxa"/>
            <w:vAlign w:val="bottom"/>
            <w:shd w:val="clear" w:color="auto" w:fill="F1F2F2"/>
          </w:tcPr>
          <w:p>
            <w:pPr>
              <w:jc w:val="right"/>
              <w:ind w:right="678"/>
              <w:spacing w:after="0"/>
              <w:rPr>
                <w:sz w:val="20"/>
                <w:szCs w:val="20"/>
                <w:color w:val="auto"/>
              </w:rPr>
            </w:pPr>
            <w:r>
              <w:rPr>
                <w:rFonts w:ascii="Arial" w:cs="Arial" w:eastAsia="Arial" w:hAnsi="Arial"/>
                <w:sz w:val="13"/>
                <w:szCs w:val="13"/>
                <w:color w:val="auto"/>
              </w:rPr>
              <w:t>N/A</w:t>
            </w:r>
          </w:p>
        </w:tc>
        <w:tc>
          <w:tcPr>
            <w:tcW w:w="2220" w:type="dxa"/>
            <w:vAlign w:val="bottom"/>
            <w:shd w:val="clear" w:color="auto" w:fill="F1F2F2"/>
          </w:tcPr>
          <w:p>
            <w:pPr>
              <w:jc w:val="right"/>
              <w:ind w:right="199"/>
              <w:spacing w:after="0"/>
              <w:rPr>
                <w:sz w:val="20"/>
                <w:szCs w:val="20"/>
                <w:color w:val="auto"/>
              </w:rPr>
            </w:pPr>
            <w:r>
              <w:rPr>
                <w:rFonts w:ascii="Arial" w:cs="Arial" w:eastAsia="Arial" w:hAnsi="Arial"/>
                <w:sz w:val="13"/>
                <w:szCs w:val="13"/>
                <w:color w:val="auto"/>
              </w:rPr>
              <w:t>N/A</w:t>
            </w:r>
          </w:p>
        </w:tc>
        <w:tc>
          <w:tcPr>
            <w:tcW w:w="24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N/A</w:t>
            </w:r>
          </w:p>
        </w:tc>
      </w:tr>
      <w:tr>
        <w:trPr>
          <w:trHeight w:val="188"/>
        </w:trPr>
        <w:tc>
          <w:tcPr>
            <w:tcW w:w="1660" w:type="dxa"/>
            <w:vAlign w:val="bottom"/>
            <w:shd w:val="clear" w:color="auto" w:fill="F1F2F2"/>
          </w:tcPr>
          <w:p>
            <w:pPr>
              <w:spacing w:after="0"/>
              <w:rPr>
                <w:sz w:val="16"/>
                <w:szCs w:val="16"/>
                <w:color w:val="auto"/>
              </w:rPr>
            </w:pPr>
          </w:p>
        </w:tc>
        <w:tc>
          <w:tcPr>
            <w:tcW w:w="1520" w:type="dxa"/>
            <w:vAlign w:val="bottom"/>
            <w:shd w:val="clear" w:color="auto" w:fill="F1F2F2"/>
          </w:tcPr>
          <w:p>
            <w:pPr>
              <w:jc w:val="right"/>
              <w:ind w:right="538"/>
              <w:spacing w:after="0"/>
              <w:rPr>
                <w:sz w:val="20"/>
                <w:szCs w:val="20"/>
                <w:color w:val="auto"/>
              </w:rPr>
            </w:pPr>
            <w:r>
              <w:rPr>
                <w:rFonts w:ascii="Arial" w:cs="Arial" w:eastAsia="Arial" w:hAnsi="Arial"/>
                <w:sz w:val="13"/>
                <w:szCs w:val="13"/>
                <w:color w:val="auto"/>
              </w:rPr>
              <w:t>2023</w:t>
            </w:r>
          </w:p>
        </w:tc>
        <w:tc>
          <w:tcPr>
            <w:tcW w:w="2860" w:type="dxa"/>
            <w:vAlign w:val="bottom"/>
            <w:shd w:val="clear" w:color="auto" w:fill="F1F2F2"/>
          </w:tcPr>
          <w:p>
            <w:pPr>
              <w:jc w:val="right"/>
              <w:ind w:right="678"/>
              <w:spacing w:after="0"/>
              <w:rPr>
                <w:sz w:val="20"/>
                <w:szCs w:val="20"/>
                <w:color w:val="auto"/>
              </w:rPr>
            </w:pPr>
            <w:r>
              <w:rPr>
                <w:rFonts w:ascii="Arial" w:cs="Arial" w:eastAsia="Arial" w:hAnsi="Arial"/>
                <w:sz w:val="13"/>
                <w:szCs w:val="13"/>
                <w:color w:val="auto"/>
              </w:rPr>
              <w:t>N/A</w:t>
            </w:r>
          </w:p>
        </w:tc>
        <w:tc>
          <w:tcPr>
            <w:tcW w:w="2220" w:type="dxa"/>
            <w:vAlign w:val="bottom"/>
            <w:shd w:val="clear" w:color="auto" w:fill="F1F2F2"/>
          </w:tcPr>
          <w:p>
            <w:pPr>
              <w:jc w:val="right"/>
              <w:ind w:right="199"/>
              <w:spacing w:after="0"/>
              <w:rPr>
                <w:sz w:val="20"/>
                <w:szCs w:val="20"/>
                <w:color w:val="auto"/>
              </w:rPr>
            </w:pPr>
            <w:r>
              <w:rPr>
                <w:rFonts w:ascii="Arial" w:cs="Arial" w:eastAsia="Arial" w:hAnsi="Arial"/>
                <w:sz w:val="13"/>
                <w:szCs w:val="13"/>
                <w:color w:val="auto"/>
              </w:rPr>
              <w:t>N/A</w:t>
            </w:r>
          </w:p>
        </w:tc>
        <w:tc>
          <w:tcPr>
            <w:tcW w:w="24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N/A</w:t>
            </w:r>
          </w:p>
        </w:tc>
      </w:tr>
      <w:tr>
        <w:trPr>
          <w:trHeight w:val="66"/>
        </w:trPr>
        <w:tc>
          <w:tcPr>
            <w:tcW w:w="1660" w:type="dxa"/>
            <w:vAlign w:val="bottom"/>
            <w:shd w:val="clear" w:color="auto" w:fill="F1F2F2"/>
          </w:tcPr>
          <w:p>
            <w:pPr>
              <w:spacing w:after="0"/>
              <w:rPr>
                <w:sz w:val="5"/>
                <w:szCs w:val="5"/>
                <w:color w:val="auto"/>
              </w:rPr>
            </w:pPr>
          </w:p>
        </w:tc>
        <w:tc>
          <w:tcPr>
            <w:tcW w:w="1520" w:type="dxa"/>
            <w:vAlign w:val="bottom"/>
            <w:shd w:val="clear" w:color="auto" w:fill="F1F2F2"/>
          </w:tcPr>
          <w:p>
            <w:pPr>
              <w:spacing w:after="0"/>
              <w:rPr>
                <w:sz w:val="5"/>
                <w:szCs w:val="5"/>
                <w:color w:val="auto"/>
              </w:rPr>
            </w:pPr>
          </w:p>
        </w:tc>
        <w:tc>
          <w:tcPr>
            <w:tcW w:w="2860" w:type="dxa"/>
            <w:vAlign w:val="bottom"/>
            <w:shd w:val="clear" w:color="auto" w:fill="F1F2F2"/>
          </w:tcPr>
          <w:p>
            <w:pPr>
              <w:spacing w:after="0"/>
              <w:rPr>
                <w:sz w:val="5"/>
                <w:szCs w:val="5"/>
                <w:color w:val="auto"/>
              </w:rPr>
            </w:pPr>
          </w:p>
        </w:tc>
        <w:tc>
          <w:tcPr>
            <w:tcW w:w="2220" w:type="dxa"/>
            <w:vAlign w:val="bottom"/>
            <w:shd w:val="clear" w:color="auto" w:fill="F1F2F2"/>
          </w:tcPr>
          <w:p>
            <w:pPr>
              <w:spacing w:after="0"/>
              <w:rPr>
                <w:sz w:val="5"/>
                <w:szCs w:val="5"/>
                <w:color w:val="auto"/>
              </w:rPr>
            </w:pPr>
          </w:p>
        </w:tc>
        <w:tc>
          <w:tcPr>
            <w:tcW w:w="2440" w:type="dxa"/>
            <w:vAlign w:val="bottom"/>
            <w:shd w:val="clear" w:color="auto" w:fill="F1F2F2"/>
          </w:tcPr>
          <w:p>
            <w:pPr>
              <w:spacing w:after="0"/>
              <w:rPr>
                <w:sz w:val="5"/>
                <w:szCs w:val="5"/>
                <w:color w:val="auto"/>
              </w:rPr>
            </w:pPr>
          </w:p>
        </w:tc>
      </w:tr>
    </w:tbl>
    <w:p>
      <w:pPr>
        <w:spacing w:after="0" w:line="157" w:lineRule="exact"/>
        <w:rPr>
          <w:sz w:val="20"/>
          <w:szCs w:val="20"/>
          <w:color w:val="auto"/>
        </w:rPr>
      </w:pPr>
    </w:p>
    <w:p>
      <w:pPr>
        <w:ind w:left="309" w:right="300" w:hanging="152"/>
        <w:spacing w:after="0" w:line="252" w:lineRule="auto"/>
        <w:tabs>
          <w:tab w:leader="none" w:pos="316"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amounts reported represent the aggregate change in the actuarial value of Mr. Larsson’s and Ms. Stone’s accumulated benefits under all defined benefit plans. Additional information regarding the two pension plans is included in this section under the Pension Benefits table and under the heading “Defined Benefit Plans.” See page 72.</w:t>
      </w:r>
    </w:p>
    <w:p>
      <w:pPr>
        <w:spacing w:after="0" w:line="16" w:lineRule="exact"/>
        <w:rPr>
          <w:sz w:val="20"/>
          <w:szCs w:val="20"/>
          <w:color w:val="auto"/>
        </w:rPr>
      </w:pPr>
    </w:p>
    <w:p>
      <w:pPr>
        <w:ind w:left="9"/>
        <w:spacing w:after="0"/>
        <w:rPr>
          <w:sz w:val="20"/>
          <w:szCs w:val="20"/>
          <w:color w:val="auto"/>
        </w:rPr>
      </w:pPr>
      <w:r>
        <w:rPr>
          <w:rFonts w:ascii="Arial" w:cs="Arial" w:eastAsia="Arial" w:hAnsi="Arial"/>
          <w:sz w:val="13"/>
          <w:szCs w:val="13"/>
          <w:color w:val="auto"/>
        </w:rPr>
        <w:t>5  The following table provides additional information about the amounts that appear in the “All Other Compensation” column:</w:t>
      </w:r>
    </w:p>
    <w:p>
      <w:pPr>
        <w:spacing w:after="0" w:line="153" w:lineRule="exact"/>
        <w:rPr>
          <w:sz w:val="20"/>
          <w:szCs w:val="20"/>
          <w:color w:val="auto"/>
        </w:rPr>
      </w:pPr>
    </w:p>
    <w:tbl>
      <w:tblPr>
        <w:tblLayout w:type="fixed"/>
        <w:tblInd w:w="209" w:type="dxa"/>
        <w:tblCellMar>
          <w:top w:w="0" w:type="dxa"/>
          <w:left w:w="0" w:type="dxa"/>
          <w:bottom w:w="0" w:type="dxa"/>
          <w:right w:w="0" w:type="dxa"/>
        </w:tblCellMar>
      </w:tblPr>
      <w:tr>
        <w:trPr>
          <w:trHeight w:val="177"/>
        </w:trPr>
        <w:tc>
          <w:tcPr>
            <w:tcW w:w="2820" w:type="dxa"/>
            <w:vAlign w:val="bottom"/>
            <w:shd w:val="clear" w:color="auto" w:fill="D1D3D4"/>
          </w:tcPr>
          <w:p>
            <w:pPr>
              <w:spacing w:after="0"/>
              <w:rPr>
                <w:sz w:val="15"/>
                <w:szCs w:val="15"/>
                <w:color w:val="auto"/>
              </w:rPr>
            </w:pPr>
          </w:p>
        </w:tc>
        <w:tc>
          <w:tcPr>
            <w:tcW w:w="1600" w:type="dxa"/>
            <w:vAlign w:val="bottom"/>
            <w:shd w:val="clear" w:color="auto" w:fill="D1D3D4"/>
          </w:tcPr>
          <w:p>
            <w:pPr>
              <w:spacing w:after="0"/>
              <w:rPr>
                <w:sz w:val="15"/>
                <w:szCs w:val="15"/>
                <w:color w:val="auto"/>
              </w:rPr>
            </w:pPr>
          </w:p>
        </w:tc>
        <w:tc>
          <w:tcPr>
            <w:tcW w:w="1940" w:type="dxa"/>
            <w:vAlign w:val="bottom"/>
            <w:shd w:val="clear" w:color="auto" w:fill="D1D3D4"/>
          </w:tcPr>
          <w:p>
            <w:pPr>
              <w:jc w:val="right"/>
              <w:ind w:right="199"/>
              <w:spacing w:after="0"/>
              <w:rPr>
                <w:sz w:val="20"/>
                <w:szCs w:val="20"/>
                <w:color w:val="auto"/>
              </w:rPr>
            </w:pPr>
            <w:r>
              <w:rPr>
                <w:rFonts w:ascii="Arial" w:cs="Arial" w:eastAsia="Arial" w:hAnsi="Arial"/>
                <w:sz w:val="11"/>
                <w:szCs w:val="11"/>
                <w:color w:val="auto"/>
              </w:rPr>
              <w:t>Perquisites</w:t>
            </w:r>
          </w:p>
        </w:tc>
        <w:tc>
          <w:tcPr>
            <w:tcW w:w="860" w:type="dxa"/>
            <w:vAlign w:val="bottom"/>
            <w:shd w:val="clear" w:color="auto" w:fill="D1D3D4"/>
          </w:tcPr>
          <w:p>
            <w:pPr>
              <w:spacing w:after="0"/>
              <w:rPr>
                <w:sz w:val="15"/>
                <w:szCs w:val="15"/>
                <w:color w:val="auto"/>
              </w:rPr>
            </w:pPr>
          </w:p>
        </w:tc>
        <w:tc>
          <w:tcPr>
            <w:tcW w:w="500" w:type="dxa"/>
            <w:vAlign w:val="bottom"/>
            <w:shd w:val="clear" w:color="auto" w:fill="D1D3D4"/>
          </w:tcPr>
          <w:p>
            <w:pPr>
              <w:spacing w:after="0"/>
              <w:rPr>
                <w:sz w:val="15"/>
                <w:szCs w:val="15"/>
                <w:color w:val="auto"/>
              </w:rPr>
            </w:pPr>
          </w:p>
        </w:tc>
        <w:tc>
          <w:tcPr>
            <w:tcW w:w="1880" w:type="dxa"/>
            <w:vAlign w:val="bottom"/>
            <w:shd w:val="clear" w:color="auto" w:fill="D1D3D4"/>
          </w:tcPr>
          <w:p>
            <w:pPr>
              <w:jc w:val="right"/>
              <w:ind w:right="440"/>
              <w:spacing w:after="0"/>
              <w:rPr>
                <w:sz w:val="20"/>
                <w:szCs w:val="20"/>
                <w:color w:val="auto"/>
              </w:rPr>
            </w:pPr>
            <w:r>
              <w:rPr>
                <w:rFonts w:ascii="Arial" w:cs="Arial" w:eastAsia="Arial" w:hAnsi="Arial"/>
                <w:sz w:val="11"/>
                <w:szCs w:val="11"/>
                <w:color w:val="auto"/>
              </w:rPr>
              <w:t>PVH Contributions</w:t>
            </w:r>
          </w:p>
        </w:tc>
        <w:tc>
          <w:tcPr>
            <w:tcW w:w="1120" w:type="dxa"/>
            <w:vAlign w:val="bottom"/>
            <w:shd w:val="clear" w:color="auto" w:fill="D1D3D4"/>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2820" w:type="dxa"/>
            <w:vAlign w:val="bottom"/>
            <w:tcBorders>
              <w:bottom w:val="single" w:sz="8" w:color="D1D3D4"/>
            </w:tcBorders>
            <w:shd w:val="clear" w:color="auto" w:fill="D1D3D4"/>
          </w:tcPr>
          <w:p>
            <w:pPr>
              <w:spacing w:after="0"/>
              <w:rPr>
                <w:sz w:val="7"/>
                <w:szCs w:val="7"/>
                <w:color w:val="auto"/>
              </w:rPr>
            </w:pPr>
          </w:p>
        </w:tc>
        <w:tc>
          <w:tcPr>
            <w:tcW w:w="1600" w:type="dxa"/>
            <w:vAlign w:val="bottom"/>
            <w:tcBorders>
              <w:bottom w:val="single" w:sz="8" w:color="D1D3D4"/>
            </w:tcBorders>
            <w:shd w:val="clear" w:color="auto" w:fill="D1D3D4"/>
          </w:tcPr>
          <w:p>
            <w:pPr>
              <w:spacing w:after="0"/>
              <w:rPr>
                <w:sz w:val="7"/>
                <w:szCs w:val="7"/>
                <w:color w:val="auto"/>
              </w:rPr>
            </w:pPr>
          </w:p>
        </w:tc>
        <w:tc>
          <w:tcPr>
            <w:tcW w:w="1940" w:type="dxa"/>
            <w:vAlign w:val="bottom"/>
            <w:tcBorders>
              <w:bottom w:val="single" w:sz="8" w:color="auto"/>
            </w:tcBorders>
            <w:shd w:val="clear" w:color="auto" w:fill="D1D3D4"/>
          </w:tcPr>
          <w:p>
            <w:pPr>
              <w:spacing w:after="0"/>
              <w:rPr>
                <w:sz w:val="7"/>
                <w:szCs w:val="7"/>
                <w:color w:val="auto"/>
              </w:rPr>
            </w:pPr>
          </w:p>
        </w:tc>
        <w:tc>
          <w:tcPr>
            <w:tcW w:w="860" w:type="dxa"/>
            <w:vAlign w:val="bottom"/>
            <w:tcBorders>
              <w:bottom w:val="single" w:sz="8" w:color="auto"/>
            </w:tcBorders>
            <w:shd w:val="clear" w:color="auto" w:fill="D1D3D4"/>
          </w:tcPr>
          <w:p>
            <w:pPr>
              <w:spacing w:after="0"/>
              <w:rPr>
                <w:sz w:val="7"/>
                <w:szCs w:val="7"/>
                <w:color w:val="auto"/>
              </w:rPr>
            </w:pPr>
          </w:p>
        </w:tc>
        <w:tc>
          <w:tcPr>
            <w:tcW w:w="500" w:type="dxa"/>
            <w:vAlign w:val="bottom"/>
            <w:tcBorders>
              <w:bottom w:val="single" w:sz="8" w:color="D1D3D4"/>
            </w:tcBorders>
            <w:shd w:val="clear" w:color="auto" w:fill="D1D3D4"/>
          </w:tcPr>
          <w:p>
            <w:pPr>
              <w:spacing w:after="0"/>
              <w:rPr>
                <w:sz w:val="7"/>
                <w:szCs w:val="7"/>
                <w:color w:val="auto"/>
              </w:rPr>
            </w:pPr>
          </w:p>
        </w:tc>
        <w:tc>
          <w:tcPr>
            <w:tcW w:w="1880" w:type="dxa"/>
            <w:vAlign w:val="bottom"/>
            <w:tcBorders>
              <w:bottom w:val="single" w:sz="8" w:color="D1D3D4"/>
            </w:tcBorders>
            <w:shd w:val="clear" w:color="auto" w:fill="D1D3D4"/>
          </w:tcPr>
          <w:p>
            <w:pPr>
              <w:jc w:val="right"/>
              <w:ind w:right="460"/>
              <w:spacing w:after="0" w:line="83" w:lineRule="exact"/>
              <w:rPr>
                <w:sz w:val="20"/>
                <w:szCs w:val="20"/>
                <w:color w:val="auto"/>
              </w:rPr>
            </w:pPr>
            <w:r>
              <w:rPr>
                <w:rFonts w:ascii="Arial" w:cs="Arial" w:eastAsia="Arial" w:hAnsi="Arial"/>
                <w:sz w:val="9"/>
                <w:szCs w:val="9"/>
                <w:color w:val="auto"/>
              </w:rPr>
              <w:t>to Defined</w:t>
            </w:r>
          </w:p>
        </w:tc>
        <w:tc>
          <w:tcPr>
            <w:tcW w:w="1120" w:type="dxa"/>
            <w:vAlign w:val="bottom"/>
            <w:tcBorders>
              <w:bottom w:val="single" w:sz="8" w:color="D1D3D4"/>
            </w:tcBorders>
            <w:shd w:val="clear" w:color="auto" w:fill="D1D3D4"/>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820" w:type="dxa"/>
            <w:vAlign w:val="bottom"/>
            <w:shd w:val="clear" w:color="auto" w:fill="D1D3D4"/>
          </w:tcPr>
          <w:p>
            <w:pPr>
              <w:spacing w:after="0"/>
              <w:rPr>
                <w:sz w:val="11"/>
                <w:szCs w:val="11"/>
                <w:color w:val="auto"/>
              </w:rPr>
            </w:pPr>
          </w:p>
        </w:tc>
        <w:tc>
          <w:tcPr>
            <w:tcW w:w="1600" w:type="dxa"/>
            <w:vAlign w:val="bottom"/>
            <w:shd w:val="clear" w:color="auto" w:fill="D1D3D4"/>
          </w:tcPr>
          <w:p>
            <w:pPr>
              <w:spacing w:after="0"/>
              <w:rPr>
                <w:sz w:val="11"/>
                <w:szCs w:val="11"/>
                <w:color w:val="auto"/>
              </w:rPr>
            </w:pPr>
          </w:p>
        </w:tc>
        <w:tc>
          <w:tcPr>
            <w:tcW w:w="1940" w:type="dxa"/>
            <w:vAlign w:val="bottom"/>
            <w:shd w:val="clear" w:color="auto" w:fill="D1D3D4"/>
          </w:tcPr>
          <w:p>
            <w:pPr>
              <w:jc w:val="right"/>
              <w:ind w:right="499"/>
              <w:spacing w:after="0"/>
              <w:rPr>
                <w:sz w:val="20"/>
                <w:szCs w:val="20"/>
                <w:color w:val="auto"/>
              </w:rPr>
            </w:pPr>
            <w:r>
              <w:rPr>
                <w:rFonts w:ascii="Arial" w:cs="Arial" w:eastAsia="Arial" w:hAnsi="Arial"/>
                <w:sz w:val="11"/>
                <w:szCs w:val="11"/>
                <w:color w:val="auto"/>
              </w:rPr>
              <w:t>Personal</w:t>
            </w:r>
          </w:p>
        </w:tc>
        <w:tc>
          <w:tcPr>
            <w:tcW w:w="860" w:type="dxa"/>
            <w:vAlign w:val="bottom"/>
            <w:shd w:val="clear" w:color="auto" w:fill="D1D3D4"/>
          </w:tcPr>
          <w:p>
            <w:pPr>
              <w:spacing w:after="0"/>
              <w:rPr>
                <w:sz w:val="11"/>
                <w:szCs w:val="11"/>
                <w:color w:val="auto"/>
              </w:rPr>
            </w:pPr>
          </w:p>
        </w:tc>
        <w:tc>
          <w:tcPr>
            <w:tcW w:w="500" w:type="dxa"/>
            <w:vAlign w:val="bottom"/>
            <w:shd w:val="clear" w:color="auto" w:fill="D1D3D4"/>
          </w:tcPr>
          <w:p>
            <w:pPr>
              <w:spacing w:after="0"/>
              <w:rPr>
                <w:sz w:val="11"/>
                <w:szCs w:val="11"/>
                <w:color w:val="auto"/>
              </w:rPr>
            </w:pPr>
          </w:p>
        </w:tc>
        <w:tc>
          <w:tcPr>
            <w:tcW w:w="1880" w:type="dxa"/>
            <w:vAlign w:val="bottom"/>
            <w:shd w:val="clear" w:color="auto" w:fill="D1D3D4"/>
          </w:tcPr>
          <w:p>
            <w:pPr>
              <w:jc w:val="right"/>
              <w:ind w:right="460"/>
              <w:spacing w:after="0"/>
              <w:rPr>
                <w:sz w:val="20"/>
                <w:szCs w:val="20"/>
                <w:color w:val="auto"/>
              </w:rPr>
            </w:pPr>
            <w:r>
              <w:rPr>
                <w:rFonts w:ascii="Arial" w:cs="Arial" w:eastAsia="Arial" w:hAnsi="Arial"/>
                <w:sz w:val="11"/>
                <w:szCs w:val="11"/>
                <w:color w:val="auto"/>
              </w:rPr>
              <w:t>Contribution</w:t>
            </w:r>
          </w:p>
        </w:tc>
        <w:tc>
          <w:tcPr>
            <w:tcW w:w="1120" w:type="dxa"/>
            <w:vAlign w:val="bottom"/>
            <w:shd w:val="clear" w:color="auto" w:fill="D1D3D4"/>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820" w:type="dxa"/>
            <w:vAlign w:val="bottom"/>
            <w:shd w:val="clear" w:color="auto" w:fill="D1D3D4"/>
          </w:tcPr>
          <w:p>
            <w:pPr>
              <w:spacing w:after="0"/>
              <w:rPr>
                <w:sz w:val="10"/>
                <w:szCs w:val="10"/>
                <w:color w:val="auto"/>
              </w:rPr>
            </w:pPr>
          </w:p>
        </w:tc>
        <w:tc>
          <w:tcPr>
            <w:tcW w:w="1600" w:type="dxa"/>
            <w:vAlign w:val="bottom"/>
            <w:shd w:val="clear" w:color="auto" w:fill="D1D3D4"/>
          </w:tcPr>
          <w:p>
            <w:pPr>
              <w:spacing w:after="0"/>
              <w:rPr>
                <w:sz w:val="10"/>
                <w:szCs w:val="10"/>
                <w:color w:val="auto"/>
              </w:rPr>
            </w:pPr>
          </w:p>
        </w:tc>
        <w:tc>
          <w:tcPr>
            <w:tcW w:w="1940" w:type="dxa"/>
            <w:vAlign w:val="bottom"/>
            <w:shd w:val="clear" w:color="auto" w:fill="D1D3D4"/>
          </w:tcPr>
          <w:p>
            <w:pPr>
              <w:jc w:val="right"/>
              <w:ind w:right="499"/>
              <w:spacing w:after="0" w:line="120" w:lineRule="exact"/>
              <w:rPr>
                <w:sz w:val="20"/>
                <w:szCs w:val="20"/>
                <w:color w:val="auto"/>
              </w:rPr>
            </w:pPr>
            <w:r>
              <w:rPr>
                <w:rFonts w:ascii="Arial" w:cs="Arial" w:eastAsia="Arial" w:hAnsi="Arial"/>
                <w:sz w:val="11"/>
                <w:szCs w:val="11"/>
                <w:color w:val="auto"/>
              </w:rPr>
              <w:t>Travel</w:t>
            </w:r>
          </w:p>
        </w:tc>
        <w:tc>
          <w:tcPr>
            <w:tcW w:w="860" w:type="dxa"/>
            <w:vAlign w:val="bottom"/>
            <w:shd w:val="clear" w:color="auto" w:fill="D1D3D4"/>
          </w:tcPr>
          <w:p>
            <w:pPr>
              <w:jc w:val="right"/>
              <w:spacing w:after="0" w:line="120" w:lineRule="exact"/>
              <w:rPr>
                <w:sz w:val="20"/>
                <w:szCs w:val="20"/>
                <w:color w:val="auto"/>
              </w:rPr>
            </w:pPr>
            <w:r>
              <w:rPr>
                <w:rFonts w:ascii="Arial" w:cs="Arial" w:eastAsia="Arial" w:hAnsi="Arial"/>
                <w:sz w:val="11"/>
                <w:szCs w:val="11"/>
                <w:color w:val="auto"/>
              </w:rPr>
              <w:t>Other</w:t>
            </w:r>
          </w:p>
        </w:tc>
        <w:tc>
          <w:tcPr>
            <w:tcW w:w="500" w:type="dxa"/>
            <w:vAlign w:val="bottom"/>
            <w:shd w:val="clear" w:color="auto" w:fill="D1D3D4"/>
          </w:tcPr>
          <w:p>
            <w:pPr>
              <w:spacing w:after="0"/>
              <w:rPr>
                <w:sz w:val="10"/>
                <w:szCs w:val="10"/>
                <w:color w:val="auto"/>
              </w:rPr>
            </w:pPr>
          </w:p>
        </w:tc>
        <w:tc>
          <w:tcPr>
            <w:tcW w:w="1880" w:type="dxa"/>
            <w:vAlign w:val="bottom"/>
            <w:shd w:val="clear" w:color="auto" w:fill="D1D3D4"/>
          </w:tcPr>
          <w:p>
            <w:pPr>
              <w:jc w:val="right"/>
              <w:ind w:right="460"/>
              <w:spacing w:after="0" w:line="120" w:lineRule="exact"/>
              <w:rPr>
                <w:sz w:val="20"/>
                <w:szCs w:val="20"/>
                <w:color w:val="auto"/>
              </w:rPr>
            </w:pPr>
            <w:r>
              <w:rPr>
                <w:rFonts w:ascii="Arial" w:cs="Arial" w:eastAsia="Arial" w:hAnsi="Arial"/>
                <w:sz w:val="11"/>
                <w:szCs w:val="11"/>
                <w:color w:val="auto"/>
              </w:rPr>
              <w:t>Plans</w:t>
            </w:r>
            <w:r>
              <w:rPr>
                <w:rFonts w:ascii="Arial" w:cs="Arial" w:eastAsia="Arial" w:hAnsi="Arial"/>
                <w:sz w:val="12"/>
                <w:szCs w:val="12"/>
                <w:color w:val="auto"/>
                <w:vertAlign w:val="superscript"/>
              </w:rPr>
              <w:t>a</w:t>
            </w:r>
          </w:p>
        </w:tc>
        <w:tc>
          <w:tcPr>
            <w:tcW w:w="1120" w:type="dxa"/>
            <w:vAlign w:val="bottom"/>
            <w:shd w:val="clear" w:color="auto" w:fill="D1D3D4"/>
          </w:tcPr>
          <w:p>
            <w:pPr>
              <w:jc w:val="right"/>
              <w:ind w:right="18"/>
              <w:spacing w:after="0" w:line="120" w:lineRule="exact"/>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48"/>
        </w:trPr>
        <w:tc>
          <w:tcPr>
            <w:tcW w:w="2820" w:type="dxa"/>
            <w:vAlign w:val="bottom"/>
            <w:tcBorders>
              <w:bottom w:val="single" w:sz="8" w:color="D1D3D4"/>
            </w:tcBorders>
            <w:shd w:val="clear" w:color="auto" w:fill="D1D3D4"/>
          </w:tcPr>
          <w:p>
            <w:pPr>
              <w:ind w:left="60"/>
              <w:spacing w:after="0"/>
              <w:rPr>
                <w:sz w:val="20"/>
                <w:szCs w:val="20"/>
                <w:color w:val="auto"/>
              </w:rPr>
            </w:pPr>
            <w:r>
              <w:rPr>
                <w:rFonts w:ascii="Arial" w:cs="Arial" w:eastAsia="Arial" w:hAnsi="Arial"/>
                <w:sz w:val="11"/>
                <w:szCs w:val="11"/>
                <w:color w:val="auto"/>
              </w:rPr>
              <w:t>Name</w:t>
            </w:r>
          </w:p>
        </w:tc>
        <w:tc>
          <w:tcPr>
            <w:tcW w:w="1600" w:type="dxa"/>
            <w:vAlign w:val="bottom"/>
            <w:tcBorders>
              <w:bottom w:val="single" w:sz="8" w:color="D1D3D4"/>
            </w:tcBorders>
            <w:shd w:val="clear" w:color="auto" w:fill="D1D3D4"/>
          </w:tcPr>
          <w:p>
            <w:pPr>
              <w:jc w:val="right"/>
              <w:spacing w:after="0"/>
              <w:rPr>
                <w:sz w:val="20"/>
                <w:szCs w:val="20"/>
                <w:color w:val="auto"/>
              </w:rPr>
            </w:pPr>
            <w:r>
              <w:rPr>
                <w:rFonts w:ascii="Arial" w:cs="Arial" w:eastAsia="Arial" w:hAnsi="Arial"/>
                <w:sz w:val="11"/>
                <w:szCs w:val="11"/>
                <w:color w:val="auto"/>
              </w:rPr>
              <w:t>Fiscal Year</w:t>
            </w:r>
          </w:p>
        </w:tc>
        <w:tc>
          <w:tcPr>
            <w:tcW w:w="1940" w:type="dxa"/>
            <w:vAlign w:val="bottom"/>
            <w:tcBorders>
              <w:bottom w:val="single" w:sz="8" w:color="D1D3D4"/>
            </w:tcBorders>
            <w:shd w:val="clear" w:color="auto" w:fill="D1D3D4"/>
          </w:tcPr>
          <w:p>
            <w:pPr>
              <w:jc w:val="right"/>
              <w:ind w:right="479"/>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D1D3D4"/>
            </w:tcBorders>
            <w:shd w:val="clear" w:color="auto" w:fill="D1D3D4"/>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D1D3D4"/>
            </w:tcBorders>
            <w:shd w:val="clear" w:color="auto" w:fill="D1D3D4"/>
          </w:tcPr>
          <w:p>
            <w:pPr>
              <w:spacing w:after="0"/>
              <w:rPr>
                <w:sz w:val="12"/>
                <w:szCs w:val="12"/>
                <w:color w:val="auto"/>
              </w:rPr>
            </w:pPr>
          </w:p>
        </w:tc>
        <w:tc>
          <w:tcPr>
            <w:tcW w:w="1880" w:type="dxa"/>
            <w:vAlign w:val="bottom"/>
            <w:tcBorders>
              <w:bottom w:val="single" w:sz="8" w:color="D1D3D4"/>
            </w:tcBorders>
            <w:shd w:val="clear" w:color="auto" w:fill="D1D3D4"/>
          </w:tcPr>
          <w:p>
            <w:pPr>
              <w:jc w:val="right"/>
              <w:ind w:right="440"/>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D1D3D4"/>
            </w:tcBorders>
            <w:shd w:val="clear" w:color="auto" w:fill="D1D3D4"/>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8"/>
        </w:trPr>
        <w:tc>
          <w:tcPr>
            <w:tcW w:w="2820" w:type="dxa"/>
            <w:vAlign w:val="bottom"/>
            <w:shd w:val="clear" w:color="auto" w:fill="F1F2F2"/>
          </w:tcPr>
          <w:p>
            <w:pPr>
              <w:ind w:left="60"/>
              <w:spacing w:after="0"/>
              <w:rPr>
                <w:sz w:val="20"/>
                <w:szCs w:val="20"/>
                <w:color w:val="auto"/>
              </w:rPr>
            </w:pPr>
            <w:r>
              <w:rPr>
                <w:rFonts w:ascii="Arial" w:cs="Arial" w:eastAsia="Arial" w:hAnsi="Arial"/>
                <w:sz w:val="13"/>
                <w:szCs w:val="13"/>
                <w:b w:val="1"/>
                <w:bCs w:val="1"/>
                <w:color w:val="auto"/>
              </w:rPr>
              <w:t>Stefan Larsson</w:t>
            </w:r>
          </w:p>
        </w:tc>
        <w:tc>
          <w:tcPr>
            <w:tcW w:w="16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2025</w:t>
            </w:r>
          </w:p>
        </w:tc>
        <w:tc>
          <w:tcPr>
            <w:tcW w:w="1940" w:type="dxa"/>
            <w:vAlign w:val="bottom"/>
            <w:shd w:val="clear" w:color="auto" w:fill="F1F2F2"/>
          </w:tcPr>
          <w:p>
            <w:pPr>
              <w:jc w:val="right"/>
              <w:ind w:right="479"/>
              <w:spacing w:after="0"/>
              <w:rPr>
                <w:sz w:val="20"/>
                <w:szCs w:val="20"/>
                <w:color w:val="auto"/>
              </w:rPr>
            </w:pPr>
            <w:r>
              <w:rPr>
                <w:rFonts w:ascii="Arial" w:cs="Arial" w:eastAsia="Arial" w:hAnsi="Arial"/>
                <w:sz w:val="13"/>
                <w:szCs w:val="13"/>
                <w:color w:val="auto"/>
              </w:rPr>
              <w:t>29,888</w:t>
            </w:r>
            <w:r>
              <w:rPr>
                <w:rFonts w:ascii="Arial" w:cs="Arial" w:eastAsia="Arial" w:hAnsi="Arial"/>
                <w:sz w:val="14"/>
                <w:szCs w:val="14"/>
                <w:color w:val="auto"/>
                <w:vertAlign w:val="superscript"/>
              </w:rPr>
              <w:t>b</w:t>
            </w:r>
          </w:p>
        </w:tc>
        <w:tc>
          <w:tcPr>
            <w:tcW w:w="1360" w:type="dxa"/>
            <w:vAlign w:val="bottom"/>
            <w:gridSpan w:val="2"/>
            <w:shd w:val="clear" w:color="auto" w:fill="F1F2F2"/>
          </w:tcPr>
          <w:p>
            <w:pPr>
              <w:jc w:val="right"/>
              <w:ind w:right="500"/>
              <w:spacing w:after="0"/>
              <w:rPr>
                <w:sz w:val="20"/>
                <w:szCs w:val="20"/>
                <w:color w:val="auto"/>
              </w:rPr>
            </w:pPr>
            <w:r>
              <w:rPr>
                <w:rFonts w:ascii="Arial" w:cs="Arial" w:eastAsia="Arial" w:hAnsi="Arial"/>
                <w:sz w:val="13"/>
                <w:szCs w:val="13"/>
                <w:color w:val="auto"/>
              </w:rPr>
              <w:t>0</w:t>
            </w:r>
          </w:p>
        </w:tc>
        <w:tc>
          <w:tcPr>
            <w:tcW w:w="1880" w:type="dxa"/>
            <w:vAlign w:val="bottom"/>
            <w:shd w:val="clear" w:color="auto" w:fill="F1F2F2"/>
          </w:tcPr>
          <w:p>
            <w:pPr>
              <w:jc w:val="right"/>
              <w:ind w:right="440"/>
              <w:spacing w:after="0"/>
              <w:rPr>
                <w:sz w:val="20"/>
                <w:szCs w:val="20"/>
                <w:color w:val="auto"/>
              </w:rPr>
            </w:pPr>
            <w:r>
              <w:rPr>
                <w:rFonts w:ascii="Arial" w:cs="Arial" w:eastAsia="Arial" w:hAnsi="Arial"/>
                <w:sz w:val="13"/>
                <w:szCs w:val="13"/>
                <w:color w:val="auto"/>
              </w:rPr>
              <w:t>297,657</w:t>
            </w:r>
          </w:p>
        </w:tc>
        <w:tc>
          <w:tcPr>
            <w:tcW w:w="11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327,545</w:t>
            </w:r>
          </w:p>
        </w:tc>
        <w:tc>
          <w:tcPr>
            <w:tcW w:w="0" w:type="dxa"/>
            <w:vAlign w:val="bottom"/>
          </w:tcPr>
          <w:p>
            <w:pPr>
              <w:spacing w:after="0"/>
              <w:rPr>
                <w:sz w:val="1"/>
                <w:szCs w:val="1"/>
                <w:color w:val="auto"/>
              </w:rPr>
            </w:pPr>
          </w:p>
        </w:tc>
      </w:tr>
      <w:tr>
        <w:trPr>
          <w:trHeight w:val="188"/>
        </w:trPr>
        <w:tc>
          <w:tcPr>
            <w:tcW w:w="2820" w:type="dxa"/>
            <w:vAlign w:val="bottom"/>
            <w:shd w:val="clear" w:color="auto" w:fill="F1F2F2"/>
          </w:tcPr>
          <w:p>
            <w:pPr>
              <w:spacing w:after="0"/>
              <w:rPr>
                <w:sz w:val="16"/>
                <w:szCs w:val="16"/>
                <w:color w:val="auto"/>
              </w:rPr>
            </w:pPr>
          </w:p>
        </w:tc>
        <w:tc>
          <w:tcPr>
            <w:tcW w:w="16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2024</w:t>
            </w:r>
          </w:p>
        </w:tc>
        <w:tc>
          <w:tcPr>
            <w:tcW w:w="1940" w:type="dxa"/>
            <w:vAlign w:val="bottom"/>
            <w:shd w:val="clear" w:color="auto" w:fill="F1F2F2"/>
          </w:tcPr>
          <w:p>
            <w:pPr>
              <w:jc w:val="right"/>
              <w:ind w:right="479"/>
              <w:spacing w:after="0"/>
              <w:rPr>
                <w:sz w:val="20"/>
                <w:szCs w:val="20"/>
                <w:color w:val="auto"/>
              </w:rPr>
            </w:pPr>
            <w:r>
              <w:rPr>
                <w:rFonts w:ascii="Arial" w:cs="Arial" w:eastAsia="Arial" w:hAnsi="Arial"/>
                <w:sz w:val="13"/>
                <w:szCs w:val="13"/>
                <w:color w:val="auto"/>
              </w:rPr>
              <w:t>32,659</w:t>
            </w:r>
            <w:r>
              <w:rPr>
                <w:rFonts w:ascii="Arial" w:cs="Arial" w:eastAsia="Arial" w:hAnsi="Arial"/>
                <w:sz w:val="14"/>
                <w:szCs w:val="14"/>
                <w:color w:val="auto"/>
                <w:vertAlign w:val="superscript"/>
              </w:rPr>
              <w:t>b</w:t>
            </w:r>
          </w:p>
        </w:tc>
        <w:tc>
          <w:tcPr>
            <w:tcW w:w="1360" w:type="dxa"/>
            <w:vAlign w:val="bottom"/>
            <w:gridSpan w:val="2"/>
            <w:shd w:val="clear" w:color="auto" w:fill="F1F2F2"/>
          </w:tcPr>
          <w:p>
            <w:pPr>
              <w:jc w:val="right"/>
              <w:ind w:right="500"/>
              <w:spacing w:after="0"/>
              <w:rPr>
                <w:sz w:val="20"/>
                <w:szCs w:val="20"/>
                <w:color w:val="auto"/>
              </w:rPr>
            </w:pPr>
            <w:r>
              <w:rPr>
                <w:rFonts w:ascii="Arial" w:cs="Arial" w:eastAsia="Arial" w:hAnsi="Arial"/>
                <w:sz w:val="13"/>
                <w:szCs w:val="13"/>
                <w:color w:val="auto"/>
              </w:rPr>
              <w:t>0</w:t>
            </w:r>
          </w:p>
        </w:tc>
        <w:tc>
          <w:tcPr>
            <w:tcW w:w="1880" w:type="dxa"/>
            <w:vAlign w:val="bottom"/>
            <w:shd w:val="clear" w:color="auto" w:fill="F1F2F2"/>
          </w:tcPr>
          <w:p>
            <w:pPr>
              <w:jc w:val="right"/>
              <w:ind w:right="440"/>
              <w:spacing w:after="0"/>
              <w:rPr>
                <w:sz w:val="20"/>
                <w:szCs w:val="20"/>
                <w:color w:val="auto"/>
              </w:rPr>
            </w:pPr>
            <w:r>
              <w:rPr>
                <w:rFonts w:ascii="Arial" w:cs="Arial" w:eastAsia="Arial" w:hAnsi="Arial"/>
                <w:sz w:val="13"/>
                <w:szCs w:val="13"/>
                <w:color w:val="auto"/>
              </w:rPr>
              <w:t>175,187</w:t>
            </w:r>
          </w:p>
        </w:tc>
        <w:tc>
          <w:tcPr>
            <w:tcW w:w="11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207,846</w:t>
            </w:r>
          </w:p>
        </w:tc>
        <w:tc>
          <w:tcPr>
            <w:tcW w:w="0" w:type="dxa"/>
            <w:vAlign w:val="bottom"/>
          </w:tcPr>
          <w:p>
            <w:pPr>
              <w:spacing w:after="0"/>
              <w:rPr>
                <w:sz w:val="1"/>
                <w:szCs w:val="1"/>
                <w:color w:val="auto"/>
              </w:rPr>
            </w:pPr>
          </w:p>
        </w:tc>
      </w:tr>
      <w:tr>
        <w:trPr>
          <w:trHeight w:val="212"/>
        </w:trPr>
        <w:tc>
          <w:tcPr>
            <w:tcW w:w="2820" w:type="dxa"/>
            <w:vAlign w:val="bottom"/>
            <w:tcBorders>
              <w:bottom w:val="single" w:sz="8" w:color="F1F2F2"/>
            </w:tcBorders>
            <w:shd w:val="clear" w:color="auto" w:fill="F1F2F2"/>
          </w:tcPr>
          <w:p>
            <w:pPr>
              <w:spacing w:after="0"/>
              <w:rPr>
                <w:sz w:val="18"/>
                <w:szCs w:val="18"/>
                <w:color w:val="auto"/>
              </w:rPr>
            </w:pPr>
          </w:p>
        </w:tc>
        <w:tc>
          <w:tcPr>
            <w:tcW w:w="16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2023</w:t>
            </w:r>
          </w:p>
        </w:tc>
        <w:tc>
          <w:tcPr>
            <w:tcW w:w="1940" w:type="dxa"/>
            <w:vAlign w:val="bottom"/>
            <w:tcBorders>
              <w:bottom w:val="single" w:sz="8" w:color="F1F2F2"/>
            </w:tcBorders>
            <w:shd w:val="clear" w:color="auto" w:fill="F1F2F2"/>
          </w:tcPr>
          <w:p>
            <w:pPr>
              <w:jc w:val="right"/>
              <w:ind w:right="479"/>
              <w:spacing w:after="0"/>
              <w:rPr>
                <w:sz w:val="20"/>
                <w:szCs w:val="20"/>
                <w:color w:val="auto"/>
              </w:rPr>
            </w:pPr>
            <w:r>
              <w:rPr>
                <w:rFonts w:ascii="Arial" w:cs="Arial" w:eastAsia="Arial" w:hAnsi="Arial"/>
                <w:sz w:val="13"/>
                <w:szCs w:val="13"/>
                <w:color w:val="auto"/>
              </w:rPr>
              <w:t>39,534</w:t>
            </w:r>
            <w:r>
              <w:rPr>
                <w:rFonts w:ascii="Arial" w:cs="Arial" w:eastAsia="Arial" w:hAnsi="Arial"/>
                <w:sz w:val="14"/>
                <w:szCs w:val="14"/>
                <w:color w:val="auto"/>
                <w:vertAlign w:val="superscript"/>
              </w:rPr>
              <w:t>b</w:t>
            </w:r>
          </w:p>
        </w:tc>
        <w:tc>
          <w:tcPr>
            <w:tcW w:w="1360" w:type="dxa"/>
            <w:vAlign w:val="bottom"/>
            <w:tcBorders>
              <w:bottom w:val="single" w:sz="8" w:color="F1F2F2"/>
            </w:tcBorders>
            <w:gridSpan w:val="2"/>
            <w:shd w:val="clear" w:color="auto" w:fill="F1F2F2"/>
          </w:tcPr>
          <w:p>
            <w:pPr>
              <w:jc w:val="right"/>
              <w:ind w:right="500"/>
              <w:spacing w:after="0"/>
              <w:rPr>
                <w:sz w:val="20"/>
                <w:szCs w:val="20"/>
                <w:color w:val="auto"/>
              </w:rPr>
            </w:pPr>
            <w:r>
              <w:rPr>
                <w:rFonts w:ascii="Arial" w:cs="Arial" w:eastAsia="Arial" w:hAnsi="Arial"/>
                <w:sz w:val="13"/>
                <w:szCs w:val="13"/>
                <w:color w:val="auto"/>
              </w:rPr>
              <w:t>0</w:t>
            </w:r>
          </w:p>
        </w:tc>
        <w:tc>
          <w:tcPr>
            <w:tcW w:w="1880" w:type="dxa"/>
            <w:vAlign w:val="bottom"/>
            <w:tcBorders>
              <w:bottom w:val="single" w:sz="8" w:color="F1F2F2"/>
            </w:tcBorders>
            <w:shd w:val="clear" w:color="auto" w:fill="F1F2F2"/>
          </w:tcPr>
          <w:p>
            <w:pPr>
              <w:jc w:val="right"/>
              <w:ind w:right="440"/>
              <w:spacing w:after="0"/>
              <w:rPr>
                <w:sz w:val="20"/>
                <w:szCs w:val="20"/>
                <w:color w:val="auto"/>
              </w:rPr>
            </w:pPr>
            <w:r>
              <w:rPr>
                <w:rFonts w:ascii="Arial" w:cs="Arial" w:eastAsia="Arial" w:hAnsi="Arial"/>
                <w:sz w:val="13"/>
                <w:szCs w:val="13"/>
                <w:color w:val="auto"/>
              </w:rPr>
              <w:t>122,180</w:t>
            </w:r>
          </w:p>
        </w:tc>
        <w:tc>
          <w:tcPr>
            <w:tcW w:w="11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161,714</w:t>
            </w:r>
          </w:p>
        </w:tc>
        <w:tc>
          <w:tcPr>
            <w:tcW w:w="0" w:type="dxa"/>
            <w:vAlign w:val="bottom"/>
          </w:tcPr>
          <w:p>
            <w:pPr>
              <w:spacing w:after="0"/>
              <w:rPr>
                <w:sz w:val="1"/>
                <w:szCs w:val="1"/>
                <w:color w:val="auto"/>
              </w:rPr>
            </w:pPr>
          </w:p>
        </w:tc>
      </w:tr>
      <w:tr>
        <w:trPr>
          <w:trHeight w:val="211"/>
        </w:trPr>
        <w:tc>
          <w:tcPr>
            <w:tcW w:w="2820" w:type="dxa"/>
            <w:vAlign w:val="bottom"/>
          </w:tcPr>
          <w:p>
            <w:pPr>
              <w:ind w:left="60"/>
              <w:spacing w:after="0"/>
              <w:rPr>
                <w:sz w:val="20"/>
                <w:szCs w:val="20"/>
                <w:color w:val="auto"/>
              </w:rPr>
            </w:pPr>
            <w:r>
              <w:rPr>
                <w:rFonts w:ascii="Arial" w:cs="Arial" w:eastAsia="Arial" w:hAnsi="Arial"/>
                <w:sz w:val="13"/>
                <w:szCs w:val="13"/>
                <w:b w:val="1"/>
                <w:bCs w:val="1"/>
                <w:color w:val="auto"/>
              </w:rPr>
              <w:t>Melissa Stone</w:t>
            </w:r>
          </w:p>
        </w:tc>
        <w:tc>
          <w:tcPr>
            <w:tcW w:w="1600" w:type="dxa"/>
            <w:vAlign w:val="bottom"/>
          </w:tcPr>
          <w:p>
            <w:pPr>
              <w:jc w:val="right"/>
              <w:spacing w:after="0"/>
              <w:rPr>
                <w:sz w:val="20"/>
                <w:szCs w:val="20"/>
                <w:color w:val="auto"/>
              </w:rPr>
            </w:pPr>
            <w:r>
              <w:rPr>
                <w:rFonts w:ascii="Arial" w:cs="Arial" w:eastAsia="Arial" w:hAnsi="Arial"/>
                <w:sz w:val="13"/>
                <w:szCs w:val="13"/>
                <w:color w:val="auto"/>
              </w:rPr>
              <w:t>2025</w:t>
            </w:r>
          </w:p>
        </w:tc>
        <w:tc>
          <w:tcPr>
            <w:tcW w:w="1940" w:type="dxa"/>
            <w:vAlign w:val="bottom"/>
          </w:tcPr>
          <w:p>
            <w:pPr>
              <w:jc w:val="right"/>
              <w:ind w:right="479"/>
              <w:spacing w:after="0"/>
              <w:rPr>
                <w:sz w:val="20"/>
                <w:szCs w:val="20"/>
                <w:color w:val="auto"/>
              </w:rPr>
            </w:pPr>
            <w:r>
              <w:rPr>
                <w:rFonts w:ascii="Arial" w:cs="Arial" w:eastAsia="Arial" w:hAnsi="Arial"/>
                <w:sz w:val="13"/>
                <w:szCs w:val="13"/>
                <w:color w:val="auto"/>
              </w:rPr>
              <w:t>0</w:t>
            </w:r>
          </w:p>
        </w:tc>
        <w:tc>
          <w:tcPr>
            <w:tcW w:w="1360" w:type="dxa"/>
            <w:vAlign w:val="bottom"/>
            <w:gridSpan w:val="2"/>
          </w:tcPr>
          <w:p>
            <w:pPr>
              <w:jc w:val="right"/>
              <w:ind w:right="500"/>
              <w:spacing w:after="0"/>
              <w:rPr>
                <w:sz w:val="20"/>
                <w:szCs w:val="20"/>
                <w:color w:val="auto"/>
              </w:rPr>
            </w:pPr>
            <w:r>
              <w:rPr>
                <w:rFonts w:ascii="Arial" w:cs="Arial" w:eastAsia="Arial" w:hAnsi="Arial"/>
                <w:sz w:val="13"/>
                <w:szCs w:val="13"/>
                <w:color w:val="auto"/>
              </w:rPr>
              <w:t>0</w:t>
            </w:r>
          </w:p>
        </w:tc>
        <w:tc>
          <w:tcPr>
            <w:tcW w:w="1880" w:type="dxa"/>
            <w:vAlign w:val="bottom"/>
          </w:tcPr>
          <w:p>
            <w:pPr>
              <w:jc w:val="right"/>
              <w:ind w:right="440"/>
              <w:spacing w:after="0"/>
              <w:rPr>
                <w:sz w:val="20"/>
                <w:szCs w:val="20"/>
                <w:color w:val="auto"/>
              </w:rPr>
            </w:pPr>
            <w:r>
              <w:rPr>
                <w:rFonts w:ascii="Arial" w:cs="Arial" w:eastAsia="Arial" w:hAnsi="Arial"/>
                <w:sz w:val="13"/>
                <w:szCs w:val="13"/>
                <w:color w:val="auto"/>
              </w:rPr>
              <w:t>48,575</w:t>
            </w:r>
          </w:p>
        </w:tc>
        <w:tc>
          <w:tcPr>
            <w:tcW w:w="1120" w:type="dxa"/>
            <w:vAlign w:val="bottom"/>
          </w:tcPr>
          <w:p>
            <w:pPr>
              <w:jc w:val="right"/>
              <w:spacing w:after="0"/>
              <w:rPr>
                <w:sz w:val="20"/>
                <w:szCs w:val="20"/>
                <w:color w:val="auto"/>
              </w:rPr>
            </w:pPr>
            <w:r>
              <w:rPr>
                <w:rFonts w:ascii="Arial" w:cs="Arial" w:eastAsia="Arial" w:hAnsi="Arial"/>
                <w:sz w:val="13"/>
                <w:szCs w:val="13"/>
                <w:color w:val="auto"/>
              </w:rPr>
              <w:t>48,575</w:t>
            </w:r>
          </w:p>
        </w:tc>
        <w:tc>
          <w:tcPr>
            <w:tcW w:w="0" w:type="dxa"/>
            <w:vAlign w:val="bottom"/>
          </w:tcPr>
          <w:p>
            <w:pPr>
              <w:spacing w:after="0"/>
              <w:rPr>
                <w:sz w:val="1"/>
                <w:szCs w:val="1"/>
                <w:color w:val="auto"/>
              </w:rPr>
            </w:pPr>
          </w:p>
        </w:tc>
      </w:tr>
      <w:tr>
        <w:trPr>
          <w:trHeight w:val="60"/>
        </w:trPr>
        <w:tc>
          <w:tcPr>
            <w:tcW w:w="28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360" w:type="dxa"/>
            <w:vAlign w:val="bottom"/>
            <w:gridSpan w:val="2"/>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820" w:type="dxa"/>
            <w:vAlign w:val="bottom"/>
            <w:shd w:val="clear" w:color="auto" w:fill="F1F2F2"/>
          </w:tcPr>
          <w:p>
            <w:pPr>
              <w:ind w:left="60"/>
              <w:spacing w:after="0"/>
              <w:rPr>
                <w:sz w:val="20"/>
                <w:szCs w:val="20"/>
                <w:color w:val="auto"/>
              </w:rPr>
            </w:pPr>
            <w:r>
              <w:rPr>
                <w:rFonts w:ascii="Arial" w:cs="Arial" w:eastAsia="Arial" w:hAnsi="Arial"/>
                <w:sz w:val="13"/>
                <w:szCs w:val="13"/>
                <w:b w:val="1"/>
                <w:bCs w:val="1"/>
                <w:color w:val="auto"/>
              </w:rPr>
              <w:t>Lea Rytz Goldman</w:t>
            </w:r>
          </w:p>
        </w:tc>
        <w:tc>
          <w:tcPr>
            <w:tcW w:w="16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2025</w:t>
            </w:r>
          </w:p>
        </w:tc>
        <w:tc>
          <w:tcPr>
            <w:tcW w:w="1940" w:type="dxa"/>
            <w:vAlign w:val="bottom"/>
            <w:shd w:val="clear" w:color="auto" w:fill="F1F2F2"/>
          </w:tcPr>
          <w:p>
            <w:pPr>
              <w:jc w:val="right"/>
              <w:ind w:right="479"/>
              <w:spacing w:after="0"/>
              <w:rPr>
                <w:sz w:val="20"/>
                <w:szCs w:val="20"/>
                <w:color w:val="auto"/>
              </w:rPr>
            </w:pPr>
            <w:r>
              <w:rPr>
                <w:rFonts w:ascii="Arial" w:cs="Arial" w:eastAsia="Arial" w:hAnsi="Arial"/>
                <w:sz w:val="13"/>
                <w:szCs w:val="13"/>
                <w:color w:val="auto"/>
              </w:rPr>
              <w:t>24,672</w:t>
            </w:r>
            <w:r>
              <w:rPr>
                <w:rFonts w:ascii="Arial" w:cs="Arial" w:eastAsia="Arial" w:hAnsi="Arial"/>
                <w:sz w:val="14"/>
                <w:szCs w:val="14"/>
                <w:color w:val="auto"/>
                <w:vertAlign w:val="superscript"/>
              </w:rPr>
              <w:t>c</w:t>
            </w:r>
          </w:p>
        </w:tc>
        <w:tc>
          <w:tcPr>
            <w:tcW w:w="1360" w:type="dxa"/>
            <w:vAlign w:val="bottom"/>
            <w:gridSpan w:val="2"/>
            <w:shd w:val="clear" w:color="auto" w:fill="F1F2F2"/>
          </w:tcPr>
          <w:p>
            <w:pPr>
              <w:jc w:val="right"/>
              <w:ind w:right="500"/>
              <w:spacing w:after="0"/>
              <w:rPr>
                <w:sz w:val="20"/>
                <w:szCs w:val="20"/>
                <w:color w:val="auto"/>
              </w:rPr>
            </w:pPr>
            <w:r>
              <w:rPr>
                <w:rFonts w:ascii="Arial" w:cs="Arial" w:eastAsia="Arial" w:hAnsi="Arial"/>
                <w:sz w:val="13"/>
                <w:szCs w:val="13"/>
                <w:color w:val="auto"/>
              </w:rPr>
              <w:t>318,352</w:t>
            </w:r>
            <w:r>
              <w:rPr>
                <w:rFonts w:ascii="Arial" w:cs="Arial" w:eastAsia="Arial" w:hAnsi="Arial"/>
                <w:sz w:val="14"/>
                <w:szCs w:val="14"/>
                <w:color w:val="auto"/>
                <w:vertAlign w:val="superscript"/>
              </w:rPr>
              <w:t>d</w:t>
            </w:r>
          </w:p>
        </w:tc>
        <w:tc>
          <w:tcPr>
            <w:tcW w:w="1880" w:type="dxa"/>
            <w:vAlign w:val="bottom"/>
            <w:shd w:val="clear" w:color="auto" w:fill="F1F2F2"/>
          </w:tcPr>
          <w:p>
            <w:pPr>
              <w:jc w:val="right"/>
              <w:ind w:right="440"/>
              <w:spacing w:after="0"/>
              <w:rPr>
                <w:sz w:val="20"/>
                <w:szCs w:val="20"/>
                <w:color w:val="auto"/>
              </w:rPr>
            </w:pPr>
            <w:r>
              <w:rPr>
                <w:rFonts w:ascii="Arial" w:cs="Arial" w:eastAsia="Arial" w:hAnsi="Arial"/>
                <w:sz w:val="13"/>
                <w:szCs w:val="13"/>
                <w:color w:val="auto"/>
              </w:rPr>
              <w:t>30,885</w:t>
            </w:r>
          </w:p>
        </w:tc>
        <w:tc>
          <w:tcPr>
            <w:tcW w:w="11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373,909</w:t>
            </w:r>
          </w:p>
        </w:tc>
        <w:tc>
          <w:tcPr>
            <w:tcW w:w="0" w:type="dxa"/>
            <w:vAlign w:val="bottom"/>
          </w:tcPr>
          <w:p>
            <w:pPr>
              <w:spacing w:after="0"/>
              <w:rPr>
                <w:sz w:val="1"/>
                <w:szCs w:val="1"/>
                <w:color w:val="auto"/>
              </w:rPr>
            </w:pPr>
          </w:p>
        </w:tc>
      </w:tr>
      <w:tr>
        <w:trPr>
          <w:trHeight w:val="212"/>
        </w:trPr>
        <w:tc>
          <w:tcPr>
            <w:tcW w:w="2820" w:type="dxa"/>
            <w:vAlign w:val="bottom"/>
            <w:tcBorders>
              <w:bottom w:val="single" w:sz="8" w:color="F1F2F2"/>
            </w:tcBorders>
            <w:shd w:val="clear" w:color="auto" w:fill="F1F2F2"/>
          </w:tcPr>
          <w:p>
            <w:pPr>
              <w:spacing w:after="0"/>
              <w:rPr>
                <w:sz w:val="18"/>
                <w:szCs w:val="18"/>
                <w:color w:val="auto"/>
              </w:rPr>
            </w:pPr>
          </w:p>
        </w:tc>
        <w:tc>
          <w:tcPr>
            <w:tcW w:w="16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2024</w:t>
            </w:r>
          </w:p>
        </w:tc>
        <w:tc>
          <w:tcPr>
            <w:tcW w:w="1940" w:type="dxa"/>
            <w:vAlign w:val="bottom"/>
            <w:tcBorders>
              <w:bottom w:val="single" w:sz="8" w:color="F1F2F2"/>
            </w:tcBorders>
            <w:shd w:val="clear" w:color="auto" w:fill="F1F2F2"/>
          </w:tcPr>
          <w:p>
            <w:pPr>
              <w:jc w:val="right"/>
              <w:ind w:right="479"/>
              <w:spacing w:after="0"/>
              <w:rPr>
                <w:sz w:val="20"/>
                <w:szCs w:val="20"/>
                <w:color w:val="auto"/>
              </w:rPr>
            </w:pPr>
            <w:r>
              <w:rPr>
                <w:rFonts w:ascii="Arial" w:cs="Arial" w:eastAsia="Arial" w:hAnsi="Arial"/>
                <w:sz w:val="13"/>
                <w:szCs w:val="13"/>
                <w:color w:val="auto"/>
              </w:rPr>
              <w:t>19,208</w:t>
            </w:r>
            <w:r>
              <w:rPr>
                <w:rFonts w:ascii="Arial" w:cs="Arial" w:eastAsia="Arial" w:hAnsi="Arial"/>
                <w:sz w:val="14"/>
                <w:szCs w:val="14"/>
                <w:color w:val="auto"/>
                <w:vertAlign w:val="superscript"/>
              </w:rPr>
              <w:t>c</w:t>
            </w:r>
          </w:p>
        </w:tc>
        <w:tc>
          <w:tcPr>
            <w:tcW w:w="1360" w:type="dxa"/>
            <w:vAlign w:val="bottom"/>
            <w:tcBorders>
              <w:bottom w:val="single" w:sz="8" w:color="F1F2F2"/>
            </w:tcBorders>
            <w:gridSpan w:val="2"/>
            <w:shd w:val="clear" w:color="auto" w:fill="F1F2F2"/>
          </w:tcPr>
          <w:p>
            <w:pPr>
              <w:jc w:val="right"/>
              <w:ind w:right="500"/>
              <w:spacing w:after="0"/>
              <w:rPr>
                <w:sz w:val="20"/>
                <w:szCs w:val="20"/>
                <w:color w:val="auto"/>
              </w:rPr>
            </w:pPr>
            <w:r>
              <w:rPr>
                <w:rFonts w:ascii="Arial" w:cs="Arial" w:eastAsia="Arial" w:hAnsi="Arial"/>
                <w:sz w:val="13"/>
                <w:szCs w:val="13"/>
                <w:color w:val="auto"/>
              </w:rPr>
              <w:t>344,118</w:t>
            </w:r>
            <w:r>
              <w:rPr>
                <w:rFonts w:ascii="Arial" w:cs="Arial" w:eastAsia="Arial" w:hAnsi="Arial"/>
                <w:sz w:val="14"/>
                <w:szCs w:val="14"/>
                <w:color w:val="auto"/>
                <w:vertAlign w:val="superscript"/>
              </w:rPr>
              <w:t>e</w:t>
            </w:r>
          </w:p>
        </w:tc>
        <w:tc>
          <w:tcPr>
            <w:tcW w:w="1880" w:type="dxa"/>
            <w:vAlign w:val="bottom"/>
            <w:tcBorders>
              <w:bottom w:val="single" w:sz="8" w:color="F1F2F2"/>
            </w:tcBorders>
            <w:shd w:val="clear" w:color="auto" w:fill="F1F2F2"/>
          </w:tcPr>
          <w:p>
            <w:pPr>
              <w:jc w:val="right"/>
              <w:ind w:right="440"/>
              <w:spacing w:after="0"/>
              <w:rPr>
                <w:sz w:val="20"/>
                <w:szCs w:val="20"/>
                <w:color w:val="auto"/>
              </w:rPr>
            </w:pPr>
            <w:r>
              <w:rPr>
                <w:rFonts w:ascii="Arial" w:cs="Arial" w:eastAsia="Arial" w:hAnsi="Arial"/>
                <w:sz w:val="13"/>
                <w:szCs w:val="13"/>
                <w:color w:val="auto"/>
              </w:rPr>
              <w:t>24,273</w:t>
            </w:r>
          </w:p>
        </w:tc>
        <w:tc>
          <w:tcPr>
            <w:tcW w:w="11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387,599</w:t>
            </w:r>
          </w:p>
        </w:tc>
        <w:tc>
          <w:tcPr>
            <w:tcW w:w="0" w:type="dxa"/>
            <w:vAlign w:val="bottom"/>
          </w:tcPr>
          <w:p>
            <w:pPr>
              <w:spacing w:after="0"/>
              <w:rPr>
                <w:sz w:val="1"/>
                <w:szCs w:val="1"/>
                <w:color w:val="auto"/>
              </w:rPr>
            </w:pPr>
          </w:p>
        </w:tc>
      </w:tr>
      <w:tr>
        <w:trPr>
          <w:trHeight w:val="239"/>
        </w:trPr>
        <w:tc>
          <w:tcPr>
            <w:tcW w:w="2820" w:type="dxa"/>
            <w:vAlign w:val="bottom"/>
          </w:tcPr>
          <w:p>
            <w:pPr>
              <w:ind w:left="60"/>
              <w:spacing w:after="0"/>
              <w:rPr>
                <w:sz w:val="20"/>
                <w:szCs w:val="20"/>
                <w:color w:val="auto"/>
              </w:rPr>
            </w:pPr>
            <w:r>
              <w:rPr>
                <w:rFonts w:ascii="Arial" w:cs="Arial" w:eastAsia="Arial" w:hAnsi="Arial"/>
                <w:sz w:val="13"/>
                <w:szCs w:val="13"/>
                <w:b w:val="1"/>
                <w:bCs w:val="1"/>
                <w:color w:val="auto"/>
              </w:rPr>
              <w:t>Fredrik Olsson</w:t>
            </w:r>
          </w:p>
        </w:tc>
        <w:tc>
          <w:tcPr>
            <w:tcW w:w="1600" w:type="dxa"/>
            <w:vAlign w:val="bottom"/>
          </w:tcPr>
          <w:p>
            <w:pPr>
              <w:jc w:val="right"/>
              <w:spacing w:after="0"/>
              <w:rPr>
                <w:sz w:val="20"/>
                <w:szCs w:val="20"/>
                <w:color w:val="auto"/>
              </w:rPr>
            </w:pPr>
            <w:r>
              <w:rPr>
                <w:rFonts w:ascii="Arial" w:cs="Arial" w:eastAsia="Arial" w:hAnsi="Arial"/>
                <w:sz w:val="13"/>
                <w:szCs w:val="13"/>
                <w:color w:val="auto"/>
              </w:rPr>
              <w:t>2025</w:t>
            </w:r>
          </w:p>
        </w:tc>
        <w:tc>
          <w:tcPr>
            <w:tcW w:w="1940" w:type="dxa"/>
            <w:vAlign w:val="bottom"/>
          </w:tcPr>
          <w:p>
            <w:pPr>
              <w:jc w:val="right"/>
              <w:ind w:right="479"/>
              <w:spacing w:after="0"/>
              <w:rPr>
                <w:sz w:val="20"/>
                <w:szCs w:val="20"/>
                <w:color w:val="auto"/>
              </w:rPr>
            </w:pPr>
            <w:r>
              <w:rPr>
                <w:rFonts w:ascii="Arial" w:cs="Arial" w:eastAsia="Arial" w:hAnsi="Arial"/>
                <w:sz w:val="13"/>
                <w:szCs w:val="13"/>
                <w:color w:val="auto"/>
              </w:rPr>
              <w:t>0</w:t>
            </w:r>
          </w:p>
        </w:tc>
        <w:tc>
          <w:tcPr>
            <w:tcW w:w="1360" w:type="dxa"/>
            <w:vAlign w:val="bottom"/>
            <w:gridSpan w:val="2"/>
          </w:tcPr>
          <w:p>
            <w:pPr>
              <w:jc w:val="right"/>
              <w:ind w:right="500"/>
              <w:spacing w:after="0"/>
              <w:rPr>
                <w:sz w:val="20"/>
                <w:szCs w:val="20"/>
                <w:color w:val="auto"/>
              </w:rPr>
            </w:pPr>
            <w:r>
              <w:rPr>
                <w:rFonts w:ascii="Arial" w:cs="Arial" w:eastAsia="Arial" w:hAnsi="Arial"/>
                <w:sz w:val="13"/>
                <w:szCs w:val="13"/>
                <w:color w:val="auto"/>
              </w:rPr>
              <w:t>505,186</w:t>
            </w:r>
            <w:r>
              <w:rPr>
                <w:rFonts w:ascii="Arial" w:cs="Arial" w:eastAsia="Arial" w:hAnsi="Arial"/>
                <w:sz w:val="14"/>
                <w:szCs w:val="14"/>
                <w:color w:val="auto"/>
                <w:vertAlign w:val="superscript"/>
              </w:rPr>
              <w:t>f</w:t>
            </w:r>
          </w:p>
        </w:tc>
        <w:tc>
          <w:tcPr>
            <w:tcW w:w="1880" w:type="dxa"/>
            <w:vAlign w:val="bottom"/>
          </w:tcPr>
          <w:p>
            <w:pPr>
              <w:jc w:val="right"/>
              <w:ind w:right="440"/>
              <w:spacing w:after="0"/>
              <w:rPr>
                <w:sz w:val="20"/>
                <w:szCs w:val="20"/>
                <w:color w:val="auto"/>
              </w:rPr>
            </w:pPr>
            <w:r>
              <w:rPr>
                <w:rFonts w:ascii="Arial" w:cs="Arial" w:eastAsia="Arial" w:hAnsi="Arial"/>
                <w:sz w:val="13"/>
                <w:szCs w:val="13"/>
                <w:color w:val="auto"/>
              </w:rPr>
              <w:t>16,056</w:t>
            </w:r>
          </w:p>
        </w:tc>
        <w:tc>
          <w:tcPr>
            <w:tcW w:w="1120" w:type="dxa"/>
            <w:vAlign w:val="bottom"/>
          </w:tcPr>
          <w:p>
            <w:pPr>
              <w:jc w:val="right"/>
              <w:spacing w:after="0"/>
              <w:rPr>
                <w:sz w:val="20"/>
                <w:szCs w:val="20"/>
                <w:color w:val="auto"/>
              </w:rPr>
            </w:pPr>
            <w:r>
              <w:rPr>
                <w:rFonts w:ascii="Arial" w:cs="Arial" w:eastAsia="Arial" w:hAnsi="Arial"/>
                <w:sz w:val="13"/>
                <w:szCs w:val="13"/>
                <w:color w:val="auto"/>
              </w:rPr>
              <w:t>521,242</w:t>
            </w:r>
          </w:p>
        </w:tc>
        <w:tc>
          <w:tcPr>
            <w:tcW w:w="0" w:type="dxa"/>
            <w:vAlign w:val="bottom"/>
          </w:tcPr>
          <w:p>
            <w:pPr>
              <w:spacing w:after="0"/>
              <w:rPr>
                <w:sz w:val="1"/>
                <w:szCs w:val="1"/>
                <w:color w:val="auto"/>
              </w:rPr>
            </w:pPr>
          </w:p>
        </w:tc>
      </w:tr>
      <w:tr>
        <w:trPr>
          <w:trHeight w:val="32"/>
        </w:trPr>
        <w:tc>
          <w:tcPr>
            <w:tcW w:w="2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820" w:type="dxa"/>
            <w:vAlign w:val="bottom"/>
            <w:shd w:val="clear" w:color="auto" w:fill="F1F2F2"/>
          </w:tcPr>
          <w:p>
            <w:pPr>
              <w:ind w:left="60"/>
              <w:spacing w:after="0"/>
              <w:rPr>
                <w:sz w:val="20"/>
                <w:szCs w:val="20"/>
                <w:color w:val="auto"/>
              </w:rPr>
            </w:pPr>
            <w:r>
              <w:rPr>
                <w:rFonts w:ascii="Arial" w:cs="Arial" w:eastAsia="Arial" w:hAnsi="Arial"/>
                <w:sz w:val="13"/>
                <w:szCs w:val="13"/>
                <w:b w:val="1"/>
                <w:bCs w:val="1"/>
                <w:color w:val="auto"/>
              </w:rPr>
              <w:t>David Savman</w:t>
            </w:r>
          </w:p>
        </w:tc>
        <w:tc>
          <w:tcPr>
            <w:tcW w:w="160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2025</w:t>
            </w:r>
          </w:p>
        </w:tc>
        <w:tc>
          <w:tcPr>
            <w:tcW w:w="1940" w:type="dxa"/>
            <w:vAlign w:val="bottom"/>
            <w:shd w:val="clear" w:color="auto" w:fill="F1F2F2"/>
          </w:tcPr>
          <w:p>
            <w:pPr>
              <w:jc w:val="right"/>
              <w:ind w:right="479"/>
              <w:spacing w:after="0"/>
              <w:rPr>
                <w:sz w:val="20"/>
                <w:szCs w:val="20"/>
                <w:color w:val="auto"/>
              </w:rPr>
            </w:pPr>
            <w:r>
              <w:rPr>
                <w:rFonts w:ascii="Arial" w:cs="Arial" w:eastAsia="Arial" w:hAnsi="Arial"/>
                <w:sz w:val="13"/>
                <w:szCs w:val="13"/>
                <w:color w:val="auto"/>
              </w:rPr>
              <w:t>9,122</w:t>
            </w:r>
          </w:p>
        </w:tc>
        <w:tc>
          <w:tcPr>
            <w:tcW w:w="1360" w:type="dxa"/>
            <w:vAlign w:val="bottom"/>
            <w:gridSpan w:val="2"/>
            <w:shd w:val="clear" w:color="auto" w:fill="F1F2F2"/>
          </w:tcPr>
          <w:p>
            <w:pPr>
              <w:jc w:val="right"/>
              <w:ind w:right="500"/>
              <w:spacing w:after="0"/>
              <w:rPr>
                <w:sz w:val="20"/>
                <w:szCs w:val="20"/>
                <w:color w:val="auto"/>
              </w:rPr>
            </w:pPr>
            <w:r>
              <w:rPr>
                <w:rFonts w:ascii="Arial" w:cs="Arial" w:eastAsia="Arial" w:hAnsi="Arial"/>
                <w:sz w:val="13"/>
                <w:szCs w:val="13"/>
                <w:color w:val="auto"/>
              </w:rPr>
              <w:t>1,037,722</w:t>
            </w:r>
            <w:r>
              <w:rPr>
                <w:rFonts w:ascii="Arial" w:cs="Arial" w:eastAsia="Arial" w:hAnsi="Arial"/>
                <w:sz w:val="14"/>
                <w:szCs w:val="14"/>
                <w:color w:val="auto"/>
                <w:vertAlign w:val="superscript"/>
              </w:rPr>
              <w:t>g</w:t>
            </w:r>
          </w:p>
        </w:tc>
        <w:tc>
          <w:tcPr>
            <w:tcW w:w="1880" w:type="dxa"/>
            <w:vAlign w:val="bottom"/>
            <w:shd w:val="clear" w:color="auto" w:fill="F1F2F2"/>
          </w:tcPr>
          <w:p>
            <w:pPr>
              <w:jc w:val="right"/>
              <w:ind w:right="440"/>
              <w:spacing w:after="0"/>
              <w:rPr>
                <w:sz w:val="20"/>
                <w:szCs w:val="20"/>
                <w:color w:val="auto"/>
              </w:rPr>
            </w:pPr>
            <w:r>
              <w:rPr>
                <w:rFonts w:ascii="Arial" w:cs="Arial" w:eastAsia="Arial" w:hAnsi="Arial"/>
                <w:sz w:val="13"/>
                <w:szCs w:val="13"/>
                <w:color w:val="auto"/>
              </w:rPr>
              <w:t>82,909</w:t>
            </w:r>
          </w:p>
        </w:tc>
        <w:tc>
          <w:tcPr>
            <w:tcW w:w="11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1,129,753</w:t>
            </w:r>
          </w:p>
        </w:tc>
        <w:tc>
          <w:tcPr>
            <w:tcW w:w="0" w:type="dxa"/>
            <w:vAlign w:val="bottom"/>
          </w:tcPr>
          <w:p>
            <w:pPr>
              <w:spacing w:after="0"/>
              <w:rPr>
                <w:sz w:val="1"/>
                <w:szCs w:val="1"/>
                <w:color w:val="auto"/>
              </w:rPr>
            </w:pPr>
          </w:p>
        </w:tc>
      </w:tr>
      <w:tr>
        <w:trPr>
          <w:trHeight w:val="212"/>
        </w:trPr>
        <w:tc>
          <w:tcPr>
            <w:tcW w:w="2820" w:type="dxa"/>
            <w:vAlign w:val="bottom"/>
            <w:tcBorders>
              <w:bottom w:val="single" w:sz="8" w:color="F1F2F2"/>
            </w:tcBorders>
            <w:shd w:val="clear" w:color="auto" w:fill="F1F2F2"/>
          </w:tcPr>
          <w:p>
            <w:pPr>
              <w:spacing w:after="0"/>
              <w:rPr>
                <w:sz w:val="18"/>
                <w:szCs w:val="18"/>
                <w:color w:val="auto"/>
              </w:rPr>
            </w:pPr>
          </w:p>
        </w:tc>
        <w:tc>
          <w:tcPr>
            <w:tcW w:w="16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2024</w:t>
            </w:r>
          </w:p>
        </w:tc>
        <w:tc>
          <w:tcPr>
            <w:tcW w:w="1940" w:type="dxa"/>
            <w:vAlign w:val="bottom"/>
            <w:tcBorders>
              <w:bottom w:val="single" w:sz="8" w:color="F1F2F2"/>
            </w:tcBorders>
            <w:shd w:val="clear" w:color="auto" w:fill="F1F2F2"/>
          </w:tcPr>
          <w:p>
            <w:pPr>
              <w:jc w:val="right"/>
              <w:ind w:right="479"/>
              <w:spacing w:after="0"/>
              <w:rPr>
                <w:sz w:val="20"/>
                <w:szCs w:val="20"/>
                <w:color w:val="auto"/>
              </w:rPr>
            </w:pPr>
            <w:r>
              <w:rPr>
                <w:rFonts w:ascii="Arial" w:cs="Arial" w:eastAsia="Arial" w:hAnsi="Arial"/>
                <w:sz w:val="13"/>
                <w:szCs w:val="13"/>
                <w:color w:val="auto"/>
              </w:rPr>
              <w:t>0</w:t>
            </w:r>
          </w:p>
        </w:tc>
        <w:tc>
          <w:tcPr>
            <w:tcW w:w="1360" w:type="dxa"/>
            <w:vAlign w:val="bottom"/>
            <w:tcBorders>
              <w:bottom w:val="single" w:sz="8" w:color="F1F2F2"/>
            </w:tcBorders>
            <w:gridSpan w:val="2"/>
            <w:shd w:val="clear" w:color="auto" w:fill="F1F2F2"/>
          </w:tcPr>
          <w:p>
            <w:pPr>
              <w:jc w:val="right"/>
              <w:ind w:right="500"/>
              <w:spacing w:after="0"/>
              <w:rPr>
                <w:sz w:val="20"/>
                <w:szCs w:val="20"/>
                <w:color w:val="auto"/>
              </w:rPr>
            </w:pPr>
            <w:r>
              <w:rPr>
                <w:rFonts w:ascii="Arial" w:cs="Arial" w:eastAsia="Arial" w:hAnsi="Arial"/>
                <w:sz w:val="13"/>
                <w:szCs w:val="13"/>
                <w:color w:val="auto"/>
              </w:rPr>
              <w:t>400,821</w:t>
            </w:r>
            <w:r>
              <w:rPr>
                <w:rFonts w:ascii="Arial" w:cs="Arial" w:eastAsia="Arial" w:hAnsi="Arial"/>
                <w:sz w:val="14"/>
                <w:szCs w:val="14"/>
                <w:color w:val="auto"/>
                <w:vertAlign w:val="superscript"/>
              </w:rPr>
              <w:t>h</w:t>
            </w:r>
          </w:p>
        </w:tc>
        <w:tc>
          <w:tcPr>
            <w:tcW w:w="1880" w:type="dxa"/>
            <w:vAlign w:val="bottom"/>
            <w:tcBorders>
              <w:bottom w:val="single" w:sz="8" w:color="F1F2F2"/>
            </w:tcBorders>
            <w:shd w:val="clear" w:color="auto" w:fill="F1F2F2"/>
          </w:tcPr>
          <w:p>
            <w:pPr>
              <w:jc w:val="right"/>
              <w:ind w:right="440"/>
              <w:spacing w:after="0"/>
              <w:rPr>
                <w:sz w:val="20"/>
                <w:szCs w:val="20"/>
                <w:color w:val="auto"/>
              </w:rPr>
            </w:pPr>
            <w:r>
              <w:rPr>
                <w:rFonts w:ascii="Arial" w:cs="Arial" w:eastAsia="Arial" w:hAnsi="Arial"/>
                <w:sz w:val="13"/>
                <w:szCs w:val="13"/>
                <w:color w:val="auto"/>
              </w:rPr>
              <w:t>68,467</w:t>
            </w:r>
          </w:p>
        </w:tc>
        <w:tc>
          <w:tcPr>
            <w:tcW w:w="11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469,288</w:t>
            </w:r>
          </w:p>
        </w:tc>
        <w:tc>
          <w:tcPr>
            <w:tcW w:w="0" w:type="dxa"/>
            <w:vAlign w:val="bottom"/>
          </w:tcPr>
          <w:p>
            <w:pPr>
              <w:spacing w:after="0"/>
              <w:rPr>
                <w:sz w:val="1"/>
                <w:szCs w:val="1"/>
                <w:color w:val="auto"/>
              </w:rPr>
            </w:pPr>
          </w:p>
        </w:tc>
      </w:tr>
      <w:tr>
        <w:trPr>
          <w:trHeight w:val="211"/>
        </w:trPr>
        <w:tc>
          <w:tcPr>
            <w:tcW w:w="2820" w:type="dxa"/>
            <w:vAlign w:val="bottom"/>
          </w:tcPr>
          <w:p>
            <w:pPr>
              <w:ind w:left="60"/>
              <w:spacing w:after="0"/>
              <w:rPr>
                <w:sz w:val="20"/>
                <w:szCs w:val="20"/>
                <w:color w:val="auto"/>
              </w:rPr>
            </w:pPr>
            <w:r>
              <w:rPr>
                <w:rFonts w:ascii="Arial" w:cs="Arial" w:eastAsia="Arial" w:hAnsi="Arial"/>
                <w:sz w:val="13"/>
                <w:szCs w:val="13"/>
                <w:b w:val="1"/>
                <w:bCs w:val="1"/>
                <w:color w:val="auto"/>
              </w:rPr>
              <w:t>Zachary J. Coughlin</w:t>
            </w:r>
          </w:p>
        </w:tc>
        <w:tc>
          <w:tcPr>
            <w:tcW w:w="1600" w:type="dxa"/>
            <w:vAlign w:val="bottom"/>
          </w:tcPr>
          <w:p>
            <w:pPr>
              <w:jc w:val="right"/>
              <w:spacing w:after="0"/>
              <w:rPr>
                <w:sz w:val="20"/>
                <w:szCs w:val="20"/>
                <w:color w:val="auto"/>
              </w:rPr>
            </w:pPr>
            <w:r>
              <w:rPr>
                <w:rFonts w:ascii="Arial" w:cs="Arial" w:eastAsia="Arial" w:hAnsi="Arial"/>
                <w:sz w:val="13"/>
                <w:szCs w:val="13"/>
                <w:color w:val="auto"/>
              </w:rPr>
              <w:t>2025</w:t>
            </w:r>
          </w:p>
        </w:tc>
        <w:tc>
          <w:tcPr>
            <w:tcW w:w="1940" w:type="dxa"/>
            <w:vAlign w:val="bottom"/>
          </w:tcPr>
          <w:p>
            <w:pPr>
              <w:jc w:val="right"/>
              <w:ind w:right="479"/>
              <w:spacing w:after="0"/>
              <w:rPr>
                <w:sz w:val="20"/>
                <w:szCs w:val="20"/>
                <w:color w:val="auto"/>
              </w:rPr>
            </w:pPr>
            <w:r>
              <w:rPr>
                <w:rFonts w:ascii="Arial" w:cs="Arial" w:eastAsia="Arial" w:hAnsi="Arial"/>
                <w:sz w:val="13"/>
                <w:szCs w:val="13"/>
                <w:color w:val="auto"/>
              </w:rPr>
              <w:t>0</w:t>
            </w:r>
          </w:p>
        </w:tc>
        <w:tc>
          <w:tcPr>
            <w:tcW w:w="1360" w:type="dxa"/>
            <w:vAlign w:val="bottom"/>
            <w:gridSpan w:val="2"/>
          </w:tcPr>
          <w:p>
            <w:pPr>
              <w:jc w:val="right"/>
              <w:ind w:right="500"/>
              <w:spacing w:after="0"/>
              <w:rPr>
                <w:sz w:val="20"/>
                <w:szCs w:val="20"/>
                <w:color w:val="auto"/>
              </w:rPr>
            </w:pPr>
            <w:r>
              <w:rPr>
                <w:rFonts w:ascii="Arial" w:cs="Arial" w:eastAsia="Arial" w:hAnsi="Arial"/>
                <w:sz w:val="13"/>
                <w:szCs w:val="13"/>
                <w:color w:val="auto"/>
              </w:rPr>
              <w:t>0</w:t>
            </w:r>
          </w:p>
        </w:tc>
        <w:tc>
          <w:tcPr>
            <w:tcW w:w="1880" w:type="dxa"/>
            <w:vAlign w:val="bottom"/>
          </w:tcPr>
          <w:p>
            <w:pPr>
              <w:jc w:val="right"/>
              <w:ind w:right="440"/>
              <w:spacing w:after="0"/>
              <w:rPr>
                <w:sz w:val="20"/>
                <w:szCs w:val="20"/>
                <w:color w:val="auto"/>
              </w:rPr>
            </w:pPr>
            <w:r>
              <w:rPr>
                <w:rFonts w:ascii="Arial" w:cs="Arial" w:eastAsia="Arial" w:hAnsi="Arial"/>
                <w:sz w:val="13"/>
                <w:szCs w:val="13"/>
                <w:color w:val="auto"/>
              </w:rPr>
              <w:t>136,127</w:t>
            </w:r>
          </w:p>
        </w:tc>
        <w:tc>
          <w:tcPr>
            <w:tcW w:w="1120" w:type="dxa"/>
            <w:vAlign w:val="bottom"/>
          </w:tcPr>
          <w:p>
            <w:pPr>
              <w:jc w:val="right"/>
              <w:spacing w:after="0"/>
              <w:rPr>
                <w:sz w:val="20"/>
                <w:szCs w:val="20"/>
                <w:color w:val="auto"/>
              </w:rPr>
            </w:pPr>
            <w:r>
              <w:rPr>
                <w:rFonts w:ascii="Arial" w:cs="Arial" w:eastAsia="Arial" w:hAnsi="Arial"/>
                <w:sz w:val="13"/>
                <w:szCs w:val="13"/>
                <w:color w:val="auto"/>
              </w:rPr>
              <w:t>136,127</w:t>
            </w:r>
          </w:p>
        </w:tc>
        <w:tc>
          <w:tcPr>
            <w:tcW w:w="0" w:type="dxa"/>
            <w:vAlign w:val="bottom"/>
          </w:tcPr>
          <w:p>
            <w:pPr>
              <w:spacing w:after="0"/>
              <w:rPr>
                <w:sz w:val="1"/>
                <w:szCs w:val="1"/>
                <w:color w:val="auto"/>
              </w:rPr>
            </w:pPr>
          </w:p>
        </w:tc>
      </w:tr>
      <w:tr>
        <w:trPr>
          <w:trHeight w:val="182"/>
        </w:trPr>
        <w:tc>
          <w:tcPr>
            <w:tcW w:w="28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2024</w:t>
            </w:r>
          </w:p>
        </w:tc>
        <w:tc>
          <w:tcPr>
            <w:tcW w:w="1940" w:type="dxa"/>
            <w:vAlign w:val="bottom"/>
          </w:tcPr>
          <w:p>
            <w:pPr>
              <w:jc w:val="right"/>
              <w:ind w:right="479"/>
              <w:spacing w:after="0"/>
              <w:rPr>
                <w:sz w:val="20"/>
                <w:szCs w:val="20"/>
                <w:color w:val="auto"/>
              </w:rPr>
            </w:pPr>
            <w:r>
              <w:rPr>
                <w:rFonts w:ascii="Arial" w:cs="Arial" w:eastAsia="Arial" w:hAnsi="Arial"/>
                <w:sz w:val="13"/>
                <w:szCs w:val="13"/>
                <w:color w:val="auto"/>
              </w:rPr>
              <w:t>0</w:t>
            </w:r>
          </w:p>
        </w:tc>
        <w:tc>
          <w:tcPr>
            <w:tcW w:w="1360" w:type="dxa"/>
            <w:vAlign w:val="bottom"/>
            <w:gridSpan w:val="2"/>
          </w:tcPr>
          <w:p>
            <w:pPr>
              <w:jc w:val="right"/>
              <w:ind w:right="500"/>
              <w:spacing w:after="0"/>
              <w:rPr>
                <w:sz w:val="20"/>
                <w:szCs w:val="20"/>
                <w:color w:val="auto"/>
              </w:rPr>
            </w:pPr>
            <w:r>
              <w:rPr>
                <w:rFonts w:ascii="Arial" w:cs="Arial" w:eastAsia="Arial" w:hAnsi="Arial"/>
                <w:sz w:val="13"/>
                <w:szCs w:val="13"/>
                <w:color w:val="auto"/>
              </w:rPr>
              <w:t>0</w:t>
            </w:r>
          </w:p>
        </w:tc>
        <w:tc>
          <w:tcPr>
            <w:tcW w:w="1880" w:type="dxa"/>
            <w:vAlign w:val="bottom"/>
          </w:tcPr>
          <w:p>
            <w:pPr>
              <w:jc w:val="right"/>
              <w:ind w:right="440"/>
              <w:spacing w:after="0"/>
              <w:rPr>
                <w:sz w:val="20"/>
                <w:szCs w:val="20"/>
                <w:color w:val="auto"/>
              </w:rPr>
            </w:pPr>
            <w:r>
              <w:rPr>
                <w:rFonts w:ascii="Arial" w:cs="Arial" w:eastAsia="Arial" w:hAnsi="Arial"/>
                <w:sz w:val="13"/>
                <w:szCs w:val="13"/>
                <w:color w:val="auto"/>
              </w:rPr>
              <w:t>124,047</w:t>
            </w:r>
          </w:p>
        </w:tc>
        <w:tc>
          <w:tcPr>
            <w:tcW w:w="1120" w:type="dxa"/>
            <w:vAlign w:val="bottom"/>
          </w:tcPr>
          <w:p>
            <w:pPr>
              <w:jc w:val="right"/>
              <w:spacing w:after="0"/>
              <w:rPr>
                <w:sz w:val="20"/>
                <w:szCs w:val="20"/>
                <w:color w:val="auto"/>
              </w:rPr>
            </w:pPr>
            <w:r>
              <w:rPr>
                <w:rFonts w:ascii="Arial" w:cs="Arial" w:eastAsia="Arial" w:hAnsi="Arial"/>
                <w:sz w:val="13"/>
                <w:szCs w:val="13"/>
                <w:color w:val="auto"/>
              </w:rPr>
              <w:t>124,047</w:t>
            </w:r>
          </w:p>
        </w:tc>
        <w:tc>
          <w:tcPr>
            <w:tcW w:w="0" w:type="dxa"/>
            <w:vAlign w:val="bottom"/>
          </w:tcPr>
          <w:p>
            <w:pPr>
              <w:spacing w:after="0"/>
              <w:rPr>
                <w:sz w:val="1"/>
                <w:szCs w:val="1"/>
                <w:color w:val="auto"/>
              </w:rPr>
            </w:pPr>
          </w:p>
        </w:tc>
      </w:tr>
      <w:tr>
        <w:trPr>
          <w:trHeight w:val="222"/>
        </w:trPr>
        <w:tc>
          <w:tcPr>
            <w:tcW w:w="28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2023</w:t>
            </w:r>
          </w:p>
        </w:tc>
        <w:tc>
          <w:tcPr>
            <w:tcW w:w="1940" w:type="dxa"/>
            <w:vAlign w:val="bottom"/>
          </w:tcPr>
          <w:p>
            <w:pPr>
              <w:jc w:val="right"/>
              <w:ind w:right="479"/>
              <w:spacing w:after="0"/>
              <w:rPr>
                <w:sz w:val="20"/>
                <w:szCs w:val="20"/>
                <w:color w:val="auto"/>
              </w:rPr>
            </w:pPr>
            <w:r>
              <w:rPr>
                <w:rFonts w:ascii="Arial" w:cs="Arial" w:eastAsia="Arial" w:hAnsi="Arial"/>
                <w:sz w:val="13"/>
                <w:szCs w:val="13"/>
                <w:color w:val="auto"/>
              </w:rPr>
              <w:t>0</w:t>
            </w:r>
          </w:p>
        </w:tc>
        <w:tc>
          <w:tcPr>
            <w:tcW w:w="1360" w:type="dxa"/>
            <w:vAlign w:val="bottom"/>
            <w:gridSpan w:val="2"/>
          </w:tcPr>
          <w:p>
            <w:pPr>
              <w:jc w:val="right"/>
              <w:ind w:right="500"/>
              <w:spacing w:after="0"/>
              <w:rPr>
                <w:sz w:val="20"/>
                <w:szCs w:val="20"/>
                <w:color w:val="auto"/>
              </w:rPr>
            </w:pPr>
            <w:r>
              <w:rPr>
                <w:rFonts w:ascii="Arial" w:cs="Arial" w:eastAsia="Arial" w:hAnsi="Arial"/>
                <w:sz w:val="13"/>
                <w:szCs w:val="13"/>
                <w:color w:val="auto"/>
              </w:rPr>
              <w:t>0</w:t>
            </w:r>
            <w:r>
              <w:rPr>
                <w:rFonts w:ascii="Arial" w:cs="Arial" w:eastAsia="Arial" w:hAnsi="Arial"/>
                <w:sz w:val="14"/>
                <w:szCs w:val="14"/>
                <w:color w:val="auto"/>
                <w:vertAlign w:val="superscript"/>
              </w:rPr>
              <w:t>i</w:t>
            </w:r>
          </w:p>
        </w:tc>
        <w:tc>
          <w:tcPr>
            <w:tcW w:w="1880" w:type="dxa"/>
            <w:vAlign w:val="bottom"/>
          </w:tcPr>
          <w:p>
            <w:pPr>
              <w:jc w:val="right"/>
              <w:ind w:right="440"/>
              <w:spacing w:after="0"/>
              <w:rPr>
                <w:sz w:val="20"/>
                <w:szCs w:val="20"/>
                <w:color w:val="auto"/>
              </w:rPr>
            </w:pPr>
            <w:r>
              <w:rPr>
                <w:rFonts w:ascii="Arial" w:cs="Arial" w:eastAsia="Arial" w:hAnsi="Arial"/>
                <w:sz w:val="13"/>
                <w:szCs w:val="13"/>
                <w:color w:val="auto"/>
              </w:rPr>
              <w:t>85,482</w:t>
            </w:r>
          </w:p>
        </w:tc>
        <w:tc>
          <w:tcPr>
            <w:tcW w:w="1120" w:type="dxa"/>
            <w:vAlign w:val="bottom"/>
          </w:tcPr>
          <w:p>
            <w:pPr>
              <w:jc w:val="right"/>
              <w:spacing w:after="0"/>
              <w:rPr>
                <w:sz w:val="20"/>
                <w:szCs w:val="20"/>
                <w:color w:val="auto"/>
              </w:rPr>
            </w:pPr>
            <w:r>
              <w:rPr>
                <w:rFonts w:ascii="Arial" w:cs="Arial" w:eastAsia="Arial" w:hAnsi="Arial"/>
                <w:sz w:val="13"/>
                <w:szCs w:val="13"/>
                <w:color w:val="auto"/>
              </w:rPr>
              <w:t>85,482</w:t>
            </w:r>
          </w:p>
        </w:tc>
        <w:tc>
          <w:tcPr>
            <w:tcW w:w="0" w:type="dxa"/>
            <w:vAlign w:val="bottom"/>
          </w:tcPr>
          <w:p>
            <w:pPr>
              <w:spacing w:after="0"/>
              <w:rPr>
                <w:sz w:val="1"/>
                <w:szCs w:val="1"/>
                <w:color w:val="auto"/>
              </w:rPr>
            </w:pPr>
          </w:p>
        </w:tc>
      </w:tr>
      <w:tr>
        <w:trPr>
          <w:trHeight w:val="32"/>
        </w:trPr>
        <w:tc>
          <w:tcPr>
            <w:tcW w:w="2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820" w:type="dxa"/>
            <w:vAlign w:val="bottom"/>
            <w:vMerge w:val="restart"/>
            <w:shd w:val="clear" w:color="auto" w:fill="F1F2F2"/>
          </w:tcPr>
          <w:p>
            <w:pPr>
              <w:ind w:left="60"/>
              <w:spacing w:after="0"/>
              <w:rPr>
                <w:sz w:val="20"/>
                <w:szCs w:val="20"/>
                <w:color w:val="auto"/>
              </w:rPr>
            </w:pPr>
            <w:r>
              <w:rPr>
                <w:rFonts w:ascii="Arial" w:cs="Arial" w:eastAsia="Arial" w:hAnsi="Arial"/>
                <w:sz w:val="13"/>
                <w:szCs w:val="13"/>
                <w:b w:val="1"/>
                <w:bCs w:val="1"/>
                <w:color w:val="auto"/>
              </w:rPr>
              <w:t>Eva Serrano</w:t>
            </w:r>
          </w:p>
        </w:tc>
        <w:tc>
          <w:tcPr>
            <w:tcW w:w="160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2025</w:t>
            </w:r>
          </w:p>
        </w:tc>
        <w:tc>
          <w:tcPr>
            <w:tcW w:w="1940" w:type="dxa"/>
            <w:vAlign w:val="bottom"/>
            <w:vMerge w:val="restart"/>
            <w:shd w:val="clear" w:color="auto" w:fill="F1F2F2"/>
          </w:tcPr>
          <w:p>
            <w:pPr>
              <w:jc w:val="right"/>
              <w:ind w:right="479"/>
              <w:spacing w:after="0"/>
              <w:rPr>
                <w:sz w:val="20"/>
                <w:szCs w:val="20"/>
                <w:color w:val="auto"/>
              </w:rPr>
            </w:pPr>
            <w:r>
              <w:rPr>
                <w:rFonts w:ascii="Arial" w:cs="Arial" w:eastAsia="Arial" w:hAnsi="Arial"/>
                <w:sz w:val="13"/>
                <w:szCs w:val="13"/>
                <w:color w:val="auto"/>
              </w:rPr>
              <w:t>0</w:t>
            </w:r>
          </w:p>
        </w:tc>
        <w:tc>
          <w:tcPr>
            <w:tcW w:w="1360" w:type="dxa"/>
            <w:vAlign w:val="bottom"/>
            <w:gridSpan w:val="2"/>
            <w:shd w:val="clear" w:color="auto" w:fill="F1F2F2"/>
          </w:tcPr>
          <w:p>
            <w:pPr>
              <w:jc w:val="right"/>
              <w:ind w:right="500"/>
              <w:spacing w:after="0"/>
              <w:rPr>
                <w:sz w:val="20"/>
                <w:szCs w:val="20"/>
                <w:color w:val="auto"/>
              </w:rPr>
            </w:pPr>
            <w:r>
              <w:rPr>
                <w:rFonts w:ascii="Arial" w:cs="Arial" w:eastAsia="Arial" w:hAnsi="Arial"/>
                <w:sz w:val="13"/>
                <w:szCs w:val="13"/>
                <w:color w:val="auto"/>
              </w:rPr>
              <w:t>3,528,402</w:t>
            </w:r>
            <w:r>
              <w:rPr>
                <w:rFonts w:ascii="Arial" w:cs="Arial" w:eastAsia="Arial" w:hAnsi="Arial"/>
                <w:sz w:val="14"/>
                <w:szCs w:val="14"/>
                <w:color w:val="auto"/>
                <w:vertAlign w:val="superscript"/>
              </w:rPr>
              <w:t>j</w:t>
            </w:r>
          </w:p>
        </w:tc>
        <w:tc>
          <w:tcPr>
            <w:tcW w:w="1880" w:type="dxa"/>
            <w:vAlign w:val="bottom"/>
            <w:vMerge w:val="restart"/>
            <w:shd w:val="clear" w:color="auto" w:fill="F1F2F2"/>
          </w:tcPr>
          <w:p>
            <w:pPr>
              <w:jc w:val="right"/>
              <w:ind w:right="440"/>
              <w:spacing w:after="0"/>
              <w:rPr>
                <w:sz w:val="20"/>
                <w:szCs w:val="20"/>
                <w:color w:val="auto"/>
              </w:rPr>
            </w:pPr>
            <w:r>
              <w:rPr>
                <w:rFonts w:ascii="Arial" w:cs="Arial" w:eastAsia="Arial" w:hAnsi="Arial"/>
                <w:sz w:val="13"/>
                <w:szCs w:val="13"/>
                <w:color w:val="auto"/>
              </w:rPr>
              <w:t>66,956</w:t>
            </w:r>
          </w:p>
        </w:tc>
        <w:tc>
          <w:tcPr>
            <w:tcW w:w="112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3,595,358</w:t>
            </w:r>
          </w:p>
        </w:tc>
        <w:tc>
          <w:tcPr>
            <w:tcW w:w="0" w:type="dxa"/>
            <w:vAlign w:val="bottom"/>
          </w:tcPr>
          <w:p>
            <w:pPr>
              <w:spacing w:after="0"/>
              <w:rPr>
                <w:sz w:val="1"/>
                <w:szCs w:val="1"/>
                <w:color w:val="auto"/>
              </w:rPr>
            </w:pPr>
          </w:p>
        </w:tc>
      </w:tr>
      <w:tr>
        <w:trPr>
          <w:trHeight w:val="46"/>
        </w:trPr>
        <w:tc>
          <w:tcPr>
            <w:tcW w:w="2820" w:type="dxa"/>
            <w:vAlign w:val="bottom"/>
            <w:vMerge w:val="continue"/>
            <w:shd w:val="clear" w:color="auto" w:fill="F1F2F2"/>
          </w:tcPr>
          <w:p>
            <w:pPr>
              <w:spacing w:after="0"/>
              <w:rPr>
                <w:sz w:val="4"/>
                <w:szCs w:val="4"/>
                <w:color w:val="auto"/>
              </w:rPr>
            </w:pPr>
          </w:p>
        </w:tc>
        <w:tc>
          <w:tcPr>
            <w:tcW w:w="1600" w:type="dxa"/>
            <w:vAlign w:val="bottom"/>
            <w:vMerge w:val="continue"/>
            <w:shd w:val="clear" w:color="auto" w:fill="F1F2F2"/>
          </w:tcPr>
          <w:p>
            <w:pPr>
              <w:spacing w:after="0"/>
              <w:rPr>
                <w:sz w:val="4"/>
                <w:szCs w:val="4"/>
                <w:color w:val="auto"/>
              </w:rPr>
            </w:pPr>
          </w:p>
        </w:tc>
        <w:tc>
          <w:tcPr>
            <w:tcW w:w="1940" w:type="dxa"/>
            <w:vAlign w:val="bottom"/>
            <w:vMerge w:val="continue"/>
            <w:shd w:val="clear" w:color="auto" w:fill="F1F2F2"/>
          </w:tcPr>
          <w:p>
            <w:pPr>
              <w:spacing w:after="0"/>
              <w:rPr>
                <w:sz w:val="4"/>
                <w:szCs w:val="4"/>
                <w:color w:val="auto"/>
              </w:rPr>
            </w:pPr>
          </w:p>
        </w:tc>
        <w:tc>
          <w:tcPr>
            <w:tcW w:w="1360" w:type="dxa"/>
            <w:vAlign w:val="bottom"/>
            <w:gridSpan w:val="2"/>
            <w:vMerge w:val="restart"/>
            <w:shd w:val="clear" w:color="auto" w:fill="F1F2F2"/>
          </w:tcPr>
          <w:p>
            <w:pPr>
              <w:jc w:val="right"/>
              <w:ind w:right="500"/>
              <w:spacing w:after="0"/>
              <w:rPr>
                <w:sz w:val="20"/>
                <w:szCs w:val="20"/>
                <w:color w:val="auto"/>
              </w:rPr>
            </w:pPr>
            <w:r>
              <w:rPr>
                <w:rFonts w:ascii="Arial" w:cs="Arial" w:eastAsia="Arial" w:hAnsi="Arial"/>
                <w:sz w:val="13"/>
                <w:szCs w:val="13"/>
                <w:color w:val="auto"/>
              </w:rPr>
              <w:t>0</w:t>
            </w:r>
          </w:p>
        </w:tc>
        <w:tc>
          <w:tcPr>
            <w:tcW w:w="1880" w:type="dxa"/>
            <w:vAlign w:val="bottom"/>
            <w:vMerge w:val="continue"/>
            <w:shd w:val="clear" w:color="auto" w:fill="F1F2F2"/>
          </w:tcPr>
          <w:p>
            <w:pPr>
              <w:spacing w:after="0"/>
              <w:rPr>
                <w:sz w:val="4"/>
                <w:szCs w:val="4"/>
                <w:color w:val="auto"/>
              </w:rPr>
            </w:pPr>
          </w:p>
        </w:tc>
        <w:tc>
          <w:tcPr>
            <w:tcW w:w="1120" w:type="dxa"/>
            <w:vAlign w:val="bottom"/>
            <w:vMerge w:val="continue"/>
            <w:shd w:val="clear" w:color="auto" w:fill="F1F2F2"/>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F1F2F2"/>
          </w:tcPr>
          <w:p>
            <w:pPr>
              <w:spacing w:after="0"/>
              <w:rPr>
                <w:sz w:val="11"/>
                <w:szCs w:val="11"/>
                <w:color w:val="auto"/>
              </w:rPr>
            </w:pPr>
          </w:p>
        </w:tc>
        <w:tc>
          <w:tcPr>
            <w:tcW w:w="160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2024</w:t>
            </w:r>
          </w:p>
        </w:tc>
        <w:tc>
          <w:tcPr>
            <w:tcW w:w="1940" w:type="dxa"/>
            <w:vAlign w:val="bottom"/>
            <w:vMerge w:val="restart"/>
            <w:shd w:val="clear" w:color="auto" w:fill="F1F2F2"/>
          </w:tcPr>
          <w:p>
            <w:pPr>
              <w:jc w:val="right"/>
              <w:ind w:right="479"/>
              <w:spacing w:after="0"/>
              <w:rPr>
                <w:sz w:val="20"/>
                <w:szCs w:val="20"/>
                <w:color w:val="auto"/>
              </w:rPr>
            </w:pPr>
            <w:r>
              <w:rPr>
                <w:rFonts w:ascii="Arial" w:cs="Arial" w:eastAsia="Arial" w:hAnsi="Arial"/>
                <w:sz w:val="13"/>
                <w:szCs w:val="13"/>
                <w:color w:val="auto"/>
              </w:rPr>
              <w:t>0</w:t>
            </w:r>
          </w:p>
        </w:tc>
        <w:tc>
          <w:tcPr>
            <w:tcW w:w="1360" w:type="dxa"/>
            <w:vAlign w:val="bottom"/>
            <w:gridSpan w:val="2"/>
            <w:vMerge w:val="continue"/>
            <w:shd w:val="clear" w:color="auto" w:fill="F1F2F2"/>
          </w:tcPr>
          <w:p>
            <w:pPr>
              <w:spacing w:after="0"/>
              <w:rPr>
                <w:sz w:val="11"/>
                <w:szCs w:val="11"/>
                <w:color w:val="auto"/>
              </w:rPr>
            </w:pPr>
          </w:p>
        </w:tc>
        <w:tc>
          <w:tcPr>
            <w:tcW w:w="1880" w:type="dxa"/>
            <w:vAlign w:val="bottom"/>
            <w:vMerge w:val="restart"/>
            <w:shd w:val="clear" w:color="auto" w:fill="F1F2F2"/>
          </w:tcPr>
          <w:p>
            <w:pPr>
              <w:jc w:val="right"/>
              <w:ind w:right="440"/>
              <w:spacing w:after="0"/>
              <w:rPr>
                <w:sz w:val="20"/>
                <w:szCs w:val="20"/>
                <w:color w:val="auto"/>
              </w:rPr>
            </w:pPr>
            <w:r>
              <w:rPr>
                <w:rFonts w:ascii="Arial" w:cs="Arial" w:eastAsia="Arial" w:hAnsi="Arial"/>
                <w:sz w:val="13"/>
                <w:szCs w:val="13"/>
                <w:color w:val="auto"/>
              </w:rPr>
              <w:t>73,362</w:t>
            </w:r>
          </w:p>
        </w:tc>
        <w:tc>
          <w:tcPr>
            <w:tcW w:w="112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73,362</w:t>
            </w:r>
          </w:p>
        </w:tc>
        <w:tc>
          <w:tcPr>
            <w:tcW w:w="0" w:type="dxa"/>
            <w:vAlign w:val="bottom"/>
          </w:tcPr>
          <w:p>
            <w:pPr>
              <w:spacing w:after="0"/>
              <w:rPr>
                <w:sz w:val="1"/>
                <w:szCs w:val="1"/>
                <w:color w:val="auto"/>
              </w:rPr>
            </w:pPr>
          </w:p>
        </w:tc>
      </w:tr>
      <w:tr>
        <w:trPr>
          <w:trHeight w:val="47"/>
        </w:trPr>
        <w:tc>
          <w:tcPr>
            <w:tcW w:w="2820" w:type="dxa"/>
            <w:vAlign w:val="bottom"/>
            <w:shd w:val="clear" w:color="auto" w:fill="F1F2F2"/>
          </w:tcPr>
          <w:p>
            <w:pPr>
              <w:spacing w:after="0"/>
              <w:rPr>
                <w:sz w:val="4"/>
                <w:szCs w:val="4"/>
                <w:color w:val="auto"/>
              </w:rPr>
            </w:pPr>
          </w:p>
        </w:tc>
        <w:tc>
          <w:tcPr>
            <w:tcW w:w="1600" w:type="dxa"/>
            <w:vAlign w:val="bottom"/>
            <w:vMerge w:val="continue"/>
            <w:shd w:val="clear" w:color="auto" w:fill="F1F2F2"/>
          </w:tcPr>
          <w:p>
            <w:pPr>
              <w:spacing w:after="0"/>
              <w:rPr>
                <w:sz w:val="4"/>
                <w:szCs w:val="4"/>
                <w:color w:val="auto"/>
              </w:rPr>
            </w:pPr>
          </w:p>
        </w:tc>
        <w:tc>
          <w:tcPr>
            <w:tcW w:w="1940" w:type="dxa"/>
            <w:vAlign w:val="bottom"/>
            <w:vMerge w:val="continue"/>
            <w:shd w:val="clear" w:color="auto" w:fill="F1F2F2"/>
          </w:tcPr>
          <w:p>
            <w:pPr>
              <w:spacing w:after="0"/>
              <w:rPr>
                <w:sz w:val="4"/>
                <w:szCs w:val="4"/>
                <w:color w:val="auto"/>
              </w:rPr>
            </w:pPr>
          </w:p>
        </w:tc>
        <w:tc>
          <w:tcPr>
            <w:tcW w:w="1360" w:type="dxa"/>
            <w:vAlign w:val="bottom"/>
            <w:gridSpan w:val="2"/>
            <w:vMerge w:val="restart"/>
            <w:shd w:val="clear" w:color="auto" w:fill="F1F2F2"/>
          </w:tcPr>
          <w:p>
            <w:pPr>
              <w:jc w:val="right"/>
              <w:ind w:right="500"/>
              <w:spacing w:after="0"/>
              <w:rPr>
                <w:sz w:val="20"/>
                <w:szCs w:val="20"/>
                <w:color w:val="auto"/>
              </w:rPr>
            </w:pPr>
            <w:r>
              <w:rPr>
                <w:rFonts w:ascii="Arial" w:cs="Arial" w:eastAsia="Arial" w:hAnsi="Arial"/>
                <w:sz w:val="13"/>
                <w:szCs w:val="13"/>
                <w:color w:val="auto"/>
              </w:rPr>
              <w:t>797,128</w:t>
            </w:r>
            <w:r>
              <w:rPr>
                <w:rFonts w:ascii="Arial" w:cs="Arial" w:eastAsia="Arial" w:hAnsi="Arial"/>
                <w:sz w:val="14"/>
                <w:szCs w:val="14"/>
                <w:color w:val="auto"/>
                <w:vertAlign w:val="superscript"/>
              </w:rPr>
              <w:t>k</w:t>
            </w:r>
          </w:p>
        </w:tc>
        <w:tc>
          <w:tcPr>
            <w:tcW w:w="1880" w:type="dxa"/>
            <w:vAlign w:val="bottom"/>
            <w:vMerge w:val="continue"/>
            <w:shd w:val="clear" w:color="auto" w:fill="F1F2F2"/>
          </w:tcPr>
          <w:p>
            <w:pPr>
              <w:spacing w:after="0"/>
              <w:rPr>
                <w:sz w:val="4"/>
                <w:szCs w:val="4"/>
                <w:color w:val="auto"/>
              </w:rPr>
            </w:pPr>
          </w:p>
        </w:tc>
        <w:tc>
          <w:tcPr>
            <w:tcW w:w="1120" w:type="dxa"/>
            <w:vAlign w:val="bottom"/>
            <w:vMerge w:val="continue"/>
            <w:shd w:val="clear" w:color="auto" w:fill="F1F2F2"/>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F1F2F2"/>
          </w:tcPr>
          <w:p>
            <w:pPr>
              <w:spacing w:after="0"/>
              <w:rPr>
                <w:sz w:val="12"/>
                <w:szCs w:val="12"/>
                <w:color w:val="auto"/>
              </w:rPr>
            </w:pPr>
          </w:p>
        </w:tc>
        <w:tc>
          <w:tcPr>
            <w:tcW w:w="160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2023</w:t>
            </w:r>
          </w:p>
        </w:tc>
        <w:tc>
          <w:tcPr>
            <w:tcW w:w="1940" w:type="dxa"/>
            <w:vAlign w:val="bottom"/>
            <w:vMerge w:val="restart"/>
            <w:shd w:val="clear" w:color="auto" w:fill="F1F2F2"/>
          </w:tcPr>
          <w:p>
            <w:pPr>
              <w:jc w:val="right"/>
              <w:ind w:right="479"/>
              <w:spacing w:after="0"/>
              <w:rPr>
                <w:sz w:val="20"/>
                <w:szCs w:val="20"/>
                <w:color w:val="auto"/>
              </w:rPr>
            </w:pPr>
            <w:r>
              <w:rPr>
                <w:rFonts w:ascii="Arial" w:cs="Arial" w:eastAsia="Arial" w:hAnsi="Arial"/>
                <w:sz w:val="13"/>
                <w:szCs w:val="13"/>
                <w:color w:val="auto"/>
              </w:rPr>
              <w:t>0</w:t>
            </w:r>
          </w:p>
        </w:tc>
        <w:tc>
          <w:tcPr>
            <w:tcW w:w="1360" w:type="dxa"/>
            <w:vAlign w:val="bottom"/>
            <w:gridSpan w:val="2"/>
            <w:vMerge w:val="continue"/>
            <w:shd w:val="clear" w:color="auto" w:fill="F1F2F2"/>
          </w:tcPr>
          <w:p>
            <w:pPr>
              <w:spacing w:after="0"/>
              <w:rPr>
                <w:sz w:val="12"/>
                <w:szCs w:val="12"/>
                <w:color w:val="auto"/>
              </w:rPr>
            </w:pPr>
          </w:p>
        </w:tc>
        <w:tc>
          <w:tcPr>
            <w:tcW w:w="1880" w:type="dxa"/>
            <w:vAlign w:val="bottom"/>
            <w:vMerge w:val="restart"/>
            <w:shd w:val="clear" w:color="auto" w:fill="F1F2F2"/>
          </w:tcPr>
          <w:p>
            <w:pPr>
              <w:jc w:val="right"/>
              <w:ind w:right="440"/>
              <w:spacing w:after="0"/>
              <w:rPr>
                <w:sz w:val="20"/>
                <w:szCs w:val="20"/>
                <w:color w:val="auto"/>
              </w:rPr>
            </w:pPr>
            <w:r>
              <w:rPr>
                <w:rFonts w:ascii="Arial" w:cs="Arial" w:eastAsia="Arial" w:hAnsi="Arial"/>
                <w:sz w:val="13"/>
                <w:szCs w:val="13"/>
                <w:color w:val="auto"/>
              </w:rPr>
              <w:t>19,598</w:t>
            </w:r>
          </w:p>
        </w:tc>
        <w:tc>
          <w:tcPr>
            <w:tcW w:w="112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816,726</w:t>
            </w:r>
          </w:p>
        </w:tc>
        <w:tc>
          <w:tcPr>
            <w:tcW w:w="0" w:type="dxa"/>
            <w:vAlign w:val="bottom"/>
          </w:tcPr>
          <w:p>
            <w:pPr>
              <w:spacing w:after="0"/>
              <w:rPr>
                <w:sz w:val="1"/>
                <w:szCs w:val="1"/>
                <w:color w:val="auto"/>
              </w:rPr>
            </w:pPr>
          </w:p>
        </w:tc>
      </w:tr>
      <w:tr>
        <w:trPr>
          <w:trHeight w:val="40"/>
        </w:trPr>
        <w:tc>
          <w:tcPr>
            <w:tcW w:w="2820" w:type="dxa"/>
            <w:vAlign w:val="bottom"/>
            <w:shd w:val="clear" w:color="auto" w:fill="F1F2F2"/>
          </w:tcPr>
          <w:p>
            <w:pPr>
              <w:spacing w:after="0"/>
              <w:rPr>
                <w:sz w:val="3"/>
                <w:szCs w:val="3"/>
                <w:color w:val="auto"/>
              </w:rPr>
            </w:pPr>
          </w:p>
        </w:tc>
        <w:tc>
          <w:tcPr>
            <w:tcW w:w="1600" w:type="dxa"/>
            <w:vAlign w:val="bottom"/>
            <w:vMerge w:val="continue"/>
            <w:shd w:val="clear" w:color="auto" w:fill="F1F2F2"/>
          </w:tcPr>
          <w:p>
            <w:pPr>
              <w:spacing w:after="0"/>
              <w:rPr>
                <w:sz w:val="3"/>
                <w:szCs w:val="3"/>
                <w:color w:val="auto"/>
              </w:rPr>
            </w:pPr>
          </w:p>
        </w:tc>
        <w:tc>
          <w:tcPr>
            <w:tcW w:w="1940" w:type="dxa"/>
            <w:vAlign w:val="bottom"/>
            <w:vMerge w:val="continue"/>
            <w:shd w:val="clear" w:color="auto" w:fill="F1F2F2"/>
          </w:tcPr>
          <w:p>
            <w:pPr>
              <w:spacing w:after="0"/>
              <w:rPr>
                <w:sz w:val="3"/>
                <w:szCs w:val="3"/>
                <w:color w:val="auto"/>
              </w:rPr>
            </w:pPr>
          </w:p>
        </w:tc>
        <w:tc>
          <w:tcPr>
            <w:tcW w:w="860" w:type="dxa"/>
            <w:vAlign w:val="bottom"/>
            <w:shd w:val="clear" w:color="auto" w:fill="F1F2F2"/>
          </w:tcPr>
          <w:p>
            <w:pPr>
              <w:spacing w:after="0"/>
              <w:rPr>
                <w:sz w:val="3"/>
                <w:szCs w:val="3"/>
                <w:color w:val="auto"/>
              </w:rPr>
            </w:pPr>
          </w:p>
        </w:tc>
        <w:tc>
          <w:tcPr>
            <w:tcW w:w="500" w:type="dxa"/>
            <w:vAlign w:val="bottom"/>
            <w:shd w:val="clear" w:color="auto" w:fill="F1F2F2"/>
          </w:tcPr>
          <w:p>
            <w:pPr>
              <w:spacing w:after="0"/>
              <w:rPr>
                <w:sz w:val="3"/>
                <w:szCs w:val="3"/>
                <w:color w:val="auto"/>
              </w:rPr>
            </w:pPr>
          </w:p>
        </w:tc>
        <w:tc>
          <w:tcPr>
            <w:tcW w:w="1880" w:type="dxa"/>
            <w:vAlign w:val="bottom"/>
            <w:vMerge w:val="continue"/>
            <w:shd w:val="clear" w:color="auto" w:fill="F1F2F2"/>
          </w:tcPr>
          <w:p>
            <w:pPr>
              <w:spacing w:after="0"/>
              <w:rPr>
                <w:sz w:val="3"/>
                <w:szCs w:val="3"/>
                <w:color w:val="auto"/>
              </w:rPr>
            </w:pPr>
          </w:p>
        </w:tc>
        <w:tc>
          <w:tcPr>
            <w:tcW w:w="1120" w:type="dxa"/>
            <w:vAlign w:val="bottom"/>
            <w:vMerge w:val="continue"/>
            <w:shd w:val="clear" w:color="auto" w:fill="F1F2F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6"/>
        </w:trPr>
        <w:tc>
          <w:tcPr>
            <w:tcW w:w="2820" w:type="dxa"/>
            <w:vAlign w:val="bottom"/>
            <w:shd w:val="clear" w:color="auto" w:fill="F1F2F2"/>
          </w:tcPr>
          <w:p>
            <w:pPr>
              <w:spacing w:after="0"/>
              <w:rPr>
                <w:sz w:val="5"/>
                <w:szCs w:val="5"/>
                <w:color w:val="auto"/>
              </w:rPr>
            </w:pPr>
          </w:p>
        </w:tc>
        <w:tc>
          <w:tcPr>
            <w:tcW w:w="1600" w:type="dxa"/>
            <w:vAlign w:val="bottom"/>
            <w:shd w:val="clear" w:color="auto" w:fill="F1F2F2"/>
          </w:tcPr>
          <w:p>
            <w:pPr>
              <w:spacing w:after="0"/>
              <w:rPr>
                <w:sz w:val="5"/>
                <w:szCs w:val="5"/>
                <w:color w:val="auto"/>
              </w:rPr>
            </w:pPr>
          </w:p>
        </w:tc>
        <w:tc>
          <w:tcPr>
            <w:tcW w:w="1940" w:type="dxa"/>
            <w:vAlign w:val="bottom"/>
            <w:shd w:val="clear" w:color="auto" w:fill="F1F2F2"/>
          </w:tcPr>
          <w:p>
            <w:pPr>
              <w:spacing w:after="0"/>
              <w:rPr>
                <w:sz w:val="5"/>
                <w:szCs w:val="5"/>
                <w:color w:val="auto"/>
              </w:rPr>
            </w:pPr>
          </w:p>
        </w:tc>
        <w:tc>
          <w:tcPr>
            <w:tcW w:w="860" w:type="dxa"/>
            <w:vAlign w:val="bottom"/>
            <w:shd w:val="clear" w:color="auto" w:fill="F1F2F2"/>
          </w:tcPr>
          <w:p>
            <w:pPr>
              <w:spacing w:after="0"/>
              <w:rPr>
                <w:sz w:val="5"/>
                <w:szCs w:val="5"/>
                <w:color w:val="auto"/>
              </w:rPr>
            </w:pPr>
          </w:p>
        </w:tc>
        <w:tc>
          <w:tcPr>
            <w:tcW w:w="500" w:type="dxa"/>
            <w:vAlign w:val="bottom"/>
            <w:shd w:val="clear" w:color="auto" w:fill="F1F2F2"/>
          </w:tcPr>
          <w:p>
            <w:pPr>
              <w:spacing w:after="0"/>
              <w:rPr>
                <w:sz w:val="5"/>
                <w:szCs w:val="5"/>
                <w:color w:val="auto"/>
              </w:rPr>
            </w:pPr>
          </w:p>
        </w:tc>
        <w:tc>
          <w:tcPr>
            <w:tcW w:w="1880" w:type="dxa"/>
            <w:vAlign w:val="bottom"/>
            <w:shd w:val="clear" w:color="auto" w:fill="F1F2F2"/>
          </w:tcPr>
          <w:p>
            <w:pPr>
              <w:spacing w:after="0"/>
              <w:rPr>
                <w:sz w:val="5"/>
                <w:szCs w:val="5"/>
                <w:color w:val="auto"/>
              </w:rPr>
            </w:pPr>
          </w:p>
        </w:tc>
        <w:tc>
          <w:tcPr>
            <w:tcW w:w="1120" w:type="dxa"/>
            <w:vAlign w:val="bottom"/>
            <w:shd w:val="clear" w:color="auto" w:fill="F1F2F2"/>
          </w:tcPr>
          <w:p>
            <w:pPr>
              <w:spacing w:after="0"/>
              <w:rPr>
                <w:sz w:val="5"/>
                <w:szCs w:val="5"/>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jc w:val="both"/>
        <w:ind w:left="309" w:right="60" w:hanging="152"/>
        <w:spacing w:after="0" w:line="239" w:lineRule="auto"/>
        <w:tabs>
          <w:tab w:leader="none" w:pos="316" w:val="left"/>
        </w:tabs>
        <w:numPr>
          <w:ilvl w:val="0"/>
          <w:numId w:val="99"/>
        </w:numPr>
        <w:rPr>
          <w:rFonts w:ascii="Arial" w:cs="Arial" w:eastAsia="Arial" w:hAnsi="Arial"/>
          <w:sz w:val="13"/>
          <w:szCs w:val="13"/>
          <w:color w:val="auto"/>
        </w:rPr>
      </w:pPr>
      <w:r>
        <w:rPr>
          <w:rFonts w:ascii="Arial" w:cs="Arial" w:eastAsia="Arial" w:hAnsi="Arial"/>
          <w:sz w:val="13"/>
          <w:szCs w:val="13"/>
          <w:color w:val="auto"/>
        </w:rPr>
        <w:t xml:space="preserve">For U.S.-based NEOs, this represents company contributions to our AIP and our Supplemental Savings Plan. For Ms. Rytz Goldman and Mr. Olsson, this represents company contributions to both our </w:t>
      </w:r>
      <w:r>
        <w:rPr>
          <w:rFonts w:ascii="Arial" w:cs="Arial" w:eastAsia="Arial" w:hAnsi="Arial"/>
          <w:sz w:val="13"/>
          <w:szCs w:val="13"/>
          <w:i w:val="1"/>
          <w:iCs w:val="1"/>
          <w:color w:val="auto"/>
        </w:rPr>
        <w:t>Zwitserleven Nu Pensioen Plan</w:t>
      </w:r>
      <w:r>
        <w:rPr>
          <w:rFonts w:ascii="Arial" w:cs="Arial" w:eastAsia="Arial" w:hAnsi="Arial"/>
          <w:sz w:val="13"/>
          <w:szCs w:val="13"/>
          <w:color w:val="auto"/>
        </w:rPr>
        <w:t xml:space="preserve"> and our supplemental PVH Net Pension Plan. Both are defined contribution plans, the former for all associates and the latter for certain executives in our European headquarters in Amsterdam.</w:t>
      </w:r>
    </w:p>
    <w:p>
      <w:pPr>
        <w:spacing w:after="0" w:line="24" w:lineRule="exact"/>
        <w:rPr>
          <w:sz w:val="20"/>
          <w:szCs w:val="20"/>
          <w:color w:val="auto"/>
        </w:rPr>
      </w:pPr>
    </w:p>
    <w:p>
      <w:pPr>
        <w:ind w:left="149" w:right="5340" w:firstLine="8"/>
        <w:spacing w:after="0" w:line="302" w:lineRule="auto"/>
        <w:tabs>
          <w:tab w:leader="none" w:pos="313"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This amount represents personal use of a company car and driver. See discussion on page 55. c This amount represents a car allowance. See discussion on page 55.</w:t>
      </w:r>
    </w:p>
    <w:p>
      <w:pPr>
        <w:ind w:left="149"/>
        <w:spacing w:after="0"/>
        <w:rPr>
          <w:rFonts w:ascii="Arial" w:cs="Arial" w:eastAsia="Arial" w:hAnsi="Arial"/>
          <w:sz w:val="13"/>
          <w:szCs w:val="13"/>
          <w:color w:val="auto"/>
        </w:rPr>
      </w:pPr>
      <w:r>
        <w:rPr>
          <w:rFonts w:ascii="Arial" w:cs="Arial" w:eastAsia="Arial" w:hAnsi="Arial"/>
          <w:sz w:val="13"/>
          <w:szCs w:val="13"/>
          <w:color w:val="auto"/>
        </w:rPr>
        <w:t>d  This amount consists of a housing allowance of $298,560 and an additional expense gross-up of $19,792.</w:t>
      </w:r>
    </w:p>
    <w:p>
      <w:pPr>
        <w:spacing w:after="0" w:line="38" w:lineRule="exact"/>
        <w:rPr>
          <w:rFonts w:ascii="Arial" w:cs="Arial" w:eastAsia="Arial" w:hAnsi="Arial"/>
          <w:sz w:val="13"/>
          <w:szCs w:val="13"/>
          <w:color w:val="auto"/>
        </w:rPr>
      </w:pPr>
    </w:p>
    <w:p>
      <w:pPr>
        <w:ind w:left="149" w:right="160"/>
        <w:spacing w:after="0" w:line="302" w:lineRule="auto"/>
        <w:rPr>
          <w:rFonts w:ascii="Arial" w:cs="Arial" w:eastAsia="Arial" w:hAnsi="Arial"/>
          <w:sz w:val="13"/>
          <w:szCs w:val="13"/>
          <w:color w:val="auto"/>
        </w:rPr>
      </w:pPr>
      <w:r>
        <w:rPr>
          <w:rFonts w:ascii="Arial" w:cs="Arial" w:eastAsia="Arial" w:hAnsi="Arial"/>
          <w:sz w:val="13"/>
          <w:szCs w:val="13"/>
          <w:color w:val="auto"/>
        </w:rPr>
        <w:t>e This amount consists of housing allowance of $234,573, moving and relocation expenses of $70,161, a tax gross-up on the moving expenses of $36,692 and a moving allowance of $2,692. f This amount consists of housing allowance of $407,128 and a tax gross-up on moving expenses of $98,058.</w:t>
      </w:r>
    </w:p>
    <w:p>
      <w:pPr>
        <w:spacing w:after="0" w:line="1" w:lineRule="exact"/>
        <w:rPr>
          <w:sz w:val="20"/>
          <w:szCs w:val="20"/>
          <w:color w:val="auto"/>
        </w:rPr>
      </w:pPr>
    </w:p>
    <w:p>
      <w:pPr>
        <w:ind w:left="309" w:right="20" w:hanging="152"/>
        <w:spacing w:after="0" w:line="252" w:lineRule="auto"/>
        <w:tabs>
          <w:tab w:leader="none" w:pos="316"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This amount includes a prior year mobility adjustment of $206,517 with a tax gross-up of $255,490 and $124,492 tuition reimbursement with a tax gross up of $154,144, and $141,600 housing expense with a tax gross-up $155,479.</w:t>
      </w:r>
    </w:p>
    <w:p>
      <w:pPr>
        <w:spacing w:after="0" w:line="16" w:lineRule="exact"/>
        <w:rPr>
          <w:sz w:val="20"/>
          <w:szCs w:val="20"/>
          <w:color w:val="auto"/>
        </w:rPr>
      </w:pPr>
    </w:p>
    <w:p>
      <w:pPr>
        <w:ind w:left="149"/>
        <w:spacing w:after="0"/>
        <w:rPr>
          <w:sz w:val="20"/>
          <w:szCs w:val="20"/>
          <w:color w:val="auto"/>
        </w:rPr>
      </w:pPr>
      <w:r>
        <w:rPr>
          <w:rFonts w:ascii="Arial" w:cs="Arial" w:eastAsia="Arial" w:hAnsi="Arial"/>
          <w:sz w:val="13"/>
          <w:szCs w:val="13"/>
          <w:color w:val="auto"/>
        </w:rPr>
        <w:t>h  This amount consists of moving and relocation expenses of $251,456 and a tax gross-up on the moving allowance of $149,365.</w:t>
      </w:r>
    </w:p>
    <w:p>
      <w:pPr>
        <w:spacing w:after="0" w:line="39" w:lineRule="exact"/>
        <w:rPr>
          <w:sz w:val="20"/>
          <w:szCs w:val="20"/>
          <w:color w:val="auto"/>
        </w:rPr>
      </w:pPr>
    </w:p>
    <w:p>
      <w:pPr>
        <w:ind w:left="149" w:right="3440" w:firstLine="8"/>
        <w:spacing w:after="0" w:line="327" w:lineRule="auto"/>
        <w:tabs>
          <w:tab w:leader="none" w:pos="306" w:val="left"/>
        </w:tabs>
        <w:numPr>
          <w:ilvl w:val="0"/>
          <w:numId w:val="102"/>
        </w:numPr>
        <w:rPr>
          <w:rFonts w:ascii="Arial" w:cs="Arial" w:eastAsia="Arial" w:hAnsi="Arial"/>
          <w:sz w:val="12"/>
          <w:szCs w:val="12"/>
          <w:color w:val="auto"/>
        </w:rPr>
      </w:pPr>
      <w:r>
        <w:rPr>
          <w:rFonts w:ascii="Arial" w:cs="Arial" w:eastAsia="Arial" w:hAnsi="Arial"/>
          <w:sz w:val="12"/>
          <w:szCs w:val="12"/>
          <w:color w:val="auto"/>
        </w:rPr>
        <w:t>Mr. Coughlin received a personal benefit for moving expenses, but the amount was not required to be disclosed under SEC rules. j This amount represents severance and the wellness benefit value $29,008 and a $54,000 payment with a $44,184 gross-up.</w:t>
      </w:r>
    </w:p>
    <w:p>
      <w:pPr>
        <w:ind w:left="149"/>
        <w:spacing w:after="0"/>
        <w:rPr>
          <w:rFonts w:ascii="Arial" w:cs="Arial" w:eastAsia="Arial" w:hAnsi="Arial"/>
          <w:sz w:val="12"/>
          <w:szCs w:val="12"/>
          <w:color w:val="auto"/>
        </w:rPr>
      </w:pPr>
      <w:r>
        <w:rPr>
          <w:rFonts w:ascii="Arial" w:cs="Arial" w:eastAsia="Arial" w:hAnsi="Arial"/>
          <w:sz w:val="13"/>
          <w:szCs w:val="13"/>
          <w:color w:val="auto"/>
        </w:rPr>
        <w:t>k  This amount consists of moving and relocation expenses of $518,133 and a tax gross-up of $278,995.</w:t>
      </w:r>
    </w:p>
    <w:p>
      <w:pPr>
        <w:spacing w:after="0" w:line="39" w:lineRule="exact"/>
        <w:rPr>
          <w:sz w:val="20"/>
          <w:szCs w:val="20"/>
          <w:color w:val="auto"/>
        </w:rPr>
      </w:pPr>
    </w:p>
    <w:p>
      <w:pPr>
        <w:ind w:left="149" w:hanging="149"/>
        <w:spacing w:after="0" w:line="252" w:lineRule="auto"/>
        <w:tabs>
          <w:tab w:leader="none" w:pos="156" w:val="left"/>
        </w:tabs>
        <w:numPr>
          <w:ilvl w:val="0"/>
          <w:numId w:val="103"/>
        </w:numPr>
        <w:rPr>
          <w:rFonts w:ascii="Arial" w:cs="Arial" w:eastAsia="Arial" w:hAnsi="Arial"/>
          <w:sz w:val="13"/>
          <w:szCs w:val="13"/>
          <w:color w:val="auto"/>
        </w:rPr>
      </w:pPr>
      <w:r>
        <w:rPr>
          <w:rFonts w:ascii="Arial" w:cs="Arial" w:eastAsia="Arial" w:hAnsi="Arial"/>
          <w:sz w:val="13"/>
          <w:szCs w:val="13"/>
          <w:color w:val="auto"/>
        </w:rPr>
        <w:t>Ms. Rytz Goldman’s and Mr. Olsson’s cash compensation was paid in euros and has been converted at average euro-to-U.S. dollar exchange rates over the applicable fiscal year. The rates were 1.1422 for 2025, 1.0769 for 2024, and 1.0825 for 2023.</w:t>
      </w:r>
    </w:p>
    <w:p>
      <w:pPr>
        <w:spacing w:after="0" w:line="16" w:lineRule="exact"/>
        <w:rPr>
          <w:sz w:val="20"/>
          <w:szCs w:val="20"/>
          <w:color w:val="auto"/>
        </w:rPr>
      </w:pPr>
    </w:p>
    <w:p>
      <w:pPr>
        <w:ind w:left="9"/>
        <w:spacing w:after="0"/>
        <w:rPr>
          <w:sz w:val="20"/>
          <w:szCs w:val="20"/>
          <w:color w:val="auto"/>
        </w:rPr>
      </w:pPr>
      <w:r>
        <w:rPr>
          <w:rFonts w:ascii="Arial" w:cs="Arial" w:eastAsia="Arial" w:hAnsi="Arial"/>
          <w:sz w:val="13"/>
          <w:szCs w:val="13"/>
          <w:color w:val="auto"/>
        </w:rPr>
        <w:t>7  Mr. Coughlin voluntarily resigned without good reason and left the company effective December 31, 2025. As a result, he forfeited his stock awards for fiscal year 2025.</w:t>
      </w:r>
    </w:p>
    <w:p>
      <w:pPr>
        <w:spacing w:after="0" w:line="39" w:lineRule="exact"/>
        <w:rPr>
          <w:sz w:val="20"/>
          <w:szCs w:val="20"/>
          <w:color w:val="auto"/>
        </w:rPr>
      </w:pPr>
    </w:p>
    <w:p>
      <w:pPr>
        <w:ind w:left="149" w:right="220" w:hanging="149"/>
        <w:spacing w:after="0" w:line="252" w:lineRule="auto"/>
        <w:tabs>
          <w:tab w:leader="none" w:pos="156" w:val="left"/>
        </w:tabs>
        <w:numPr>
          <w:ilvl w:val="0"/>
          <w:numId w:val="104"/>
        </w:numPr>
        <w:rPr>
          <w:rFonts w:ascii="Arial" w:cs="Arial" w:eastAsia="Arial" w:hAnsi="Arial"/>
          <w:sz w:val="13"/>
          <w:szCs w:val="13"/>
          <w:color w:val="auto"/>
        </w:rPr>
      </w:pPr>
      <w:r>
        <w:rPr>
          <w:rFonts w:ascii="Arial" w:cs="Arial" w:eastAsia="Arial" w:hAnsi="Arial"/>
          <w:sz w:val="13"/>
          <w:szCs w:val="13"/>
          <w:color w:val="auto"/>
        </w:rPr>
        <w:t>Ms. Serrano became entitled to receive severance pursuant to the provision of her employment agreement relating to termination of employment without “cause” or for “good reason.” See the discussion under the heading “Employment Agreements” beginning on page 64.</w:t>
      </w:r>
    </w:p>
    <w:p>
      <w:pPr>
        <w:spacing w:after="0" w:line="150"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 xml:space="preserve">62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695515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29"/>
          </w:cols>
          <w:pgMar w:left="471" w:top="179" w:right="499" w:bottom="1440" w:gutter="0" w:footer="0" w:header="0"/>
        </w:sectPr>
      </w:pPr>
    </w:p>
    <w:bookmarkStart w:id="65" w:name="page66"/>
    <w:bookmarkEnd w:id="65"/>
    <w:p>
      <w:pPr>
        <w:ind w:left="20"/>
        <w:spacing w:after="0"/>
        <w:rPr>
          <w:sz w:val="20"/>
          <w:szCs w:val="20"/>
          <w:color w:val="auto"/>
        </w:rPr>
      </w:pPr>
      <w:r>
        <w:rPr>
          <w:rFonts w:ascii="Arial" w:cs="Arial" w:eastAsia="Arial" w:hAnsi="Arial"/>
          <w:sz w:val="28"/>
          <w:szCs w:val="28"/>
          <w:b w:val="1"/>
          <w:bCs w:val="1"/>
          <w:color w:val="6D98AD"/>
        </w:rPr>
        <w:t>Grants of Plan-Based Awards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shd w:val="clear" w:color="auto" w:fill="99B7C6"/>
          </w:tcPr>
          <w:p>
            <w:pPr>
              <w:spacing w:after="0"/>
              <w:rPr>
                <w:sz w:val="15"/>
                <w:szCs w:val="15"/>
                <w:color w:val="auto"/>
              </w:rPr>
            </w:pPr>
          </w:p>
        </w:tc>
        <w:tc>
          <w:tcPr>
            <w:tcW w:w="1040" w:type="dxa"/>
            <w:vAlign w:val="bottom"/>
            <w:shd w:val="clear" w:color="auto" w:fill="99B7C6"/>
          </w:tcPr>
          <w:p>
            <w:pPr>
              <w:spacing w:after="0"/>
              <w:rPr>
                <w:sz w:val="15"/>
                <w:szCs w:val="15"/>
                <w:color w:val="auto"/>
              </w:rPr>
            </w:pPr>
          </w:p>
        </w:tc>
        <w:tc>
          <w:tcPr>
            <w:tcW w:w="920" w:type="dxa"/>
            <w:vAlign w:val="bottom"/>
            <w:shd w:val="clear" w:color="auto" w:fill="6D98AD"/>
          </w:tcPr>
          <w:p>
            <w:pPr>
              <w:spacing w:after="0"/>
              <w:rPr>
                <w:sz w:val="15"/>
                <w:szCs w:val="15"/>
                <w:color w:val="auto"/>
              </w:rPr>
            </w:pPr>
          </w:p>
        </w:tc>
        <w:tc>
          <w:tcPr>
            <w:tcW w:w="1140" w:type="dxa"/>
            <w:vAlign w:val="bottom"/>
            <w:shd w:val="clear" w:color="auto" w:fill="6D98AD"/>
          </w:tcPr>
          <w:p>
            <w:pPr>
              <w:spacing w:after="0"/>
              <w:rPr>
                <w:sz w:val="15"/>
                <w:szCs w:val="15"/>
                <w:color w:val="auto"/>
              </w:rPr>
            </w:pPr>
          </w:p>
        </w:tc>
        <w:tc>
          <w:tcPr>
            <w:tcW w:w="680" w:type="dxa"/>
            <w:vAlign w:val="bottom"/>
            <w:shd w:val="clear" w:color="auto" w:fill="6D98AD"/>
          </w:tcPr>
          <w:p>
            <w:pPr>
              <w:spacing w:after="0"/>
              <w:rPr>
                <w:sz w:val="15"/>
                <w:szCs w:val="15"/>
                <w:color w:val="auto"/>
              </w:rPr>
            </w:pPr>
          </w:p>
        </w:tc>
        <w:tc>
          <w:tcPr>
            <w:tcW w:w="880" w:type="dxa"/>
            <w:vAlign w:val="bottom"/>
            <w:shd w:val="clear" w:color="auto" w:fill="99B7C6"/>
          </w:tcPr>
          <w:p>
            <w:pPr>
              <w:spacing w:after="0"/>
              <w:rPr>
                <w:sz w:val="15"/>
                <w:szCs w:val="15"/>
                <w:color w:val="auto"/>
              </w:rPr>
            </w:pPr>
          </w:p>
        </w:tc>
        <w:tc>
          <w:tcPr>
            <w:tcW w:w="740" w:type="dxa"/>
            <w:vAlign w:val="bottom"/>
            <w:shd w:val="clear" w:color="auto" w:fill="99B7C6"/>
          </w:tcPr>
          <w:p>
            <w:pPr>
              <w:spacing w:after="0"/>
              <w:rPr>
                <w:sz w:val="15"/>
                <w:szCs w:val="15"/>
                <w:color w:val="auto"/>
              </w:rPr>
            </w:pPr>
          </w:p>
        </w:tc>
        <w:tc>
          <w:tcPr>
            <w:tcW w:w="860" w:type="dxa"/>
            <w:vAlign w:val="bottom"/>
            <w:shd w:val="clear" w:color="auto" w:fill="99B7C6"/>
          </w:tcPr>
          <w:p>
            <w:pPr>
              <w:spacing w:after="0"/>
              <w:rPr>
                <w:sz w:val="15"/>
                <w:szCs w:val="15"/>
                <w:color w:val="auto"/>
              </w:rPr>
            </w:pPr>
          </w:p>
        </w:tc>
        <w:tc>
          <w:tcPr>
            <w:tcW w:w="920" w:type="dxa"/>
            <w:vAlign w:val="bottom"/>
            <w:shd w:val="clear" w:color="auto" w:fill="99B7C6"/>
          </w:tcPr>
          <w:p>
            <w:pPr>
              <w:jc w:val="right"/>
              <w:ind w:right="118"/>
              <w:spacing w:after="0"/>
              <w:rPr>
                <w:sz w:val="20"/>
                <w:szCs w:val="20"/>
                <w:color w:val="auto"/>
              </w:rPr>
            </w:pPr>
            <w:r>
              <w:rPr>
                <w:rFonts w:ascii="Arial" w:cs="Arial" w:eastAsia="Arial" w:hAnsi="Arial"/>
                <w:sz w:val="11"/>
                <w:szCs w:val="11"/>
                <w:b w:val="1"/>
                <w:bCs w:val="1"/>
                <w:color w:val="FFFFFF"/>
              </w:rPr>
              <w:t>All Other</w:t>
            </w:r>
          </w:p>
        </w:tc>
        <w:tc>
          <w:tcPr>
            <w:tcW w:w="840" w:type="dxa"/>
            <w:vAlign w:val="bottom"/>
            <w:shd w:val="clear" w:color="auto" w:fill="99B7C6"/>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920" w:type="dxa"/>
            <w:vAlign w:val="bottom"/>
            <w:shd w:val="clear" w:color="auto" w:fill="99B7C6"/>
          </w:tcPr>
          <w:p>
            <w:pPr>
              <w:spacing w:after="0"/>
              <w:rPr>
                <w:sz w:val="10"/>
                <w:szCs w:val="10"/>
                <w:color w:val="auto"/>
              </w:rPr>
            </w:pPr>
          </w:p>
        </w:tc>
        <w:tc>
          <w:tcPr>
            <w:tcW w:w="1040" w:type="dxa"/>
            <w:vAlign w:val="bottom"/>
            <w:shd w:val="clear" w:color="auto" w:fill="99B7C6"/>
          </w:tcPr>
          <w:p>
            <w:pPr>
              <w:spacing w:after="0"/>
              <w:rPr>
                <w:sz w:val="10"/>
                <w:szCs w:val="10"/>
                <w:color w:val="auto"/>
              </w:rPr>
            </w:pPr>
          </w:p>
        </w:tc>
        <w:tc>
          <w:tcPr>
            <w:tcW w:w="920" w:type="dxa"/>
            <w:vAlign w:val="bottom"/>
            <w:shd w:val="clear" w:color="auto" w:fill="6D98AD"/>
          </w:tcPr>
          <w:p>
            <w:pPr>
              <w:spacing w:after="0"/>
              <w:rPr>
                <w:sz w:val="10"/>
                <w:szCs w:val="10"/>
                <w:color w:val="auto"/>
              </w:rPr>
            </w:pPr>
          </w:p>
        </w:tc>
        <w:tc>
          <w:tcPr>
            <w:tcW w:w="1140" w:type="dxa"/>
            <w:vAlign w:val="bottom"/>
            <w:vMerge w:val="restart"/>
            <w:shd w:val="clear" w:color="auto" w:fill="6D98AD"/>
          </w:tcPr>
          <w:p>
            <w:pPr>
              <w:jc w:val="center"/>
              <w:ind w:right="174"/>
              <w:spacing w:after="0"/>
              <w:rPr>
                <w:sz w:val="20"/>
                <w:szCs w:val="20"/>
                <w:color w:val="auto"/>
              </w:rPr>
            </w:pPr>
            <w:r>
              <w:rPr>
                <w:rFonts w:ascii="Arial" w:cs="Arial" w:eastAsia="Arial" w:hAnsi="Arial"/>
                <w:sz w:val="11"/>
                <w:szCs w:val="11"/>
                <w:b w:val="1"/>
                <w:bCs w:val="1"/>
                <w:color w:val="FFFFFF"/>
              </w:rPr>
              <w:t>Estimated Future</w:t>
            </w:r>
          </w:p>
        </w:tc>
        <w:tc>
          <w:tcPr>
            <w:tcW w:w="680" w:type="dxa"/>
            <w:vAlign w:val="bottom"/>
            <w:shd w:val="clear" w:color="auto" w:fill="6D98AD"/>
          </w:tcPr>
          <w:p>
            <w:pPr>
              <w:spacing w:after="0"/>
              <w:rPr>
                <w:sz w:val="10"/>
                <w:szCs w:val="10"/>
                <w:color w:val="auto"/>
              </w:rPr>
            </w:pPr>
          </w:p>
        </w:tc>
        <w:tc>
          <w:tcPr>
            <w:tcW w:w="880" w:type="dxa"/>
            <w:vAlign w:val="bottom"/>
            <w:shd w:val="clear" w:color="auto" w:fill="99B7C6"/>
          </w:tcPr>
          <w:p>
            <w:pPr>
              <w:spacing w:after="0"/>
              <w:rPr>
                <w:sz w:val="10"/>
                <w:szCs w:val="10"/>
                <w:color w:val="auto"/>
              </w:rPr>
            </w:pPr>
          </w:p>
        </w:tc>
        <w:tc>
          <w:tcPr>
            <w:tcW w:w="740" w:type="dxa"/>
            <w:vAlign w:val="bottom"/>
            <w:shd w:val="clear" w:color="auto" w:fill="99B7C6"/>
          </w:tcPr>
          <w:p>
            <w:pPr>
              <w:spacing w:after="0"/>
              <w:rPr>
                <w:sz w:val="10"/>
                <w:szCs w:val="10"/>
                <w:color w:val="auto"/>
              </w:rPr>
            </w:pPr>
          </w:p>
        </w:tc>
        <w:tc>
          <w:tcPr>
            <w:tcW w:w="860" w:type="dxa"/>
            <w:vAlign w:val="bottom"/>
            <w:shd w:val="clear" w:color="auto" w:fill="99B7C6"/>
          </w:tcPr>
          <w:p>
            <w:pPr>
              <w:spacing w:after="0"/>
              <w:rPr>
                <w:sz w:val="10"/>
                <w:szCs w:val="10"/>
                <w:color w:val="auto"/>
              </w:rPr>
            </w:pPr>
          </w:p>
        </w:tc>
        <w:tc>
          <w:tcPr>
            <w:tcW w:w="920" w:type="dxa"/>
            <w:vAlign w:val="bottom"/>
            <w:shd w:val="clear" w:color="auto" w:fill="99B7C6"/>
          </w:tcPr>
          <w:p>
            <w:pPr>
              <w:jc w:val="right"/>
              <w:ind w:right="118"/>
              <w:spacing w:after="0" w:line="118" w:lineRule="exact"/>
              <w:rPr>
                <w:sz w:val="20"/>
                <w:szCs w:val="20"/>
                <w:color w:val="auto"/>
              </w:rPr>
            </w:pPr>
            <w:r>
              <w:rPr>
                <w:rFonts w:ascii="Arial" w:cs="Arial" w:eastAsia="Arial" w:hAnsi="Arial"/>
                <w:sz w:val="11"/>
                <w:szCs w:val="11"/>
                <w:b w:val="1"/>
                <w:bCs w:val="1"/>
                <w:color w:val="FFFFFF"/>
              </w:rPr>
              <w:t>Stock</w:t>
            </w:r>
          </w:p>
        </w:tc>
        <w:tc>
          <w:tcPr>
            <w:tcW w:w="840" w:type="dxa"/>
            <w:vAlign w:val="bottom"/>
            <w:shd w:val="clear" w:color="auto" w:fill="99B7C6"/>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920" w:type="dxa"/>
            <w:vAlign w:val="bottom"/>
            <w:shd w:val="clear" w:color="auto" w:fill="99B7C6"/>
          </w:tcPr>
          <w:p>
            <w:pPr>
              <w:spacing w:after="0"/>
              <w:rPr>
                <w:sz w:val="10"/>
                <w:szCs w:val="10"/>
                <w:color w:val="auto"/>
              </w:rPr>
            </w:pPr>
          </w:p>
        </w:tc>
        <w:tc>
          <w:tcPr>
            <w:tcW w:w="1040" w:type="dxa"/>
            <w:vAlign w:val="bottom"/>
            <w:shd w:val="clear" w:color="auto" w:fill="99B7C6"/>
          </w:tcPr>
          <w:p>
            <w:pPr>
              <w:spacing w:after="0"/>
              <w:rPr>
                <w:sz w:val="10"/>
                <w:szCs w:val="10"/>
                <w:color w:val="auto"/>
              </w:rPr>
            </w:pPr>
          </w:p>
        </w:tc>
        <w:tc>
          <w:tcPr>
            <w:tcW w:w="920" w:type="dxa"/>
            <w:vAlign w:val="bottom"/>
            <w:shd w:val="clear" w:color="auto" w:fill="6D98AD"/>
          </w:tcPr>
          <w:p>
            <w:pPr>
              <w:spacing w:after="0"/>
              <w:rPr>
                <w:sz w:val="10"/>
                <w:szCs w:val="10"/>
                <w:color w:val="auto"/>
              </w:rPr>
            </w:pPr>
          </w:p>
        </w:tc>
        <w:tc>
          <w:tcPr>
            <w:tcW w:w="1140" w:type="dxa"/>
            <w:vAlign w:val="bottom"/>
            <w:vMerge w:val="continue"/>
            <w:shd w:val="clear" w:color="auto" w:fill="6D98AD"/>
          </w:tcPr>
          <w:p>
            <w:pPr>
              <w:spacing w:after="0"/>
              <w:rPr>
                <w:sz w:val="10"/>
                <w:szCs w:val="10"/>
                <w:color w:val="auto"/>
              </w:rPr>
            </w:pPr>
          </w:p>
        </w:tc>
        <w:tc>
          <w:tcPr>
            <w:tcW w:w="680" w:type="dxa"/>
            <w:vAlign w:val="bottom"/>
            <w:shd w:val="clear" w:color="auto" w:fill="6D98AD"/>
          </w:tcPr>
          <w:p>
            <w:pPr>
              <w:spacing w:after="0"/>
              <w:rPr>
                <w:sz w:val="10"/>
                <w:szCs w:val="10"/>
                <w:color w:val="auto"/>
              </w:rPr>
            </w:pPr>
          </w:p>
        </w:tc>
        <w:tc>
          <w:tcPr>
            <w:tcW w:w="880" w:type="dxa"/>
            <w:vAlign w:val="bottom"/>
            <w:shd w:val="clear" w:color="auto" w:fill="99B7C6"/>
          </w:tcPr>
          <w:p>
            <w:pPr>
              <w:spacing w:after="0"/>
              <w:rPr>
                <w:sz w:val="10"/>
                <w:szCs w:val="10"/>
                <w:color w:val="auto"/>
              </w:rPr>
            </w:pPr>
          </w:p>
        </w:tc>
        <w:tc>
          <w:tcPr>
            <w:tcW w:w="740" w:type="dxa"/>
            <w:vAlign w:val="bottom"/>
            <w:shd w:val="clear" w:color="auto" w:fill="99B7C6"/>
          </w:tcPr>
          <w:p>
            <w:pPr>
              <w:spacing w:after="0"/>
              <w:rPr>
                <w:sz w:val="10"/>
                <w:szCs w:val="10"/>
                <w:color w:val="auto"/>
              </w:rPr>
            </w:pPr>
          </w:p>
        </w:tc>
        <w:tc>
          <w:tcPr>
            <w:tcW w:w="860" w:type="dxa"/>
            <w:vAlign w:val="bottom"/>
            <w:shd w:val="clear" w:color="auto" w:fill="99B7C6"/>
          </w:tcPr>
          <w:p>
            <w:pPr>
              <w:spacing w:after="0"/>
              <w:rPr>
                <w:sz w:val="10"/>
                <w:szCs w:val="10"/>
                <w:color w:val="auto"/>
              </w:rPr>
            </w:pPr>
          </w:p>
        </w:tc>
        <w:tc>
          <w:tcPr>
            <w:tcW w:w="920" w:type="dxa"/>
            <w:vAlign w:val="bottom"/>
            <w:shd w:val="clear" w:color="auto" w:fill="99B7C6"/>
          </w:tcPr>
          <w:p>
            <w:pPr>
              <w:jc w:val="right"/>
              <w:ind w:right="118"/>
              <w:spacing w:after="0" w:line="118" w:lineRule="exact"/>
              <w:rPr>
                <w:sz w:val="20"/>
                <w:szCs w:val="20"/>
                <w:color w:val="auto"/>
              </w:rPr>
            </w:pPr>
            <w:r>
              <w:rPr>
                <w:rFonts w:ascii="Arial" w:cs="Arial" w:eastAsia="Arial" w:hAnsi="Arial"/>
                <w:sz w:val="11"/>
                <w:szCs w:val="11"/>
                <w:b w:val="1"/>
                <w:bCs w:val="1"/>
                <w:color w:val="FFFFFF"/>
              </w:rPr>
              <w:t>Awards:</w:t>
            </w:r>
          </w:p>
        </w:tc>
        <w:tc>
          <w:tcPr>
            <w:tcW w:w="840" w:type="dxa"/>
            <w:vAlign w:val="bottom"/>
            <w:shd w:val="clear" w:color="auto" w:fill="99B7C6"/>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20" w:type="dxa"/>
            <w:vAlign w:val="bottom"/>
            <w:shd w:val="clear" w:color="auto" w:fill="99B7C6"/>
          </w:tcPr>
          <w:p>
            <w:pPr>
              <w:spacing w:after="0"/>
              <w:rPr>
                <w:sz w:val="10"/>
                <w:szCs w:val="10"/>
                <w:color w:val="auto"/>
              </w:rPr>
            </w:pPr>
          </w:p>
        </w:tc>
        <w:tc>
          <w:tcPr>
            <w:tcW w:w="1040" w:type="dxa"/>
            <w:vAlign w:val="bottom"/>
            <w:shd w:val="clear" w:color="auto" w:fill="99B7C6"/>
          </w:tcPr>
          <w:p>
            <w:pPr>
              <w:spacing w:after="0"/>
              <w:rPr>
                <w:sz w:val="10"/>
                <w:szCs w:val="10"/>
                <w:color w:val="auto"/>
              </w:rPr>
            </w:pPr>
          </w:p>
        </w:tc>
        <w:tc>
          <w:tcPr>
            <w:tcW w:w="2060" w:type="dxa"/>
            <w:vAlign w:val="bottom"/>
            <w:gridSpan w:val="2"/>
            <w:shd w:val="clear" w:color="auto" w:fill="6D98AD"/>
          </w:tcPr>
          <w:p>
            <w:pPr>
              <w:jc w:val="center"/>
              <w:ind w:left="595"/>
              <w:spacing w:after="0" w:line="122" w:lineRule="exact"/>
              <w:rPr>
                <w:sz w:val="20"/>
                <w:szCs w:val="20"/>
                <w:color w:val="auto"/>
              </w:rPr>
            </w:pPr>
            <w:r>
              <w:rPr>
                <w:rFonts w:ascii="Arial" w:cs="Arial" w:eastAsia="Arial" w:hAnsi="Arial"/>
                <w:sz w:val="11"/>
                <w:szCs w:val="11"/>
                <w:b w:val="1"/>
                <w:bCs w:val="1"/>
                <w:color w:val="FFFFFF"/>
              </w:rPr>
              <w:t>Payouts Under Non-Equity</w:t>
            </w:r>
          </w:p>
        </w:tc>
        <w:tc>
          <w:tcPr>
            <w:tcW w:w="680" w:type="dxa"/>
            <w:vAlign w:val="bottom"/>
            <w:shd w:val="clear" w:color="auto" w:fill="6D98AD"/>
          </w:tcPr>
          <w:p>
            <w:pPr>
              <w:spacing w:after="0"/>
              <w:rPr>
                <w:sz w:val="10"/>
                <w:szCs w:val="10"/>
                <w:color w:val="auto"/>
              </w:rPr>
            </w:pPr>
          </w:p>
        </w:tc>
        <w:tc>
          <w:tcPr>
            <w:tcW w:w="2480" w:type="dxa"/>
            <w:vAlign w:val="bottom"/>
            <w:gridSpan w:val="3"/>
            <w:shd w:val="clear" w:color="auto" w:fill="99B7C6"/>
          </w:tcPr>
          <w:p>
            <w:pPr>
              <w:jc w:val="right"/>
              <w:ind w:right="333"/>
              <w:spacing w:after="0" w:line="122" w:lineRule="exact"/>
              <w:rPr>
                <w:sz w:val="20"/>
                <w:szCs w:val="20"/>
                <w:color w:val="auto"/>
              </w:rPr>
            </w:pPr>
            <w:r>
              <w:rPr>
                <w:rFonts w:ascii="Arial" w:cs="Arial" w:eastAsia="Arial" w:hAnsi="Arial"/>
                <w:sz w:val="11"/>
                <w:szCs w:val="11"/>
                <w:b w:val="1"/>
                <w:bCs w:val="1"/>
                <w:color w:val="FFFFFF"/>
              </w:rPr>
              <w:t>Estimated Future Payouts Under</w:t>
            </w:r>
          </w:p>
        </w:tc>
        <w:tc>
          <w:tcPr>
            <w:tcW w:w="920" w:type="dxa"/>
            <w:vAlign w:val="bottom"/>
            <w:shd w:val="clear" w:color="auto" w:fill="99B7C6"/>
          </w:tcPr>
          <w:p>
            <w:pPr>
              <w:jc w:val="right"/>
              <w:ind w:right="118"/>
              <w:spacing w:after="0" w:line="122" w:lineRule="exact"/>
              <w:rPr>
                <w:sz w:val="20"/>
                <w:szCs w:val="20"/>
                <w:color w:val="auto"/>
              </w:rPr>
            </w:pPr>
            <w:r>
              <w:rPr>
                <w:rFonts w:ascii="Arial" w:cs="Arial" w:eastAsia="Arial" w:hAnsi="Arial"/>
                <w:sz w:val="11"/>
                <w:szCs w:val="11"/>
                <w:b w:val="1"/>
                <w:bCs w:val="1"/>
                <w:color w:val="FFFFFF"/>
              </w:rPr>
              <w:t>Number of</w:t>
            </w:r>
          </w:p>
        </w:tc>
        <w:tc>
          <w:tcPr>
            <w:tcW w:w="840" w:type="dxa"/>
            <w:vAlign w:val="bottom"/>
            <w:shd w:val="clear" w:color="auto" w:fill="99B7C6"/>
          </w:tcPr>
          <w:p>
            <w:pPr>
              <w:jc w:val="right"/>
              <w:ind w:right="14"/>
              <w:spacing w:after="0" w:line="122" w:lineRule="exact"/>
              <w:rPr>
                <w:sz w:val="20"/>
                <w:szCs w:val="20"/>
                <w:color w:val="auto"/>
              </w:rPr>
            </w:pPr>
            <w:r>
              <w:rPr>
                <w:rFonts w:ascii="Arial" w:cs="Arial" w:eastAsia="Arial" w:hAnsi="Arial"/>
                <w:sz w:val="11"/>
                <w:szCs w:val="11"/>
                <w:b w:val="1"/>
                <w:bCs w:val="1"/>
                <w:color w:val="FFFFFF"/>
              </w:rPr>
              <w:t>Grant Date</w:t>
            </w:r>
          </w:p>
        </w:tc>
        <w:tc>
          <w:tcPr>
            <w:tcW w:w="0" w:type="dxa"/>
            <w:vAlign w:val="bottom"/>
          </w:tcPr>
          <w:p>
            <w:pPr>
              <w:spacing w:after="0"/>
              <w:rPr>
                <w:sz w:val="1"/>
                <w:szCs w:val="1"/>
                <w:color w:val="auto"/>
              </w:rPr>
            </w:pPr>
          </w:p>
        </w:tc>
      </w:tr>
      <w:tr>
        <w:trPr>
          <w:trHeight w:val="145"/>
        </w:trPr>
        <w:tc>
          <w:tcPr>
            <w:tcW w:w="2920" w:type="dxa"/>
            <w:vAlign w:val="bottom"/>
            <w:tcBorders>
              <w:bottom w:val="single" w:sz="8" w:color="99B7C6"/>
            </w:tcBorders>
            <w:shd w:val="clear" w:color="auto" w:fill="99B7C6"/>
          </w:tcPr>
          <w:p>
            <w:pPr>
              <w:spacing w:after="0"/>
              <w:rPr>
                <w:sz w:val="12"/>
                <w:szCs w:val="12"/>
                <w:color w:val="auto"/>
              </w:rPr>
            </w:pPr>
          </w:p>
        </w:tc>
        <w:tc>
          <w:tcPr>
            <w:tcW w:w="1040" w:type="dxa"/>
            <w:vAlign w:val="bottom"/>
            <w:tcBorders>
              <w:bottom w:val="single" w:sz="8" w:color="99B7C6"/>
            </w:tcBorders>
            <w:shd w:val="clear" w:color="auto" w:fill="99B7C6"/>
          </w:tcPr>
          <w:p>
            <w:pPr>
              <w:spacing w:after="0"/>
              <w:rPr>
                <w:sz w:val="12"/>
                <w:szCs w:val="12"/>
                <w:color w:val="auto"/>
              </w:rPr>
            </w:pPr>
          </w:p>
        </w:tc>
        <w:tc>
          <w:tcPr>
            <w:tcW w:w="2060" w:type="dxa"/>
            <w:vAlign w:val="bottom"/>
            <w:tcBorders>
              <w:bottom w:val="single" w:sz="8" w:color="6D98AD"/>
            </w:tcBorders>
            <w:gridSpan w:val="2"/>
            <w:shd w:val="clear" w:color="auto" w:fill="6D98AD"/>
          </w:tcPr>
          <w:p>
            <w:pPr>
              <w:jc w:val="center"/>
              <w:ind w:left="635"/>
              <w:spacing w:after="0" w:line="118" w:lineRule="exact"/>
              <w:rPr>
                <w:sz w:val="20"/>
                <w:szCs w:val="20"/>
                <w:color w:val="auto"/>
              </w:rPr>
            </w:pPr>
            <w:r>
              <w:rPr>
                <w:rFonts w:ascii="Arial" w:cs="Arial" w:eastAsia="Arial" w:hAnsi="Arial"/>
                <w:sz w:val="11"/>
                <w:szCs w:val="11"/>
                <w:b w:val="1"/>
                <w:bCs w:val="1"/>
                <w:color w:val="FFFFFF"/>
                <w:w w:val="98"/>
              </w:rPr>
              <w:t>Incentive Plan Awards</w:t>
            </w:r>
            <w:r>
              <w:rPr>
                <w:rFonts w:ascii="Arial" w:cs="Arial" w:eastAsia="Arial" w:hAnsi="Arial"/>
                <w:sz w:val="12"/>
                <w:szCs w:val="12"/>
                <w:b w:val="1"/>
                <w:bCs w:val="1"/>
                <w:color w:val="FFFFFF"/>
                <w:w w:val="98"/>
                <w:vertAlign w:val="superscript"/>
              </w:rPr>
              <w:t>1</w:t>
            </w:r>
          </w:p>
        </w:tc>
        <w:tc>
          <w:tcPr>
            <w:tcW w:w="680" w:type="dxa"/>
            <w:vAlign w:val="bottom"/>
            <w:tcBorders>
              <w:bottom w:val="single" w:sz="8" w:color="6D98AD"/>
            </w:tcBorders>
            <w:shd w:val="clear" w:color="auto" w:fill="6D98AD"/>
          </w:tcPr>
          <w:p>
            <w:pPr>
              <w:spacing w:after="0"/>
              <w:rPr>
                <w:sz w:val="12"/>
                <w:szCs w:val="12"/>
                <w:color w:val="auto"/>
              </w:rPr>
            </w:pPr>
          </w:p>
        </w:tc>
        <w:tc>
          <w:tcPr>
            <w:tcW w:w="2480" w:type="dxa"/>
            <w:vAlign w:val="bottom"/>
            <w:tcBorders>
              <w:bottom w:val="single" w:sz="8" w:color="99B7C6"/>
            </w:tcBorders>
            <w:gridSpan w:val="3"/>
            <w:shd w:val="clear" w:color="auto" w:fill="99B7C6"/>
          </w:tcPr>
          <w:p>
            <w:pPr>
              <w:jc w:val="right"/>
              <w:ind w:right="373"/>
              <w:spacing w:after="0" w:line="118" w:lineRule="exact"/>
              <w:rPr>
                <w:sz w:val="20"/>
                <w:szCs w:val="20"/>
                <w:color w:val="auto"/>
              </w:rPr>
            </w:pPr>
            <w:r>
              <w:rPr>
                <w:rFonts w:ascii="Arial" w:cs="Arial" w:eastAsia="Arial" w:hAnsi="Arial"/>
                <w:sz w:val="11"/>
                <w:szCs w:val="11"/>
                <w:b w:val="1"/>
                <w:bCs w:val="1"/>
                <w:color w:val="FFFFFF"/>
              </w:rPr>
              <w:t>Equity Incentive Plan Awards</w:t>
            </w:r>
            <w:r>
              <w:rPr>
                <w:rFonts w:ascii="Arial" w:cs="Arial" w:eastAsia="Arial" w:hAnsi="Arial"/>
                <w:sz w:val="12"/>
                <w:szCs w:val="12"/>
                <w:b w:val="1"/>
                <w:bCs w:val="1"/>
                <w:color w:val="FFFFFF"/>
                <w:vertAlign w:val="superscript"/>
              </w:rPr>
              <w:t>2</w:t>
            </w:r>
          </w:p>
        </w:tc>
        <w:tc>
          <w:tcPr>
            <w:tcW w:w="920" w:type="dxa"/>
            <w:vAlign w:val="bottom"/>
            <w:tcBorders>
              <w:bottom w:val="single" w:sz="8" w:color="99B7C6"/>
            </w:tcBorders>
            <w:shd w:val="clear" w:color="auto" w:fill="99B7C6"/>
          </w:tcPr>
          <w:p>
            <w:pPr>
              <w:jc w:val="right"/>
              <w:ind w:right="118"/>
              <w:spacing w:after="0" w:line="118" w:lineRule="exact"/>
              <w:rPr>
                <w:sz w:val="20"/>
                <w:szCs w:val="20"/>
                <w:color w:val="auto"/>
              </w:rPr>
            </w:pPr>
            <w:r>
              <w:rPr>
                <w:rFonts w:ascii="Arial" w:cs="Arial" w:eastAsia="Arial" w:hAnsi="Arial"/>
                <w:sz w:val="11"/>
                <w:szCs w:val="11"/>
                <w:b w:val="1"/>
                <w:bCs w:val="1"/>
                <w:color w:val="FFFFFF"/>
              </w:rPr>
              <w:t>Shares of</w:t>
            </w:r>
          </w:p>
        </w:tc>
        <w:tc>
          <w:tcPr>
            <w:tcW w:w="840" w:type="dxa"/>
            <w:vAlign w:val="bottom"/>
            <w:tcBorders>
              <w:bottom w:val="single" w:sz="8" w:color="99B7C6"/>
            </w:tcBorders>
            <w:shd w:val="clear" w:color="auto" w:fill="99B7C6"/>
          </w:tcPr>
          <w:p>
            <w:pPr>
              <w:jc w:val="right"/>
              <w:ind w:right="14"/>
              <w:spacing w:after="0" w:line="118" w:lineRule="exact"/>
              <w:rPr>
                <w:sz w:val="20"/>
                <w:szCs w:val="20"/>
                <w:color w:val="auto"/>
              </w:rPr>
            </w:pPr>
            <w:r>
              <w:rPr>
                <w:rFonts w:ascii="Arial" w:cs="Arial" w:eastAsia="Arial" w:hAnsi="Arial"/>
                <w:sz w:val="11"/>
                <w:szCs w:val="11"/>
                <w:b w:val="1"/>
                <w:bCs w:val="1"/>
                <w:color w:val="FFFFFF"/>
              </w:rPr>
              <w:t>Fair Value</w:t>
            </w:r>
          </w:p>
        </w:tc>
        <w:tc>
          <w:tcPr>
            <w:tcW w:w="0" w:type="dxa"/>
            <w:vAlign w:val="bottom"/>
          </w:tcPr>
          <w:p>
            <w:pPr>
              <w:spacing w:after="0"/>
              <w:rPr>
                <w:sz w:val="1"/>
                <w:szCs w:val="1"/>
                <w:color w:val="auto"/>
              </w:rPr>
            </w:pPr>
          </w:p>
        </w:tc>
      </w:tr>
      <w:tr>
        <w:trPr>
          <w:trHeight w:val="78"/>
        </w:trPr>
        <w:tc>
          <w:tcPr>
            <w:tcW w:w="2920" w:type="dxa"/>
            <w:vAlign w:val="bottom"/>
            <w:shd w:val="clear" w:color="auto" w:fill="99B7C6"/>
          </w:tcPr>
          <w:p>
            <w:pPr>
              <w:spacing w:after="0"/>
              <w:rPr>
                <w:sz w:val="6"/>
                <w:szCs w:val="6"/>
                <w:color w:val="auto"/>
              </w:rPr>
            </w:pPr>
          </w:p>
        </w:tc>
        <w:tc>
          <w:tcPr>
            <w:tcW w:w="1040" w:type="dxa"/>
            <w:vAlign w:val="bottom"/>
            <w:shd w:val="clear" w:color="auto" w:fill="99B7C6"/>
          </w:tcPr>
          <w:p>
            <w:pPr>
              <w:spacing w:after="0"/>
              <w:rPr>
                <w:sz w:val="6"/>
                <w:szCs w:val="6"/>
                <w:color w:val="auto"/>
              </w:rPr>
            </w:pPr>
          </w:p>
        </w:tc>
        <w:tc>
          <w:tcPr>
            <w:tcW w:w="920" w:type="dxa"/>
            <w:vAlign w:val="bottom"/>
            <w:vMerge w:val="restart"/>
            <w:shd w:val="clear" w:color="auto" w:fill="8AADBD"/>
          </w:tcPr>
          <w:p>
            <w:pPr>
              <w:jc w:val="right"/>
              <w:ind w:right="35"/>
              <w:spacing w:after="0"/>
              <w:rPr>
                <w:sz w:val="20"/>
                <w:szCs w:val="20"/>
                <w:color w:val="auto"/>
              </w:rPr>
            </w:pPr>
            <w:r>
              <w:rPr>
                <w:rFonts w:ascii="Arial" w:cs="Arial" w:eastAsia="Arial" w:hAnsi="Arial"/>
                <w:sz w:val="11"/>
                <w:szCs w:val="11"/>
                <w:b w:val="1"/>
                <w:bCs w:val="1"/>
                <w:color w:val="FFFFFF"/>
              </w:rPr>
              <w:t>Threshold</w:t>
            </w:r>
          </w:p>
        </w:tc>
        <w:tc>
          <w:tcPr>
            <w:tcW w:w="1140" w:type="dxa"/>
            <w:vAlign w:val="bottom"/>
            <w:vMerge w:val="restart"/>
            <w:shd w:val="clear" w:color="auto" w:fill="8AADBD"/>
          </w:tcPr>
          <w:p>
            <w:pPr>
              <w:jc w:val="right"/>
              <w:ind w:right="274"/>
              <w:spacing w:after="0"/>
              <w:rPr>
                <w:sz w:val="20"/>
                <w:szCs w:val="20"/>
                <w:color w:val="auto"/>
              </w:rPr>
            </w:pPr>
            <w:r>
              <w:rPr>
                <w:rFonts w:ascii="Arial" w:cs="Arial" w:eastAsia="Arial" w:hAnsi="Arial"/>
                <w:sz w:val="11"/>
                <w:szCs w:val="11"/>
                <w:b w:val="1"/>
                <w:bCs w:val="1"/>
                <w:color w:val="FFFFFF"/>
              </w:rPr>
              <w:t>Target</w:t>
            </w:r>
          </w:p>
        </w:tc>
        <w:tc>
          <w:tcPr>
            <w:tcW w:w="680" w:type="dxa"/>
            <w:vAlign w:val="bottom"/>
            <w:vMerge w:val="restart"/>
            <w:shd w:val="clear" w:color="auto" w:fill="8AADBD"/>
          </w:tcPr>
          <w:p>
            <w:pPr>
              <w:jc w:val="right"/>
              <w:ind w:right="13"/>
              <w:spacing w:after="0"/>
              <w:rPr>
                <w:sz w:val="20"/>
                <w:szCs w:val="20"/>
                <w:color w:val="auto"/>
              </w:rPr>
            </w:pPr>
            <w:r>
              <w:rPr>
                <w:rFonts w:ascii="Arial" w:cs="Arial" w:eastAsia="Arial" w:hAnsi="Arial"/>
                <w:sz w:val="11"/>
                <w:szCs w:val="11"/>
                <w:b w:val="1"/>
                <w:bCs w:val="1"/>
                <w:color w:val="FFFFFF"/>
              </w:rPr>
              <w:t>Maximum</w:t>
            </w:r>
          </w:p>
        </w:tc>
        <w:tc>
          <w:tcPr>
            <w:tcW w:w="880" w:type="dxa"/>
            <w:vAlign w:val="bottom"/>
            <w:vMerge w:val="restart"/>
            <w:shd w:val="clear" w:color="auto" w:fill="B6CCD6"/>
          </w:tcPr>
          <w:p>
            <w:pPr>
              <w:jc w:val="right"/>
              <w:ind w:right="15"/>
              <w:spacing w:after="0"/>
              <w:rPr>
                <w:sz w:val="20"/>
                <w:szCs w:val="20"/>
                <w:color w:val="auto"/>
              </w:rPr>
            </w:pPr>
            <w:r>
              <w:rPr>
                <w:rFonts w:ascii="Arial" w:cs="Arial" w:eastAsia="Arial" w:hAnsi="Arial"/>
                <w:sz w:val="11"/>
                <w:szCs w:val="11"/>
                <w:b w:val="1"/>
                <w:bCs w:val="1"/>
                <w:color w:val="FFFFFF"/>
              </w:rPr>
              <w:t>Threshold</w:t>
            </w:r>
          </w:p>
        </w:tc>
        <w:tc>
          <w:tcPr>
            <w:tcW w:w="740" w:type="dxa"/>
            <w:vAlign w:val="bottom"/>
            <w:vMerge w:val="restart"/>
            <w:shd w:val="clear" w:color="auto" w:fill="B6CCD6"/>
          </w:tcPr>
          <w:p>
            <w:pPr>
              <w:jc w:val="right"/>
              <w:ind w:right="33"/>
              <w:spacing w:after="0"/>
              <w:rPr>
                <w:sz w:val="20"/>
                <w:szCs w:val="20"/>
                <w:color w:val="auto"/>
              </w:rPr>
            </w:pPr>
            <w:r>
              <w:rPr>
                <w:rFonts w:ascii="Arial" w:cs="Arial" w:eastAsia="Arial" w:hAnsi="Arial"/>
                <w:sz w:val="11"/>
                <w:szCs w:val="11"/>
                <w:b w:val="1"/>
                <w:bCs w:val="1"/>
                <w:color w:val="FFFFFF"/>
              </w:rPr>
              <w:t>Target</w:t>
            </w:r>
          </w:p>
        </w:tc>
        <w:tc>
          <w:tcPr>
            <w:tcW w:w="860" w:type="dxa"/>
            <w:vAlign w:val="bottom"/>
            <w:vMerge w:val="restart"/>
            <w:shd w:val="clear" w:color="auto" w:fill="B6CCD6"/>
          </w:tcPr>
          <w:p>
            <w:pPr>
              <w:jc w:val="right"/>
              <w:ind w:right="13"/>
              <w:spacing w:after="0"/>
              <w:rPr>
                <w:sz w:val="20"/>
                <w:szCs w:val="20"/>
                <w:color w:val="auto"/>
              </w:rPr>
            </w:pPr>
            <w:r>
              <w:rPr>
                <w:rFonts w:ascii="Arial" w:cs="Arial" w:eastAsia="Arial" w:hAnsi="Arial"/>
                <w:sz w:val="11"/>
                <w:szCs w:val="11"/>
                <w:b w:val="1"/>
                <w:bCs w:val="1"/>
                <w:color w:val="FFFFFF"/>
              </w:rPr>
              <w:t>Maximum</w:t>
            </w:r>
          </w:p>
        </w:tc>
        <w:tc>
          <w:tcPr>
            <w:tcW w:w="920" w:type="dxa"/>
            <w:vAlign w:val="bottom"/>
            <w:shd w:val="clear" w:color="auto" w:fill="99B7C6"/>
          </w:tcPr>
          <w:p>
            <w:pPr>
              <w:jc w:val="right"/>
              <w:ind w:right="78"/>
              <w:spacing w:after="0" w:line="78" w:lineRule="exact"/>
              <w:rPr>
                <w:sz w:val="20"/>
                <w:szCs w:val="20"/>
                <w:color w:val="auto"/>
              </w:rPr>
            </w:pPr>
            <w:r>
              <w:rPr>
                <w:rFonts w:ascii="Arial" w:cs="Arial" w:eastAsia="Arial" w:hAnsi="Arial"/>
                <w:sz w:val="9"/>
                <w:szCs w:val="9"/>
                <w:b w:val="1"/>
                <w:bCs w:val="1"/>
                <w:color w:val="FFFFFF"/>
              </w:rPr>
              <w:t>Stock or</w:t>
            </w:r>
          </w:p>
        </w:tc>
        <w:tc>
          <w:tcPr>
            <w:tcW w:w="840" w:type="dxa"/>
            <w:vAlign w:val="bottom"/>
            <w:shd w:val="clear" w:color="auto" w:fill="99B7C6"/>
          </w:tcPr>
          <w:p>
            <w:pPr>
              <w:jc w:val="right"/>
              <w:ind w:right="14"/>
              <w:spacing w:after="0" w:line="78" w:lineRule="exact"/>
              <w:rPr>
                <w:sz w:val="20"/>
                <w:szCs w:val="20"/>
                <w:color w:val="auto"/>
              </w:rPr>
            </w:pPr>
            <w:r>
              <w:rPr>
                <w:rFonts w:ascii="Arial" w:cs="Arial" w:eastAsia="Arial" w:hAnsi="Arial"/>
                <w:sz w:val="9"/>
                <w:szCs w:val="9"/>
                <w:b w:val="1"/>
                <w:bCs w:val="1"/>
                <w:color w:val="FFFFFF"/>
              </w:rPr>
              <w:t>of Stock</w:t>
            </w:r>
          </w:p>
        </w:tc>
        <w:tc>
          <w:tcPr>
            <w:tcW w:w="0" w:type="dxa"/>
            <w:vAlign w:val="bottom"/>
          </w:tcPr>
          <w:p>
            <w:pPr>
              <w:spacing w:after="0"/>
              <w:rPr>
                <w:sz w:val="1"/>
                <w:szCs w:val="1"/>
                <w:color w:val="auto"/>
              </w:rPr>
            </w:pPr>
          </w:p>
        </w:tc>
      </w:tr>
      <w:tr>
        <w:trPr>
          <w:trHeight w:val="111"/>
        </w:trPr>
        <w:tc>
          <w:tcPr>
            <w:tcW w:w="2920" w:type="dxa"/>
            <w:vAlign w:val="bottom"/>
            <w:vMerge w:val="restart"/>
            <w:shd w:val="clear" w:color="auto" w:fill="99B7C6"/>
          </w:tcPr>
          <w:p>
            <w:pPr>
              <w:ind w:left="60"/>
              <w:spacing w:after="0"/>
              <w:rPr>
                <w:sz w:val="20"/>
                <w:szCs w:val="20"/>
                <w:color w:val="auto"/>
              </w:rPr>
            </w:pPr>
            <w:r>
              <w:rPr>
                <w:rFonts w:ascii="Arial" w:cs="Arial" w:eastAsia="Arial" w:hAnsi="Arial"/>
                <w:sz w:val="11"/>
                <w:szCs w:val="11"/>
                <w:b w:val="1"/>
                <w:bCs w:val="1"/>
                <w:color w:val="FFFFFF"/>
              </w:rPr>
              <w:t>Name</w:t>
            </w:r>
          </w:p>
        </w:tc>
        <w:tc>
          <w:tcPr>
            <w:tcW w:w="1040" w:type="dxa"/>
            <w:vAlign w:val="bottom"/>
            <w:vMerge w:val="restart"/>
            <w:shd w:val="clear" w:color="auto" w:fill="99B7C6"/>
          </w:tcPr>
          <w:p>
            <w:pPr>
              <w:jc w:val="right"/>
              <w:spacing w:after="0"/>
              <w:rPr>
                <w:sz w:val="20"/>
                <w:szCs w:val="20"/>
                <w:color w:val="auto"/>
              </w:rPr>
            </w:pPr>
            <w:r>
              <w:rPr>
                <w:rFonts w:ascii="Arial" w:cs="Arial" w:eastAsia="Arial" w:hAnsi="Arial"/>
                <w:sz w:val="11"/>
                <w:szCs w:val="11"/>
                <w:b w:val="1"/>
                <w:bCs w:val="1"/>
                <w:color w:val="FFFFFF"/>
              </w:rPr>
              <w:t>Grant Date</w:t>
            </w:r>
          </w:p>
        </w:tc>
        <w:tc>
          <w:tcPr>
            <w:tcW w:w="920" w:type="dxa"/>
            <w:vAlign w:val="bottom"/>
            <w:vMerge w:val="continue"/>
            <w:shd w:val="clear" w:color="auto" w:fill="8AADBD"/>
          </w:tcPr>
          <w:p>
            <w:pPr>
              <w:spacing w:after="0"/>
              <w:rPr>
                <w:sz w:val="9"/>
                <w:szCs w:val="9"/>
                <w:color w:val="auto"/>
              </w:rPr>
            </w:pPr>
          </w:p>
        </w:tc>
        <w:tc>
          <w:tcPr>
            <w:tcW w:w="1140" w:type="dxa"/>
            <w:vAlign w:val="bottom"/>
            <w:vMerge w:val="continue"/>
            <w:shd w:val="clear" w:color="auto" w:fill="8AADBD"/>
          </w:tcPr>
          <w:p>
            <w:pPr>
              <w:spacing w:after="0"/>
              <w:rPr>
                <w:sz w:val="9"/>
                <w:szCs w:val="9"/>
                <w:color w:val="auto"/>
              </w:rPr>
            </w:pPr>
          </w:p>
        </w:tc>
        <w:tc>
          <w:tcPr>
            <w:tcW w:w="680" w:type="dxa"/>
            <w:vAlign w:val="bottom"/>
            <w:vMerge w:val="continue"/>
            <w:shd w:val="clear" w:color="auto" w:fill="8AADBD"/>
          </w:tcPr>
          <w:p>
            <w:pPr>
              <w:spacing w:after="0"/>
              <w:rPr>
                <w:sz w:val="9"/>
                <w:szCs w:val="9"/>
                <w:color w:val="auto"/>
              </w:rPr>
            </w:pPr>
          </w:p>
        </w:tc>
        <w:tc>
          <w:tcPr>
            <w:tcW w:w="880" w:type="dxa"/>
            <w:vAlign w:val="bottom"/>
            <w:vMerge w:val="continue"/>
            <w:shd w:val="clear" w:color="auto" w:fill="B6CCD6"/>
          </w:tcPr>
          <w:p>
            <w:pPr>
              <w:spacing w:after="0"/>
              <w:rPr>
                <w:sz w:val="9"/>
                <w:szCs w:val="9"/>
                <w:color w:val="auto"/>
              </w:rPr>
            </w:pPr>
          </w:p>
        </w:tc>
        <w:tc>
          <w:tcPr>
            <w:tcW w:w="740" w:type="dxa"/>
            <w:vAlign w:val="bottom"/>
            <w:vMerge w:val="continue"/>
            <w:shd w:val="clear" w:color="auto" w:fill="B6CCD6"/>
          </w:tcPr>
          <w:p>
            <w:pPr>
              <w:spacing w:after="0"/>
              <w:rPr>
                <w:sz w:val="9"/>
                <w:szCs w:val="9"/>
                <w:color w:val="auto"/>
              </w:rPr>
            </w:pPr>
          </w:p>
        </w:tc>
        <w:tc>
          <w:tcPr>
            <w:tcW w:w="860" w:type="dxa"/>
            <w:vAlign w:val="bottom"/>
            <w:vMerge w:val="continue"/>
            <w:shd w:val="clear" w:color="auto" w:fill="B6CCD6"/>
          </w:tcPr>
          <w:p>
            <w:pPr>
              <w:spacing w:after="0"/>
              <w:rPr>
                <w:sz w:val="9"/>
                <w:szCs w:val="9"/>
                <w:color w:val="auto"/>
              </w:rPr>
            </w:pPr>
          </w:p>
        </w:tc>
        <w:tc>
          <w:tcPr>
            <w:tcW w:w="920" w:type="dxa"/>
            <w:vAlign w:val="bottom"/>
            <w:shd w:val="clear" w:color="auto" w:fill="99B7C6"/>
          </w:tcPr>
          <w:p>
            <w:pPr>
              <w:jc w:val="right"/>
              <w:ind w:right="118"/>
              <w:spacing w:after="0" w:line="111" w:lineRule="exact"/>
              <w:rPr>
                <w:sz w:val="20"/>
                <w:szCs w:val="20"/>
                <w:color w:val="auto"/>
              </w:rPr>
            </w:pPr>
            <w:r>
              <w:rPr>
                <w:rFonts w:ascii="Arial" w:cs="Arial" w:eastAsia="Arial" w:hAnsi="Arial"/>
                <w:sz w:val="11"/>
                <w:szCs w:val="11"/>
                <w:b w:val="1"/>
                <w:bCs w:val="1"/>
                <w:color w:val="FFFFFF"/>
              </w:rPr>
              <w:t>Units</w:t>
            </w:r>
            <w:r>
              <w:rPr>
                <w:rFonts w:ascii="Arial" w:cs="Arial" w:eastAsia="Arial" w:hAnsi="Arial"/>
                <w:sz w:val="12"/>
                <w:szCs w:val="12"/>
                <w:b w:val="1"/>
                <w:bCs w:val="1"/>
                <w:color w:val="FFFFFF"/>
                <w:vertAlign w:val="superscript"/>
              </w:rPr>
              <w:t>3</w:t>
            </w:r>
          </w:p>
        </w:tc>
        <w:tc>
          <w:tcPr>
            <w:tcW w:w="840" w:type="dxa"/>
            <w:vAlign w:val="bottom"/>
            <w:shd w:val="clear" w:color="auto" w:fill="99B7C6"/>
          </w:tcPr>
          <w:p>
            <w:pPr>
              <w:jc w:val="right"/>
              <w:ind w:right="14"/>
              <w:spacing w:after="0" w:line="111" w:lineRule="exact"/>
              <w:rPr>
                <w:sz w:val="20"/>
                <w:szCs w:val="20"/>
                <w:color w:val="auto"/>
              </w:rPr>
            </w:pPr>
            <w:r>
              <w:rPr>
                <w:rFonts w:ascii="Arial" w:cs="Arial" w:eastAsia="Arial" w:hAnsi="Arial"/>
                <w:sz w:val="11"/>
                <w:szCs w:val="11"/>
                <w:b w:val="1"/>
                <w:bCs w:val="1"/>
                <w:color w:val="FFFFFF"/>
              </w:rPr>
              <w:t>Awards</w:t>
            </w:r>
          </w:p>
        </w:tc>
        <w:tc>
          <w:tcPr>
            <w:tcW w:w="0" w:type="dxa"/>
            <w:vAlign w:val="bottom"/>
          </w:tcPr>
          <w:p>
            <w:pPr>
              <w:spacing w:after="0"/>
              <w:rPr>
                <w:sz w:val="1"/>
                <w:szCs w:val="1"/>
                <w:color w:val="auto"/>
              </w:rPr>
            </w:pPr>
          </w:p>
        </w:tc>
      </w:tr>
      <w:tr>
        <w:trPr>
          <w:trHeight w:val="165"/>
        </w:trPr>
        <w:tc>
          <w:tcPr>
            <w:tcW w:w="2920" w:type="dxa"/>
            <w:vAlign w:val="bottom"/>
            <w:vMerge w:val="continue"/>
            <w:shd w:val="clear" w:color="auto" w:fill="99B7C6"/>
          </w:tcPr>
          <w:p>
            <w:pPr>
              <w:spacing w:after="0"/>
              <w:rPr>
                <w:sz w:val="14"/>
                <w:szCs w:val="14"/>
                <w:color w:val="auto"/>
              </w:rPr>
            </w:pPr>
          </w:p>
        </w:tc>
        <w:tc>
          <w:tcPr>
            <w:tcW w:w="1040" w:type="dxa"/>
            <w:vAlign w:val="bottom"/>
            <w:vMerge w:val="continue"/>
            <w:shd w:val="clear" w:color="auto" w:fill="99B7C6"/>
          </w:tcPr>
          <w:p>
            <w:pPr>
              <w:spacing w:after="0"/>
              <w:rPr>
                <w:sz w:val="14"/>
                <w:szCs w:val="14"/>
                <w:color w:val="auto"/>
              </w:rPr>
            </w:pPr>
          </w:p>
        </w:tc>
        <w:tc>
          <w:tcPr>
            <w:tcW w:w="920" w:type="dxa"/>
            <w:vAlign w:val="bottom"/>
            <w:shd w:val="clear" w:color="auto" w:fill="8AADBD"/>
          </w:tcPr>
          <w:p>
            <w:pPr>
              <w:jc w:val="right"/>
              <w:spacing w:after="0"/>
              <w:rPr>
                <w:sz w:val="20"/>
                <w:szCs w:val="20"/>
                <w:color w:val="auto"/>
              </w:rPr>
            </w:pPr>
            <w:r>
              <w:rPr>
                <w:rFonts w:ascii="Arial" w:cs="Arial" w:eastAsia="Arial" w:hAnsi="Arial"/>
                <w:sz w:val="11"/>
                <w:szCs w:val="11"/>
                <w:b w:val="1"/>
                <w:bCs w:val="1"/>
                <w:color w:val="FFFFFF"/>
              </w:rPr>
              <w:t>($)</w:t>
            </w:r>
          </w:p>
        </w:tc>
        <w:tc>
          <w:tcPr>
            <w:tcW w:w="1140" w:type="dxa"/>
            <w:vAlign w:val="bottom"/>
            <w:shd w:val="clear" w:color="auto" w:fill="8AADBD"/>
          </w:tcPr>
          <w:p>
            <w:pPr>
              <w:jc w:val="right"/>
              <w:ind w:right="234"/>
              <w:spacing w:after="0"/>
              <w:rPr>
                <w:sz w:val="20"/>
                <w:szCs w:val="20"/>
                <w:color w:val="auto"/>
              </w:rPr>
            </w:pPr>
            <w:r>
              <w:rPr>
                <w:rFonts w:ascii="Arial" w:cs="Arial" w:eastAsia="Arial" w:hAnsi="Arial"/>
                <w:sz w:val="11"/>
                <w:szCs w:val="11"/>
                <w:b w:val="1"/>
                <w:bCs w:val="1"/>
                <w:color w:val="FFFFFF"/>
              </w:rPr>
              <w:t>($)</w:t>
            </w:r>
          </w:p>
        </w:tc>
        <w:tc>
          <w:tcPr>
            <w:tcW w:w="680" w:type="dxa"/>
            <w:vAlign w:val="bottom"/>
            <w:shd w:val="clear" w:color="auto" w:fill="8AADBD"/>
          </w:tcPr>
          <w:p>
            <w:pPr>
              <w:jc w:val="right"/>
              <w:spacing w:after="0"/>
              <w:rPr>
                <w:sz w:val="20"/>
                <w:szCs w:val="20"/>
                <w:color w:val="auto"/>
              </w:rPr>
            </w:pPr>
            <w:r>
              <w:rPr>
                <w:rFonts w:ascii="Arial" w:cs="Arial" w:eastAsia="Arial" w:hAnsi="Arial"/>
                <w:sz w:val="11"/>
                <w:szCs w:val="11"/>
                <w:b w:val="1"/>
                <w:bCs w:val="1"/>
                <w:color w:val="FFFFFF"/>
              </w:rPr>
              <w:t>($)</w:t>
            </w:r>
          </w:p>
        </w:tc>
        <w:tc>
          <w:tcPr>
            <w:tcW w:w="880" w:type="dxa"/>
            <w:vAlign w:val="bottom"/>
            <w:shd w:val="clear" w:color="auto" w:fill="B6CCD6"/>
          </w:tcPr>
          <w:p>
            <w:pPr>
              <w:jc w:val="right"/>
              <w:spacing w:after="0"/>
              <w:rPr>
                <w:sz w:val="20"/>
                <w:szCs w:val="20"/>
                <w:color w:val="auto"/>
              </w:rPr>
            </w:pPr>
            <w:r>
              <w:rPr>
                <w:rFonts w:ascii="Arial" w:cs="Arial" w:eastAsia="Arial" w:hAnsi="Arial"/>
                <w:sz w:val="11"/>
                <w:szCs w:val="11"/>
                <w:b w:val="1"/>
                <w:bCs w:val="1"/>
                <w:color w:val="FFFFFF"/>
              </w:rPr>
              <w:t>(#)</w:t>
            </w:r>
          </w:p>
        </w:tc>
        <w:tc>
          <w:tcPr>
            <w:tcW w:w="740" w:type="dxa"/>
            <w:vAlign w:val="bottom"/>
            <w:shd w:val="clear" w:color="auto" w:fill="B6CCD6"/>
          </w:tcPr>
          <w:p>
            <w:pPr>
              <w:jc w:val="right"/>
              <w:spacing w:after="0"/>
              <w:rPr>
                <w:sz w:val="20"/>
                <w:szCs w:val="20"/>
                <w:color w:val="auto"/>
              </w:rPr>
            </w:pPr>
            <w:r>
              <w:rPr>
                <w:rFonts w:ascii="Arial" w:cs="Arial" w:eastAsia="Arial" w:hAnsi="Arial"/>
                <w:sz w:val="11"/>
                <w:szCs w:val="11"/>
                <w:b w:val="1"/>
                <w:bCs w:val="1"/>
                <w:color w:val="FFFFFF"/>
              </w:rPr>
              <w:t>(#)</w:t>
            </w:r>
          </w:p>
        </w:tc>
        <w:tc>
          <w:tcPr>
            <w:tcW w:w="860" w:type="dxa"/>
            <w:vAlign w:val="bottom"/>
            <w:shd w:val="clear" w:color="auto" w:fill="B6CCD6"/>
          </w:tcPr>
          <w:p>
            <w:pPr>
              <w:jc w:val="right"/>
              <w:spacing w:after="0"/>
              <w:rPr>
                <w:sz w:val="20"/>
                <w:szCs w:val="20"/>
                <w:color w:val="auto"/>
              </w:rPr>
            </w:pPr>
            <w:r>
              <w:rPr>
                <w:rFonts w:ascii="Arial" w:cs="Arial" w:eastAsia="Arial" w:hAnsi="Arial"/>
                <w:sz w:val="11"/>
                <w:szCs w:val="11"/>
                <w:b w:val="1"/>
                <w:bCs w:val="1"/>
                <w:color w:val="FFFFFF"/>
              </w:rPr>
              <w:t>(#)</w:t>
            </w:r>
          </w:p>
        </w:tc>
        <w:tc>
          <w:tcPr>
            <w:tcW w:w="920" w:type="dxa"/>
            <w:vAlign w:val="bottom"/>
            <w:shd w:val="clear" w:color="auto" w:fill="99B7C6"/>
          </w:tcPr>
          <w:p>
            <w:pPr>
              <w:jc w:val="right"/>
              <w:ind w:right="78"/>
              <w:spacing w:after="0"/>
              <w:rPr>
                <w:sz w:val="20"/>
                <w:szCs w:val="20"/>
                <w:color w:val="auto"/>
              </w:rPr>
            </w:pPr>
            <w:r>
              <w:rPr>
                <w:rFonts w:ascii="Arial" w:cs="Arial" w:eastAsia="Arial" w:hAnsi="Arial"/>
                <w:sz w:val="11"/>
                <w:szCs w:val="11"/>
                <w:b w:val="1"/>
                <w:bCs w:val="1"/>
                <w:color w:val="FFFFFF"/>
              </w:rPr>
              <w:t>(#)</w:t>
            </w:r>
          </w:p>
        </w:tc>
        <w:tc>
          <w:tcPr>
            <w:tcW w:w="840" w:type="dxa"/>
            <w:vAlign w:val="bottom"/>
            <w:shd w:val="clear" w:color="auto" w:fill="99B7C6"/>
          </w:tcPr>
          <w:p>
            <w:pPr>
              <w:jc w:val="right"/>
              <w:spacing w:after="0"/>
              <w:rPr>
                <w:sz w:val="20"/>
                <w:szCs w:val="20"/>
                <w:color w:val="auto"/>
              </w:rPr>
            </w:pPr>
            <w:r>
              <w:rPr>
                <w:rFonts w:ascii="Arial" w:cs="Arial" w:eastAsia="Arial" w:hAnsi="Arial"/>
                <w:sz w:val="11"/>
                <w:szCs w:val="11"/>
                <w:b w:val="1"/>
                <w:bCs w:val="1"/>
                <w:color w:val="FFFFFF"/>
              </w:rPr>
              <w:t>($)</w:t>
            </w:r>
          </w:p>
        </w:tc>
        <w:tc>
          <w:tcPr>
            <w:tcW w:w="0" w:type="dxa"/>
            <w:vAlign w:val="bottom"/>
          </w:tcPr>
          <w:p>
            <w:pPr>
              <w:spacing w:after="0"/>
              <w:rPr>
                <w:sz w:val="1"/>
                <w:szCs w:val="1"/>
                <w:color w:val="auto"/>
              </w:rPr>
            </w:pPr>
          </w:p>
        </w:tc>
      </w:tr>
      <w:tr>
        <w:trPr>
          <w:trHeight w:val="229"/>
        </w:trPr>
        <w:tc>
          <w:tcPr>
            <w:tcW w:w="292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Stefan Larsson</w:t>
            </w:r>
          </w:p>
        </w:tc>
        <w:tc>
          <w:tcPr>
            <w:tcW w:w="10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4/10/2025</w:t>
            </w:r>
          </w:p>
        </w:tc>
        <w:tc>
          <w:tcPr>
            <w:tcW w:w="920" w:type="dxa"/>
            <w:vAlign w:val="bottom"/>
            <w:shd w:val="clear" w:color="auto" w:fill="E2EAEF"/>
          </w:tcPr>
          <w:p>
            <w:pPr>
              <w:spacing w:after="0"/>
              <w:rPr>
                <w:sz w:val="19"/>
                <w:szCs w:val="19"/>
                <w:color w:val="auto"/>
              </w:rPr>
            </w:pPr>
          </w:p>
        </w:tc>
        <w:tc>
          <w:tcPr>
            <w:tcW w:w="1140" w:type="dxa"/>
            <w:vAlign w:val="bottom"/>
            <w:shd w:val="clear" w:color="auto" w:fill="E2EAEF"/>
          </w:tcPr>
          <w:p>
            <w:pPr>
              <w:spacing w:after="0"/>
              <w:rPr>
                <w:sz w:val="19"/>
                <w:szCs w:val="19"/>
                <w:color w:val="auto"/>
              </w:rPr>
            </w:pPr>
          </w:p>
        </w:tc>
        <w:tc>
          <w:tcPr>
            <w:tcW w:w="680" w:type="dxa"/>
            <w:vAlign w:val="bottom"/>
            <w:shd w:val="clear" w:color="auto" w:fill="E2EAEF"/>
          </w:tcPr>
          <w:p>
            <w:pPr>
              <w:spacing w:after="0"/>
              <w:rPr>
                <w:sz w:val="19"/>
                <w:szCs w:val="19"/>
                <w:color w:val="auto"/>
              </w:rPr>
            </w:pPr>
          </w:p>
        </w:tc>
        <w:tc>
          <w:tcPr>
            <w:tcW w:w="880" w:type="dxa"/>
            <w:vAlign w:val="bottom"/>
            <w:shd w:val="clear" w:color="auto" w:fill="F0F5F7"/>
          </w:tcPr>
          <w:p>
            <w:pPr>
              <w:spacing w:after="0"/>
              <w:rPr>
                <w:sz w:val="19"/>
                <w:szCs w:val="19"/>
                <w:color w:val="auto"/>
              </w:rPr>
            </w:pPr>
          </w:p>
        </w:tc>
        <w:tc>
          <w:tcPr>
            <w:tcW w:w="740" w:type="dxa"/>
            <w:vAlign w:val="bottom"/>
            <w:shd w:val="clear" w:color="auto" w:fill="F0F5F7"/>
          </w:tcPr>
          <w:p>
            <w:pPr>
              <w:spacing w:after="0"/>
              <w:rPr>
                <w:sz w:val="19"/>
                <w:szCs w:val="19"/>
                <w:color w:val="auto"/>
              </w:rPr>
            </w:pPr>
          </w:p>
        </w:tc>
        <w:tc>
          <w:tcPr>
            <w:tcW w:w="860" w:type="dxa"/>
            <w:vAlign w:val="bottom"/>
            <w:shd w:val="clear" w:color="auto" w:fill="F0F5F7"/>
          </w:tcPr>
          <w:p>
            <w:pPr>
              <w:spacing w:after="0"/>
              <w:rPr>
                <w:sz w:val="19"/>
                <w:szCs w:val="19"/>
                <w:color w:val="auto"/>
              </w:rPr>
            </w:pPr>
          </w:p>
        </w:tc>
        <w:tc>
          <w:tcPr>
            <w:tcW w:w="920" w:type="dxa"/>
            <w:vAlign w:val="bottom"/>
            <w:shd w:val="clear" w:color="auto" w:fill="E9F0F3"/>
          </w:tcPr>
          <w:p>
            <w:pPr>
              <w:jc w:val="right"/>
              <w:ind w:right="98"/>
              <w:spacing w:after="0"/>
              <w:rPr>
                <w:sz w:val="20"/>
                <w:szCs w:val="20"/>
                <w:color w:val="auto"/>
              </w:rPr>
            </w:pPr>
            <w:r>
              <w:rPr>
                <w:rFonts w:ascii="Arial" w:cs="Arial" w:eastAsia="Arial" w:hAnsi="Arial"/>
                <w:sz w:val="14"/>
                <w:szCs w:val="14"/>
                <w:color w:val="auto"/>
              </w:rPr>
              <w:t>80,264</w:t>
            </w:r>
          </w:p>
        </w:tc>
        <w:tc>
          <w:tcPr>
            <w:tcW w:w="8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5,550,256</w:t>
            </w:r>
          </w:p>
        </w:tc>
        <w:tc>
          <w:tcPr>
            <w:tcW w:w="0" w:type="dxa"/>
            <w:vAlign w:val="bottom"/>
          </w:tcPr>
          <w:p>
            <w:pPr>
              <w:spacing w:after="0"/>
              <w:rPr>
                <w:sz w:val="1"/>
                <w:szCs w:val="1"/>
                <w:color w:val="auto"/>
              </w:rPr>
            </w:pPr>
          </w:p>
        </w:tc>
      </w:tr>
      <w:tr>
        <w:trPr>
          <w:trHeight w:val="275"/>
        </w:trPr>
        <w:tc>
          <w:tcPr>
            <w:tcW w:w="2920" w:type="dxa"/>
            <w:vAlign w:val="bottom"/>
            <w:shd w:val="clear" w:color="auto" w:fill="E9F0F3"/>
          </w:tcPr>
          <w:p>
            <w:pPr>
              <w:spacing w:after="0"/>
              <w:rPr>
                <w:sz w:val="23"/>
                <w:szCs w:val="23"/>
                <w:color w:val="auto"/>
              </w:rPr>
            </w:pPr>
          </w:p>
        </w:tc>
        <w:tc>
          <w:tcPr>
            <w:tcW w:w="10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4/10/2025</w:t>
            </w:r>
          </w:p>
        </w:tc>
        <w:tc>
          <w:tcPr>
            <w:tcW w:w="920" w:type="dxa"/>
            <w:vAlign w:val="bottom"/>
            <w:shd w:val="clear" w:color="auto" w:fill="E2EAEF"/>
          </w:tcPr>
          <w:p>
            <w:pPr>
              <w:spacing w:after="0"/>
              <w:rPr>
                <w:sz w:val="23"/>
                <w:szCs w:val="23"/>
                <w:color w:val="auto"/>
              </w:rPr>
            </w:pPr>
          </w:p>
        </w:tc>
        <w:tc>
          <w:tcPr>
            <w:tcW w:w="1140" w:type="dxa"/>
            <w:vAlign w:val="bottom"/>
            <w:shd w:val="clear" w:color="auto" w:fill="E2EAEF"/>
          </w:tcPr>
          <w:p>
            <w:pPr>
              <w:spacing w:after="0"/>
              <w:rPr>
                <w:sz w:val="23"/>
                <w:szCs w:val="23"/>
                <w:color w:val="auto"/>
              </w:rPr>
            </w:pPr>
          </w:p>
        </w:tc>
        <w:tc>
          <w:tcPr>
            <w:tcW w:w="680" w:type="dxa"/>
            <w:vAlign w:val="bottom"/>
            <w:shd w:val="clear" w:color="auto" w:fill="E2EAEF"/>
          </w:tcPr>
          <w:p>
            <w:pPr>
              <w:spacing w:after="0"/>
              <w:rPr>
                <w:sz w:val="23"/>
                <w:szCs w:val="23"/>
                <w:color w:val="auto"/>
              </w:rPr>
            </w:pPr>
          </w:p>
        </w:tc>
        <w:tc>
          <w:tcPr>
            <w:tcW w:w="880" w:type="dxa"/>
            <w:vAlign w:val="bottom"/>
            <w:shd w:val="clear" w:color="auto" w:fill="F0F5F7"/>
          </w:tcPr>
          <w:p>
            <w:pPr>
              <w:jc w:val="right"/>
              <w:spacing w:after="0"/>
              <w:rPr>
                <w:sz w:val="20"/>
                <w:szCs w:val="20"/>
                <w:color w:val="auto"/>
              </w:rPr>
            </w:pPr>
            <w:r>
              <w:rPr>
                <w:rFonts w:ascii="Arial" w:cs="Arial" w:eastAsia="Arial" w:hAnsi="Arial"/>
                <w:sz w:val="14"/>
                <w:szCs w:val="14"/>
                <w:color w:val="auto"/>
              </w:rPr>
              <w:t>40,132</w:t>
            </w:r>
          </w:p>
        </w:tc>
        <w:tc>
          <w:tcPr>
            <w:tcW w:w="740" w:type="dxa"/>
            <w:vAlign w:val="bottom"/>
            <w:shd w:val="clear" w:color="auto" w:fill="F0F5F7"/>
          </w:tcPr>
          <w:p>
            <w:pPr>
              <w:jc w:val="right"/>
              <w:spacing w:after="0"/>
              <w:rPr>
                <w:sz w:val="20"/>
                <w:szCs w:val="20"/>
                <w:color w:val="auto"/>
              </w:rPr>
            </w:pPr>
            <w:r>
              <w:rPr>
                <w:rFonts w:ascii="Arial" w:cs="Arial" w:eastAsia="Arial" w:hAnsi="Arial"/>
                <w:sz w:val="14"/>
                <w:szCs w:val="14"/>
                <w:color w:val="auto"/>
              </w:rPr>
              <w:t>80,264</w:t>
            </w:r>
          </w:p>
        </w:tc>
        <w:tc>
          <w:tcPr>
            <w:tcW w:w="860" w:type="dxa"/>
            <w:vAlign w:val="bottom"/>
            <w:shd w:val="clear" w:color="auto" w:fill="F0F5F7"/>
          </w:tcPr>
          <w:p>
            <w:pPr>
              <w:jc w:val="right"/>
              <w:spacing w:after="0"/>
              <w:rPr>
                <w:sz w:val="20"/>
                <w:szCs w:val="20"/>
                <w:color w:val="auto"/>
              </w:rPr>
            </w:pPr>
            <w:r>
              <w:rPr>
                <w:rFonts w:ascii="Arial" w:cs="Arial" w:eastAsia="Arial" w:hAnsi="Arial"/>
                <w:sz w:val="14"/>
                <w:szCs w:val="14"/>
                <w:color w:val="auto"/>
              </w:rPr>
              <w:t>160,528</w:t>
            </w:r>
          </w:p>
        </w:tc>
        <w:tc>
          <w:tcPr>
            <w:tcW w:w="920" w:type="dxa"/>
            <w:vAlign w:val="bottom"/>
            <w:shd w:val="clear" w:color="auto" w:fill="E9F0F3"/>
          </w:tcPr>
          <w:p>
            <w:pPr>
              <w:spacing w:after="0"/>
              <w:rPr>
                <w:sz w:val="23"/>
                <w:szCs w:val="23"/>
                <w:color w:val="auto"/>
              </w:rPr>
            </w:pPr>
          </w:p>
        </w:tc>
        <w:tc>
          <w:tcPr>
            <w:tcW w:w="8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6,650,274</w:t>
            </w:r>
          </w:p>
        </w:tc>
        <w:tc>
          <w:tcPr>
            <w:tcW w:w="0" w:type="dxa"/>
            <w:vAlign w:val="bottom"/>
          </w:tcPr>
          <w:p>
            <w:pPr>
              <w:spacing w:after="0"/>
              <w:rPr>
                <w:sz w:val="1"/>
                <w:szCs w:val="1"/>
                <w:color w:val="auto"/>
              </w:rPr>
            </w:pPr>
          </w:p>
        </w:tc>
      </w:tr>
      <w:tr>
        <w:trPr>
          <w:trHeight w:val="283"/>
        </w:trPr>
        <w:tc>
          <w:tcPr>
            <w:tcW w:w="2920" w:type="dxa"/>
            <w:vAlign w:val="bottom"/>
            <w:shd w:val="clear" w:color="auto" w:fill="E9F0F3"/>
          </w:tcPr>
          <w:p>
            <w:pPr>
              <w:spacing w:after="0"/>
              <w:rPr>
                <w:sz w:val="24"/>
                <w:szCs w:val="24"/>
                <w:color w:val="auto"/>
              </w:rPr>
            </w:pPr>
          </w:p>
        </w:tc>
        <w:tc>
          <w:tcPr>
            <w:tcW w:w="10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4/10/2025</w:t>
            </w:r>
          </w:p>
        </w:tc>
        <w:tc>
          <w:tcPr>
            <w:tcW w:w="920" w:type="dxa"/>
            <w:vAlign w:val="bottom"/>
            <w:shd w:val="clear" w:color="auto" w:fill="E2EAEF"/>
          </w:tcPr>
          <w:p>
            <w:pPr>
              <w:jc w:val="right"/>
              <w:spacing w:after="0"/>
              <w:rPr>
                <w:sz w:val="20"/>
                <w:szCs w:val="20"/>
                <w:color w:val="auto"/>
              </w:rPr>
            </w:pPr>
            <w:r>
              <w:rPr>
                <w:rFonts w:ascii="Arial" w:cs="Arial" w:eastAsia="Arial" w:hAnsi="Arial"/>
                <w:sz w:val="14"/>
                <w:szCs w:val="14"/>
                <w:color w:val="auto"/>
              </w:rPr>
              <w:t>725,000</w:t>
            </w:r>
          </w:p>
        </w:tc>
        <w:tc>
          <w:tcPr>
            <w:tcW w:w="1140" w:type="dxa"/>
            <w:vAlign w:val="bottom"/>
            <w:shd w:val="clear" w:color="auto" w:fill="E2EAEF"/>
          </w:tcPr>
          <w:p>
            <w:pPr>
              <w:jc w:val="right"/>
              <w:ind w:right="234"/>
              <w:spacing w:after="0"/>
              <w:rPr>
                <w:sz w:val="20"/>
                <w:szCs w:val="20"/>
                <w:color w:val="auto"/>
              </w:rPr>
            </w:pPr>
            <w:r>
              <w:rPr>
                <w:rFonts w:ascii="Arial" w:cs="Arial" w:eastAsia="Arial" w:hAnsi="Arial"/>
                <w:sz w:val="14"/>
                <w:szCs w:val="14"/>
                <w:color w:val="auto"/>
              </w:rPr>
              <w:t>2,900,000</w:t>
            </w:r>
          </w:p>
        </w:tc>
        <w:tc>
          <w:tcPr>
            <w:tcW w:w="680" w:type="dxa"/>
            <w:vAlign w:val="bottom"/>
            <w:shd w:val="clear" w:color="auto" w:fill="E2EAEF"/>
          </w:tcPr>
          <w:p>
            <w:pPr>
              <w:jc w:val="right"/>
              <w:spacing w:after="0"/>
              <w:rPr>
                <w:sz w:val="20"/>
                <w:szCs w:val="20"/>
                <w:color w:val="auto"/>
              </w:rPr>
            </w:pPr>
            <w:r>
              <w:rPr>
                <w:rFonts w:ascii="Arial" w:cs="Arial" w:eastAsia="Arial" w:hAnsi="Arial"/>
                <w:sz w:val="14"/>
                <w:szCs w:val="14"/>
                <w:color w:val="auto"/>
                <w:w w:val="99"/>
              </w:rPr>
              <w:t>5,800,000</w:t>
            </w:r>
          </w:p>
        </w:tc>
        <w:tc>
          <w:tcPr>
            <w:tcW w:w="880" w:type="dxa"/>
            <w:vAlign w:val="bottom"/>
            <w:shd w:val="clear" w:color="auto" w:fill="F0F5F7"/>
          </w:tcPr>
          <w:p>
            <w:pPr>
              <w:spacing w:after="0"/>
              <w:rPr>
                <w:sz w:val="24"/>
                <w:szCs w:val="24"/>
                <w:color w:val="auto"/>
              </w:rPr>
            </w:pPr>
          </w:p>
        </w:tc>
        <w:tc>
          <w:tcPr>
            <w:tcW w:w="740" w:type="dxa"/>
            <w:vAlign w:val="bottom"/>
            <w:shd w:val="clear" w:color="auto" w:fill="F0F5F7"/>
          </w:tcPr>
          <w:p>
            <w:pPr>
              <w:spacing w:after="0"/>
              <w:rPr>
                <w:sz w:val="24"/>
                <w:szCs w:val="24"/>
                <w:color w:val="auto"/>
              </w:rPr>
            </w:pPr>
          </w:p>
        </w:tc>
        <w:tc>
          <w:tcPr>
            <w:tcW w:w="860" w:type="dxa"/>
            <w:vAlign w:val="bottom"/>
            <w:shd w:val="clear" w:color="auto" w:fill="F0F5F7"/>
          </w:tcPr>
          <w:p>
            <w:pPr>
              <w:spacing w:after="0"/>
              <w:rPr>
                <w:sz w:val="24"/>
                <w:szCs w:val="24"/>
                <w:color w:val="auto"/>
              </w:rPr>
            </w:pPr>
          </w:p>
        </w:tc>
        <w:tc>
          <w:tcPr>
            <w:tcW w:w="920" w:type="dxa"/>
            <w:vAlign w:val="bottom"/>
            <w:shd w:val="clear" w:color="auto" w:fill="E9F0F3"/>
          </w:tcPr>
          <w:p>
            <w:pPr>
              <w:spacing w:after="0"/>
              <w:rPr>
                <w:sz w:val="24"/>
                <w:szCs w:val="24"/>
                <w:color w:val="auto"/>
              </w:rPr>
            </w:pPr>
          </w:p>
        </w:tc>
        <w:tc>
          <w:tcPr>
            <w:tcW w:w="840" w:type="dxa"/>
            <w:vAlign w:val="bottom"/>
            <w:shd w:val="clear" w:color="auto" w:fill="E9F0F3"/>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2920" w:type="dxa"/>
            <w:vAlign w:val="bottom"/>
            <w:shd w:val="clear" w:color="auto" w:fill="E9F0F3"/>
          </w:tcPr>
          <w:p>
            <w:pPr>
              <w:spacing w:after="0"/>
              <w:rPr>
                <w:sz w:val="5"/>
                <w:szCs w:val="5"/>
                <w:color w:val="auto"/>
              </w:rPr>
            </w:pPr>
          </w:p>
        </w:tc>
        <w:tc>
          <w:tcPr>
            <w:tcW w:w="1040" w:type="dxa"/>
            <w:vAlign w:val="bottom"/>
            <w:shd w:val="clear" w:color="auto" w:fill="E9F0F3"/>
          </w:tcPr>
          <w:p>
            <w:pPr>
              <w:spacing w:after="0"/>
              <w:rPr>
                <w:sz w:val="5"/>
                <w:szCs w:val="5"/>
                <w:color w:val="auto"/>
              </w:rPr>
            </w:pPr>
          </w:p>
        </w:tc>
        <w:tc>
          <w:tcPr>
            <w:tcW w:w="920" w:type="dxa"/>
            <w:vAlign w:val="bottom"/>
            <w:shd w:val="clear" w:color="auto" w:fill="E2EAEF"/>
          </w:tcPr>
          <w:p>
            <w:pPr>
              <w:spacing w:after="0"/>
              <w:rPr>
                <w:sz w:val="5"/>
                <w:szCs w:val="5"/>
                <w:color w:val="auto"/>
              </w:rPr>
            </w:pPr>
          </w:p>
        </w:tc>
        <w:tc>
          <w:tcPr>
            <w:tcW w:w="1140" w:type="dxa"/>
            <w:vAlign w:val="bottom"/>
            <w:shd w:val="clear" w:color="auto" w:fill="E2EAEF"/>
          </w:tcPr>
          <w:p>
            <w:pPr>
              <w:spacing w:after="0"/>
              <w:rPr>
                <w:sz w:val="5"/>
                <w:szCs w:val="5"/>
                <w:color w:val="auto"/>
              </w:rPr>
            </w:pPr>
          </w:p>
        </w:tc>
        <w:tc>
          <w:tcPr>
            <w:tcW w:w="680" w:type="dxa"/>
            <w:vAlign w:val="bottom"/>
            <w:shd w:val="clear" w:color="auto" w:fill="E2EAEF"/>
          </w:tcPr>
          <w:p>
            <w:pPr>
              <w:spacing w:after="0"/>
              <w:rPr>
                <w:sz w:val="5"/>
                <w:szCs w:val="5"/>
                <w:color w:val="auto"/>
              </w:rPr>
            </w:pPr>
          </w:p>
        </w:tc>
        <w:tc>
          <w:tcPr>
            <w:tcW w:w="880" w:type="dxa"/>
            <w:vAlign w:val="bottom"/>
            <w:shd w:val="clear" w:color="auto" w:fill="F0F5F7"/>
          </w:tcPr>
          <w:p>
            <w:pPr>
              <w:spacing w:after="0"/>
              <w:rPr>
                <w:sz w:val="5"/>
                <w:szCs w:val="5"/>
                <w:color w:val="auto"/>
              </w:rPr>
            </w:pPr>
          </w:p>
        </w:tc>
        <w:tc>
          <w:tcPr>
            <w:tcW w:w="740" w:type="dxa"/>
            <w:vAlign w:val="bottom"/>
            <w:shd w:val="clear" w:color="auto" w:fill="F0F5F7"/>
          </w:tcPr>
          <w:p>
            <w:pPr>
              <w:spacing w:after="0"/>
              <w:rPr>
                <w:sz w:val="5"/>
                <w:szCs w:val="5"/>
                <w:color w:val="auto"/>
              </w:rPr>
            </w:pPr>
          </w:p>
        </w:tc>
        <w:tc>
          <w:tcPr>
            <w:tcW w:w="860" w:type="dxa"/>
            <w:vAlign w:val="bottom"/>
            <w:shd w:val="clear" w:color="auto" w:fill="F0F5F7"/>
          </w:tcPr>
          <w:p>
            <w:pPr>
              <w:spacing w:after="0"/>
              <w:rPr>
                <w:sz w:val="5"/>
                <w:szCs w:val="5"/>
                <w:color w:val="auto"/>
              </w:rPr>
            </w:pPr>
          </w:p>
        </w:tc>
        <w:tc>
          <w:tcPr>
            <w:tcW w:w="920" w:type="dxa"/>
            <w:vAlign w:val="bottom"/>
            <w:shd w:val="clear" w:color="auto" w:fill="E9F0F3"/>
          </w:tcPr>
          <w:p>
            <w:pPr>
              <w:spacing w:after="0"/>
              <w:rPr>
                <w:sz w:val="5"/>
                <w:szCs w:val="5"/>
                <w:color w:val="auto"/>
              </w:rPr>
            </w:pPr>
          </w:p>
        </w:tc>
        <w:tc>
          <w:tcPr>
            <w:tcW w:w="84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60"/>
              <w:spacing w:after="0"/>
              <w:rPr>
                <w:sz w:val="20"/>
                <w:szCs w:val="20"/>
                <w:color w:val="auto"/>
              </w:rPr>
            </w:pPr>
            <w:r>
              <w:rPr>
                <w:rFonts w:ascii="Arial" w:cs="Arial" w:eastAsia="Arial" w:hAnsi="Arial"/>
                <w:sz w:val="14"/>
                <w:szCs w:val="14"/>
                <w:b w:val="1"/>
                <w:bCs w:val="1"/>
                <w:color w:val="auto"/>
              </w:rPr>
              <w:t>Melissa Stone</w:t>
            </w:r>
          </w:p>
        </w:tc>
        <w:tc>
          <w:tcPr>
            <w:tcW w:w="1040" w:type="dxa"/>
            <w:vAlign w:val="bottom"/>
          </w:tcPr>
          <w:p>
            <w:pPr>
              <w:jc w:val="right"/>
              <w:spacing w:after="0"/>
              <w:rPr>
                <w:sz w:val="20"/>
                <w:szCs w:val="20"/>
                <w:color w:val="auto"/>
              </w:rPr>
            </w:pPr>
            <w:r>
              <w:rPr>
                <w:rFonts w:ascii="Arial" w:cs="Arial" w:eastAsia="Arial" w:hAnsi="Arial"/>
                <w:sz w:val="14"/>
                <w:szCs w:val="14"/>
                <w:color w:val="auto"/>
              </w:rPr>
              <w:t>4/10/2025</w:t>
            </w: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jc w:val="right"/>
              <w:ind w:right="78"/>
              <w:spacing w:after="0"/>
              <w:rPr>
                <w:sz w:val="20"/>
                <w:szCs w:val="20"/>
                <w:color w:val="auto"/>
              </w:rPr>
            </w:pPr>
            <w:r>
              <w:rPr>
                <w:rFonts w:ascii="Arial" w:cs="Arial" w:eastAsia="Arial" w:hAnsi="Arial"/>
                <w:sz w:val="14"/>
                <w:szCs w:val="14"/>
                <w:color w:val="auto"/>
              </w:rPr>
              <w:t>4,340</w:t>
            </w:r>
          </w:p>
        </w:tc>
        <w:tc>
          <w:tcPr>
            <w:tcW w:w="840" w:type="dxa"/>
            <w:vAlign w:val="bottom"/>
          </w:tcPr>
          <w:p>
            <w:pPr>
              <w:jc w:val="right"/>
              <w:spacing w:after="0"/>
              <w:rPr>
                <w:sz w:val="20"/>
                <w:szCs w:val="20"/>
                <w:color w:val="auto"/>
              </w:rPr>
            </w:pPr>
            <w:r>
              <w:rPr>
                <w:rFonts w:ascii="Arial" w:cs="Arial" w:eastAsia="Arial" w:hAnsi="Arial"/>
                <w:sz w:val="14"/>
                <w:szCs w:val="14"/>
                <w:color w:val="auto"/>
              </w:rPr>
              <w:t>300,111</w:t>
            </w:r>
          </w:p>
        </w:tc>
        <w:tc>
          <w:tcPr>
            <w:tcW w:w="0" w:type="dxa"/>
            <w:vAlign w:val="bottom"/>
          </w:tcPr>
          <w:p>
            <w:pPr>
              <w:spacing w:after="0"/>
              <w:rPr>
                <w:sz w:val="1"/>
                <w:szCs w:val="1"/>
                <w:color w:val="auto"/>
              </w:rPr>
            </w:pPr>
          </w:p>
        </w:tc>
      </w:tr>
      <w:tr>
        <w:trPr>
          <w:trHeight w:val="309"/>
        </w:trPr>
        <w:tc>
          <w:tcPr>
            <w:tcW w:w="29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12/16/2025</w:t>
            </w: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jc w:val="right"/>
              <w:ind w:right="78"/>
              <w:spacing w:after="0"/>
              <w:rPr>
                <w:sz w:val="20"/>
                <w:szCs w:val="20"/>
                <w:color w:val="auto"/>
              </w:rPr>
            </w:pPr>
            <w:r>
              <w:rPr>
                <w:rFonts w:ascii="Arial" w:cs="Arial" w:eastAsia="Arial" w:hAnsi="Arial"/>
                <w:sz w:val="14"/>
                <w:szCs w:val="14"/>
                <w:color w:val="auto"/>
              </w:rPr>
              <w:t>2,744</w:t>
            </w:r>
          </w:p>
        </w:tc>
        <w:tc>
          <w:tcPr>
            <w:tcW w:w="840" w:type="dxa"/>
            <w:vAlign w:val="bottom"/>
          </w:tcPr>
          <w:p>
            <w:pPr>
              <w:jc w:val="right"/>
              <w:spacing w:after="0"/>
              <w:rPr>
                <w:sz w:val="20"/>
                <w:szCs w:val="20"/>
                <w:color w:val="auto"/>
              </w:rPr>
            </w:pPr>
            <w:r>
              <w:rPr>
                <w:rFonts w:ascii="Arial" w:cs="Arial" w:eastAsia="Arial" w:hAnsi="Arial"/>
                <w:sz w:val="14"/>
                <w:szCs w:val="14"/>
                <w:color w:val="auto"/>
              </w:rPr>
              <w:t>200,120</w:t>
            </w:r>
            <w:r>
              <w:rPr>
                <w:rFonts w:ascii="Arial" w:cs="Arial" w:eastAsia="Arial" w:hAnsi="Arial"/>
                <w:sz w:val="16"/>
                <w:szCs w:val="16"/>
                <w:color w:val="auto"/>
                <w:vertAlign w:val="superscript"/>
              </w:rPr>
              <w:t>4</w:t>
            </w:r>
          </w:p>
        </w:tc>
        <w:tc>
          <w:tcPr>
            <w:tcW w:w="0" w:type="dxa"/>
            <w:vAlign w:val="bottom"/>
          </w:tcPr>
          <w:p>
            <w:pPr>
              <w:spacing w:after="0"/>
              <w:rPr>
                <w:sz w:val="1"/>
                <w:szCs w:val="1"/>
                <w:color w:val="auto"/>
              </w:rPr>
            </w:pPr>
          </w:p>
        </w:tc>
      </w:tr>
      <w:tr>
        <w:trPr>
          <w:trHeight w:val="248"/>
        </w:trPr>
        <w:tc>
          <w:tcPr>
            <w:tcW w:w="29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4/10/2025</w:t>
            </w: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N/A</w:t>
            </w:r>
          </w:p>
        </w:tc>
        <w:tc>
          <w:tcPr>
            <w:tcW w:w="740" w:type="dxa"/>
            <w:vAlign w:val="bottom"/>
          </w:tcPr>
          <w:p>
            <w:pPr>
              <w:jc w:val="right"/>
              <w:spacing w:after="0"/>
              <w:rPr>
                <w:sz w:val="20"/>
                <w:szCs w:val="20"/>
                <w:color w:val="auto"/>
              </w:rPr>
            </w:pPr>
            <w:r>
              <w:rPr>
                <w:rFonts w:ascii="Arial" w:cs="Arial" w:eastAsia="Arial" w:hAnsi="Arial"/>
                <w:sz w:val="14"/>
                <w:szCs w:val="14"/>
                <w:color w:val="auto"/>
              </w:rPr>
              <w:t>N/A</w:t>
            </w:r>
          </w:p>
        </w:tc>
        <w:tc>
          <w:tcPr>
            <w:tcW w:w="860" w:type="dxa"/>
            <w:vAlign w:val="bottom"/>
          </w:tcPr>
          <w:p>
            <w:pPr>
              <w:jc w:val="right"/>
              <w:spacing w:after="0"/>
              <w:rPr>
                <w:sz w:val="20"/>
                <w:szCs w:val="20"/>
                <w:color w:val="auto"/>
              </w:rPr>
            </w:pPr>
            <w:r>
              <w:rPr>
                <w:rFonts w:ascii="Arial" w:cs="Arial" w:eastAsia="Arial" w:hAnsi="Arial"/>
                <w:sz w:val="14"/>
                <w:szCs w:val="14"/>
                <w:color w:val="auto"/>
              </w:rPr>
              <w:t>N/A</w:t>
            </w:r>
          </w:p>
        </w:tc>
        <w:tc>
          <w:tcPr>
            <w:tcW w:w="9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83"/>
        </w:trPr>
        <w:tc>
          <w:tcPr>
            <w:tcW w:w="29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4/10/2025</w:t>
            </w:r>
          </w:p>
        </w:tc>
        <w:tc>
          <w:tcPr>
            <w:tcW w:w="920" w:type="dxa"/>
            <w:vAlign w:val="bottom"/>
          </w:tcPr>
          <w:p>
            <w:pPr>
              <w:jc w:val="right"/>
              <w:spacing w:after="0"/>
              <w:rPr>
                <w:sz w:val="20"/>
                <w:szCs w:val="20"/>
                <w:color w:val="auto"/>
              </w:rPr>
            </w:pPr>
            <w:r>
              <w:rPr>
                <w:rFonts w:ascii="Arial" w:cs="Arial" w:eastAsia="Arial" w:hAnsi="Arial"/>
                <w:sz w:val="14"/>
                <w:szCs w:val="14"/>
                <w:color w:val="auto"/>
              </w:rPr>
              <w:t>68,750</w:t>
            </w:r>
          </w:p>
        </w:tc>
        <w:tc>
          <w:tcPr>
            <w:tcW w:w="1140" w:type="dxa"/>
            <w:vAlign w:val="bottom"/>
          </w:tcPr>
          <w:p>
            <w:pPr>
              <w:jc w:val="right"/>
              <w:ind w:right="234"/>
              <w:spacing w:after="0"/>
              <w:rPr>
                <w:sz w:val="20"/>
                <w:szCs w:val="20"/>
                <w:color w:val="auto"/>
              </w:rPr>
            </w:pPr>
            <w:r>
              <w:rPr>
                <w:rFonts w:ascii="Arial" w:cs="Arial" w:eastAsia="Arial" w:hAnsi="Arial"/>
                <w:sz w:val="14"/>
                <w:szCs w:val="14"/>
                <w:color w:val="auto"/>
              </w:rPr>
              <w:t>275,000</w:t>
            </w:r>
          </w:p>
        </w:tc>
        <w:tc>
          <w:tcPr>
            <w:tcW w:w="680" w:type="dxa"/>
            <w:vAlign w:val="bottom"/>
          </w:tcPr>
          <w:p>
            <w:pPr>
              <w:jc w:val="right"/>
              <w:spacing w:after="0"/>
              <w:rPr>
                <w:sz w:val="20"/>
                <w:szCs w:val="20"/>
                <w:color w:val="auto"/>
              </w:rPr>
            </w:pPr>
            <w:r>
              <w:rPr>
                <w:rFonts w:ascii="Arial" w:cs="Arial" w:eastAsia="Arial" w:hAnsi="Arial"/>
                <w:sz w:val="14"/>
                <w:szCs w:val="14"/>
                <w:color w:val="auto"/>
              </w:rPr>
              <w:t>550,000</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29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Lea Rytz Goldman</w:t>
            </w:r>
          </w:p>
        </w:tc>
        <w:tc>
          <w:tcPr>
            <w:tcW w:w="10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4/10/2025</w:t>
            </w:r>
          </w:p>
        </w:tc>
        <w:tc>
          <w:tcPr>
            <w:tcW w:w="920" w:type="dxa"/>
            <w:vAlign w:val="bottom"/>
            <w:shd w:val="clear" w:color="auto" w:fill="E2EAEF"/>
          </w:tcPr>
          <w:p>
            <w:pPr>
              <w:spacing w:after="0"/>
              <w:rPr>
                <w:sz w:val="19"/>
                <w:szCs w:val="19"/>
                <w:color w:val="auto"/>
              </w:rPr>
            </w:pPr>
          </w:p>
        </w:tc>
        <w:tc>
          <w:tcPr>
            <w:tcW w:w="1140" w:type="dxa"/>
            <w:vAlign w:val="bottom"/>
            <w:shd w:val="clear" w:color="auto" w:fill="E2EAEF"/>
          </w:tcPr>
          <w:p>
            <w:pPr>
              <w:spacing w:after="0"/>
              <w:rPr>
                <w:sz w:val="19"/>
                <w:szCs w:val="19"/>
                <w:color w:val="auto"/>
              </w:rPr>
            </w:pPr>
          </w:p>
        </w:tc>
        <w:tc>
          <w:tcPr>
            <w:tcW w:w="680" w:type="dxa"/>
            <w:vAlign w:val="bottom"/>
            <w:shd w:val="clear" w:color="auto" w:fill="E2EAEF"/>
          </w:tcPr>
          <w:p>
            <w:pPr>
              <w:spacing w:after="0"/>
              <w:rPr>
                <w:sz w:val="19"/>
                <w:szCs w:val="19"/>
                <w:color w:val="auto"/>
              </w:rPr>
            </w:pPr>
          </w:p>
        </w:tc>
        <w:tc>
          <w:tcPr>
            <w:tcW w:w="880" w:type="dxa"/>
            <w:vAlign w:val="bottom"/>
            <w:shd w:val="clear" w:color="auto" w:fill="E9F0F3"/>
          </w:tcPr>
          <w:p>
            <w:pPr>
              <w:spacing w:after="0"/>
              <w:rPr>
                <w:sz w:val="19"/>
                <w:szCs w:val="19"/>
                <w:color w:val="auto"/>
              </w:rPr>
            </w:pPr>
          </w:p>
        </w:tc>
        <w:tc>
          <w:tcPr>
            <w:tcW w:w="740" w:type="dxa"/>
            <w:vAlign w:val="bottom"/>
            <w:shd w:val="clear" w:color="auto" w:fill="E9F0F3"/>
          </w:tcPr>
          <w:p>
            <w:pPr>
              <w:spacing w:after="0"/>
              <w:rPr>
                <w:sz w:val="19"/>
                <w:szCs w:val="19"/>
                <w:color w:val="auto"/>
              </w:rPr>
            </w:pPr>
          </w:p>
        </w:tc>
        <w:tc>
          <w:tcPr>
            <w:tcW w:w="860" w:type="dxa"/>
            <w:vAlign w:val="bottom"/>
            <w:shd w:val="clear" w:color="auto" w:fill="E9F0F3"/>
          </w:tcPr>
          <w:p>
            <w:pPr>
              <w:spacing w:after="0"/>
              <w:rPr>
                <w:sz w:val="19"/>
                <w:szCs w:val="19"/>
                <w:color w:val="auto"/>
              </w:rPr>
            </w:pPr>
          </w:p>
        </w:tc>
        <w:tc>
          <w:tcPr>
            <w:tcW w:w="920" w:type="dxa"/>
            <w:vAlign w:val="bottom"/>
            <w:shd w:val="clear" w:color="auto" w:fill="E2EAEF"/>
          </w:tcPr>
          <w:p>
            <w:pPr>
              <w:jc w:val="right"/>
              <w:ind w:right="98"/>
              <w:spacing w:after="0"/>
              <w:rPr>
                <w:sz w:val="20"/>
                <w:szCs w:val="20"/>
                <w:color w:val="auto"/>
              </w:rPr>
            </w:pPr>
            <w:r>
              <w:rPr>
                <w:rFonts w:ascii="Arial" w:cs="Arial" w:eastAsia="Arial" w:hAnsi="Arial"/>
                <w:sz w:val="14"/>
                <w:szCs w:val="14"/>
                <w:color w:val="auto"/>
              </w:rPr>
              <w:t>12,296</w:t>
            </w:r>
          </w:p>
        </w:tc>
        <w:tc>
          <w:tcPr>
            <w:tcW w:w="8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850,268</w:t>
            </w:r>
          </w:p>
        </w:tc>
        <w:tc>
          <w:tcPr>
            <w:tcW w:w="0" w:type="dxa"/>
            <w:vAlign w:val="bottom"/>
          </w:tcPr>
          <w:p>
            <w:pPr>
              <w:spacing w:after="0"/>
              <w:rPr>
                <w:sz w:val="1"/>
                <w:szCs w:val="1"/>
                <w:color w:val="auto"/>
              </w:rPr>
            </w:pPr>
          </w:p>
        </w:tc>
      </w:tr>
      <w:tr>
        <w:trPr>
          <w:trHeight w:val="275"/>
        </w:trPr>
        <w:tc>
          <w:tcPr>
            <w:tcW w:w="2920" w:type="dxa"/>
            <w:vAlign w:val="bottom"/>
            <w:shd w:val="clear" w:color="auto" w:fill="E9F0F3"/>
          </w:tcPr>
          <w:p>
            <w:pPr>
              <w:spacing w:after="0"/>
              <w:rPr>
                <w:sz w:val="23"/>
                <w:szCs w:val="23"/>
                <w:color w:val="auto"/>
              </w:rPr>
            </w:pPr>
          </w:p>
        </w:tc>
        <w:tc>
          <w:tcPr>
            <w:tcW w:w="10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4/10/2025</w:t>
            </w:r>
          </w:p>
        </w:tc>
        <w:tc>
          <w:tcPr>
            <w:tcW w:w="920" w:type="dxa"/>
            <w:vAlign w:val="bottom"/>
            <w:shd w:val="clear" w:color="auto" w:fill="E2EAEF"/>
          </w:tcPr>
          <w:p>
            <w:pPr>
              <w:spacing w:after="0"/>
              <w:rPr>
                <w:sz w:val="23"/>
                <w:szCs w:val="23"/>
                <w:color w:val="auto"/>
              </w:rPr>
            </w:pPr>
          </w:p>
        </w:tc>
        <w:tc>
          <w:tcPr>
            <w:tcW w:w="1140" w:type="dxa"/>
            <w:vAlign w:val="bottom"/>
            <w:shd w:val="clear" w:color="auto" w:fill="E2EAEF"/>
          </w:tcPr>
          <w:p>
            <w:pPr>
              <w:spacing w:after="0"/>
              <w:rPr>
                <w:sz w:val="23"/>
                <w:szCs w:val="23"/>
                <w:color w:val="auto"/>
              </w:rPr>
            </w:pPr>
          </w:p>
        </w:tc>
        <w:tc>
          <w:tcPr>
            <w:tcW w:w="680" w:type="dxa"/>
            <w:vAlign w:val="bottom"/>
            <w:shd w:val="clear" w:color="auto" w:fill="E2EAEF"/>
          </w:tcPr>
          <w:p>
            <w:pPr>
              <w:spacing w:after="0"/>
              <w:rPr>
                <w:sz w:val="23"/>
                <w:szCs w:val="23"/>
                <w:color w:val="auto"/>
              </w:rPr>
            </w:pPr>
          </w:p>
        </w:tc>
        <w:tc>
          <w:tcPr>
            <w:tcW w:w="8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6,148</w:t>
            </w:r>
          </w:p>
        </w:tc>
        <w:tc>
          <w:tcPr>
            <w:tcW w:w="7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12,296</w:t>
            </w:r>
          </w:p>
        </w:tc>
        <w:tc>
          <w:tcPr>
            <w:tcW w:w="8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24,592</w:t>
            </w:r>
          </w:p>
        </w:tc>
        <w:tc>
          <w:tcPr>
            <w:tcW w:w="920" w:type="dxa"/>
            <w:vAlign w:val="bottom"/>
            <w:shd w:val="clear" w:color="auto" w:fill="E2EAEF"/>
          </w:tcPr>
          <w:p>
            <w:pPr>
              <w:spacing w:after="0"/>
              <w:rPr>
                <w:sz w:val="23"/>
                <w:szCs w:val="23"/>
                <w:color w:val="auto"/>
              </w:rPr>
            </w:pPr>
          </w:p>
        </w:tc>
        <w:tc>
          <w:tcPr>
            <w:tcW w:w="8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1,066,801</w:t>
            </w:r>
          </w:p>
        </w:tc>
        <w:tc>
          <w:tcPr>
            <w:tcW w:w="0" w:type="dxa"/>
            <w:vAlign w:val="bottom"/>
          </w:tcPr>
          <w:p>
            <w:pPr>
              <w:spacing w:after="0"/>
              <w:rPr>
                <w:sz w:val="1"/>
                <w:szCs w:val="1"/>
                <w:color w:val="auto"/>
              </w:rPr>
            </w:pPr>
          </w:p>
        </w:tc>
      </w:tr>
      <w:tr>
        <w:trPr>
          <w:trHeight w:val="325"/>
        </w:trPr>
        <w:tc>
          <w:tcPr>
            <w:tcW w:w="2920" w:type="dxa"/>
            <w:vAlign w:val="bottom"/>
            <w:tcBorders>
              <w:bottom w:val="single" w:sz="8" w:color="E9F0F3"/>
            </w:tcBorders>
            <w:shd w:val="clear" w:color="auto" w:fill="E9F0F3"/>
          </w:tcPr>
          <w:p>
            <w:pPr>
              <w:spacing w:after="0"/>
              <w:rPr>
                <w:sz w:val="24"/>
                <w:szCs w:val="24"/>
                <w:color w:val="auto"/>
              </w:rPr>
            </w:pPr>
          </w:p>
        </w:tc>
        <w:tc>
          <w:tcPr>
            <w:tcW w:w="1040" w:type="dxa"/>
            <w:vAlign w:val="bottom"/>
            <w:tcBorders>
              <w:bottom w:val="single" w:sz="8" w:color="E9F0F3"/>
            </w:tcBorders>
            <w:shd w:val="clear" w:color="auto" w:fill="E9F0F3"/>
          </w:tcPr>
          <w:p>
            <w:pPr>
              <w:jc w:val="right"/>
              <w:spacing w:after="0"/>
              <w:rPr>
                <w:sz w:val="20"/>
                <w:szCs w:val="20"/>
                <w:color w:val="auto"/>
              </w:rPr>
            </w:pPr>
            <w:r>
              <w:rPr>
                <w:rFonts w:ascii="Arial" w:cs="Arial" w:eastAsia="Arial" w:hAnsi="Arial"/>
                <w:sz w:val="14"/>
                <w:szCs w:val="14"/>
                <w:color w:val="auto"/>
              </w:rPr>
              <w:t>4/10/2025</w:t>
            </w:r>
            <w:r>
              <w:rPr>
                <w:rFonts w:ascii="Arial" w:cs="Arial" w:eastAsia="Arial" w:hAnsi="Arial"/>
                <w:sz w:val="16"/>
                <w:szCs w:val="16"/>
                <w:color w:val="auto"/>
                <w:vertAlign w:val="superscript"/>
              </w:rPr>
              <w:t>5</w:t>
            </w:r>
          </w:p>
        </w:tc>
        <w:tc>
          <w:tcPr>
            <w:tcW w:w="920" w:type="dxa"/>
            <w:vAlign w:val="bottom"/>
            <w:tcBorders>
              <w:bottom w:val="single" w:sz="8" w:color="E2EAEF"/>
            </w:tcBorders>
            <w:shd w:val="clear" w:color="auto" w:fill="E2EAEF"/>
          </w:tcPr>
          <w:p>
            <w:pPr>
              <w:jc w:val="right"/>
              <w:spacing w:after="0"/>
              <w:rPr>
                <w:sz w:val="20"/>
                <w:szCs w:val="20"/>
                <w:color w:val="auto"/>
              </w:rPr>
            </w:pPr>
            <w:r>
              <w:rPr>
                <w:rFonts w:ascii="Arial" w:cs="Arial" w:eastAsia="Arial" w:hAnsi="Arial"/>
                <w:sz w:val="14"/>
                <w:szCs w:val="14"/>
                <w:color w:val="auto"/>
              </w:rPr>
              <w:t>214,166</w:t>
            </w:r>
          </w:p>
        </w:tc>
        <w:tc>
          <w:tcPr>
            <w:tcW w:w="1140" w:type="dxa"/>
            <w:vAlign w:val="bottom"/>
            <w:tcBorders>
              <w:bottom w:val="single" w:sz="8" w:color="E2EAEF"/>
            </w:tcBorders>
            <w:shd w:val="clear" w:color="auto" w:fill="E2EAEF"/>
          </w:tcPr>
          <w:p>
            <w:pPr>
              <w:jc w:val="right"/>
              <w:ind w:right="234"/>
              <w:spacing w:after="0"/>
              <w:rPr>
                <w:sz w:val="20"/>
                <w:szCs w:val="20"/>
                <w:color w:val="auto"/>
              </w:rPr>
            </w:pPr>
            <w:r>
              <w:rPr>
                <w:rFonts w:ascii="Arial" w:cs="Arial" w:eastAsia="Arial" w:hAnsi="Arial"/>
                <w:sz w:val="14"/>
                <w:szCs w:val="14"/>
                <w:color w:val="auto"/>
              </w:rPr>
              <w:t>856,665</w:t>
            </w:r>
          </w:p>
        </w:tc>
        <w:tc>
          <w:tcPr>
            <w:tcW w:w="680" w:type="dxa"/>
            <w:vAlign w:val="bottom"/>
            <w:tcBorders>
              <w:bottom w:val="single" w:sz="8" w:color="E2EAEF"/>
            </w:tcBorders>
            <w:shd w:val="clear" w:color="auto" w:fill="E2EAEF"/>
          </w:tcPr>
          <w:p>
            <w:pPr>
              <w:jc w:val="right"/>
              <w:spacing w:after="0"/>
              <w:rPr>
                <w:sz w:val="20"/>
                <w:szCs w:val="20"/>
                <w:color w:val="auto"/>
              </w:rPr>
            </w:pPr>
            <w:r>
              <w:rPr>
                <w:rFonts w:ascii="Arial" w:cs="Arial" w:eastAsia="Arial" w:hAnsi="Arial"/>
                <w:sz w:val="14"/>
                <w:szCs w:val="14"/>
                <w:color w:val="auto"/>
                <w:w w:val="99"/>
              </w:rPr>
              <w:t>1,713,330</w:t>
            </w:r>
          </w:p>
        </w:tc>
        <w:tc>
          <w:tcPr>
            <w:tcW w:w="880" w:type="dxa"/>
            <w:vAlign w:val="bottom"/>
            <w:tcBorders>
              <w:bottom w:val="single" w:sz="8" w:color="E9F0F3"/>
            </w:tcBorders>
            <w:shd w:val="clear" w:color="auto" w:fill="E9F0F3"/>
          </w:tcPr>
          <w:p>
            <w:pPr>
              <w:spacing w:after="0"/>
              <w:rPr>
                <w:sz w:val="24"/>
                <w:szCs w:val="24"/>
                <w:color w:val="auto"/>
              </w:rPr>
            </w:pPr>
          </w:p>
        </w:tc>
        <w:tc>
          <w:tcPr>
            <w:tcW w:w="740" w:type="dxa"/>
            <w:vAlign w:val="bottom"/>
            <w:tcBorders>
              <w:bottom w:val="single" w:sz="8" w:color="E9F0F3"/>
            </w:tcBorders>
            <w:shd w:val="clear" w:color="auto" w:fill="E9F0F3"/>
          </w:tcPr>
          <w:p>
            <w:pPr>
              <w:spacing w:after="0"/>
              <w:rPr>
                <w:sz w:val="24"/>
                <w:szCs w:val="24"/>
                <w:color w:val="auto"/>
              </w:rPr>
            </w:pPr>
          </w:p>
        </w:tc>
        <w:tc>
          <w:tcPr>
            <w:tcW w:w="860" w:type="dxa"/>
            <w:vAlign w:val="bottom"/>
            <w:tcBorders>
              <w:bottom w:val="single" w:sz="8" w:color="E9F0F3"/>
            </w:tcBorders>
            <w:shd w:val="clear" w:color="auto" w:fill="E9F0F3"/>
          </w:tcPr>
          <w:p>
            <w:pPr>
              <w:spacing w:after="0"/>
              <w:rPr>
                <w:sz w:val="24"/>
                <w:szCs w:val="24"/>
                <w:color w:val="auto"/>
              </w:rPr>
            </w:pPr>
          </w:p>
        </w:tc>
        <w:tc>
          <w:tcPr>
            <w:tcW w:w="920" w:type="dxa"/>
            <w:vAlign w:val="bottom"/>
            <w:tcBorders>
              <w:bottom w:val="single" w:sz="8" w:color="E2EAEF"/>
            </w:tcBorders>
            <w:shd w:val="clear" w:color="auto" w:fill="E2EAEF"/>
          </w:tcPr>
          <w:p>
            <w:pPr>
              <w:spacing w:after="0"/>
              <w:rPr>
                <w:sz w:val="24"/>
                <w:szCs w:val="24"/>
                <w:color w:val="auto"/>
              </w:rPr>
            </w:pPr>
          </w:p>
        </w:tc>
        <w:tc>
          <w:tcPr>
            <w:tcW w:w="840" w:type="dxa"/>
            <w:vAlign w:val="bottom"/>
            <w:tcBorders>
              <w:bottom w:val="single" w:sz="8" w:color="E2EAEF"/>
            </w:tcBorders>
            <w:shd w:val="clear" w:color="auto" w:fill="E2EAE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60"/>
              <w:spacing w:after="0"/>
              <w:rPr>
                <w:sz w:val="20"/>
                <w:szCs w:val="20"/>
                <w:color w:val="auto"/>
              </w:rPr>
            </w:pPr>
            <w:r>
              <w:rPr>
                <w:rFonts w:ascii="Arial" w:cs="Arial" w:eastAsia="Arial" w:hAnsi="Arial"/>
                <w:sz w:val="14"/>
                <w:szCs w:val="14"/>
                <w:b w:val="1"/>
                <w:bCs w:val="1"/>
                <w:color w:val="auto"/>
              </w:rPr>
              <w:t>Fredrik Olsson</w:t>
            </w:r>
          </w:p>
        </w:tc>
        <w:tc>
          <w:tcPr>
            <w:tcW w:w="1040" w:type="dxa"/>
            <w:vAlign w:val="bottom"/>
          </w:tcPr>
          <w:p>
            <w:pPr>
              <w:jc w:val="right"/>
              <w:spacing w:after="0"/>
              <w:rPr>
                <w:sz w:val="20"/>
                <w:szCs w:val="20"/>
                <w:color w:val="auto"/>
              </w:rPr>
            </w:pPr>
            <w:r>
              <w:rPr>
                <w:rFonts w:ascii="Arial" w:cs="Arial" w:eastAsia="Arial" w:hAnsi="Arial"/>
                <w:sz w:val="14"/>
                <w:szCs w:val="14"/>
                <w:color w:val="auto"/>
              </w:rPr>
              <w:t>4/10/2025</w:t>
            </w: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jc w:val="right"/>
              <w:ind w:right="78"/>
              <w:spacing w:after="0"/>
              <w:rPr>
                <w:sz w:val="20"/>
                <w:szCs w:val="20"/>
                <w:color w:val="auto"/>
              </w:rPr>
            </w:pPr>
            <w:r>
              <w:rPr>
                <w:rFonts w:ascii="Arial" w:cs="Arial" w:eastAsia="Arial" w:hAnsi="Arial"/>
                <w:sz w:val="14"/>
                <w:szCs w:val="14"/>
                <w:color w:val="auto"/>
              </w:rPr>
              <w:t>10,848</w:t>
            </w:r>
          </w:p>
        </w:tc>
        <w:tc>
          <w:tcPr>
            <w:tcW w:w="840" w:type="dxa"/>
            <w:vAlign w:val="bottom"/>
          </w:tcPr>
          <w:p>
            <w:pPr>
              <w:jc w:val="right"/>
              <w:spacing w:after="0"/>
              <w:rPr>
                <w:sz w:val="20"/>
                <w:szCs w:val="20"/>
                <w:color w:val="auto"/>
              </w:rPr>
            </w:pPr>
            <w:r>
              <w:rPr>
                <w:rFonts w:ascii="Arial" w:cs="Arial" w:eastAsia="Arial" w:hAnsi="Arial"/>
                <w:sz w:val="14"/>
                <w:szCs w:val="14"/>
                <w:color w:val="auto"/>
              </w:rPr>
              <w:t>750,139</w:t>
            </w:r>
          </w:p>
        </w:tc>
        <w:tc>
          <w:tcPr>
            <w:tcW w:w="0" w:type="dxa"/>
            <w:vAlign w:val="bottom"/>
          </w:tcPr>
          <w:p>
            <w:pPr>
              <w:spacing w:after="0"/>
              <w:rPr>
                <w:sz w:val="1"/>
                <w:szCs w:val="1"/>
                <w:color w:val="auto"/>
              </w:rPr>
            </w:pPr>
          </w:p>
        </w:tc>
      </w:tr>
      <w:tr>
        <w:trPr>
          <w:trHeight w:val="275"/>
        </w:trPr>
        <w:tc>
          <w:tcPr>
            <w:tcW w:w="29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4/10/2025</w:t>
            </w: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5,424</w:t>
            </w:r>
          </w:p>
        </w:tc>
        <w:tc>
          <w:tcPr>
            <w:tcW w:w="740" w:type="dxa"/>
            <w:vAlign w:val="bottom"/>
          </w:tcPr>
          <w:p>
            <w:pPr>
              <w:jc w:val="right"/>
              <w:spacing w:after="0"/>
              <w:rPr>
                <w:sz w:val="20"/>
                <w:szCs w:val="20"/>
                <w:color w:val="auto"/>
              </w:rPr>
            </w:pPr>
            <w:r>
              <w:rPr>
                <w:rFonts w:ascii="Arial" w:cs="Arial" w:eastAsia="Arial" w:hAnsi="Arial"/>
                <w:sz w:val="14"/>
                <w:szCs w:val="14"/>
                <w:color w:val="auto"/>
              </w:rPr>
              <w:t>10,848</w:t>
            </w:r>
          </w:p>
        </w:tc>
        <w:tc>
          <w:tcPr>
            <w:tcW w:w="860" w:type="dxa"/>
            <w:vAlign w:val="bottom"/>
          </w:tcPr>
          <w:p>
            <w:pPr>
              <w:jc w:val="right"/>
              <w:spacing w:after="0"/>
              <w:rPr>
                <w:sz w:val="20"/>
                <w:szCs w:val="20"/>
                <w:color w:val="auto"/>
              </w:rPr>
            </w:pPr>
            <w:r>
              <w:rPr>
                <w:rFonts w:ascii="Arial" w:cs="Arial" w:eastAsia="Arial" w:hAnsi="Arial"/>
                <w:sz w:val="14"/>
                <w:szCs w:val="14"/>
                <w:color w:val="auto"/>
              </w:rPr>
              <w:t>21,696</w:t>
            </w:r>
          </w:p>
        </w:tc>
        <w:tc>
          <w:tcPr>
            <w:tcW w:w="9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941,172</w:t>
            </w:r>
          </w:p>
        </w:tc>
        <w:tc>
          <w:tcPr>
            <w:tcW w:w="0" w:type="dxa"/>
            <w:vAlign w:val="bottom"/>
          </w:tcPr>
          <w:p>
            <w:pPr>
              <w:spacing w:after="0"/>
              <w:rPr>
                <w:sz w:val="1"/>
                <w:szCs w:val="1"/>
                <w:color w:val="auto"/>
              </w:rPr>
            </w:pPr>
          </w:p>
        </w:tc>
      </w:tr>
      <w:tr>
        <w:trPr>
          <w:trHeight w:val="317"/>
        </w:trPr>
        <w:tc>
          <w:tcPr>
            <w:tcW w:w="29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4/10/2025</w:t>
            </w:r>
            <w:r>
              <w:rPr>
                <w:rFonts w:ascii="Arial" w:cs="Arial" w:eastAsia="Arial" w:hAnsi="Arial"/>
                <w:sz w:val="16"/>
                <w:szCs w:val="16"/>
                <w:color w:val="auto"/>
                <w:vertAlign w:val="superscript"/>
              </w:rPr>
              <w:t>5</w:t>
            </w:r>
          </w:p>
        </w:tc>
        <w:tc>
          <w:tcPr>
            <w:tcW w:w="920" w:type="dxa"/>
            <w:vAlign w:val="bottom"/>
          </w:tcPr>
          <w:p>
            <w:pPr>
              <w:jc w:val="right"/>
              <w:spacing w:after="0"/>
              <w:rPr>
                <w:sz w:val="20"/>
                <w:szCs w:val="20"/>
                <w:color w:val="auto"/>
              </w:rPr>
            </w:pPr>
            <w:r>
              <w:rPr>
                <w:rFonts w:ascii="Arial" w:cs="Arial" w:eastAsia="Arial" w:hAnsi="Arial"/>
                <w:sz w:val="14"/>
                <w:szCs w:val="14"/>
                <w:color w:val="auto"/>
              </w:rPr>
              <w:t>257,000</w:t>
            </w:r>
          </w:p>
        </w:tc>
        <w:tc>
          <w:tcPr>
            <w:tcW w:w="1140" w:type="dxa"/>
            <w:vAlign w:val="bottom"/>
          </w:tcPr>
          <w:p>
            <w:pPr>
              <w:jc w:val="right"/>
              <w:ind w:right="234"/>
              <w:spacing w:after="0"/>
              <w:rPr>
                <w:sz w:val="20"/>
                <w:szCs w:val="20"/>
                <w:color w:val="auto"/>
              </w:rPr>
            </w:pPr>
            <w:r>
              <w:rPr>
                <w:rFonts w:ascii="Arial" w:cs="Arial" w:eastAsia="Arial" w:hAnsi="Arial"/>
                <w:sz w:val="14"/>
                <w:szCs w:val="14"/>
                <w:color w:val="auto"/>
              </w:rPr>
              <w:t>1,027,998</w:t>
            </w:r>
          </w:p>
        </w:tc>
        <w:tc>
          <w:tcPr>
            <w:tcW w:w="680" w:type="dxa"/>
            <w:vAlign w:val="bottom"/>
          </w:tcPr>
          <w:p>
            <w:pPr>
              <w:jc w:val="right"/>
              <w:spacing w:after="0"/>
              <w:rPr>
                <w:sz w:val="20"/>
                <w:szCs w:val="20"/>
                <w:color w:val="auto"/>
              </w:rPr>
            </w:pPr>
            <w:r>
              <w:rPr>
                <w:rFonts w:ascii="Arial" w:cs="Arial" w:eastAsia="Arial" w:hAnsi="Arial"/>
                <w:sz w:val="14"/>
                <w:szCs w:val="14"/>
                <w:color w:val="auto"/>
                <w:w w:val="99"/>
              </w:rPr>
              <w:t>2,055,996</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2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David Savman</w:t>
            </w:r>
          </w:p>
        </w:tc>
        <w:tc>
          <w:tcPr>
            <w:tcW w:w="10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4/10/2025</w:t>
            </w:r>
          </w:p>
        </w:tc>
        <w:tc>
          <w:tcPr>
            <w:tcW w:w="920" w:type="dxa"/>
            <w:vAlign w:val="bottom"/>
            <w:shd w:val="clear" w:color="auto" w:fill="E2EAEF"/>
          </w:tcPr>
          <w:p>
            <w:pPr>
              <w:spacing w:after="0"/>
              <w:rPr>
                <w:sz w:val="19"/>
                <w:szCs w:val="19"/>
                <w:color w:val="auto"/>
              </w:rPr>
            </w:pPr>
          </w:p>
        </w:tc>
        <w:tc>
          <w:tcPr>
            <w:tcW w:w="1140" w:type="dxa"/>
            <w:vAlign w:val="bottom"/>
            <w:shd w:val="clear" w:color="auto" w:fill="E2EAEF"/>
          </w:tcPr>
          <w:p>
            <w:pPr>
              <w:spacing w:after="0"/>
              <w:rPr>
                <w:sz w:val="19"/>
                <w:szCs w:val="19"/>
                <w:color w:val="auto"/>
              </w:rPr>
            </w:pPr>
          </w:p>
        </w:tc>
        <w:tc>
          <w:tcPr>
            <w:tcW w:w="680" w:type="dxa"/>
            <w:vAlign w:val="bottom"/>
            <w:shd w:val="clear" w:color="auto" w:fill="E2EAEF"/>
          </w:tcPr>
          <w:p>
            <w:pPr>
              <w:spacing w:after="0"/>
              <w:rPr>
                <w:sz w:val="19"/>
                <w:szCs w:val="19"/>
                <w:color w:val="auto"/>
              </w:rPr>
            </w:pPr>
          </w:p>
        </w:tc>
        <w:tc>
          <w:tcPr>
            <w:tcW w:w="880" w:type="dxa"/>
            <w:vAlign w:val="bottom"/>
            <w:shd w:val="clear" w:color="auto" w:fill="E9F0F3"/>
          </w:tcPr>
          <w:p>
            <w:pPr>
              <w:spacing w:after="0"/>
              <w:rPr>
                <w:sz w:val="19"/>
                <w:szCs w:val="19"/>
                <w:color w:val="auto"/>
              </w:rPr>
            </w:pPr>
          </w:p>
        </w:tc>
        <w:tc>
          <w:tcPr>
            <w:tcW w:w="740" w:type="dxa"/>
            <w:vAlign w:val="bottom"/>
            <w:shd w:val="clear" w:color="auto" w:fill="E9F0F3"/>
          </w:tcPr>
          <w:p>
            <w:pPr>
              <w:spacing w:after="0"/>
              <w:rPr>
                <w:sz w:val="19"/>
                <w:szCs w:val="19"/>
                <w:color w:val="auto"/>
              </w:rPr>
            </w:pPr>
          </w:p>
        </w:tc>
        <w:tc>
          <w:tcPr>
            <w:tcW w:w="860" w:type="dxa"/>
            <w:vAlign w:val="bottom"/>
            <w:shd w:val="clear" w:color="auto" w:fill="E9F0F3"/>
          </w:tcPr>
          <w:p>
            <w:pPr>
              <w:spacing w:after="0"/>
              <w:rPr>
                <w:sz w:val="19"/>
                <w:szCs w:val="19"/>
                <w:color w:val="auto"/>
              </w:rPr>
            </w:pPr>
          </w:p>
        </w:tc>
        <w:tc>
          <w:tcPr>
            <w:tcW w:w="920" w:type="dxa"/>
            <w:vAlign w:val="bottom"/>
            <w:shd w:val="clear" w:color="auto" w:fill="E2EAEF"/>
          </w:tcPr>
          <w:p>
            <w:pPr>
              <w:jc w:val="right"/>
              <w:ind w:right="98"/>
              <w:spacing w:after="0"/>
              <w:rPr>
                <w:sz w:val="20"/>
                <w:szCs w:val="20"/>
                <w:color w:val="auto"/>
              </w:rPr>
            </w:pPr>
            <w:r>
              <w:rPr>
                <w:rFonts w:ascii="Arial" w:cs="Arial" w:eastAsia="Arial" w:hAnsi="Arial"/>
                <w:sz w:val="14"/>
                <w:szCs w:val="14"/>
                <w:color w:val="auto"/>
              </w:rPr>
              <w:t>11,208</w:t>
            </w:r>
          </w:p>
        </w:tc>
        <w:tc>
          <w:tcPr>
            <w:tcW w:w="8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775,033</w:t>
            </w:r>
          </w:p>
        </w:tc>
        <w:tc>
          <w:tcPr>
            <w:tcW w:w="0" w:type="dxa"/>
            <w:vAlign w:val="bottom"/>
          </w:tcPr>
          <w:p>
            <w:pPr>
              <w:spacing w:after="0"/>
              <w:rPr>
                <w:sz w:val="1"/>
                <w:szCs w:val="1"/>
                <w:color w:val="auto"/>
              </w:rPr>
            </w:pPr>
          </w:p>
        </w:tc>
      </w:tr>
      <w:tr>
        <w:trPr>
          <w:trHeight w:val="275"/>
        </w:trPr>
        <w:tc>
          <w:tcPr>
            <w:tcW w:w="2920" w:type="dxa"/>
            <w:vAlign w:val="bottom"/>
            <w:shd w:val="clear" w:color="auto" w:fill="E9F0F3"/>
          </w:tcPr>
          <w:p>
            <w:pPr>
              <w:spacing w:after="0"/>
              <w:rPr>
                <w:sz w:val="23"/>
                <w:szCs w:val="23"/>
                <w:color w:val="auto"/>
              </w:rPr>
            </w:pPr>
          </w:p>
        </w:tc>
        <w:tc>
          <w:tcPr>
            <w:tcW w:w="10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4/10/2025</w:t>
            </w:r>
          </w:p>
        </w:tc>
        <w:tc>
          <w:tcPr>
            <w:tcW w:w="920" w:type="dxa"/>
            <w:vAlign w:val="bottom"/>
            <w:shd w:val="clear" w:color="auto" w:fill="E2EAEF"/>
          </w:tcPr>
          <w:p>
            <w:pPr>
              <w:spacing w:after="0"/>
              <w:rPr>
                <w:sz w:val="23"/>
                <w:szCs w:val="23"/>
                <w:color w:val="auto"/>
              </w:rPr>
            </w:pPr>
          </w:p>
        </w:tc>
        <w:tc>
          <w:tcPr>
            <w:tcW w:w="1140" w:type="dxa"/>
            <w:vAlign w:val="bottom"/>
            <w:shd w:val="clear" w:color="auto" w:fill="E2EAEF"/>
          </w:tcPr>
          <w:p>
            <w:pPr>
              <w:spacing w:after="0"/>
              <w:rPr>
                <w:sz w:val="23"/>
                <w:szCs w:val="23"/>
                <w:color w:val="auto"/>
              </w:rPr>
            </w:pPr>
          </w:p>
        </w:tc>
        <w:tc>
          <w:tcPr>
            <w:tcW w:w="680" w:type="dxa"/>
            <w:vAlign w:val="bottom"/>
            <w:shd w:val="clear" w:color="auto" w:fill="E2EAEF"/>
          </w:tcPr>
          <w:p>
            <w:pPr>
              <w:spacing w:after="0"/>
              <w:rPr>
                <w:sz w:val="23"/>
                <w:szCs w:val="23"/>
                <w:color w:val="auto"/>
              </w:rPr>
            </w:pPr>
          </w:p>
        </w:tc>
        <w:tc>
          <w:tcPr>
            <w:tcW w:w="8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5,604</w:t>
            </w:r>
          </w:p>
        </w:tc>
        <w:tc>
          <w:tcPr>
            <w:tcW w:w="7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11,208</w:t>
            </w:r>
          </w:p>
        </w:tc>
        <w:tc>
          <w:tcPr>
            <w:tcW w:w="8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22,416</w:t>
            </w:r>
          </w:p>
        </w:tc>
        <w:tc>
          <w:tcPr>
            <w:tcW w:w="920" w:type="dxa"/>
            <w:vAlign w:val="bottom"/>
            <w:shd w:val="clear" w:color="auto" w:fill="E2EAEF"/>
          </w:tcPr>
          <w:p>
            <w:pPr>
              <w:spacing w:after="0"/>
              <w:rPr>
                <w:sz w:val="23"/>
                <w:szCs w:val="23"/>
                <w:color w:val="auto"/>
              </w:rPr>
            </w:pPr>
          </w:p>
        </w:tc>
        <w:tc>
          <w:tcPr>
            <w:tcW w:w="8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972,406</w:t>
            </w:r>
          </w:p>
        </w:tc>
        <w:tc>
          <w:tcPr>
            <w:tcW w:w="0" w:type="dxa"/>
            <w:vAlign w:val="bottom"/>
          </w:tcPr>
          <w:p>
            <w:pPr>
              <w:spacing w:after="0"/>
              <w:rPr>
                <w:sz w:val="1"/>
                <w:szCs w:val="1"/>
                <w:color w:val="auto"/>
              </w:rPr>
            </w:pPr>
          </w:p>
        </w:tc>
      </w:tr>
      <w:tr>
        <w:trPr>
          <w:trHeight w:val="283"/>
        </w:trPr>
        <w:tc>
          <w:tcPr>
            <w:tcW w:w="2920" w:type="dxa"/>
            <w:vAlign w:val="bottom"/>
            <w:shd w:val="clear" w:color="auto" w:fill="E9F0F3"/>
          </w:tcPr>
          <w:p>
            <w:pPr>
              <w:spacing w:after="0"/>
              <w:rPr>
                <w:sz w:val="24"/>
                <w:szCs w:val="24"/>
                <w:color w:val="auto"/>
              </w:rPr>
            </w:pPr>
          </w:p>
        </w:tc>
        <w:tc>
          <w:tcPr>
            <w:tcW w:w="10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4/10/2025</w:t>
            </w:r>
          </w:p>
        </w:tc>
        <w:tc>
          <w:tcPr>
            <w:tcW w:w="920" w:type="dxa"/>
            <w:vAlign w:val="bottom"/>
            <w:shd w:val="clear" w:color="auto" w:fill="E2EAEF"/>
          </w:tcPr>
          <w:p>
            <w:pPr>
              <w:jc w:val="right"/>
              <w:spacing w:after="0"/>
              <w:rPr>
                <w:sz w:val="20"/>
                <w:szCs w:val="20"/>
                <w:color w:val="auto"/>
              </w:rPr>
            </w:pPr>
            <w:r>
              <w:rPr>
                <w:rFonts w:ascii="Arial" w:cs="Arial" w:eastAsia="Arial" w:hAnsi="Arial"/>
                <w:sz w:val="14"/>
                <w:szCs w:val="14"/>
                <w:color w:val="auto"/>
              </w:rPr>
              <w:t>206,250</w:t>
            </w:r>
          </w:p>
        </w:tc>
        <w:tc>
          <w:tcPr>
            <w:tcW w:w="1140" w:type="dxa"/>
            <w:vAlign w:val="bottom"/>
            <w:shd w:val="clear" w:color="auto" w:fill="E2EAEF"/>
          </w:tcPr>
          <w:p>
            <w:pPr>
              <w:jc w:val="right"/>
              <w:ind w:right="234"/>
              <w:spacing w:after="0"/>
              <w:rPr>
                <w:sz w:val="20"/>
                <w:szCs w:val="20"/>
                <w:color w:val="auto"/>
              </w:rPr>
            </w:pPr>
            <w:r>
              <w:rPr>
                <w:rFonts w:ascii="Arial" w:cs="Arial" w:eastAsia="Arial" w:hAnsi="Arial"/>
                <w:sz w:val="14"/>
                <w:szCs w:val="14"/>
                <w:color w:val="auto"/>
              </w:rPr>
              <w:t>825,000</w:t>
            </w:r>
          </w:p>
        </w:tc>
        <w:tc>
          <w:tcPr>
            <w:tcW w:w="680" w:type="dxa"/>
            <w:vAlign w:val="bottom"/>
            <w:shd w:val="clear" w:color="auto" w:fill="E2EAEF"/>
          </w:tcPr>
          <w:p>
            <w:pPr>
              <w:jc w:val="right"/>
              <w:spacing w:after="0"/>
              <w:rPr>
                <w:sz w:val="20"/>
                <w:szCs w:val="20"/>
                <w:color w:val="auto"/>
              </w:rPr>
            </w:pPr>
            <w:r>
              <w:rPr>
                <w:rFonts w:ascii="Arial" w:cs="Arial" w:eastAsia="Arial" w:hAnsi="Arial"/>
                <w:sz w:val="14"/>
                <w:szCs w:val="14"/>
                <w:color w:val="auto"/>
                <w:w w:val="99"/>
              </w:rPr>
              <w:t>1,650,000</w:t>
            </w:r>
          </w:p>
        </w:tc>
        <w:tc>
          <w:tcPr>
            <w:tcW w:w="880" w:type="dxa"/>
            <w:vAlign w:val="bottom"/>
            <w:shd w:val="clear" w:color="auto" w:fill="E9F0F3"/>
          </w:tcPr>
          <w:p>
            <w:pPr>
              <w:spacing w:after="0"/>
              <w:rPr>
                <w:sz w:val="24"/>
                <w:szCs w:val="24"/>
                <w:color w:val="auto"/>
              </w:rPr>
            </w:pPr>
          </w:p>
        </w:tc>
        <w:tc>
          <w:tcPr>
            <w:tcW w:w="740" w:type="dxa"/>
            <w:vAlign w:val="bottom"/>
            <w:shd w:val="clear" w:color="auto" w:fill="E9F0F3"/>
          </w:tcPr>
          <w:p>
            <w:pPr>
              <w:spacing w:after="0"/>
              <w:rPr>
                <w:sz w:val="24"/>
                <w:szCs w:val="24"/>
                <w:color w:val="auto"/>
              </w:rPr>
            </w:pPr>
          </w:p>
        </w:tc>
        <w:tc>
          <w:tcPr>
            <w:tcW w:w="860" w:type="dxa"/>
            <w:vAlign w:val="bottom"/>
            <w:shd w:val="clear" w:color="auto" w:fill="E9F0F3"/>
          </w:tcPr>
          <w:p>
            <w:pPr>
              <w:spacing w:after="0"/>
              <w:rPr>
                <w:sz w:val="24"/>
                <w:szCs w:val="24"/>
                <w:color w:val="auto"/>
              </w:rPr>
            </w:pPr>
          </w:p>
        </w:tc>
        <w:tc>
          <w:tcPr>
            <w:tcW w:w="920" w:type="dxa"/>
            <w:vAlign w:val="bottom"/>
            <w:shd w:val="clear" w:color="auto" w:fill="E2EAEF"/>
          </w:tcPr>
          <w:p>
            <w:pPr>
              <w:spacing w:after="0"/>
              <w:rPr>
                <w:sz w:val="24"/>
                <w:szCs w:val="24"/>
                <w:color w:val="auto"/>
              </w:rPr>
            </w:pPr>
          </w:p>
        </w:tc>
        <w:tc>
          <w:tcPr>
            <w:tcW w:w="840" w:type="dxa"/>
            <w:vAlign w:val="bottom"/>
            <w:shd w:val="clear" w:color="auto" w:fill="E2EAEF"/>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2920" w:type="dxa"/>
            <w:vAlign w:val="bottom"/>
            <w:shd w:val="clear" w:color="auto" w:fill="E9F0F3"/>
          </w:tcPr>
          <w:p>
            <w:pPr>
              <w:spacing w:after="0"/>
              <w:rPr>
                <w:sz w:val="5"/>
                <w:szCs w:val="5"/>
                <w:color w:val="auto"/>
              </w:rPr>
            </w:pPr>
          </w:p>
        </w:tc>
        <w:tc>
          <w:tcPr>
            <w:tcW w:w="1040" w:type="dxa"/>
            <w:vAlign w:val="bottom"/>
            <w:shd w:val="clear" w:color="auto" w:fill="E9F0F3"/>
          </w:tcPr>
          <w:p>
            <w:pPr>
              <w:spacing w:after="0"/>
              <w:rPr>
                <w:sz w:val="5"/>
                <w:szCs w:val="5"/>
                <w:color w:val="auto"/>
              </w:rPr>
            </w:pPr>
          </w:p>
        </w:tc>
        <w:tc>
          <w:tcPr>
            <w:tcW w:w="920" w:type="dxa"/>
            <w:vAlign w:val="bottom"/>
            <w:shd w:val="clear" w:color="auto" w:fill="E2EAEF"/>
          </w:tcPr>
          <w:p>
            <w:pPr>
              <w:spacing w:after="0"/>
              <w:rPr>
                <w:sz w:val="5"/>
                <w:szCs w:val="5"/>
                <w:color w:val="auto"/>
              </w:rPr>
            </w:pPr>
          </w:p>
        </w:tc>
        <w:tc>
          <w:tcPr>
            <w:tcW w:w="1140" w:type="dxa"/>
            <w:vAlign w:val="bottom"/>
            <w:shd w:val="clear" w:color="auto" w:fill="E2EAEF"/>
          </w:tcPr>
          <w:p>
            <w:pPr>
              <w:spacing w:after="0"/>
              <w:rPr>
                <w:sz w:val="5"/>
                <w:szCs w:val="5"/>
                <w:color w:val="auto"/>
              </w:rPr>
            </w:pPr>
          </w:p>
        </w:tc>
        <w:tc>
          <w:tcPr>
            <w:tcW w:w="680" w:type="dxa"/>
            <w:vAlign w:val="bottom"/>
            <w:shd w:val="clear" w:color="auto" w:fill="E2EAEF"/>
          </w:tcPr>
          <w:p>
            <w:pPr>
              <w:spacing w:after="0"/>
              <w:rPr>
                <w:sz w:val="5"/>
                <w:szCs w:val="5"/>
                <w:color w:val="auto"/>
              </w:rPr>
            </w:pPr>
          </w:p>
        </w:tc>
        <w:tc>
          <w:tcPr>
            <w:tcW w:w="880" w:type="dxa"/>
            <w:vAlign w:val="bottom"/>
            <w:shd w:val="clear" w:color="auto" w:fill="E9F0F3"/>
          </w:tcPr>
          <w:p>
            <w:pPr>
              <w:spacing w:after="0"/>
              <w:rPr>
                <w:sz w:val="5"/>
                <w:szCs w:val="5"/>
                <w:color w:val="auto"/>
              </w:rPr>
            </w:pPr>
          </w:p>
        </w:tc>
        <w:tc>
          <w:tcPr>
            <w:tcW w:w="740" w:type="dxa"/>
            <w:vAlign w:val="bottom"/>
            <w:shd w:val="clear" w:color="auto" w:fill="E9F0F3"/>
          </w:tcPr>
          <w:p>
            <w:pPr>
              <w:spacing w:after="0"/>
              <w:rPr>
                <w:sz w:val="5"/>
                <w:szCs w:val="5"/>
                <w:color w:val="auto"/>
              </w:rPr>
            </w:pPr>
          </w:p>
        </w:tc>
        <w:tc>
          <w:tcPr>
            <w:tcW w:w="860" w:type="dxa"/>
            <w:vAlign w:val="bottom"/>
            <w:shd w:val="clear" w:color="auto" w:fill="E9F0F3"/>
          </w:tcPr>
          <w:p>
            <w:pPr>
              <w:spacing w:after="0"/>
              <w:rPr>
                <w:sz w:val="5"/>
                <w:szCs w:val="5"/>
                <w:color w:val="auto"/>
              </w:rPr>
            </w:pPr>
          </w:p>
        </w:tc>
        <w:tc>
          <w:tcPr>
            <w:tcW w:w="920" w:type="dxa"/>
            <w:vAlign w:val="bottom"/>
            <w:shd w:val="clear" w:color="auto" w:fill="E2EAEF"/>
          </w:tcPr>
          <w:p>
            <w:pPr>
              <w:spacing w:after="0"/>
              <w:rPr>
                <w:sz w:val="5"/>
                <w:szCs w:val="5"/>
                <w:color w:val="auto"/>
              </w:rPr>
            </w:pPr>
          </w:p>
        </w:tc>
        <w:tc>
          <w:tcPr>
            <w:tcW w:w="840" w:type="dxa"/>
            <w:vAlign w:val="bottom"/>
            <w:shd w:val="clear" w:color="auto" w:fill="E2EAEF"/>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920" w:type="dxa"/>
            <w:vAlign w:val="bottom"/>
          </w:tcPr>
          <w:p>
            <w:pPr>
              <w:ind w:left="60"/>
              <w:spacing w:after="0"/>
              <w:rPr>
                <w:sz w:val="20"/>
                <w:szCs w:val="20"/>
                <w:color w:val="auto"/>
              </w:rPr>
            </w:pPr>
            <w:r>
              <w:rPr>
                <w:rFonts w:ascii="Arial" w:cs="Arial" w:eastAsia="Arial" w:hAnsi="Arial"/>
                <w:sz w:val="14"/>
                <w:szCs w:val="14"/>
                <w:b w:val="1"/>
                <w:bCs w:val="1"/>
                <w:color w:val="auto"/>
              </w:rPr>
              <w:t>Zachary J. Coughlin</w:t>
            </w:r>
            <w:r>
              <w:rPr>
                <w:rFonts w:ascii="Arial" w:cs="Arial" w:eastAsia="Arial" w:hAnsi="Arial"/>
                <w:sz w:val="18"/>
                <w:szCs w:val="18"/>
                <w:b w:val="1"/>
                <w:bCs w:val="1"/>
                <w:color w:val="auto"/>
                <w:vertAlign w:val="superscript"/>
              </w:rPr>
              <w:t>6</w:t>
            </w:r>
          </w:p>
        </w:tc>
        <w:tc>
          <w:tcPr>
            <w:tcW w:w="1040" w:type="dxa"/>
            <w:vAlign w:val="bottom"/>
          </w:tcPr>
          <w:p>
            <w:pPr>
              <w:jc w:val="right"/>
              <w:spacing w:after="0"/>
              <w:rPr>
                <w:sz w:val="20"/>
                <w:szCs w:val="20"/>
                <w:color w:val="auto"/>
              </w:rPr>
            </w:pPr>
            <w:r>
              <w:rPr>
                <w:rFonts w:ascii="Arial" w:cs="Arial" w:eastAsia="Arial" w:hAnsi="Arial"/>
                <w:sz w:val="14"/>
                <w:szCs w:val="14"/>
                <w:color w:val="auto"/>
              </w:rPr>
              <w:t>4/10/2025</w:t>
            </w: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jc w:val="right"/>
              <w:ind w:right="78"/>
              <w:spacing w:after="0"/>
              <w:rPr>
                <w:sz w:val="20"/>
                <w:szCs w:val="20"/>
                <w:color w:val="auto"/>
              </w:rPr>
            </w:pPr>
            <w:r>
              <w:rPr>
                <w:rFonts w:ascii="Arial" w:cs="Arial" w:eastAsia="Arial" w:hAnsi="Arial"/>
                <w:sz w:val="14"/>
                <w:szCs w:val="14"/>
                <w:color w:val="auto"/>
              </w:rPr>
              <w:t>28,200</w:t>
            </w:r>
          </w:p>
        </w:tc>
        <w:tc>
          <w:tcPr>
            <w:tcW w:w="840" w:type="dxa"/>
            <w:vAlign w:val="bottom"/>
          </w:tcPr>
          <w:p>
            <w:pPr>
              <w:jc w:val="right"/>
              <w:spacing w:after="0"/>
              <w:rPr>
                <w:sz w:val="20"/>
                <w:szCs w:val="20"/>
                <w:color w:val="auto"/>
              </w:rPr>
            </w:pPr>
            <w:r>
              <w:rPr>
                <w:rFonts w:ascii="Arial" w:cs="Arial" w:eastAsia="Arial" w:hAnsi="Arial"/>
                <w:sz w:val="14"/>
                <w:szCs w:val="14"/>
                <w:color w:val="auto"/>
              </w:rPr>
              <w:t>1,950,030</w:t>
            </w:r>
          </w:p>
        </w:tc>
        <w:tc>
          <w:tcPr>
            <w:tcW w:w="0" w:type="dxa"/>
            <w:vAlign w:val="bottom"/>
          </w:tcPr>
          <w:p>
            <w:pPr>
              <w:spacing w:after="0"/>
              <w:rPr>
                <w:sz w:val="1"/>
                <w:szCs w:val="1"/>
                <w:color w:val="auto"/>
              </w:rPr>
            </w:pPr>
          </w:p>
        </w:tc>
      </w:tr>
      <w:tr>
        <w:trPr>
          <w:trHeight w:val="224"/>
        </w:trPr>
        <w:tc>
          <w:tcPr>
            <w:tcW w:w="29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4/10/2025</w:t>
            </w: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14,100</w:t>
            </w:r>
          </w:p>
        </w:tc>
        <w:tc>
          <w:tcPr>
            <w:tcW w:w="740" w:type="dxa"/>
            <w:vAlign w:val="bottom"/>
          </w:tcPr>
          <w:p>
            <w:pPr>
              <w:jc w:val="right"/>
              <w:spacing w:after="0"/>
              <w:rPr>
                <w:sz w:val="20"/>
                <w:szCs w:val="20"/>
                <w:color w:val="auto"/>
              </w:rPr>
            </w:pPr>
            <w:r>
              <w:rPr>
                <w:rFonts w:ascii="Arial" w:cs="Arial" w:eastAsia="Arial" w:hAnsi="Arial"/>
                <w:sz w:val="14"/>
                <w:szCs w:val="14"/>
                <w:color w:val="auto"/>
              </w:rPr>
              <w:t>28,200</w:t>
            </w:r>
          </w:p>
        </w:tc>
        <w:tc>
          <w:tcPr>
            <w:tcW w:w="860" w:type="dxa"/>
            <w:vAlign w:val="bottom"/>
          </w:tcPr>
          <w:p>
            <w:pPr>
              <w:jc w:val="right"/>
              <w:spacing w:after="0"/>
              <w:rPr>
                <w:sz w:val="20"/>
                <w:szCs w:val="20"/>
                <w:color w:val="auto"/>
              </w:rPr>
            </w:pPr>
            <w:r>
              <w:rPr>
                <w:rFonts w:ascii="Arial" w:cs="Arial" w:eastAsia="Arial" w:hAnsi="Arial"/>
                <w:sz w:val="14"/>
                <w:szCs w:val="14"/>
                <w:color w:val="auto"/>
              </w:rPr>
              <w:t>56,400</w:t>
            </w:r>
          </w:p>
        </w:tc>
        <w:tc>
          <w:tcPr>
            <w:tcW w:w="9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2,446,632</w:t>
            </w:r>
          </w:p>
        </w:tc>
        <w:tc>
          <w:tcPr>
            <w:tcW w:w="0" w:type="dxa"/>
            <w:vAlign w:val="bottom"/>
          </w:tcPr>
          <w:p>
            <w:pPr>
              <w:spacing w:after="0"/>
              <w:rPr>
                <w:sz w:val="1"/>
                <w:szCs w:val="1"/>
                <w:color w:val="auto"/>
              </w:rPr>
            </w:pPr>
          </w:p>
        </w:tc>
      </w:tr>
      <w:tr>
        <w:trPr>
          <w:trHeight w:val="283"/>
        </w:trPr>
        <w:tc>
          <w:tcPr>
            <w:tcW w:w="29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4/10/2025</w:t>
            </w:r>
          </w:p>
        </w:tc>
        <w:tc>
          <w:tcPr>
            <w:tcW w:w="920" w:type="dxa"/>
            <w:vAlign w:val="bottom"/>
          </w:tcPr>
          <w:p>
            <w:pPr>
              <w:jc w:val="right"/>
              <w:spacing w:after="0"/>
              <w:rPr>
                <w:sz w:val="20"/>
                <w:szCs w:val="20"/>
                <w:color w:val="auto"/>
              </w:rPr>
            </w:pPr>
            <w:r>
              <w:rPr>
                <w:rFonts w:ascii="Arial" w:cs="Arial" w:eastAsia="Arial" w:hAnsi="Arial"/>
                <w:sz w:val="14"/>
                <w:szCs w:val="14"/>
                <w:color w:val="auto"/>
              </w:rPr>
              <w:t>281,250</w:t>
            </w:r>
          </w:p>
        </w:tc>
        <w:tc>
          <w:tcPr>
            <w:tcW w:w="1140" w:type="dxa"/>
            <w:vAlign w:val="bottom"/>
          </w:tcPr>
          <w:p>
            <w:pPr>
              <w:jc w:val="right"/>
              <w:ind w:right="234"/>
              <w:spacing w:after="0"/>
              <w:rPr>
                <w:sz w:val="20"/>
                <w:szCs w:val="20"/>
                <w:color w:val="auto"/>
              </w:rPr>
            </w:pPr>
            <w:r>
              <w:rPr>
                <w:rFonts w:ascii="Arial" w:cs="Arial" w:eastAsia="Arial" w:hAnsi="Arial"/>
                <w:sz w:val="14"/>
                <w:szCs w:val="14"/>
                <w:color w:val="auto"/>
              </w:rPr>
              <w:t>1,125,000</w:t>
            </w:r>
          </w:p>
        </w:tc>
        <w:tc>
          <w:tcPr>
            <w:tcW w:w="680" w:type="dxa"/>
            <w:vAlign w:val="bottom"/>
          </w:tcPr>
          <w:p>
            <w:pPr>
              <w:jc w:val="right"/>
              <w:spacing w:after="0"/>
              <w:rPr>
                <w:sz w:val="20"/>
                <w:szCs w:val="20"/>
                <w:color w:val="auto"/>
              </w:rPr>
            </w:pPr>
            <w:r>
              <w:rPr>
                <w:rFonts w:ascii="Arial" w:cs="Arial" w:eastAsia="Arial" w:hAnsi="Arial"/>
                <w:sz w:val="14"/>
                <w:szCs w:val="14"/>
                <w:color w:val="auto"/>
                <w:w w:val="99"/>
              </w:rPr>
              <w:t>2,250,000</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29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92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Eva Serrano</w:t>
            </w:r>
            <w:r>
              <w:rPr>
                <w:rFonts w:ascii="Arial" w:cs="Arial" w:eastAsia="Arial" w:hAnsi="Arial"/>
                <w:sz w:val="18"/>
                <w:szCs w:val="18"/>
                <w:b w:val="1"/>
                <w:bCs w:val="1"/>
                <w:color w:val="auto"/>
                <w:vertAlign w:val="superscript"/>
              </w:rPr>
              <w:t>7</w:t>
            </w:r>
          </w:p>
        </w:tc>
        <w:tc>
          <w:tcPr>
            <w:tcW w:w="10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4/10/2025</w:t>
            </w:r>
          </w:p>
        </w:tc>
        <w:tc>
          <w:tcPr>
            <w:tcW w:w="920" w:type="dxa"/>
            <w:vAlign w:val="bottom"/>
            <w:shd w:val="clear" w:color="auto" w:fill="E2EAEF"/>
          </w:tcPr>
          <w:p>
            <w:pPr>
              <w:spacing w:after="0"/>
              <w:rPr>
                <w:sz w:val="24"/>
                <w:szCs w:val="24"/>
                <w:color w:val="auto"/>
              </w:rPr>
            </w:pPr>
          </w:p>
        </w:tc>
        <w:tc>
          <w:tcPr>
            <w:tcW w:w="1140" w:type="dxa"/>
            <w:vAlign w:val="bottom"/>
            <w:shd w:val="clear" w:color="auto" w:fill="E2EAEF"/>
          </w:tcPr>
          <w:p>
            <w:pPr>
              <w:spacing w:after="0"/>
              <w:rPr>
                <w:sz w:val="24"/>
                <w:szCs w:val="24"/>
                <w:color w:val="auto"/>
              </w:rPr>
            </w:pPr>
          </w:p>
        </w:tc>
        <w:tc>
          <w:tcPr>
            <w:tcW w:w="680" w:type="dxa"/>
            <w:vAlign w:val="bottom"/>
            <w:shd w:val="clear" w:color="auto" w:fill="E2EAEF"/>
          </w:tcPr>
          <w:p>
            <w:pPr>
              <w:spacing w:after="0"/>
              <w:rPr>
                <w:sz w:val="24"/>
                <w:szCs w:val="24"/>
                <w:color w:val="auto"/>
              </w:rPr>
            </w:pPr>
          </w:p>
        </w:tc>
        <w:tc>
          <w:tcPr>
            <w:tcW w:w="880" w:type="dxa"/>
            <w:vAlign w:val="bottom"/>
            <w:shd w:val="clear" w:color="auto" w:fill="E9F0F3"/>
          </w:tcPr>
          <w:p>
            <w:pPr>
              <w:spacing w:after="0"/>
              <w:rPr>
                <w:sz w:val="24"/>
                <w:szCs w:val="24"/>
                <w:color w:val="auto"/>
              </w:rPr>
            </w:pPr>
          </w:p>
        </w:tc>
        <w:tc>
          <w:tcPr>
            <w:tcW w:w="740" w:type="dxa"/>
            <w:vAlign w:val="bottom"/>
            <w:shd w:val="clear" w:color="auto" w:fill="E9F0F3"/>
          </w:tcPr>
          <w:p>
            <w:pPr>
              <w:spacing w:after="0"/>
              <w:rPr>
                <w:sz w:val="24"/>
                <w:szCs w:val="24"/>
                <w:color w:val="auto"/>
              </w:rPr>
            </w:pPr>
          </w:p>
        </w:tc>
        <w:tc>
          <w:tcPr>
            <w:tcW w:w="860" w:type="dxa"/>
            <w:vAlign w:val="bottom"/>
            <w:shd w:val="clear" w:color="auto" w:fill="E9F0F3"/>
          </w:tcPr>
          <w:p>
            <w:pPr>
              <w:spacing w:after="0"/>
              <w:rPr>
                <w:sz w:val="24"/>
                <w:szCs w:val="24"/>
                <w:color w:val="auto"/>
              </w:rPr>
            </w:pPr>
          </w:p>
        </w:tc>
        <w:tc>
          <w:tcPr>
            <w:tcW w:w="920" w:type="dxa"/>
            <w:vAlign w:val="bottom"/>
            <w:shd w:val="clear" w:color="auto" w:fill="E2EAEF"/>
          </w:tcPr>
          <w:p>
            <w:pPr>
              <w:jc w:val="right"/>
              <w:ind w:right="98"/>
              <w:spacing w:after="0"/>
              <w:rPr>
                <w:sz w:val="20"/>
                <w:szCs w:val="20"/>
                <w:color w:val="auto"/>
              </w:rPr>
            </w:pPr>
            <w:r>
              <w:rPr>
                <w:rFonts w:ascii="Arial" w:cs="Arial" w:eastAsia="Arial" w:hAnsi="Arial"/>
                <w:sz w:val="14"/>
                <w:szCs w:val="14"/>
                <w:color w:val="auto"/>
              </w:rPr>
              <w:t>12,296</w:t>
            </w:r>
          </w:p>
        </w:tc>
        <w:tc>
          <w:tcPr>
            <w:tcW w:w="8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850,268</w:t>
            </w:r>
          </w:p>
        </w:tc>
        <w:tc>
          <w:tcPr>
            <w:tcW w:w="0" w:type="dxa"/>
            <w:vAlign w:val="bottom"/>
          </w:tcPr>
          <w:p>
            <w:pPr>
              <w:spacing w:after="0"/>
              <w:rPr>
                <w:sz w:val="1"/>
                <w:szCs w:val="1"/>
                <w:color w:val="auto"/>
              </w:rPr>
            </w:pPr>
          </w:p>
        </w:tc>
      </w:tr>
      <w:tr>
        <w:trPr>
          <w:trHeight w:val="224"/>
        </w:trPr>
        <w:tc>
          <w:tcPr>
            <w:tcW w:w="2920" w:type="dxa"/>
            <w:vAlign w:val="bottom"/>
            <w:shd w:val="clear" w:color="auto" w:fill="E9F0F3"/>
          </w:tcPr>
          <w:p>
            <w:pPr>
              <w:spacing w:after="0"/>
              <w:rPr>
                <w:sz w:val="19"/>
                <w:szCs w:val="19"/>
                <w:color w:val="auto"/>
              </w:rPr>
            </w:pPr>
          </w:p>
        </w:tc>
        <w:tc>
          <w:tcPr>
            <w:tcW w:w="10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4/10/2025</w:t>
            </w:r>
          </w:p>
        </w:tc>
        <w:tc>
          <w:tcPr>
            <w:tcW w:w="920" w:type="dxa"/>
            <w:vAlign w:val="bottom"/>
            <w:shd w:val="clear" w:color="auto" w:fill="E2EAEF"/>
          </w:tcPr>
          <w:p>
            <w:pPr>
              <w:spacing w:after="0"/>
              <w:rPr>
                <w:sz w:val="19"/>
                <w:szCs w:val="19"/>
                <w:color w:val="auto"/>
              </w:rPr>
            </w:pPr>
          </w:p>
        </w:tc>
        <w:tc>
          <w:tcPr>
            <w:tcW w:w="1140" w:type="dxa"/>
            <w:vAlign w:val="bottom"/>
            <w:shd w:val="clear" w:color="auto" w:fill="E2EAEF"/>
          </w:tcPr>
          <w:p>
            <w:pPr>
              <w:spacing w:after="0"/>
              <w:rPr>
                <w:sz w:val="19"/>
                <w:szCs w:val="19"/>
                <w:color w:val="auto"/>
              </w:rPr>
            </w:pPr>
          </w:p>
        </w:tc>
        <w:tc>
          <w:tcPr>
            <w:tcW w:w="680" w:type="dxa"/>
            <w:vAlign w:val="bottom"/>
            <w:shd w:val="clear" w:color="auto" w:fill="E2EAEF"/>
          </w:tcPr>
          <w:p>
            <w:pPr>
              <w:spacing w:after="0"/>
              <w:rPr>
                <w:sz w:val="19"/>
                <w:szCs w:val="19"/>
                <w:color w:val="auto"/>
              </w:rPr>
            </w:pPr>
          </w:p>
        </w:tc>
        <w:tc>
          <w:tcPr>
            <w:tcW w:w="8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6,148</w:t>
            </w:r>
          </w:p>
        </w:tc>
        <w:tc>
          <w:tcPr>
            <w:tcW w:w="7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12,296</w:t>
            </w:r>
          </w:p>
        </w:tc>
        <w:tc>
          <w:tcPr>
            <w:tcW w:w="8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24,592</w:t>
            </w:r>
          </w:p>
        </w:tc>
        <w:tc>
          <w:tcPr>
            <w:tcW w:w="920" w:type="dxa"/>
            <w:vAlign w:val="bottom"/>
            <w:shd w:val="clear" w:color="auto" w:fill="E2EAEF"/>
          </w:tcPr>
          <w:p>
            <w:pPr>
              <w:spacing w:after="0"/>
              <w:rPr>
                <w:sz w:val="19"/>
                <w:szCs w:val="19"/>
                <w:color w:val="auto"/>
              </w:rPr>
            </w:pPr>
          </w:p>
        </w:tc>
        <w:tc>
          <w:tcPr>
            <w:tcW w:w="8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1,066,801</w:t>
            </w:r>
          </w:p>
        </w:tc>
        <w:tc>
          <w:tcPr>
            <w:tcW w:w="0" w:type="dxa"/>
            <w:vAlign w:val="bottom"/>
          </w:tcPr>
          <w:p>
            <w:pPr>
              <w:spacing w:after="0"/>
              <w:rPr>
                <w:sz w:val="1"/>
                <w:szCs w:val="1"/>
                <w:color w:val="auto"/>
              </w:rPr>
            </w:pPr>
          </w:p>
        </w:tc>
      </w:tr>
      <w:tr>
        <w:trPr>
          <w:trHeight w:val="283"/>
        </w:trPr>
        <w:tc>
          <w:tcPr>
            <w:tcW w:w="2920" w:type="dxa"/>
            <w:vAlign w:val="bottom"/>
            <w:shd w:val="clear" w:color="auto" w:fill="E9F0F3"/>
          </w:tcPr>
          <w:p>
            <w:pPr>
              <w:spacing w:after="0"/>
              <w:rPr>
                <w:sz w:val="24"/>
                <w:szCs w:val="24"/>
                <w:color w:val="auto"/>
              </w:rPr>
            </w:pPr>
          </w:p>
        </w:tc>
        <w:tc>
          <w:tcPr>
            <w:tcW w:w="10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4/10/2025</w:t>
            </w:r>
          </w:p>
        </w:tc>
        <w:tc>
          <w:tcPr>
            <w:tcW w:w="920" w:type="dxa"/>
            <w:vAlign w:val="bottom"/>
            <w:shd w:val="clear" w:color="auto" w:fill="E2EAEF"/>
          </w:tcPr>
          <w:p>
            <w:pPr>
              <w:jc w:val="right"/>
              <w:spacing w:after="0"/>
              <w:rPr>
                <w:sz w:val="20"/>
                <w:szCs w:val="20"/>
                <w:color w:val="auto"/>
              </w:rPr>
            </w:pPr>
            <w:r>
              <w:rPr>
                <w:rFonts w:ascii="Arial" w:cs="Arial" w:eastAsia="Arial" w:hAnsi="Arial"/>
                <w:sz w:val="14"/>
                <w:szCs w:val="14"/>
                <w:color w:val="auto"/>
              </w:rPr>
              <w:t>212,500</w:t>
            </w:r>
          </w:p>
        </w:tc>
        <w:tc>
          <w:tcPr>
            <w:tcW w:w="1140" w:type="dxa"/>
            <w:vAlign w:val="bottom"/>
            <w:shd w:val="clear" w:color="auto" w:fill="E2EAEF"/>
          </w:tcPr>
          <w:p>
            <w:pPr>
              <w:jc w:val="right"/>
              <w:ind w:right="234"/>
              <w:spacing w:after="0"/>
              <w:rPr>
                <w:sz w:val="20"/>
                <w:szCs w:val="20"/>
                <w:color w:val="auto"/>
              </w:rPr>
            </w:pPr>
            <w:r>
              <w:rPr>
                <w:rFonts w:ascii="Arial" w:cs="Arial" w:eastAsia="Arial" w:hAnsi="Arial"/>
                <w:sz w:val="14"/>
                <w:szCs w:val="14"/>
                <w:color w:val="auto"/>
              </w:rPr>
              <w:t>850,000</w:t>
            </w:r>
          </w:p>
        </w:tc>
        <w:tc>
          <w:tcPr>
            <w:tcW w:w="680" w:type="dxa"/>
            <w:vAlign w:val="bottom"/>
            <w:shd w:val="clear" w:color="auto" w:fill="E2EAEF"/>
          </w:tcPr>
          <w:p>
            <w:pPr>
              <w:jc w:val="right"/>
              <w:spacing w:after="0"/>
              <w:rPr>
                <w:sz w:val="20"/>
                <w:szCs w:val="20"/>
                <w:color w:val="auto"/>
              </w:rPr>
            </w:pPr>
            <w:r>
              <w:rPr>
                <w:rFonts w:ascii="Arial" w:cs="Arial" w:eastAsia="Arial" w:hAnsi="Arial"/>
                <w:sz w:val="14"/>
                <w:szCs w:val="14"/>
                <w:color w:val="auto"/>
                <w:w w:val="99"/>
              </w:rPr>
              <w:t>1,700,000</w:t>
            </w:r>
          </w:p>
        </w:tc>
        <w:tc>
          <w:tcPr>
            <w:tcW w:w="880" w:type="dxa"/>
            <w:vAlign w:val="bottom"/>
            <w:shd w:val="clear" w:color="auto" w:fill="E9F0F3"/>
          </w:tcPr>
          <w:p>
            <w:pPr>
              <w:spacing w:after="0"/>
              <w:rPr>
                <w:sz w:val="24"/>
                <w:szCs w:val="24"/>
                <w:color w:val="auto"/>
              </w:rPr>
            </w:pPr>
          </w:p>
        </w:tc>
        <w:tc>
          <w:tcPr>
            <w:tcW w:w="740" w:type="dxa"/>
            <w:vAlign w:val="bottom"/>
            <w:shd w:val="clear" w:color="auto" w:fill="E9F0F3"/>
          </w:tcPr>
          <w:p>
            <w:pPr>
              <w:spacing w:after="0"/>
              <w:rPr>
                <w:sz w:val="24"/>
                <w:szCs w:val="24"/>
                <w:color w:val="auto"/>
              </w:rPr>
            </w:pPr>
          </w:p>
        </w:tc>
        <w:tc>
          <w:tcPr>
            <w:tcW w:w="860" w:type="dxa"/>
            <w:vAlign w:val="bottom"/>
            <w:shd w:val="clear" w:color="auto" w:fill="E9F0F3"/>
          </w:tcPr>
          <w:p>
            <w:pPr>
              <w:spacing w:after="0"/>
              <w:rPr>
                <w:sz w:val="24"/>
                <w:szCs w:val="24"/>
                <w:color w:val="auto"/>
              </w:rPr>
            </w:pPr>
          </w:p>
        </w:tc>
        <w:tc>
          <w:tcPr>
            <w:tcW w:w="920" w:type="dxa"/>
            <w:vAlign w:val="bottom"/>
            <w:shd w:val="clear" w:color="auto" w:fill="E2EAEF"/>
          </w:tcPr>
          <w:p>
            <w:pPr>
              <w:spacing w:after="0"/>
              <w:rPr>
                <w:sz w:val="24"/>
                <w:szCs w:val="24"/>
                <w:color w:val="auto"/>
              </w:rPr>
            </w:pPr>
          </w:p>
        </w:tc>
        <w:tc>
          <w:tcPr>
            <w:tcW w:w="840" w:type="dxa"/>
            <w:vAlign w:val="bottom"/>
            <w:shd w:val="clear" w:color="auto" w:fill="E2EAEF"/>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2920" w:type="dxa"/>
            <w:vAlign w:val="bottom"/>
            <w:shd w:val="clear" w:color="auto" w:fill="E9F0F3"/>
          </w:tcPr>
          <w:p>
            <w:pPr>
              <w:spacing w:after="0"/>
              <w:rPr>
                <w:sz w:val="5"/>
                <w:szCs w:val="5"/>
                <w:color w:val="auto"/>
              </w:rPr>
            </w:pPr>
          </w:p>
        </w:tc>
        <w:tc>
          <w:tcPr>
            <w:tcW w:w="1040" w:type="dxa"/>
            <w:vAlign w:val="bottom"/>
            <w:shd w:val="clear" w:color="auto" w:fill="E9F0F3"/>
          </w:tcPr>
          <w:p>
            <w:pPr>
              <w:spacing w:after="0"/>
              <w:rPr>
                <w:sz w:val="5"/>
                <w:szCs w:val="5"/>
                <w:color w:val="auto"/>
              </w:rPr>
            </w:pPr>
          </w:p>
        </w:tc>
        <w:tc>
          <w:tcPr>
            <w:tcW w:w="920" w:type="dxa"/>
            <w:vAlign w:val="bottom"/>
            <w:shd w:val="clear" w:color="auto" w:fill="E2EAEF"/>
          </w:tcPr>
          <w:p>
            <w:pPr>
              <w:spacing w:after="0"/>
              <w:rPr>
                <w:sz w:val="5"/>
                <w:szCs w:val="5"/>
                <w:color w:val="auto"/>
              </w:rPr>
            </w:pPr>
          </w:p>
        </w:tc>
        <w:tc>
          <w:tcPr>
            <w:tcW w:w="1140" w:type="dxa"/>
            <w:vAlign w:val="bottom"/>
            <w:shd w:val="clear" w:color="auto" w:fill="E2EAEF"/>
          </w:tcPr>
          <w:p>
            <w:pPr>
              <w:spacing w:after="0"/>
              <w:rPr>
                <w:sz w:val="5"/>
                <w:szCs w:val="5"/>
                <w:color w:val="auto"/>
              </w:rPr>
            </w:pPr>
          </w:p>
        </w:tc>
        <w:tc>
          <w:tcPr>
            <w:tcW w:w="680" w:type="dxa"/>
            <w:vAlign w:val="bottom"/>
            <w:shd w:val="clear" w:color="auto" w:fill="E2EAEF"/>
          </w:tcPr>
          <w:p>
            <w:pPr>
              <w:spacing w:after="0"/>
              <w:rPr>
                <w:sz w:val="5"/>
                <w:szCs w:val="5"/>
                <w:color w:val="auto"/>
              </w:rPr>
            </w:pPr>
          </w:p>
        </w:tc>
        <w:tc>
          <w:tcPr>
            <w:tcW w:w="880" w:type="dxa"/>
            <w:vAlign w:val="bottom"/>
            <w:shd w:val="clear" w:color="auto" w:fill="E9F0F3"/>
          </w:tcPr>
          <w:p>
            <w:pPr>
              <w:spacing w:after="0"/>
              <w:rPr>
                <w:sz w:val="5"/>
                <w:szCs w:val="5"/>
                <w:color w:val="auto"/>
              </w:rPr>
            </w:pPr>
          </w:p>
        </w:tc>
        <w:tc>
          <w:tcPr>
            <w:tcW w:w="740" w:type="dxa"/>
            <w:vAlign w:val="bottom"/>
            <w:shd w:val="clear" w:color="auto" w:fill="E9F0F3"/>
          </w:tcPr>
          <w:p>
            <w:pPr>
              <w:spacing w:after="0"/>
              <w:rPr>
                <w:sz w:val="5"/>
                <w:szCs w:val="5"/>
                <w:color w:val="auto"/>
              </w:rPr>
            </w:pPr>
          </w:p>
        </w:tc>
        <w:tc>
          <w:tcPr>
            <w:tcW w:w="860" w:type="dxa"/>
            <w:vAlign w:val="bottom"/>
            <w:shd w:val="clear" w:color="auto" w:fill="E9F0F3"/>
          </w:tcPr>
          <w:p>
            <w:pPr>
              <w:spacing w:after="0"/>
              <w:rPr>
                <w:sz w:val="5"/>
                <w:szCs w:val="5"/>
                <w:color w:val="auto"/>
              </w:rPr>
            </w:pPr>
          </w:p>
        </w:tc>
        <w:tc>
          <w:tcPr>
            <w:tcW w:w="920" w:type="dxa"/>
            <w:vAlign w:val="bottom"/>
            <w:shd w:val="clear" w:color="auto" w:fill="E2EAEF"/>
          </w:tcPr>
          <w:p>
            <w:pPr>
              <w:spacing w:after="0"/>
              <w:rPr>
                <w:sz w:val="5"/>
                <w:szCs w:val="5"/>
                <w:color w:val="auto"/>
              </w:rPr>
            </w:pPr>
          </w:p>
        </w:tc>
        <w:tc>
          <w:tcPr>
            <w:tcW w:w="840" w:type="dxa"/>
            <w:vAlign w:val="bottom"/>
            <w:shd w:val="clear" w:color="auto" w:fill="E2EAEF"/>
          </w:tcPr>
          <w:p>
            <w:pPr>
              <w:spacing w:after="0"/>
              <w:rPr>
                <w:sz w:val="5"/>
                <w:szCs w:val="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60" w:right="20" w:hanging="149"/>
        <w:spacing w:after="0" w:line="239" w:lineRule="auto"/>
        <w:tabs>
          <w:tab w:leader="none" w:pos="167"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These amounts represent potential payout opportunities for annual bonus awards under our Performance Incentive Bonus Plan with respect to 2025 performance. Ms. Stone’s amounts represent potential payout opportunities for annual bonus awards under our Management Bonus Plan with respect to 2025 performance. The Management Bonus Plan is similar to the Performance Incentive Bonus Plan but applies to associates who are not Section 16 Officers.</w:t>
      </w:r>
    </w:p>
    <w:p>
      <w:pPr>
        <w:spacing w:after="0" w:line="24" w:lineRule="exact"/>
        <w:rPr>
          <w:sz w:val="20"/>
          <w:szCs w:val="20"/>
          <w:color w:val="auto"/>
        </w:rPr>
      </w:pPr>
    </w:p>
    <w:p>
      <w:pPr>
        <w:ind w:left="180" w:hanging="169"/>
        <w:spacing w:after="0"/>
        <w:tabs>
          <w:tab w:leader="none" w:pos="1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These amounts represent potential share payouts of PSU awards. See discussion on page 52.</w:t>
      </w:r>
    </w:p>
    <w:p>
      <w:pPr>
        <w:spacing w:after="0" w:line="38"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color w:val="auto"/>
        </w:rPr>
        <w:t>3  These amounts represent RSU awards. See discussion on page 50.</w:t>
      </w:r>
    </w:p>
    <w:p>
      <w:pPr>
        <w:spacing w:after="0" w:line="38"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color w:val="auto"/>
        </w:rPr>
        <w:t>4  Ms. Stone received an additional award on December 16, 2025 in recognition of accepting the additional responsibilities of Interim Chief Financial Officer.</w:t>
      </w:r>
    </w:p>
    <w:p>
      <w:pPr>
        <w:spacing w:after="0" w:line="38" w:lineRule="exact"/>
        <w:rPr>
          <w:rFonts w:ascii="Arial" w:cs="Arial" w:eastAsia="Arial" w:hAnsi="Arial"/>
          <w:sz w:val="13"/>
          <w:szCs w:val="13"/>
          <w:color w:val="auto"/>
        </w:rPr>
      </w:pPr>
    </w:p>
    <w:p>
      <w:pPr>
        <w:ind w:left="20" w:right="780"/>
        <w:spacing w:after="0" w:line="302" w:lineRule="auto"/>
        <w:rPr>
          <w:rFonts w:ascii="Arial" w:cs="Arial" w:eastAsia="Arial" w:hAnsi="Arial"/>
          <w:sz w:val="13"/>
          <w:szCs w:val="13"/>
          <w:color w:val="auto"/>
        </w:rPr>
      </w:pPr>
      <w:r>
        <w:rPr>
          <w:rFonts w:ascii="Arial" w:cs="Arial" w:eastAsia="Arial" w:hAnsi="Arial"/>
          <w:sz w:val="13"/>
          <w:szCs w:val="13"/>
          <w:color w:val="auto"/>
        </w:rPr>
        <w:t>5 Potential cash payouts for Ms. Rytz Goldman and Mr. Olsson have been converted at a euro-to-U.S. dollar exchange rate of 1.1422, which was the average exchange rate for 2025. 6 Mr. Coughlin forfeited his 2025 awards when he voluntarily resigned without good reason and left the company on December 31, 2025.</w:t>
      </w:r>
    </w:p>
    <w:p>
      <w:pPr>
        <w:ind w:left="20"/>
        <w:spacing w:after="0"/>
        <w:rPr>
          <w:rFonts w:ascii="Arial" w:cs="Arial" w:eastAsia="Arial" w:hAnsi="Arial"/>
          <w:sz w:val="13"/>
          <w:szCs w:val="13"/>
          <w:color w:val="auto"/>
        </w:rPr>
      </w:pPr>
      <w:r>
        <w:rPr>
          <w:rFonts w:ascii="Arial" w:cs="Arial" w:eastAsia="Arial" w:hAnsi="Arial"/>
          <w:sz w:val="13"/>
          <w:szCs w:val="13"/>
          <w:color w:val="auto"/>
        </w:rPr>
        <w:t>7  Ms. Serrano forfeited her 2025 RSU and PSU awards when she was separated from the company on December 31, 2025.</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EXECUTIVE COMPENSATION TABLES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256" w:right="479" w:bottom="1440" w:gutter="0" w:footer="0" w:header="0"/>
        </w:sectPr>
      </w:pPr>
    </w:p>
    <w:bookmarkStart w:id="66" w:name="page67"/>
    <w:bookmarkEnd w:id="66"/>
    <w:p>
      <w:pPr>
        <w:ind w:left="9" w:right="3040"/>
        <w:spacing w:after="0" w:line="296" w:lineRule="auto"/>
        <w:rPr>
          <w:sz w:val="20"/>
          <w:szCs w:val="20"/>
          <w:color w:val="auto"/>
        </w:rPr>
      </w:pPr>
      <w:r>
        <w:rPr>
          <w:rFonts w:ascii="Arial" w:cs="Arial" w:eastAsia="Arial" w:hAnsi="Arial"/>
          <w:sz w:val="28"/>
          <w:szCs w:val="28"/>
          <w:b w:val="1"/>
          <w:bCs w:val="1"/>
          <w:color w:val="6D98AD"/>
        </w:rPr>
        <w:t>Narrative Disclosure to Summary Compensation Table and Grants of Plan-Based Awards Table</w:t>
      </w:r>
    </w:p>
    <w:p>
      <w:pPr>
        <w:sectPr>
          <w:pgSz w:w="11900" w:h="16838" w:orient="portrait"/>
          <w:cols w:equalWidth="0" w:num="1">
            <w:col w:w="10929"/>
          </w:cols>
          <w:pgMar w:left="471" w:top="256" w:right="499" w:bottom="1440" w:gutter="0" w:footer="0" w:header="0"/>
        </w:sectPr>
      </w:pPr>
    </w:p>
    <w:p>
      <w:pPr>
        <w:spacing w:after="0" w:line="11" w:lineRule="exact"/>
        <w:rPr>
          <w:sz w:val="20"/>
          <w:szCs w:val="20"/>
          <w:color w:val="auto"/>
        </w:rPr>
      </w:pPr>
    </w:p>
    <w:p>
      <w:pPr>
        <w:ind w:left="9"/>
        <w:spacing w:after="0"/>
        <w:rPr>
          <w:sz w:val="20"/>
          <w:szCs w:val="20"/>
          <w:color w:val="auto"/>
        </w:rPr>
      </w:pPr>
      <w:r>
        <w:rPr>
          <w:rFonts w:ascii="Arial" w:cs="Arial" w:eastAsia="Arial" w:hAnsi="Arial"/>
          <w:sz w:val="22"/>
          <w:szCs w:val="22"/>
          <w:b w:val="1"/>
          <w:bCs w:val="1"/>
          <w:color w:val="auto"/>
        </w:rPr>
        <w:t>Employment Agreements</w:t>
      </w:r>
    </w:p>
    <w:p>
      <w:pPr>
        <w:spacing w:after="0" w:line="112" w:lineRule="exact"/>
        <w:rPr>
          <w:sz w:val="20"/>
          <w:szCs w:val="20"/>
          <w:color w:val="auto"/>
        </w:rPr>
      </w:pPr>
    </w:p>
    <w:p>
      <w:pPr>
        <w:ind w:left="9" w:right="520"/>
        <w:spacing w:after="0" w:line="280" w:lineRule="auto"/>
        <w:rPr>
          <w:sz w:val="20"/>
          <w:szCs w:val="20"/>
          <w:color w:val="auto"/>
        </w:rPr>
      </w:pPr>
      <w:r>
        <w:rPr>
          <w:rFonts w:ascii="Arial" w:cs="Arial" w:eastAsia="Arial" w:hAnsi="Arial"/>
          <w:sz w:val="17"/>
          <w:szCs w:val="17"/>
          <w:b w:val="1"/>
          <w:bCs w:val="1"/>
          <w:color w:val="6D98AD"/>
        </w:rPr>
        <w:t>Stefan Larsson, Melissa Stone, David Savman, Zachary J. Coughlin and Eva Serrano</w:t>
      </w:r>
    </w:p>
    <w:p>
      <w:pPr>
        <w:ind w:left="9"/>
        <w:spacing w:after="0"/>
        <w:rPr>
          <w:sz w:val="20"/>
          <w:szCs w:val="20"/>
          <w:color w:val="auto"/>
        </w:rPr>
      </w:pPr>
      <w:r>
        <w:rPr>
          <w:rFonts w:ascii="Arial" w:cs="Arial" w:eastAsia="Arial" w:hAnsi="Arial"/>
          <w:sz w:val="14"/>
          <w:szCs w:val="14"/>
          <w:b w:val="1"/>
          <w:bCs w:val="1"/>
          <w:color w:val="auto"/>
        </w:rPr>
        <w:t>Summary of Employment Agreements</w:t>
      </w:r>
    </w:p>
    <w:p>
      <w:pPr>
        <w:spacing w:after="0" w:line="18" w:lineRule="exact"/>
        <w:rPr>
          <w:sz w:val="20"/>
          <w:szCs w:val="20"/>
          <w:color w:val="auto"/>
        </w:rPr>
      </w:pPr>
    </w:p>
    <w:p>
      <w:pPr>
        <w:ind w:left="9"/>
        <w:spacing w:after="0" w:line="251" w:lineRule="auto"/>
        <w:rPr>
          <w:sz w:val="20"/>
          <w:szCs w:val="20"/>
          <w:color w:val="auto"/>
        </w:rPr>
      </w:pPr>
      <w:r>
        <w:rPr>
          <w:rFonts w:ascii="Arial" w:cs="Arial" w:eastAsia="Arial" w:hAnsi="Arial"/>
          <w:sz w:val="14"/>
          <w:szCs w:val="14"/>
          <w:color w:val="auto"/>
        </w:rPr>
        <w:t>For ease of reading, the description immediately below is in the present tense even as applied to Mr. Coughlin, who left the company in December 2025 and Ms. Serrano, who ceased to be an executive officer in May 2025 and left the company in December 2025.</w:t>
      </w:r>
    </w:p>
    <w:p>
      <w:pPr>
        <w:spacing w:after="0" w:line="78" w:lineRule="exact"/>
        <w:rPr>
          <w:sz w:val="20"/>
          <w:szCs w:val="20"/>
          <w:color w:val="auto"/>
        </w:rPr>
      </w:pPr>
    </w:p>
    <w:p>
      <w:pPr>
        <w:ind w:left="9" w:right="20"/>
        <w:spacing w:after="0" w:line="249" w:lineRule="auto"/>
        <w:rPr>
          <w:sz w:val="20"/>
          <w:szCs w:val="20"/>
          <w:color w:val="auto"/>
        </w:rPr>
      </w:pPr>
      <w:r>
        <w:rPr>
          <w:rFonts w:ascii="Arial" w:cs="Arial" w:eastAsia="Arial" w:hAnsi="Arial"/>
          <w:sz w:val="14"/>
          <w:szCs w:val="14"/>
          <w:color w:val="auto"/>
        </w:rPr>
        <w:t>Our employment agreements with each of Messrs. Larsson, Savman and Coughlin and Mses. Stone and Serrano outline the compensation and benefits to be paid to these executives during their employment and set forth their rights to severance upon termination of employment. The agreements also include certain restrictive covenants in favor of PVH. The covenants include prohibitions during and after employment against the use of our confidential information, soliciting our associates for employment by themselves or anyone else, competing against PVH by accepting employment or being otherwise affiliated with a competitor and interfering with our business relationships. The agreements provide for an annual review of base salaries and permit only upward adjustments of salary.</w:t>
      </w:r>
    </w:p>
    <w:p>
      <w:pPr>
        <w:spacing w:after="0" w:line="120"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auto"/>
        </w:rPr>
        <w:t>Termination without “cause” or for “good reason”</w:t>
      </w:r>
    </w:p>
    <w:p>
      <w:pPr>
        <w:spacing w:after="0" w:line="39" w:lineRule="exact"/>
        <w:rPr>
          <w:sz w:val="20"/>
          <w:szCs w:val="20"/>
          <w:color w:val="auto"/>
        </w:rPr>
      </w:pPr>
    </w:p>
    <w:p>
      <w:pPr>
        <w:ind w:left="9" w:right="40"/>
        <w:spacing w:after="0" w:line="264" w:lineRule="auto"/>
        <w:rPr>
          <w:sz w:val="20"/>
          <w:szCs w:val="20"/>
          <w:color w:val="auto"/>
        </w:rPr>
      </w:pPr>
      <w:r>
        <w:rPr>
          <w:rFonts w:ascii="Arial" w:cs="Arial" w:eastAsia="Arial" w:hAnsi="Arial"/>
          <w:sz w:val="14"/>
          <w:szCs w:val="14"/>
          <w:color w:val="auto"/>
        </w:rPr>
        <w:t>Generally, each executive is entitled to severance only if the executive’s employment is terminated by PVH without “cause” or if the executive terminates the executive’s employment for “good reason.”</w:t>
      </w:r>
    </w:p>
    <w:p>
      <w:pPr>
        <w:spacing w:after="0" w:line="81"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6D98AD"/>
        </w:rPr>
        <w:t>“Cause” is generally defined as:</w:t>
      </w:r>
    </w:p>
    <w:p>
      <w:pPr>
        <w:spacing w:after="0" w:line="51" w:lineRule="exact"/>
        <w:rPr>
          <w:sz w:val="20"/>
          <w:szCs w:val="20"/>
          <w:color w:val="auto"/>
        </w:rPr>
      </w:pPr>
    </w:p>
    <w:p>
      <w:pPr>
        <w:ind w:left="149" w:right="180" w:hanging="149"/>
        <w:spacing w:after="0" w:line="258" w:lineRule="auto"/>
        <w:tabs>
          <w:tab w:leader="none" w:pos="151" w:val="left"/>
        </w:tabs>
        <w:numPr>
          <w:ilvl w:val="0"/>
          <w:numId w:val="107"/>
        </w:numPr>
        <w:rPr>
          <w:rFonts w:ascii="Arial" w:cs="Arial" w:eastAsia="Arial" w:hAnsi="Arial"/>
          <w:sz w:val="14"/>
          <w:szCs w:val="14"/>
          <w:color w:val="auto"/>
        </w:rPr>
      </w:pPr>
      <w:r>
        <w:rPr>
          <w:rFonts w:ascii="Arial" w:cs="Arial" w:eastAsia="Arial" w:hAnsi="Arial"/>
          <w:sz w:val="14"/>
          <w:szCs w:val="14"/>
          <w:color w:val="auto"/>
        </w:rPr>
        <w:t>gross negligence or willful misconduct (a) in the executive’s performance of the material responsibilities of the executive’s position that results in material economic harm to us or our affiliates or (b) that results in material reputational harm causing demonstrable injury to us or our affiliates;</w:t>
      </w:r>
    </w:p>
    <w:p>
      <w:pPr>
        <w:spacing w:after="0" w:line="14" w:lineRule="exact"/>
        <w:rPr>
          <w:rFonts w:ascii="Arial" w:cs="Arial" w:eastAsia="Arial" w:hAnsi="Arial"/>
          <w:sz w:val="14"/>
          <w:szCs w:val="14"/>
          <w:color w:val="auto"/>
        </w:rPr>
      </w:pPr>
    </w:p>
    <w:p>
      <w:pPr>
        <w:ind w:left="149" w:right="240" w:hanging="149"/>
        <w:spacing w:after="0" w:line="264" w:lineRule="auto"/>
        <w:tabs>
          <w:tab w:leader="none" w:pos="151"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executive’s willful and continued failure to perform substantially the executive’s duties (other than any such failure resulting from incapacity due to physical or mental illness);</w:t>
      </w:r>
    </w:p>
    <w:p>
      <w:pPr>
        <w:spacing w:after="0" w:line="10" w:lineRule="exact"/>
        <w:rPr>
          <w:rFonts w:ascii="Arial" w:cs="Arial" w:eastAsia="Arial" w:hAnsi="Arial"/>
          <w:sz w:val="14"/>
          <w:szCs w:val="14"/>
          <w:color w:val="auto"/>
        </w:rPr>
      </w:pPr>
    </w:p>
    <w:p>
      <w:pPr>
        <w:ind w:left="149" w:right="80" w:hanging="149"/>
        <w:spacing w:after="0" w:line="264" w:lineRule="auto"/>
        <w:tabs>
          <w:tab w:leader="none" w:pos="151" w:val="left"/>
        </w:tabs>
        <w:numPr>
          <w:ilvl w:val="0"/>
          <w:numId w:val="107"/>
        </w:numPr>
        <w:rPr>
          <w:rFonts w:ascii="Arial" w:cs="Arial" w:eastAsia="Arial" w:hAnsi="Arial"/>
          <w:sz w:val="14"/>
          <w:szCs w:val="14"/>
          <w:color w:val="auto"/>
        </w:rPr>
      </w:pPr>
      <w:r>
        <w:rPr>
          <w:rFonts w:ascii="Arial" w:cs="Arial" w:eastAsia="Arial" w:hAnsi="Arial"/>
          <w:sz w:val="14"/>
          <w:szCs w:val="14"/>
          <w:color w:val="auto"/>
        </w:rPr>
        <w:t xml:space="preserve">the executive’s conviction of, or plea of guilty or </w:t>
      </w:r>
      <w:r>
        <w:rPr>
          <w:rFonts w:ascii="Arial" w:cs="Arial" w:eastAsia="Arial" w:hAnsi="Arial"/>
          <w:sz w:val="14"/>
          <w:szCs w:val="14"/>
          <w:i w:val="1"/>
          <w:iCs w:val="1"/>
          <w:color w:val="auto"/>
        </w:rPr>
        <w:t>nolo contendere</w:t>
      </w:r>
      <w:r>
        <w:rPr>
          <w:rFonts w:ascii="Arial" w:cs="Arial" w:eastAsia="Arial" w:hAnsi="Arial"/>
          <w:sz w:val="14"/>
          <w:szCs w:val="14"/>
          <w:color w:val="auto"/>
        </w:rPr>
        <w:t xml:space="preserve"> to, a felony within the meaning of U.S. federal, state or local law (other than a traffic violation for Mr. Larsson and Ms. Stone) or a crime of moral turpitude;</w:t>
      </w:r>
    </w:p>
    <w:p>
      <w:pPr>
        <w:spacing w:after="0" w:line="10" w:lineRule="exact"/>
        <w:rPr>
          <w:rFonts w:ascii="Arial" w:cs="Arial" w:eastAsia="Arial" w:hAnsi="Arial"/>
          <w:sz w:val="14"/>
          <w:szCs w:val="14"/>
          <w:color w:val="auto"/>
        </w:rPr>
      </w:pPr>
    </w:p>
    <w:p>
      <w:pPr>
        <w:ind w:left="149" w:right="480" w:hanging="149"/>
        <w:spacing w:after="0" w:line="280" w:lineRule="auto"/>
        <w:tabs>
          <w:tab w:leader="none" w:pos="151"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executive’s having willfully divulged, furnished or made accessible any confidential information (as defined in the employment agreement);</w:t>
      </w:r>
    </w:p>
    <w:p>
      <w:pPr>
        <w:spacing w:after="0" w:line="1" w:lineRule="exact"/>
        <w:rPr>
          <w:rFonts w:ascii="Arial" w:cs="Arial" w:eastAsia="Arial" w:hAnsi="Arial"/>
          <w:sz w:val="14"/>
          <w:szCs w:val="14"/>
          <w:color w:val="auto"/>
        </w:rPr>
      </w:pPr>
    </w:p>
    <w:p>
      <w:pPr>
        <w:ind w:left="149" w:right="160" w:hanging="149"/>
        <w:spacing w:after="0" w:line="282" w:lineRule="auto"/>
        <w:tabs>
          <w:tab w:leader="none" w:pos="151"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any act or failure to act by the executive that, under the provisions of applicable law, disqualifies the executive from acting in the executive’s position; or</w:t>
      </w:r>
    </w:p>
    <w:p>
      <w:pPr>
        <w:spacing w:after="0" w:line="20" w:lineRule="exact"/>
        <w:rPr>
          <w:sz w:val="20"/>
          <w:szCs w:val="20"/>
          <w:color w:val="auto"/>
        </w:rPr>
      </w:pPr>
      <w:r>
        <w:rPr>
          <w:sz w:val="20"/>
          <w:szCs w:val="20"/>
          <w:color w:val="auto"/>
        </w:rPr>
        <w:br w:type="column"/>
      </w:r>
    </w:p>
    <w:p>
      <w:pPr>
        <w:ind w:left="140" w:right="360" w:hanging="137"/>
        <w:spacing w:after="0" w:line="282" w:lineRule="auto"/>
        <w:tabs>
          <w:tab w:leader="none" w:pos="142"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any material breach of the employment agreement, our Code of Business Conduct and Ethics or any other material policy of PVH and its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color w:val="6D98AD"/>
        </w:rPr>
        <w:t>“Good reason” is generally defined as:</w:t>
      </w:r>
    </w:p>
    <w:p>
      <w:pPr>
        <w:spacing w:after="0" w:line="51" w:lineRule="exact"/>
        <w:rPr>
          <w:sz w:val="20"/>
          <w:szCs w:val="20"/>
          <w:color w:val="auto"/>
        </w:rPr>
      </w:pPr>
    </w:p>
    <w:p>
      <w:pPr>
        <w:ind w:left="140" w:hanging="137"/>
        <w:spacing w:after="0" w:line="264" w:lineRule="auto"/>
        <w:tabs>
          <w:tab w:leader="none" w:pos="142"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assignment to the executive of any duties that are inconsistent in any material respect with the executive’s position, or any other action that results in a material diminution in such position;</w:t>
      </w:r>
    </w:p>
    <w:p>
      <w:pPr>
        <w:spacing w:after="0" w:line="10" w:lineRule="exact"/>
        <w:rPr>
          <w:rFonts w:ascii="Arial" w:cs="Arial" w:eastAsia="Arial" w:hAnsi="Arial"/>
          <w:sz w:val="14"/>
          <w:szCs w:val="14"/>
          <w:color w:val="auto"/>
        </w:rPr>
      </w:pPr>
    </w:p>
    <w:p>
      <w:pPr>
        <w:ind w:left="140" w:right="420" w:hanging="137"/>
        <w:spacing w:after="0" w:line="280" w:lineRule="auto"/>
        <w:tabs>
          <w:tab w:leader="none" w:pos="142" w:val="left"/>
        </w:tabs>
        <w:numPr>
          <w:ilvl w:val="0"/>
          <w:numId w:val="109"/>
        </w:numPr>
        <w:rPr>
          <w:rFonts w:ascii="Arial" w:cs="Arial" w:eastAsia="Arial" w:hAnsi="Arial"/>
          <w:sz w:val="14"/>
          <w:szCs w:val="14"/>
          <w:color w:val="auto"/>
        </w:rPr>
      </w:pPr>
      <w:r>
        <w:rPr>
          <w:rFonts w:ascii="Arial" w:cs="Arial" w:eastAsia="Arial" w:hAnsi="Arial"/>
          <w:sz w:val="14"/>
          <w:szCs w:val="14"/>
          <w:color w:val="auto"/>
        </w:rPr>
        <w:t>for Mr. Coughlin only, a change in his reporting relationship such that he no longer reports directly to the Board or Chief Executive Officer of PVH;</w:t>
      </w:r>
    </w:p>
    <w:p>
      <w:pPr>
        <w:spacing w:after="0" w:line="1" w:lineRule="exact"/>
        <w:rPr>
          <w:rFonts w:ascii="Arial" w:cs="Arial" w:eastAsia="Arial" w:hAnsi="Arial"/>
          <w:sz w:val="14"/>
          <w:szCs w:val="14"/>
          <w:color w:val="auto"/>
        </w:rPr>
      </w:pPr>
    </w:p>
    <w:p>
      <w:pPr>
        <w:ind w:left="140" w:right="80" w:hanging="137"/>
        <w:spacing w:after="0" w:line="280" w:lineRule="auto"/>
        <w:tabs>
          <w:tab w:leader="none" w:pos="142" w:val="left"/>
        </w:tabs>
        <w:numPr>
          <w:ilvl w:val="0"/>
          <w:numId w:val="109"/>
        </w:numPr>
        <w:rPr>
          <w:rFonts w:ascii="Arial" w:cs="Arial" w:eastAsia="Arial" w:hAnsi="Arial"/>
          <w:sz w:val="14"/>
          <w:szCs w:val="14"/>
          <w:color w:val="auto"/>
        </w:rPr>
      </w:pPr>
      <w:r>
        <w:rPr>
          <w:rFonts w:ascii="Arial" w:cs="Arial" w:eastAsia="Arial" w:hAnsi="Arial"/>
          <w:sz w:val="14"/>
          <w:szCs w:val="14"/>
          <w:color w:val="auto"/>
        </w:rPr>
        <w:t>for Ms. Serrano only, a change in her reporting relationship such that she no longer reports directly to the Board, Chief Executive Officer or President of PVH;</w:t>
      </w:r>
    </w:p>
    <w:p>
      <w:pPr>
        <w:spacing w:after="0" w:line="1" w:lineRule="exact"/>
        <w:rPr>
          <w:rFonts w:ascii="Arial" w:cs="Arial" w:eastAsia="Arial" w:hAnsi="Arial"/>
          <w:sz w:val="14"/>
          <w:szCs w:val="14"/>
          <w:color w:val="auto"/>
        </w:rPr>
      </w:pPr>
    </w:p>
    <w:p>
      <w:pPr>
        <w:ind w:left="140" w:hanging="137"/>
        <w:spacing w:after="0"/>
        <w:tabs>
          <w:tab w:leader="none" w:pos="1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for Ms. Stone only, a reduction of her base salary;</w:t>
      </w:r>
    </w:p>
    <w:p>
      <w:pPr>
        <w:spacing w:after="0" w:line="51" w:lineRule="exact"/>
        <w:rPr>
          <w:rFonts w:ascii="Arial" w:cs="Arial" w:eastAsia="Arial" w:hAnsi="Arial"/>
          <w:sz w:val="14"/>
          <w:szCs w:val="14"/>
          <w:color w:val="auto"/>
        </w:rPr>
      </w:pPr>
    </w:p>
    <w:p>
      <w:pPr>
        <w:ind w:left="140" w:hanging="137"/>
        <w:spacing w:after="0" w:line="264" w:lineRule="auto"/>
        <w:tabs>
          <w:tab w:leader="none" w:pos="142" w:val="left"/>
        </w:tabs>
        <w:numPr>
          <w:ilvl w:val="0"/>
          <w:numId w:val="109"/>
        </w:numPr>
        <w:rPr>
          <w:rFonts w:ascii="Arial" w:cs="Arial" w:eastAsia="Arial" w:hAnsi="Arial"/>
          <w:sz w:val="14"/>
          <w:szCs w:val="14"/>
          <w:color w:val="auto"/>
        </w:rPr>
      </w:pPr>
      <w:r>
        <w:rPr>
          <w:rFonts w:ascii="Arial" w:cs="Arial" w:eastAsia="Arial" w:hAnsi="Arial"/>
          <w:sz w:val="14"/>
          <w:szCs w:val="14"/>
          <w:color w:val="auto"/>
        </w:rPr>
        <w:t>for Messrs. Larsson, Savman and Coughlin and Ms. Serrano only, a reduction of their base salary, unless the Board imposes similar reductions in base salaries for other similarly situated executives;</w:t>
      </w:r>
    </w:p>
    <w:p>
      <w:pPr>
        <w:spacing w:after="0" w:line="10" w:lineRule="exact"/>
        <w:rPr>
          <w:rFonts w:ascii="Arial" w:cs="Arial" w:eastAsia="Arial" w:hAnsi="Arial"/>
          <w:sz w:val="14"/>
          <w:szCs w:val="14"/>
          <w:color w:val="auto"/>
        </w:rPr>
      </w:pPr>
    </w:p>
    <w:p>
      <w:pPr>
        <w:ind w:left="140" w:right="140" w:hanging="137"/>
        <w:spacing w:after="0" w:line="258" w:lineRule="auto"/>
        <w:tabs>
          <w:tab w:leader="none" w:pos="142"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taking of any action that substantially diminishes (a) the aggregate value of the executive’s total compensation opportunity or (b) the aggregate value of the employee benefits provided to the executive, in each case relative to all other similarly situated senior executives;</w:t>
      </w:r>
    </w:p>
    <w:p>
      <w:pPr>
        <w:spacing w:after="0" w:line="14" w:lineRule="exact"/>
        <w:rPr>
          <w:rFonts w:ascii="Arial" w:cs="Arial" w:eastAsia="Arial" w:hAnsi="Arial"/>
          <w:sz w:val="14"/>
          <w:szCs w:val="14"/>
          <w:color w:val="auto"/>
        </w:rPr>
      </w:pPr>
    </w:p>
    <w:p>
      <w:pPr>
        <w:ind w:left="140" w:right="540" w:hanging="137"/>
        <w:spacing w:after="0" w:line="264" w:lineRule="auto"/>
        <w:tabs>
          <w:tab w:leader="none" w:pos="142" w:val="left"/>
        </w:tabs>
        <w:numPr>
          <w:ilvl w:val="0"/>
          <w:numId w:val="109"/>
        </w:numPr>
        <w:rPr>
          <w:rFonts w:ascii="Arial" w:cs="Arial" w:eastAsia="Arial" w:hAnsi="Arial"/>
          <w:sz w:val="14"/>
          <w:szCs w:val="14"/>
          <w:color w:val="auto"/>
        </w:rPr>
      </w:pPr>
      <w:r>
        <w:rPr>
          <w:rFonts w:ascii="Arial" w:cs="Arial" w:eastAsia="Arial" w:hAnsi="Arial"/>
          <w:sz w:val="14"/>
          <w:szCs w:val="14"/>
          <w:color w:val="auto"/>
        </w:rPr>
        <w:t>for Mr. Larsson only, our failure to cause Mr. Larsson to be nominated for reelection to the Board at the expiration of each Board term during his employment;</w:t>
      </w:r>
    </w:p>
    <w:p>
      <w:pPr>
        <w:spacing w:after="0" w:line="10" w:lineRule="exact"/>
        <w:rPr>
          <w:rFonts w:ascii="Arial" w:cs="Arial" w:eastAsia="Arial" w:hAnsi="Arial"/>
          <w:sz w:val="14"/>
          <w:szCs w:val="14"/>
          <w:color w:val="auto"/>
        </w:rPr>
      </w:pPr>
    </w:p>
    <w:p>
      <w:pPr>
        <w:ind w:left="140" w:right="400" w:hanging="137"/>
        <w:spacing w:after="0" w:line="264" w:lineRule="auto"/>
        <w:tabs>
          <w:tab w:leader="none" w:pos="142"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requiring that the executive’s services be rendered primarily at a location or locations more than 35 miles (for Mr. Larsson) or 75 miles (for the other executives) from PVH’s principal executive offices;</w:t>
      </w:r>
    </w:p>
    <w:p>
      <w:pPr>
        <w:spacing w:after="0" w:line="10" w:lineRule="exact"/>
        <w:rPr>
          <w:rFonts w:ascii="Arial" w:cs="Arial" w:eastAsia="Arial" w:hAnsi="Arial"/>
          <w:sz w:val="14"/>
          <w:szCs w:val="14"/>
          <w:color w:val="auto"/>
        </w:rPr>
      </w:pPr>
    </w:p>
    <w:p>
      <w:pPr>
        <w:ind w:left="140" w:right="40" w:hanging="137"/>
        <w:spacing w:after="0" w:line="253" w:lineRule="auto"/>
        <w:tabs>
          <w:tab w:leader="none" w:pos="142" w:val="left"/>
        </w:tabs>
        <w:numPr>
          <w:ilvl w:val="0"/>
          <w:numId w:val="109"/>
        </w:numPr>
        <w:rPr>
          <w:rFonts w:ascii="Arial" w:cs="Arial" w:eastAsia="Arial" w:hAnsi="Arial"/>
          <w:sz w:val="14"/>
          <w:szCs w:val="14"/>
          <w:color w:val="auto"/>
        </w:rPr>
      </w:pPr>
      <w:r>
        <w:rPr>
          <w:rFonts w:ascii="Arial" w:cs="Arial" w:eastAsia="Arial" w:hAnsi="Arial"/>
          <w:sz w:val="14"/>
          <w:szCs w:val="14"/>
          <w:color w:val="auto"/>
        </w:rPr>
        <w:t>for Mr. Larsson only, solely after a change in control of PVH, if Mr. Larsson is not serving as the Chief Executive Officer and a member of the board of directors of the top-most company in the chain of companies resulting from such change in control at any time during the one-year period following such change in control (other than as a result of Mr. Larsson’s termination of employment for any reason or cessation of service as a director due to death or disability); or</w:t>
      </w:r>
    </w:p>
    <w:p>
      <w:pPr>
        <w:spacing w:after="0" w:line="18" w:lineRule="exact"/>
        <w:rPr>
          <w:rFonts w:ascii="Arial" w:cs="Arial" w:eastAsia="Arial" w:hAnsi="Arial"/>
          <w:sz w:val="14"/>
          <w:szCs w:val="14"/>
          <w:color w:val="auto"/>
        </w:rPr>
      </w:pPr>
    </w:p>
    <w:p>
      <w:pPr>
        <w:ind w:left="140" w:right="200" w:hanging="137"/>
        <w:spacing w:after="0" w:line="282" w:lineRule="auto"/>
        <w:tabs>
          <w:tab w:leader="none" w:pos="142" w:val="left"/>
        </w:tabs>
        <w:numPr>
          <w:ilvl w:val="0"/>
          <w:numId w:val="109"/>
        </w:numPr>
        <w:rPr>
          <w:rFonts w:ascii="Arial" w:cs="Arial" w:eastAsia="Arial" w:hAnsi="Arial"/>
          <w:sz w:val="14"/>
          <w:szCs w:val="14"/>
          <w:color w:val="auto"/>
        </w:rPr>
      </w:pPr>
      <w:r>
        <w:rPr>
          <w:rFonts w:ascii="Arial" w:cs="Arial" w:eastAsia="Arial" w:hAnsi="Arial"/>
          <w:sz w:val="14"/>
          <w:szCs w:val="14"/>
          <w:color w:val="auto"/>
        </w:rPr>
        <w:t>our failure to require any successor to assume expressly and agree to perform the executive’s employment agreement.</w:t>
      </w:r>
    </w:p>
    <w:p>
      <w:pPr>
        <w:spacing w:after="0" w:line="57" w:lineRule="exact"/>
        <w:rPr>
          <w:sz w:val="20"/>
          <w:szCs w:val="20"/>
          <w:color w:val="auto"/>
        </w:rPr>
      </w:pPr>
    </w:p>
    <w:p>
      <w:pPr>
        <w:ind w:right="120"/>
        <w:spacing w:after="0" w:line="251" w:lineRule="auto"/>
        <w:rPr>
          <w:sz w:val="20"/>
          <w:szCs w:val="20"/>
          <w:color w:val="auto"/>
        </w:rPr>
      </w:pPr>
      <w:r>
        <w:rPr>
          <w:rFonts w:ascii="Arial" w:cs="Arial" w:eastAsia="Arial" w:hAnsi="Arial"/>
          <w:sz w:val="14"/>
          <w:szCs w:val="14"/>
          <w:color w:val="auto"/>
        </w:rPr>
        <w:t>Generally, in the event of a termination of employment without cause or for good reason, each of these executives is entitled to a multiple (one times for Ms. Stone; two times for each of the others) of the sum of the executive’s base salary plus an amount equal to the bonus that would be payable if target-level performance were achieved under the annual bonus plan (if any) in respect of the fiscal year during which the termination occurs (or the prior fiscal year, if bonus levels have not yet been established for the year of termination). All of the agreements require the applicable</w:t>
      </w:r>
    </w:p>
    <w:p>
      <w:pPr>
        <w:spacing w:after="0" w:line="200" w:lineRule="exact"/>
        <w:rPr>
          <w:sz w:val="20"/>
          <w:szCs w:val="20"/>
          <w:color w:val="auto"/>
        </w:rPr>
      </w:pPr>
    </w:p>
    <w:p>
      <w:pPr>
        <w:sectPr>
          <w:pgSz w:w="11900" w:h="16838" w:orient="portrait"/>
          <w:cols w:equalWidth="0" w:num="2">
            <w:col w:w="5249" w:space="440"/>
            <w:col w:w="5240"/>
          </w:cols>
          <w:pgMar w:left="471" w:top="256" w:right="499" w:bottom="1440" w:gutter="0" w:footer="0" w:header="0"/>
          <w:type w:val="continuous"/>
        </w:sectPr>
      </w:pPr>
    </w:p>
    <w:p>
      <w:pPr>
        <w:spacing w:after="0" w:line="75" w:lineRule="exact"/>
        <w:rPr>
          <w:sz w:val="20"/>
          <w:szCs w:val="20"/>
          <w:color w:val="auto"/>
        </w:rPr>
      </w:pPr>
    </w:p>
    <w:p>
      <w:pPr>
        <w:ind w:left="9"/>
        <w:spacing w:after="0"/>
        <w:rPr>
          <w:sz w:val="20"/>
          <w:szCs w:val="20"/>
          <w:color w:val="auto"/>
        </w:rPr>
      </w:pPr>
      <w:r>
        <w:rPr>
          <w:rFonts w:ascii="Arial" w:cs="Arial" w:eastAsia="Arial" w:hAnsi="Arial"/>
          <w:sz w:val="10"/>
          <w:szCs w:val="10"/>
          <w:b w:val="1"/>
          <w:bCs w:val="1"/>
          <w:color w:val="auto"/>
        </w:rPr>
        <w:t xml:space="preserve">64 </w:t>
      </w:r>
      <w:r>
        <w:rPr>
          <w:rFonts w:ascii="Arial" w:cs="Arial" w:eastAsia="Arial" w:hAnsi="Arial"/>
          <w:sz w:val="10"/>
          <w:szCs w:val="10"/>
          <w:color w:val="auto"/>
        </w:rPr>
        <w:t>/ PVH CORP. 2026 PROXY STATEMENT /</w:t>
      </w:r>
      <w:r>
        <w:rPr>
          <w:rFonts w:ascii="Arial" w:cs="Arial" w:eastAsia="Arial" w:hAnsi="Arial"/>
          <w:sz w:val="10"/>
          <w:szCs w:val="10"/>
          <w:b w:val="1"/>
          <w:bCs w:val="1"/>
          <w:color w:val="auto"/>
        </w:rPr>
        <w:t xml:space="preserve"> </w:t>
      </w:r>
      <w:r>
        <w:rPr>
          <w:rFonts w:ascii="Arial" w:cs="Arial" w:eastAsia="Arial" w:hAnsi="Arial"/>
          <w:sz w:val="10"/>
          <w:szCs w:val="10"/>
          <w:b w:val="1"/>
          <w:bCs w:val="1"/>
          <w:color w:val="6D98AD"/>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695515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29"/>
          </w:cols>
          <w:pgMar w:left="471" w:top="256" w:right="499" w:bottom="1440" w:gutter="0" w:footer="0" w:header="0"/>
          <w:type w:val="continuous"/>
        </w:sectPr>
      </w:pPr>
    </w:p>
    <w:bookmarkStart w:id="67" w:name="page68"/>
    <w:bookmarkEnd w:id="67"/>
    <w:p>
      <w:pPr>
        <w:ind w:left="9"/>
        <w:spacing w:after="0" w:line="258" w:lineRule="auto"/>
        <w:rPr>
          <w:sz w:val="20"/>
          <w:szCs w:val="20"/>
          <w:color w:val="auto"/>
        </w:rPr>
      </w:pPr>
      <w:r>
        <w:rPr>
          <w:rFonts w:ascii="Arial" w:cs="Arial" w:eastAsia="Arial" w:hAnsi="Arial"/>
          <w:sz w:val="14"/>
          <w:szCs w:val="14"/>
          <w:color w:val="auto"/>
        </w:rPr>
        <w:t>NEO to execute a release of claims in our favor in order to receive these payments. All such amounts are payable in accordance with our payroll schedule in substantially equal installments over the one-year (for Ms. Stone) or two-year period (for each of the others) following the date of termination.</w:t>
      </w:r>
    </w:p>
    <w:p>
      <w:pPr>
        <w:spacing w:after="0" w:line="73" w:lineRule="exact"/>
        <w:rPr>
          <w:sz w:val="20"/>
          <w:szCs w:val="20"/>
          <w:color w:val="auto"/>
        </w:rPr>
      </w:pPr>
    </w:p>
    <w:p>
      <w:pPr>
        <w:ind w:left="9" w:right="20"/>
        <w:spacing w:after="0" w:line="251" w:lineRule="auto"/>
        <w:rPr>
          <w:sz w:val="20"/>
          <w:szCs w:val="20"/>
          <w:color w:val="auto"/>
        </w:rPr>
      </w:pPr>
      <w:r>
        <w:rPr>
          <w:rFonts w:ascii="Arial" w:cs="Arial" w:eastAsia="Arial" w:hAnsi="Arial"/>
          <w:sz w:val="14"/>
          <w:szCs w:val="14"/>
          <w:color w:val="auto"/>
        </w:rPr>
        <w:t>The agreements provide that for a period of time (one year for Ms. Stone, two years for each of the others) following the termination of the executive’s employment without cause or for good reason, medical, dental and life insurance coverages are continued for the executive (and the executive’s family, to the extent participating prior to termination of employment), subject to cessation if the executive obtains replacement coverage from another employer (although there is no duty to seek employment or mitigate damages). The executive is required to pay the active employee rate, if any, for such coverage.</w:t>
      </w:r>
    </w:p>
    <w:p>
      <w:pPr>
        <w:spacing w:after="0" w:line="90" w:lineRule="exact"/>
        <w:rPr>
          <w:sz w:val="20"/>
          <w:szCs w:val="20"/>
          <w:color w:val="auto"/>
        </w:rPr>
      </w:pPr>
    </w:p>
    <w:p>
      <w:pPr>
        <w:ind w:left="9" w:right="20"/>
        <w:spacing w:after="0" w:line="248" w:lineRule="auto"/>
        <w:rPr>
          <w:sz w:val="20"/>
          <w:szCs w:val="20"/>
          <w:color w:val="auto"/>
        </w:rPr>
      </w:pPr>
      <w:r>
        <w:rPr>
          <w:rFonts w:ascii="Arial" w:cs="Arial" w:eastAsia="Arial" w:hAnsi="Arial"/>
          <w:sz w:val="14"/>
          <w:szCs w:val="14"/>
          <w:color w:val="auto"/>
        </w:rPr>
        <w:t>Under her agreement, Ms. Serrano’s employment shall not be deemed terminated and she shall not be entitled to the severance or continued insurance coverage described above and under “Termination following a change in control” if the subsidiary, business or operating unit or division in which she is then employed (the “Business”) is sold, spun off or otherwise disposed of by PVH, regardless of the form or nature of such transaction, and either (i) she continues her employment in substantially the same or a greater capacity in regard to the Business as immediately prior to the transaction, regardless of the terms of such employment, or</w:t>
      </w:r>
    </w:p>
    <w:p>
      <w:pPr>
        <w:spacing w:after="0" w:line="2" w:lineRule="exact"/>
        <w:rPr>
          <w:sz w:val="20"/>
          <w:szCs w:val="20"/>
          <w:color w:val="auto"/>
        </w:rPr>
      </w:pPr>
    </w:p>
    <w:p>
      <w:pPr>
        <w:ind w:left="9" w:right="40" w:hanging="9"/>
        <w:spacing w:after="0" w:line="247" w:lineRule="auto"/>
        <w:tabs>
          <w:tab w:leader="none" w:pos="205" w:val="left"/>
        </w:tabs>
        <w:numPr>
          <w:ilvl w:val="0"/>
          <w:numId w:val="110"/>
        </w:numPr>
        <w:rPr>
          <w:rFonts w:ascii="Arial" w:cs="Arial" w:eastAsia="Arial" w:hAnsi="Arial"/>
          <w:sz w:val="14"/>
          <w:szCs w:val="14"/>
          <w:color w:val="auto"/>
        </w:rPr>
      </w:pPr>
      <w:r>
        <w:rPr>
          <w:rFonts w:ascii="Arial" w:cs="Arial" w:eastAsia="Arial" w:hAnsi="Arial"/>
          <w:sz w:val="14"/>
          <w:szCs w:val="14"/>
          <w:color w:val="auto"/>
        </w:rPr>
        <w:t>she is offered continued employment in connection with such transaction (whether or not she accepts the offer) and either (A) the employment agreement is to be assumed by the purchaser or other acquirer of the Business or is to be continued as a result of the purchase, spin off or other transaction involving a change in control of the entity then employing her or (B) she is offered employment in substantially the same or a greater capacity in regard to the Business and (1) her base salary is no less than the base salary then in effect and (2) all other compensation and benefits offered to her are consistent with similarly situated executives with the new employer (including in comparable affiliates).</w:t>
      </w:r>
    </w:p>
    <w:p>
      <w:pPr>
        <w:spacing w:after="0" w:line="120"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auto"/>
        </w:rPr>
        <w:t>Termination following a change in control</w:t>
      </w:r>
    </w:p>
    <w:p>
      <w:pPr>
        <w:spacing w:after="0" w:line="33" w:lineRule="exact"/>
        <w:rPr>
          <w:sz w:val="20"/>
          <w:szCs w:val="20"/>
          <w:color w:val="auto"/>
        </w:rPr>
      </w:pPr>
    </w:p>
    <w:p>
      <w:pPr>
        <w:ind w:left="9" w:right="160"/>
        <w:spacing w:after="0" w:line="247" w:lineRule="auto"/>
        <w:rPr>
          <w:sz w:val="20"/>
          <w:szCs w:val="20"/>
          <w:color w:val="auto"/>
        </w:rPr>
      </w:pPr>
      <w:r>
        <w:rPr>
          <w:rFonts w:ascii="Arial" w:cs="Arial" w:eastAsia="Arial" w:hAnsi="Arial"/>
          <w:sz w:val="14"/>
          <w:szCs w:val="14"/>
          <w:color w:val="auto"/>
        </w:rPr>
        <w:t>Each of the NEOs also is entitled, in lieu of the above and subject to executing a release of claims in our favor, to severance upon the termination of their employment without cause or for good reason within two years after a change in control of PVH (as defined in the agreements). In either such case, the executive will receive an aggregate amount equal to a multiple (one and a half times for Ms. Stone; two times for each of the others) of the sum of the executive’s base salary plus an amount equal to the bonus that would be payable if target-level performance were achieved under the annual bonus plan (if any) in respect of the fiscal year during which the termination occurs (or the prior fiscal year, if bonus levels have not yet been established for the year of termination). This amount will be paid in a lump sum if the change in control constitutes a “change in the ownership” or a “change in the effective control” of PVH or a “change in the ownership of a substantial portion of PVH’s assets” (each within the meaning of Section 409A of the Code). Otherwise, this amount will be paid in substantially equal installments over the one and a half-year (for Ms. Stone) or two-year (for each of the others) period following the date of termination.</w:t>
      </w:r>
    </w:p>
    <w:p>
      <w:pPr>
        <w:spacing w:after="0" w:line="20" w:lineRule="exact"/>
        <w:rPr>
          <w:sz w:val="20"/>
          <w:szCs w:val="20"/>
          <w:color w:val="auto"/>
        </w:rPr>
      </w:pPr>
      <w:r>
        <w:rPr>
          <w:sz w:val="20"/>
          <w:szCs w:val="20"/>
          <w:color w:val="auto"/>
        </w:rPr>
        <w:br w:type="column"/>
      </w:r>
    </w:p>
    <w:p>
      <w:pPr>
        <w:ind w:right="40"/>
        <w:spacing w:after="0" w:line="255" w:lineRule="auto"/>
        <w:rPr>
          <w:sz w:val="20"/>
          <w:szCs w:val="20"/>
          <w:color w:val="auto"/>
        </w:rPr>
      </w:pPr>
      <w:r>
        <w:rPr>
          <w:rFonts w:ascii="Arial" w:cs="Arial" w:eastAsia="Arial" w:hAnsi="Arial"/>
          <w:sz w:val="14"/>
          <w:szCs w:val="14"/>
          <w:color w:val="auto"/>
        </w:rPr>
        <w:t>These executives also would receive comparable medical, dental and life insurance coverage for themselves and their families for the one and a half-year (for Ms. Stone) or two-year (for each of the others) period immediately following such a termination, without a duty to mitigate or obtain replacement coverage from a subsequent employer.</w:t>
      </w:r>
    </w:p>
    <w:p>
      <w:pPr>
        <w:spacing w:after="0" w:line="99"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auto"/>
        </w:rPr>
        <w:t>Ms. Serrano’s agreement provides that in the event of a termination of employment for good reason as is described above, or by us for any reason other than death, disability or cause as is described above, in each case occurring within two years of a change in control of PVH, the award of 11,936 RSUs granted to her upon commencement of employment, to the extent then outstanding, will become fully vested as of the date her employment is terminated.</w:t>
      </w:r>
    </w:p>
    <w:p>
      <w:pPr>
        <w:spacing w:after="0" w:line="77" w:lineRule="exact"/>
        <w:rPr>
          <w:sz w:val="20"/>
          <w:szCs w:val="20"/>
          <w:color w:val="auto"/>
        </w:rPr>
      </w:pPr>
    </w:p>
    <w:p>
      <w:pPr>
        <w:ind w:right="220"/>
        <w:spacing w:after="0" w:line="253" w:lineRule="auto"/>
        <w:rPr>
          <w:sz w:val="20"/>
          <w:szCs w:val="20"/>
          <w:color w:val="auto"/>
        </w:rPr>
      </w:pPr>
      <w:r>
        <w:rPr>
          <w:rFonts w:ascii="Arial" w:cs="Arial" w:eastAsia="Arial" w:hAnsi="Arial"/>
          <w:sz w:val="14"/>
          <w:szCs w:val="14"/>
          <w:color w:val="auto"/>
        </w:rPr>
        <w:t>All of the employment agreements provide that if the receipt of the foregoing severance would subject the executive to the excise tax on excess parachute payments under Section 4999 of the Code, the executive’s severance would be reduced by the amount required to avoid the excise tax if such a reduction would give the executive a better after-tax result than if the executive received the full severance amount.</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6D98AD"/>
        </w:rPr>
        <w:t>Lea Rytz Goldman and Fredrik Olsson</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Employment Agreements</w:t>
      </w:r>
    </w:p>
    <w:p>
      <w:pPr>
        <w:spacing w:after="0" w:line="18" w:lineRule="exact"/>
        <w:rPr>
          <w:sz w:val="20"/>
          <w:szCs w:val="20"/>
          <w:color w:val="auto"/>
        </w:rPr>
      </w:pPr>
    </w:p>
    <w:p>
      <w:pPr>
        <w:ind w:right="220"/>
        <w:spacing w:after="0" w:line="248" w:lineRule="auto"/>
        <w:rPr>
          <w:sz w:val="20"/>
          <w:szCs w:val="20"/>
          <w:color w:val="auto"/>
        </w:rPr>
      </w:pPr>
      <w:r>
        <w:rPr>
          <w:rFonts w:ascii="Arial" w:cs="Arial" w:eastAsia="Arial" w:hAnsi="Arial"/>
          <w:sz w:val="14"/>
          <w:szCs w:val="14"/>
          <w:color w:val="auto"/>
        </w:rPr>
        <w:t>Our employment agreements with each of Ms. Rytz Goldman and Mr. Olsson outline the compensation and benefits to be paid to these executives during their employment and sets forth the parties’ rights to terminate these executives’ employment and the restrictive covenants to which they have agreed. The agreements provide for a review of base salaries in accordance with our usual practices for similarly situated executives and, in the case of Ms. Rytz Goldman, permits only upward adjustments of salary.</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Termination without “cause” or for “good reason”</w:t>
      </w:r>
    </w:p>
    <w:p>
      <w:pPr>
        <w:spacing w:after="0" w:line="39"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The employment agreements set forth Ms. Rytz Goldman’s and Mr. Olsson’s rights to severance upon termination of employment. Generally, each executive is entitled to severance only if the executive’s employment is terminated without “cause” or if the executive terminates employment for “good reason.”</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6D98AD"/>
        </w:rPr>
        <w:t>“Cause” is generally defined as the following:</w:t>
      </w:r>
    </w:p>
    <w:p>
      <w:pPr>
        <w:spacing w:after="0" w:line="51" w:lineRule="exact"/>
        <w:rPr>
          <w:sz w:val="20"/>
          <w:szCs w:val="20"/>
          <w:color w:val="auto"/>
        </w:rPr>
      </w:pPr>
    </w:p>
    <w:p>
      <w:pPr>
        <w:ind w:left="140" w:right="200" w:hanging="137"/>
        <w:spacing w:after="0" w:line="258" w:lineRule="auto"/>
        <w:tabs>
          <w:tab w:leader="none" w:pos="127" w:val="left"/>
        </w:tabs>
        <w:numPr>
          <w:ilvl w:val="0"/>
          <w:numId w:val="111"/>
        </w:numPr>
        <w:rPr>
          <w:rFonts w:ascii="Arial" w:cs="Arial" w:eastAsia="Arial" w:hAnsi="Arial"/>
          <w:sz w:val="14"/>
          <w:szCs w:val="14"/>
          <w:color w:val="auto"/>
        </w:rPr>
      </w:pPr>
      <w:r>
        <w:rPr>
          <w:rFonts w:ascii="Arial" w:cs="Arial" w:eastAsia="Arial" w:hAnsi="Arial"/>
          <w:sz w:val="14"/>
          <w:szCs w:val="14"/>
          <w:color w:val="auto"/>
        </w:rPr>
        <w:t>gross negligence or willful misconduct (a) in the executive’s performance of the material responsibilities of the executive’s position that results in material economic harm to us or our affiliates, or (b) that results in material reputational harm to us or our affiliates;</w:t>
      </w:r>
    </w:p>
    <w:p>
      <w:pPr>
        <w:spacing w:after="0" w:line="14" w:lineRule="exact"/>
        <w:rPr>
          <w:rFonts w:ascii="Arial" w:cs="Arial" w:eastAsia="Arial" w:hAnsi="Arial"/>
          <w:sz w:val="14"/>
          <w:szCs w:val="14"/>
          <w:color w:val="auto"/>
        </w:rPr>
      </w:pPr>
    </w:p>
    <w:p>
      <w:pPr>
        <w:ind w:left="140" w:right="260" w:hanging="137"/>
        <w:spacing w:after="0" w:line="264" w:lineRule="auto"/>
        <w:tabs>
          <w:tab w:leader="none" w:pos="127"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executive’s willful and continued failure to perform substantially the executive’s duties (other than any such failure resulting from incapacity due to physical or mental illness);</w:t>
      </w:r>
    </w:p>
    <w:p>
      <w:pPr>
        <w:spacing w:after="0" w:line="10" w:lineRule="exact"/>
        <w:rPr>
          <w:rFonts w:ascii="Arial" w:cs="Arial" w:eastAsia="Arial" w:hAnsi="Arial"/>
          <w:sz w:val="14"/>
          <w:szCs w:val="14"/>
          <w:color w:val="auto"/>
        </w:rPr>
      </w:pPr>
    </w:p>
    <w:p>
      <w:pPr>
        <w:ind w:left="140" w:right="220" w:hanging="137"/>
        <w:spacing w:after="0" w:line="264" w:lineRule="auto"/>
        <w:tabs>
          <w:tab w:leader="none" w:pos="127" w:val="left"/>
        </w:tabs>
        <w:numPr>
          <w:ilvl w:val="0"/>
          <w:numId w:val="111"/>
        </w:numPr>
        <w:rPr>
          <w:rFonts w:ascii="Arial" w:cs="Arial" w:eastAsia="Arial" w:hAnsi="Arial"/>
          <w:sz w:val="14"/>
          <w:szCs w:val="14"/>
          <w:color w:val="auto"/>
        </w:rPr>
      </w:pPr>
      <w:r>
        <w:rPr>
          <w:rFonts w:ascii="Arial" w:cs="Arial" w:eastAsia="Arial" w:hAnsi="Arial"/>
          <w:sz w:val="14"/>
          <w:szCs w:val="14"/>
          <w:color w:val="auto"/>
        </w:rPr>
        <w:t xml:space="preserve">the executive’s conviction of, or plea of guilty or </w:t>
      </w:r>
      <w:r>
        <w:rPr>
          <w:rFonts w:ascii="Arial" w:cs="Arial" w:eastAsia="Arial" w:hAnsi="Arial"/>
          <w:sz w:val="14"/>
          <w:szCs w:val="14"/>
          <w:i w:val="1"/>
          <w:iCs w:val="1"/>
          <w:color w:val="auto"/>
        </w:rPr>
        <w:t>nolo contendere</w:t>
      </w:r>
      <w:r>
        <w:rPr>
          <w:rFonts w:ascii="Arial" w:cs="Arial" w:eastAsia="Arial" w:hAnsi="Arial"/>
          <w:sz w:val="14"/>
          <w:szCs w:val="14"/>
          <w:color w:val="auto"/>
        </w:rPr>
        <w:t xml:space="preserve"> to, a felony or comparable crime within the meaning of applicable law or a crime of moral turpitude;</w:t>
      </w:r>
    </w:p>
    <w:p>
      <w:pPr>
        <w:spacing w:after="0" w:line="10" w:lineRule="exact"/>
        <w:rPr>
          <w:rFonts w:ascii="Arial" w:cs="Arial" w:eastAsia="Arial" w:hAnsi="Arial"/>
          <w:sz w:val="14"/>
          <w:szCs w:val="14"/>
          <w:color w:val="auto"/>
        </w:rPr>
      </w:pPr>
    </w:p>
    <w:p>
      <w:pPr>
        <w:ind w:left="140" w:right="20" w:hanging="137"/>
        <w:spacing w:after="0" w:line="282" w:lineRule="auto"/>
        <w:tabs>
          <w:tab w:leader="none" w:pos="127"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executive’s having willfully divulged, furnished or made accessible confidential information (as defined in the employment agreement);</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EXECUTIVE COMPENSATION TABLES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213360</wp:posOffset>
            </wp:positionV>
            <wp:extent cx="695515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2">
            <w:col w:w="5249" w:space="440"/>
            <w:col w:w="5260"/>
          </w:cols>
          <w:pgMar w:left="471" w:top="127" w:right="479" w:bottom="1440" w:gutter="0" w:footer="0" w:header="0"/>
        </w:sectPr>
      </w:pPr>
    </w:p>
    <w:bookmarkStart w:id="68" w:name="page69"/>
    <w:bookmarkEnd w:id="68"/>
    <w:p>
      <w:pPr>
        <w:ind w:left="149" w:right="180" w:hanging="149"/>
        <w:spacing w:after="0" w:line="280" w:lineRule="auto"/>
        <w:tabs>
          <w:tab w:leader="none" w:pos="135"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any act or failure to act by the executive that, under the provisions of applicable law, disqualifies the executive from acting in the executive’s position;</w:t>
      </w:r>
    </w:p>
    <w:p>
      <w:pPr>
        <w:spacing w:after="0" w:line="1" w:lineRule="exact"/>
        <w:rPr>
          <w:rFonts w:ascii="Arial" w:cs="Arial" w:eastAsia="Arial" w:hAnsi="Arial"/>
          <w:sz w:val="14"/>
          <w:szCs w:val="14"/>
          <w:color w:val="auto"/>
        </w:rPr>
      </w:pPr>
    </w:p>
    <w:p>
      <w:pPr>
        <w:ind w:left="149" w:right="540" w:hanging="149"/>
        <w:spacing w:after="0" w:line="280" w:lineRule="auto"/>
        <w:tabs>
          <w:tab w:leader="none" w:pos="135"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any material breach of the employment agreement, our Code of Business Conduct and Ethics or any other material policy of PVH or PVH B.V.; or</w:t>
      </w:r>
    </w:p>
    <w:p>
      <w:pPr>
        <w:spacing w:after="0" w:line="1" w:lineRule="exact"/>
        <w:rPr>
          <w:rFonts w:ascii="Arial" w:cs="Arial" w:eastAsia="Arial" w:hAnsi="Arial"/>
          <w:sz w:val="14"/>
          <w:szCs w:val="14"/>
          <w:color w:val="auto"/>
        </w:rPr>
      </w:pPr>
    </w:p>
    <w:p>
      <w:pPr>
        <w:ind w:left="129" w:hanging="129"/>
        <w:spacing w:after="0"/>
        <w:tabs>
          <w:tab w:leader="none" w:pos="129" w:val="left"/>
        </w:tabs>
        <w:numPr>
          <w:ilvl w:val="0"/>
          <w:numId w:val="112"/>
        </w:numPr>
        <w:rPr>
          <w:rFonts w:ascii="Arial" w:cs="Arial" w:eastAsia="Arial" w:hAnsi="Arial"/>
          <w:sz w:val="14"/>
          <w:szCs w:val="14"/>
          <w:color w:val="auto"/>
        </w:rPr>
      </w:pPr>
      <w:r>
        <w:rPr>
          <w:rFonts w:ascii="Arial" w:cs="Arial" w:eastAsia="Arial" w:hAnsi="Arial"/>
          <w:sz w:val="14"/>
          <w:szCs w:val="14"/>
          <w:color w:val="auto"/>
        </w:rPr>
        <w:t>other urgent reason within the meaning of the Dutch Civil Code.</w:t>
      </w:r>
    </w:p>
    <w:p>
      <w:pPr>
        <w:spacing w:after="0" w:line="133"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6D98AD"/>
        </w:rPr>
        <w:t>“Good reason” is generally defined as:</w:t>
      </w:r>
    </w:p>
    <w:p>
      <w:pPr>
        <w:spacing w:after="0" w:line="51" w:lineRule="exact"/>
        <w:rPr>
          <w:sz w:val="20"/>
          <w:szCs w:val="20"/>
          <w:color w:val="auto"/>
        </w:rPr>
      </w:pPr>
    </w:p>
    <w:p>
      <w:pPr>
        <w:ind w:left="149" w:right="40" w:hanging="149"/>
        <w:spacing w:after="0" w:line="264" w:lineRule="auto"/>
        <w:tabs>
          <w:tab w:leader="none" w:pos="151"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assignment to the executive of any duties inconsistent in any material respect with the executive’s position, or any other action by us that results in a material diminution in such position;</w:t>
      </w:r>
    </w:p>
    <w:p>
      <w:pPr>
        <w:spacing w:after="0" w:line="10" w:lineRule="exact"/>
        <w:rPr>
          <w:rFonts w:ascii="Arial" w:cs="Arial" w:eastAsia="Arial" w:hAnsi="Arial"/>
          <w:sz w:val="14"/>
          <w:szCs w:val="14"/>
          <w:color w:val="auto"/>
        </w:rPr>
      </w:pPr>
    </w:p>
    <w:p>
      <w:pPr>
        <w:ind w:left="149" w:right="160" w:hanging="149"/>
        <w:spacing w:after="0" w:line="280" w:lineRule="auto"/>
        <w:tabs>
          <w:tab w:leader="none" w:pos="151"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 reduction of base salary, unless the Board imposes similar reductions in base salaries for other similarly situated executives;</w:t>
      </w:r>
    </w:p>
    <w:p>
      <w:pPr>
        <w:spacing w:after="0" w:line="1" w:lineRule="exact"/>
        <w:rPr>
          <w:rFonts w:ascii="Arial" w:cs="Arial" w:eastAsia="Arial" w:hAnsi="Arial"/>
          <w:sz w:val="14"/>
          <w:szCs w:val="14"/>
          <w:color w:val="auto"/>
        </w:rPr>
      </w:pPr>
    </w:p>
    <w:p>
      <w:pPr>
        <w:ind w:left="149" w:right="20" w:hanging="149"/>
        <w:spacing w:after="0" w:line="258" w:lineRule="auto"/>
        <w:tabs>
          <w:tab w:leader="none" w:pos="151"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taking of any action by us that substantially diminishes (a) the aggregate value of the executive’s total compensation opportunity or (b) the aggregate value of the employee benefits provided to the executive, in each case relative to all other similarly situated senior executives;</w:t>
      </w:r>
    </w:p>
    <w:p>
      <w:pPr>
        <w:spacing w:after="0" w:line="14" w:lineRule="exact"/>
        <w:rPr>
          <w:rFonts w:ascii="Arial" w:cs="Arial" w:eastAsia="Arial" w:hAnsi="Arial"/>
          <w:sz w:val="14"/>
          <w:szCs w:val="14"/>
          <w:color w:val="auto"/>
        </w:rPr>
      </w:pPr>
    </w:p>
    <w:p>
      <w:pPr>
        <w:jc w:val="both"/>
        <w:ind w:left="149" w:right="420" w:hanging="149"/>
        <w:spacing w:after="0" w:line="264" w:lineRule="auto"/>
        <w:tabs>
          <w:tab w:leader="none" w:pos="151" w:val="left"/>
        </w:tabs>
        <w:numPr>
          <w:ilvl w:val="0"/>
          <w:numId w:val="113"/>
        </w:numPr>
        <w:rPr>
          <w:rFonts w:ascii="Arial" w:cs="Arial" w:eastAsia="Arial" w:hAnsi="Arial"/>
          <w:sz w:val="14"/>
          <w:szCs w:val="14"/>
          <w:color w:val="auto"/>
        </w:rPr>
      </w:pPr>
      <w:r>
        <w:rPr>
          <w:rFonts w:ascii="Arial" w:cs="Arial" w:eastAsia="Arial" w:hAnsi="Arial"/>
          <w:sz w:val="14"/>
          <w:szCs w:val="14"/>
          <w:color w:val="auto"/>
        </w:rPr>
        <w:t>requiring that the executive’s services be rendered primarily at a location or locations more than 120 kilometers from Amsterdam, where PVH Europe’s headquarters are located; or</w:t>
      </w:r>
    </w:p>
    <w:p>
      <w:pPr>
        <w:spacing w:after="0" w:line="10" w:lineRule="exact"/>
        <w:rPr>
          <w:rFonts w:ascii="Arial" w:cs="Arial" w:eastAsia="Arial" w:hAnsi="Arial"/>
          <w:sz w:val="14"/>
          <w:szCs w:val="14"/>
          <w:color w:val="auto"/>
        </w:rPr>
      </w:pPr>
    </w:p>
    <w:p>
      <w:pPr>
        <w:ind w:left="149" w:right="220" w:hanging="149"/>
        <w:spacing w:after="0" w:line="282" w:lineRule="auto"/>
        <w:tabs>
          <w:tab w:leader="none" w:pos="151" w:val="left"/>
        </w:tabs>
        <w:numPr>
          <w:ilvl w:val="0"/>
          <w:numId w:val="113"/>
        </w:numPr>
        <w:rPr>
          <w:rFonts w:ascii="Arial" w:cs="Arial" w:eastAsia="Arial" w:hAnsi="Arial"/>
          <w:sz w:val="14"/>
          <w:szCs w:val="14"/>
          <w:color w:val="auto"/>
        </w:rPr>
      </w:pPr>
      <w:r>
        <w:rPr>
          <w:rFonts w:ascii="Arial" w:cs="Arial" w:eastAsia="Arial" w:hAnsi="Arial"/>
          <w:sz w:val="14"/>
          <w:szCs w:val="14"/>
          <w:color w:val="auto"/>
        </w:rPr>
        <w:t>our failure to require any successor to assume expressly and agree to perform the executive’s employment agreement.</w:t>
      </w:r>
    </w:p>
    <w:p>
      <w:pPr>
        <w:spacing w:after="0" w:line="46" w:lineRule="exact"/>
        <w:rPr>
          <w:sz w:val="20"/>
          <w:szCs w:val="20"/>
          <w:color w:val="auto"/>
        </w:rPr>
      </w:pPr>
    </w:p>
    <w:p>
      <w:pPr>
        <w:ind w:left="9"/>
        <w:spacing w:after="0" w:line="248" w:lineRule="auto"/>
        <w:rPr>
          <w:sz w:val="20"/>
          <w:szCs w:val="20"/>
          <w:color w:val="auto"/>
        </w:rPr>
      </w:pPr>
      <w:r>
        <w:rPr>
          <w:rFonts w:ascii="Arial" w:cs="Arial" w:eastAsia="Arial" w:hAnsi="Arial"/>
          <w:sz w:val="14"/>
          <w:szCs w:val="14"/>
          <w:color w:val="auto"/>
        </w:rPr>
        <w:t>Each employment agreement may be terminated by either party to the agreement, subject to a notice period of six months for Ms. Rytz Goldman and four months for Mr. Olsson in the case of the executive terminating their employment (1) by voluntary resignation without good reason or (2) for good reason and 12 months and eight months for us with respect to Ms. Rytz Goldman and Mr. Olsson, respectively, in the case of our terminating the executive’s employment without cause. The agreement automatically terminates at the end of the month in which the executive reaches the statutory pension age under Dutch law (currently 68 years and three months). During the notice period, Mr. Olsson shall be entitled to an amount equal to one-third or two-thirds of his target annual bonus for the year of termination of employment depending on whether he terminated his employment for good reason or we terminated his employment without cause, respectively. This amount shall be payable at the same time as we pay annual bonuses to similarly situated executives.</w:t>
      </w:r>
    </w:p>
    <w:p>
      <w:pPr>
        <w:spacing w:after="0" w:line="252" w:lineRule="exact"/>
        <w:rPr>
          <w:sz w:val="20"/>
          <w:szCs w:val="20"/>
          <w:color w:val="auto"/>
        </w:rPr>
      </w:pPr>
    </w:p>
    <w:p>
      <w:pPr>
        <w:ind w:left="9" w:right="240"/>
        <w:spacing w:after="0" w:line="251" w:lineRule="auto"/>
        <w:rPr>
          <w:sz w:val="20"/>
          <w:szCs w:val="20"/>
          <w:color w:val="auto"/>
        </w:rPr>
      </w:pPr>
      <w:r>
        <w:rPr>
          <w:rFonts w:ascii="Arial" w:cs="Arial" w:eastAsia="Arial" w:hAnsi="Arial"/>
          <w:sz w:val="14"/>
          <w:szCs w:val="14"/>
          <w:color w:val="auto"/>
        </w:rPr>
        <w:t>Generally, in the event of a termination of employment without cause or for good reason (other than during the two-year period following a change in control (as defined in their agreement)), each of these executives is entitled to a severance payment equal to a multiple (one times for Ms. Rytz Goldman; 1.67 times for</w:t>
      </w:r>
    </w:p>
    <w:p>
      <w:pPr>
        <w:ind w:left="9" w:right="40"/>
        <w:spacing w:after="0" w:line="248" w:lineRule="auto"/>
        <w:rPr>
          <w:sz w:val="20"/>
          <w:szCs w:val="20"/>
          <w:color w:val="auto"/>
        </w:rPr>
      </w:pPr>
      <w:r>
        <w:rPr>
          <w:rFonts w:ascii="Arial" w:cs="Arial" w:eastAsia="Arial" w:hAnsi="Arial"/>
          <w:sz w:val="14"/>
          <w:szCs w:val="14"/>
          <w:color w:val="auto"/>
        </w:rPr>
        <w:t>Mr. Olsson if he voluntarily terminates his employment for good reason; 1.33 for Mr. Olsson if we terminate his employment without cause) of the sum of (x) the executive’s base salary for 12 months and (y) an amount equal to the bonus that would be payable if target-level performance were achieved under the annual bonus plan in which the executive participates (if any) in respect of the fiscal year during which the termination occurs (or the prior fiscal year, if a bonus opportunity has not been established for the year of termination). This severance payment</w:t>
      </w:r>
    </w:p>
    <w:p>
      <w:pPr>
        <w:spacing w:after="0" w:line="361"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 xml:space="preserve">66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EXECUTIVE COMPENSATION TABLES</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Arial" w:cs="Arial" w:eastAsia="Arial" w:hAnsi="Arial"/>
          <w:sz w:val="14"/>
          <w:szCs w:val="14"/>
          <w:color w:val="auto"/>
        </w:rPr>
        <w:t>will be deemed to include the statutory severance amount and benefits provided for under Dutch law. The severance amount is payable on the same schedule that base salary was paid in 12 substantially equal monthly payments, commencing on the first scheduled payroll date that occurs on or following the date that is 30 days after the date of termination of employment, subject to the executive delivering a settlement agreement to us.</w:t>
      </w:r>
    </w:p>
    <w:p>
      <w:pPr>
        <w:spacing w:after="0" w:line="101"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If the executive’s employment is terminated without cause or for good reason within two years after a change in control, the executive is entitled to the above severance amount, which will be paid in a lump sum on the first scheduled payroll date that occurs on or following the date that is 30 days after the executive’s termination of employment, subject to the executive delivering a settlement agreement to us.</w:t>
      </w:r>
    </w:p>
    <w:p>
      <w:pPr>
        <w:spacing w:after="0" w:line="87"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Each employment agreement also provides that in the event of the executive’s disability pursuant to article 7:669, paragraph 3(b) of the Dutch Civil Code, we would be entitled to terminate the executive’s employment, in which case the executive would be entitled to receive the statutory severance amount provided for under Dutch law.</w:t>
      </w:r>
    </w:p>
    <w:p>
      <w:pPr>
        <w:spacing w:after="0" w:line="99" w:lineRule="exact"/>
        <w:rPr>
          <w:sz w:val="20"/>
          <w:szCs w:val="20"/>
          <w:color w:val="auto"/>
        </w:rPr>
      </w:pPr>
    </w:p>
    <w:p>
      <w:pPr>
        <w:spacing w:after="0" w:line="248" w:lineRule="auto"/>
        <w:rPr>
          <w:sz w:val="20"/>
          <w:szCs w:val="20"/>
          <w:color w:val="auto"/>
        </w:rPr>
      </w:pPr>
      <w:r>
        <w:rPr>
          <w:rFonts w:ascii="Arial" w:cs="Arial" w:eastAsia="Arial" w:hAnsi="Arial"/>
          <w:sz w:val="14"/>
          <w:szCs w:val="14"/>
          <w:color w:val="auto"/>
        </w:rPr>
        <w:t>Under each agreement, the executive will not be entitled to severance if the business or operating unit or division in which the executive is then employed is sold, spun off or otherwise disposed of by PVH, regardless of the form or nature of such transaction, and either (i) the executive continues the executive’s employment in substantially the same or a greater capacity in regard to such business, operating unit or division as immediately prior to the transaction, regardless of the terms of such employment, or (ii) the executive is offered continued employment in connection with such transaction (whether or not the executive accepts the offer) and either (A) the employment agreement is to be assumed by the acquirer of such business, operating unit or division or is to be continued as a result of a transaction involving a change in control of the entity then employing the executive or (B) the executive is offered employment in substantially the same or a greater capacity in regard to such business, operating unit or division and (1) the executive’s base salary is no less than the base salary then in effect and (2) all other compensation and benefits offered to the executive are consistent with those offered to similarly situated executives with the executive new employer (including in comparable affiliates).</w:t>
      </w:r>
    </w:p>
    <w:p>
      <w:pPr>
        <w:spacing w:after="0" w:line="105" w:lineRule="exact"/>
        <w:rPr>
          <w:sz w:val="20"/>
          <w:szCs w:val="20"/>
          <w:color w:val="auto"/>
        </w:rPr>
      </w:pPr>
    </w:p>
    <w:p>
      <w:pPr>
        <w:ind w:right="80"/>
        <w:spacing w:after="0" w:line="251" w:lineRule="auto"/>
        <w:rPr>
          <w:sz w:val="20"/>
          <w:szCs w:val="20"/>
          <w:color w:val="auto"/>
        </w:rPr>
      </w:pPr>
      <w:r>
        <w:rPr>
          <w:rFonts w:ascii="Arial" w:cs="Arial" w:eastAsia="Arial" w:hAnsi="Arial"/>
          <w:sz w:val="14"/>
          <w:szCs w:val="14"/>
          <w:color w:val="auto"/>
        </w:rPr>
        <w:t>The restrictive covenants in each employment agreement include prohibitions during and following employment against the executive’s use of our confidential information, soliciting PVH associates for employment by themselves or anyone else, interfering with our business relationships, and competing against us by accepting employment or being otherwise affiliated with a direct competitor of our businesses or products as of the date of termination or any business that the executive knows that we are actively planning to engage in or products that we are actively planning to develop or launch.</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6D98AD"/>
        </w:rPr>
        <w:t>Other Arrangements</w:t>
      </w:r>
    </w:p>
    <w:p>
      <w:pPr>
        <w:spacing w:after="0" w:line="49"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There are a number of other arrangements that would result in payments or other benefits to some or all of our NEOs upon a termination of employment or in the event of a change in control, in addition to the severance arrangements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398145</wp:posOffset>
            </wp:positionV>
            <wp:extent cx="695515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2">
            <w:col w:w="5249" w:space="440"/>
            <w:col w:w="5240"/>
          </w:cols>
          <w:pgMar w:left="471" w:top="127" w:right="499" w:bottom="1440" w:gutter="0" w:footer="0" w:header="0"/>
        </w:sectPr>
      </w:pPr>
    </w:p>
    <w:bookmarkStart w:id="69" w:name="page70"/>
    <w:bookmarkEnd w:id="69"/>
    <w:p>
      <w:pPr>
        <w:ind w:left="20"/>
        <w:spacing w:after="0"/>
        <w:rPr>
          <w:sz w:val="20"/>
          <w:szCs w:val="20"/>
          <w:color w:val="auto"/>
        </w:rPr>
      </w:pPr>
      <w:r>
        <w:rPr>
          <w:rFonts w:ascii="Arial" w:cs="Arial" w:eastAsia="Arial" w:hAnsi="Arial"/>
          <w:sz w:val="17"/>
          <w:szCs w:val="17"/>
          <w:b w:val="1"/>
          <w:bCs w:val="1"/>
          <w:color w:val="6D98AD"/>
        </w:rPr>
        <w:t>Stock Incentive Plan</w:t>
      </w:r>
    </w:p>
    <w:p>
      <w:pPr>
        <w:spacing w:after="0" w:line="48" w:lineRule="exact"/>
        <w:rPr>
          <w:sz w:val="20"/>
          <w:szCs w:val="20"/>
          <w:color w:val="auto"/>
        </w:rPr>
      </w:pPr>
    </w:p>
    <w:p>
      <w:pPr>
        <w:ind w:left="20" w:right="40"/>
        <w:spacing w:after="0" w:line="264" w:lineRule="auto"/>
        <w:rPr>
          <w:sz w:val="20"/>
          <w:szCs w:val="20"/>
          <w:color w:val="auto"/>
        </w:rPr>
      </w:pPr>
      <w:r>
        <w:rPr>
          <w:rFonts w:ascii="Arial" w:cs="Arial" w:eastAsia="Arial" w:hAnsi="Arial"/>
          <w:sz w:val="14"/>
          <w:szCs w:val="14"/>
          <w:color w:val="auto"/>
        </w:rPr>
        <w:t>Our Stock Incentive Plan enables us to grant stock options, RSUs, PSUs and other stock-based awards. To date, we have granted to the NEOs (i) service-based incentive and non-qualified stock options, restricted stock and RSUs; and (ii) contingently issuable PSUs and RSUs. The following describes the effect on stock option, restricted stock unit, and performance share unit awards (the only types of awards currently outstanding) of a termination of employment or change in control.</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6D98AD"/>
        </w:rPr>
        <w:t>Stock options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following sets forth the effect of certain triggering events on stock options prior to their exercise or expiration.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Death</w:t>
            </w:r>
          </w:p>
        </w:tc>
        <w:tc>
          <w:tcPr>
            <w:tcW w:w="7740" w:type="dxa"/>
            <w:vAlign w:val="bottom"/>
            <w:shd w:val="clear" w:color="auto" w:fill="E9F0F3"/>
          </w:tcPr>
          <w:p>
            <w:pPr>
              <w:ind w:left="260"/>
              <w:spacing w:after="0"/>
              <w:rPr>
                <w:sz w:val="20"/>
                <w:szCs w:val="20"/>
                <w:color w:val="auto"/>
              </w:rPr>
            </w:pPr>
            <w:r>
              <w:rPr>
                <w:rFonts w:ascii="Arial" w:cs="Arial" w:eastAsia="Arial" w:hAnsi="Arial"/>
                <w:sz w:val="14"/>
                <w:szCs w:val="14"/>
                <w:color w:val="auto"/>
              </w:rPr>
              <w:t>Unvested stock options become exercisable and, together with already exercisable options, expire three months after</w:t>
            </w:r>
          </w:p>
        </w:tc>
        <w:tc>
          <w:tcPr>
            <w:tcW w:w="0" w:type="dxa"/>
            <w:vAlign w:val="bottom"/>
          </w:tcPr>
          <w:p>
            <w:pPr>
              <w:spacing w:after="0"/>
              <w:rPr>
                <w:sz w:val="1"/>
                <w:szCs w:val="1"/>
                <w:color w:val="auto"/>
              </w:rPr>
            </w:pPr>
          </w:p>
        </w:tc>
      </w:tr>
      <w:tr>
        <w:trPr>
          <w:trHeight w:val="165"/>
        </w:trPr>
        <w:tc>
          <w:tcPr>
            <w:tcW w:w="3200" w:type="dxa"/>
            <w:vAlign w:val="bottom"/>
            <w:shd w:val="clear" w:color="auto" w:fill="E9F0F3"/>
          </w:tcPr>
          <w:p>
            <w:pPr>
              <w:spacing w:after="0"/>
              <w:rPr>
                <w:sz w:val="14"/>
                <w:szCs w:val="14"/>
                <w:color w:val="auto"/>
              </w:rPr>
            </w:pPr>
          </w:p>
        </w:tc>
        <w:tc>
          <w:tcPr>
            <w:tcW w:w="7740" w:type="dxa"/>
            <w:vAlign w:val="bottom"/>
            <w:shd w:val="clear" w:color="auto" w:fill="E9F0F3"/>
          </w:tcPr>
          <w:p>
            <w:pPr>
              <w:ind w:left="260"/>
              <w:spacing w:after="0"/>
              <w:rPr>
                <w:sz w:val="20"/>
                <w:szCs w:val="20"/>
                <w:color w:val="auto"/>
              </w:rPr>
            </w:pPr>
            <w:r>
              <w:rPr>
                <w:rFonts w:ascii="Arial" w:cs="Arial" w:eastAsia="Arial" w:hAnsi="Arial"/>
                <w:sz w:val="14"/>
                <w:szCs w:val="14"/>
                <w:color w:val="auto"/>
              </w:rPr>
              <w:t>the qualification of the representative of the participant’s estate (or such earlier date on which they are scheduled to</w:t>
            </w:r>
          </w:p>
        </w:tc>
        <w:tc>
          <w:tcPr>
            <w:tcW w:w="0" w:type="dxa"/>
            <w:vAlign w:val="bottom"/>
          </w:tcPr>
          <w:p>
            <w:pPr>
              <w:spacing w:after="0"/>
              <w:rPr>
                <w:sz w:val="1"/>
                <w:szCs w:val="1"/>
                <w:color w:val="auto"/>
              </w:rPr>
            </w:pPr>
          </w:p>
        </w:tc>
      </w:tr>
      <w:tr>
        <w:trPr>
          <w:trHeight w:val="186"/>
        </w:trPr>
        <w:tc>
          <w:tcPr>
            <w:tcW w:w="3200" w:type="dxa"/>
            <w:vAlign w:val="bottom"/>
            <w:shd w:val="clear" w:color="auto" w:fill="E9F0F3"/>
          </w:tcPr>
          <w:p>
            <w:pPr>
              <w:spacing w:after="0"/>
              <w:rPr>
                <w:sz w:val="16"/>
                <w:szCs w:val="16"/>
                <w:color w:val="auto"/>
              </w:rPr>
            </w:pPr>
          </w:p>
        </w:tc>
        <w:tc>
          <w:tcPr>
            <w:tcW w:w="7740" w:type="dxa"/>
            <w:vAlign w:val="bottom"/>
            <w:shd w:val="clear" w:color="auto" w:fill="E9F0F3"/>
          </w:tcPr>
          <w:p>
            <w:pPr>
              <w:ind w:left="260"/>
              <w:spacing w:after="0"/>
              <w:rPr>
                <w:sz w:val="20"/>
                <w:szCs w:val="20"/>
                <w:color w:val="auto"/>
              </w:rPr>
            </w:pPr>
            <w:r>
              <w:rPr>
                <w:rFonts w:ascii="Arial" w:cs="Arial" w:eastAsia="Arial" w:hAnsi="Arial"/>
                <w:sz w:val="14"/>
                <w:szCs w:val="14"/>
                <w:color w:val="auto"/>
              </w:rPr>
              <w:t>expire).</w:t>
            </w:r>
          </w:p>
        </w:tc>
        <w:tc>
          <w:tcPr>
            <w:tcW w:w="0" w:type="dxa"/>
            <w:vAlign w:val="bottom"/>
          </w:tcPr>
          <w:p>
            <w:pPr>
              <w:spacing w:after="0"/>
              <w:rPr>
                <w:sz w:val="1"/>
                <w:szCs w:val="1"/>
                <w:color w:val="auto"/>
              </w:rPr>
            </w:pPr>
          </w:p>
        </w:tc>
      </w:tr>
      <w:tr>
        <w:trPr>
          <w:trHeight w:val="86"/>
        </w:trPr>
        <w:tc>
          <w:tcPr>
            <w:tcW w:w="3200" w:type="dxa"/>
            <w:vAlign w:val="bottom"/>
            <w:shd w:val="clear" w:color="auto" w:fill="E9F0F3"/>
          </w:tcPr>
          <w:p>
            <w:pPr>
              <w:spacing w:after="0"/>
              <w:rPr>
                <w:sz w:val="7"/>
                <w:szCs w:val="7"/>
                <w:color w:val="auto"/>
              </w:rPr>
            </w:pPr>
          </w:p>
        </w:tc>
        <w:tc>
          <w:tcPr>
            <w:tcW w:w="7740" w:type="dxa"/>
            <w:vAlign w:val="bottom"/>
            <w:shd w:val="clear" w:color="auto" w:fill="E9F0F3"/>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Change In Control</w:t>
            </w:r>
          </w:p>
        </w:tc>
        <w:tc>
          <w:tcPr>
            <w:tcW w:w="7740" w:type="dxa"/>
            <w:vAlign w:val="bottom"/>
          </w:tcPr>
          <w:p>
            <w:pPr>
              <w:ind w:left="260"/>
              <w:spacing w:after="0"/>
              <w:rPr>
                <w:sz w:val="20"/>
                <w:szCs w:val="20"/>
                <w:color w:val="auto"/>
              </w:rPr>
            </w:pPr>
            <w:r>
              <w:rPr>
                <w:rFonts w:ascii="Arial" w:cs="Arial" w:eastAsia="Arial" w:hAnsi="Arial"/>
                <w:sz w:val="14"/>
                <w:szCs w:val="14"/>
                <w:color w:val="auto"/>
              </w:rPr>
              <w:t>Unvested stock options that are assumed by the acquirer continue on the same terms and will become immediately</w:t>
            </w:r>
          </w:p>
        </w:tc>
        <w:tc>
          <w:tcPr>
            <w:tcW w:w="0" w:type="dxa"/>
            <w:vAlign w:val="bottom"/>
          </w:tcPr>
          <w:p>
            <w:pPr>
              <w:spacing w:after="0"/>
              <w:rPr>
                <w:sz w:val="1"/>
                <w:szCs w:val="1"/>
                <w:color w:val="auto"/>
              </w:rPr>
            </w:pPr>
          </w:p>
        </w:tc>
      </w:tr>
      <w:tr>
        <w:trPr>
          <w:trHeight w:val="165"/>
        </w:trPr>
        <w:tc>
          <w:tcPr>
            <w:tcW w:w="3200" w:type="dxa"/>
            <w:vAlign w:val="bottom"/>
          </w:tcPr>
          <w:p>
            <w:pPr>
              <w:spacing w:after="0"/>
              <w:rPr>
                <w:sz w:val="14"/>
                <w:szCs w:val="14"/>
                <w:color w:val="auto"/>
              </w:rPr>
            </w:pPr>
          </w:p>
        </w:tc>
        <w:tc>
          <w:tcPr>
            <w:tcW w:w="7740" w:type="dxa"/>
            <w:vAlign w:val="bottom"/>
          </w:tcPr>
          <w:p>
            <w:pPr>
              <w:ind w:left="260"/>
              <w:spacing w:after="0"/>
              <w:rPr>
                <w:sz w:val="20"/>
                <w:szCs w:val="20"/>
                <w:color w:val="auto"/>
              </w:rPr>
            </w:pPr>
            <w:r>
              <w:rPr>
                <w:rFonts w:ascii="Arial" w:cs="Arial" w:eastAsia="Arial" w:hAnsi="Arial"/>
                <w:sz w:val="14"/>
                <w:szCs w:val="14"/>
                <w:color w:val="auto"/>
              </w:rPr>
              <w:t>exercisable in the event of the participant’s termination of employment (other than for “cause” or without “good reason,”</w:t>
            </w:r>
          </w:p>
        </w:tc>
        <w:tc>
          <w:tcPr>
            <w:tcW w:w="0" w:type="dxa"/>
            <w:vAlign w:val="bottom"/>
          </w:tcPr>
          <w:p>
            <w:pPr>
              <w:spacing w:after="0"/>
              <w:rPr>
                <w:sz w:val="1"/>
                <w:szCs w:val="1"/>
                <w:color w:val="auto"/>
              </w:rPr>
            </w:pPr>
          </w:p>
        </w:tc>
      </w:tr>
      <w:tr>
        <w:trPr>
          <w:trHeight w:val="165"/>
        </w:trPr>
        <w:tc>
          <w:tcPr>
            <w:tcW w:w="3200" w:type="dxa"/>
            <w:vAlign w:val="bottom"/>
          </w:tcPr>
          <w:p>
            <w:pPr>
              <w:spacing w:after="0"/>
              <w:rPr>
                <w:sz w:val="14"/>
                <w:szCs w:val="14"/>
                <w:color w:val="auto"/>
              </w:rPr>
            </w:pPr>
          </w:p>
        </w:tc>
        <w:tc>
          <w:tcPr>
            <w:tcW w:w="7740" w:type="dxa"/>
            <w:vAlign w:val="bottom"/>
          </w:tcPr>
          <w:p>
            <w:pPr>
              <w:ind w:left="260"/>
              <w:spacing w:after="0"/>
              <w:rPr>
                <w:sz w:val="20"/>
                <w:szCs w:val="20"/>
                <w:color w:val="auto"/>
              </w:rPr>
            </w:pPr>
            <w:r>
              <w:rPr>
                <w:rFonts w:ascii="Arial" w:cs="Arial" w:eastAsia="Arial" w:hAnsi="Arial"/>
                <w:sz w:val="14"/>
                <w:szCs w:val="14"/>
                <w:color w:val="auto"/>
              </w:rPr>
              <w:t>as and if such terms are defined in the participant’s employment agreement, if any) during the two-year period</w:t>
            </w: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7740" w:type="dxa"/>
            <w:vAlign w:val="bottom"/>
          </w:tcPr>
          <w:p>
            <w:pPr>
              <w:ind w:left="260"/>
              <w:spacing w:after="0"/>
              <w:rPr>
                <w:sz w:val="20"/>
                <w:szCs w:val="20"/>
                <w:color w:val="auto"/>
              </w:rPr>
            </w:pPr>
            <w:r>
              <w:rPr>
                <w:rFonts w:ascii="Arial" w:cs="Arial" w:eastAsia="Arial" w:hAnsi="Arial"/>
                <w:sz w:val="14"/>
                <w:szCs w:val="14"/>
                <w:color w:val="auto"/>
              </w:rPr>
              <w:t>following the change in control.</w:t>
            </w:r>
          </w:p>
        </w:tc>
        <w:tc>
          <w:tcPr>
            <w:tcW w:w="0" w:type="dxa"/>
            <w:vAlign w:val="bottom"/>
          </w:tcPr>
          <w:p>
            <w:pPr>
              <w:spacing w:after="0"/>
              <w:rPr>
                <w:sz w:val="1"/>
                <w:szCs w:val="1"/>
                <w:color w:val="auto"/>
              </w:rPr>
            </w:pPr>
          </w:p>
        </w:tc>
      </w:tr>
      <w:tr>
        <w:trPr>
          <w:trHeight w:val="247"/>
        </w:trPr>
        <w:tc>
          <w:tcPr>
            <w:tcW w:w="3200" w:type="dxa"/>
            <w:vAlign w:val="bottom"/>
          </w:tcPr>
          <w:p>
            <w:pPr>
              <w:spacing w:after="0"/>
              <w:rPr>
                <w:sz w:val="21"/>
                <w:szCs w:val="21"/>
                <w:color w:val="auto"/>
              </w:rPr>
            </w:pPr>
          </w:p>
        </w:tc>
        <w:tc>
          <w:tcPr>
            <w:tcW w:w="7740" w:type="dxa"/>
            <w:vAlign w:val="bottom"/>
          </w:tcPr>
          <w:p>
            <w:pPr>
              <w:ind w:left="260"/>
              <w:spacing w:after="0"/>
              <w:rPr>
                <w:sz w:val="20"/>
                <w:szCs w:val="20"/>
                <w:color w:val="auto"/>
              </w:rPr>
            </w:pPr>
            <w:r>
              <w:rPr>
                <w:rFonts w:ascii="Arial" w:cs="Arial" w:eastAsia="Arial" w:hAnsi="Arial"/>
                <w:sz w:val="14"/>
                <w:szCs w:val="14"/>
                <w:color w:val="auto"/>
              </w:rPr>
              <w:t>Unvested stock options that are not assumed by the acquirer become immediately exercisable.</w:t>
            </w:r>
          </w:p>
        </w:tc>
        <w:tc>
          <w:tcPr>
            <w:tcW w:w="0" w:type="dxa"/>
            <w:vAlign w:val="bottom"/>
          </w:tcPr>
          <w:p>
            <w:pPr>
              <w:spacing w:after="0"/>
              <w:rPr>
                <w:sz w:val="1"/>
                <w:szCs w:val="1"/>
                <w:color w:val="auto"/>
              </w:rPr>
            </w:pPr>
          </w:p>
        </w:tc>
      </w:tr>
      <w:tr>
        <w:trPr>
          <w:trHeight w:val="74"/>
        </w:trPr>
        <w:tc>
          <w:tcPr>
            <w:tcW w:w="3200" w:type="dxa"/>
            <w:vAlign w:val="bottom"/>
          </w:tcPr>
          <w:p>
            <w:pPr>
              <w:spacing w:after="0"/>
              <w:rPr>
                <w:sz w:val="6"/>
                <w:szCs w:val="6"/>
                <w:color w:val="auto"/>
              </w:rPr>
            </w:pPr>
          </w:p>
        </w:tc>
        <w:tc>
          <w:tcPr>
            <w:tcW w:w="7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Disability</w:t>
            </w:r>
          </w:p>
        </w:tc>
        <w:tc>
          <w:tcPr>
            <w:tcW w:w="7740" w:type="dxa"/>
            <w:vAlign w:val="bottom"/>
            <w:shd w:val="clear" w:color="auto" w:fill="E9F0F3"/>
          </w:tcPr>
          <w:p>
            <w:pPr>
              <w:ind w:left="260"/>
              <w:spacing w:after="0"/>
              <w:rPr>
                <w:sz w:val="20"/>
                <w:szCs w:val="20"/>
                <w:color w:val="auto"/>
              </w:rPr>
            </w:pPr>
            <w:r>
              <w:rPr>
                <w:rFonts w:ascii="Arial" w:cs="Arial" w:eastAsia="Arial" w:hAnsi="Arial"/>
                <w:sz w:val="14"/>
                <w:szCs w:val="14"/>
                <w:color w:val="auto"/>
              </w:rPr>
              <w:t>Unvested stock options become immediately exercisable and, together with already exercisable options, expire three</w:t>
            </w:r>
          </w:p>
        </w:tc>
        <w:tc>
          <w:tcPr>
            <w:tcW w:w="0" w:type="dxa"/>
            <w:vAlign w:val="bottom"/>
          </w:tcPr>
          <w:p>
            <w:pPr>
              <w:spacing w:after="0"/>
              <w:rPr>
                <w:sz w:val="1"/>
                <w:szCs w:val="1"/>
                <w:color w:val="auto"/>
              </w:rPr>
            </w:pPr>
          </w:p>
        </w:tc>
      </w:tr>
      <w:tr>
        <w:trPr>
          <w:trHeight w:val="186"/>
        </w:trPr>
        <w:tc>
          <w:tcPr>
            <w:tcW w:w="3200" w:type="dxa"/>
            <w:vAlign w:val="bottom"/>
            <w:shd w:val="clear" w:color="auto" w:fill="E9F0F3"/>
          </w:tcPr>
          <w:p>
            <w:pPr>
              <w:spacing w:after="0"/>
              <w:rPr>
                <w:sz w:val="16"/>
                <w:szCs w:val="16"/>
                <w:color w:val="auto"/>
              </w:rPr>
            </w:pPr>
          </w:p>
        </w:tc>
        <w:tc>
          <w:tcPr>
            <w:tcW w:w="7740" w:type="dxa"/>
            <w:vAlign w:val="bottom"/>
            <w:shd w:val="clear" w:color="auto" w:fill="E9F0F3"/>
          </w:tcPr>
          <w:p>
            <w:pPr>
              <w:ind w:left="260"/>
              <w:spacing w:after="0"/>
              <w:rPr>
                <w:sz w:val="20"/>
                <w:szCs w:val="20"/>
                <w:color w:val="auto"/>
              </w:rPr>
            </w:pPr>
            <w:r>
              <w:rPr>
                <w:rFonts w:ascii="Arial" w:cs="Arial" w:eastAsia="Arial" w:hAnsi="Arial"/>
                <w:sz w:val="14"/>
                <w:szCs w:val="14"/>
                <w:color w:val="auto"/>
              </w:rPr>
              <w:t>months after the termination of employment (or such earlier date on which they are scheduled to expire).</w:t>
            </w:r>
          </w:p>
        </w:tc>
        <w:tc>
          <w:tcPr>
            <w:tcW w:w="0" w:type="dxa"/>
            <w:vAlign w:val="bottom"/>
          </w:tcPr>
          <w:p>
            <w:pPr>
              <w:spacing w:after="0"/>
              <w:rPr>
                <w:sz w:val="1"/>
                <w:szCs w:val="1"/>
                <w:color w:val="auto"/>
              </w:rPr>
            </w:pPr>
          </w:p>
        </w:tc>
      </w:tr>
      <w:tr>
        <w:trPr>
          <w:trHeight w:val="86"/>
        </w:trPr>
        <w:tc>
          <w:tcPr>
            <w:tcW w:w="3200" w:type="dxa"/>
            <w:vAlign w:val="bottom"/>
            <w:shd w:val="clear" w:color="auto" w:fill="E9F0F3"/>
          </w:tcPr>
          <w:p>
            <w:pPr>
              <w:spacing w:after="0"/>
              <w:rPr>
                <w:sz w:val="7"/>
                <w:szCs w:val="7"/>
                <w:color w:val="auto"/>
              </w:rPr>
            </w:pPr>
          </w:p>
        </w:tc>
        <w:tc>
          <w:tcPr>
            <w:tcW w:w="7740" w:type="dxa"/>
            <w:vAlign w:val="bottom"/>
            <w:shd w:val="clear" w:color="auto" w:fill="E9F0F3"/>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Retirement</w:t>
            </w:r>
          </w:p>
        </w:tc>
        <w:tc>
          <w:tcPr>
            <w:tcW w:w="7740" w:type="dxa"/>
            <w:vAlign w:val="bottom"/>
          </w:tcPr>
          <w:p>
            <w:pPr>
              <w:ind w:left="260"/>
              <w:spacing w:after="0"/>
              <w:rPr>
                <w:sz w:val="20"/>
                <w:szCs w:val="20"/>
                <w:color w:val="auto"/>
              </w:rPr>
            </w:pPr>
            <w:r>
              <w:rPr>
                <w:rFonts w:ascii="Arial" w:cs="Arial" w:eastAsia="Arial" w:hAnsi="Arial"/>
                <w:sz w:val="14"/>
                <w:szCs w:val="14"/>
                <w:color w:val="auto"/>
              </w:rPr>
              <w:t>Unvested stock options become immediately exercisable, except that awards granted in the year of retirement are</w:t>
            </w:r>
          </w:p>
        </w:tc>
        <w:tc>
          <w:tcPr>
            <w:tcW w:w="0" w:type="dxa"/>
            <w:vAlign w:val="bottom"/>
          </w:tcPr>
          <w:p>
            <w:pPr>
              <w:spacing w:after="0"/>
              <w:rPr>
                <w:sz w:val="1"/>
                <w:szCs w:val="1"/>
                <w:color w:val="auto"/>
              </w:rPr>
            </w:pPr>
          </w:p>
        </w:tc>
      </w:tr>
      <w:tr>
        <w:trPr>
          <w:trHeight w:val="165"/>
        </w:trPr>
        <w:tc>
          <w:tcPr>
            <w:tcW w:w="3200" w:type="dxa"/>
            <w:vAlign w:val="bottom"/>
          </w:tcPr>
          <w:p>
            <w:pPr>
              <w:spacing w:after="0"/>
              <w:rPr>
                <w:sz w:val="14"/>
                <w:szCs w:val="14"/>
                <w:color w:val="auto"/>
              </w:rPr>
            </w:pPr>
          </w:p>
        </w:tc>
        <w:tc>
          <w:tcPr>
            <w:tcW w:w="7740" w:type="dxa"/>
            <w:vAlign w:val="bottom"/>
          </w:tcPr>
          <w:p>
            <w:pPr>
              <w:ind w:left="260"/>
              <w:spacing w:after="0"/>
              <w:rPr>
                <w:sz w:val="20"/>
                <w:szCs w:val="20"/>
                <w:color w:val="auto"/>
              </w:rPr>
            </w:pPr>
            <w:r>
              <w:rPr>
                <w:rFonts w:ascii="Arial" w:cs="Arial" w:eastAsia="Arial" w:hAnsi="Arial"/>
                <w:sz w:val="14"/>
                <w:szCs w:val="14"/>
                <w:color w:val="auto"/>
              </w:rPr>
              <w:t>forfeited if the participant retires prior to the last day of the calendar year of the grant. Stock options that vest, together</w:t>
            </w:r>
          </w:p>
        </w:tc>
        <w:tc>
          <w:tcPr>
            <w:tcW w:w="0" w:type="dxa"/>
            <w:vAlign w:val="bottom"/>
          </w:tcPr>
          <w:p>
            <w:pPr>
              <w:spacing w:after="0"/>
              <w:rPr>
                <w:sz w:val="1"/>
                <w:szCs w:val="1"/>
                <w:color w:val="auto"/>
              </w:rPr>
            </w:pPr>
          </w:p>
        </w:tc>
      </w:tr>
      <w:tr>
        <w:trPr>
          <w:trHeight w:val="165"/>
        </w:trPr>
        <w:tc>
          <w:tcPr>
            <w:tcW w:w="3200" w:type="dxa"/>
            <w:vAlign w:val="bottom"/>
          </w:tcPr>
          <w:p>
            <w:pPr>
              <w:spacing w:after="0"/>
              <w:rPr>
                <w:sz w:val="14"/>
                <w:szCs w:val="14"/>
                <w:color w:val="auto"/>
              </w:rPr>
            </w:pPr>
          </w:p>
        </w:tc>
        <w:tc>
          <w:tcPr>
            <w:tcW w:w="7740" w:type="dxa"/>
            <w:vAlign w:val="bottom"/>
          </w:tcPr>
          <w:p>
            <w:pPr>
              <w:ind w:left="260"/>
              <w:spacing w:after="0"/>
              <w:rPr>
                <w:sz w:val="20"/>
                <w:szCs w:val="20"/>
                <w:color w:val="auto"/>
              </w:rPr>
            </w:pPr>
            <w:r>
              <w:rPr>
                <w:rFonts w:ascii="Arial" w:cs="Arial" w:eastAsia="Arial" w:hAnsi="Arial"/>
                <w:sz w:val="14"/>
                <w:szCs w:val="14"/>
                <w:color w:val="auto"/>
              </w:rPr>
              <w:t>with already exercisable options, expire three years after the retirement (or such earlier date on which they are</w:t>
            </w: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7740" w:type="dxa"/>
            <w:vAlign w:val="bottom"/>
          </w:tcPr>
          <w:p>
            <w:pPr>
              <w:ind w:left="260"/>
              <w:spacing w:after="0"/>
              <w:rPr>
                <w:sz w:val="20"/>
                <w:szCs w:val="20"/>
                <w:color w:val="auto"/>
              </w:rPr>
            </w:pPr>
            <w:r>
              <w:rPr>
                <w:rFonts w:ascii="Arial" w:cs="Arial" w:eastAsia="Arial" w:hAnsi="Arial"/>
                <w:sz w:val="14"/>
                <w:szCs w:val="14"/>
                <w:color w:val="auto"/>
              </w:rPr>
              <w:t>scheduled to expire).</w:t>
            </w:r>
          </w:p>
        </w:tc>
        <w:tc>
          <w:tcPr>
            <w:tcW w:w="0" w:type="dxa"/>
            <w:vAlign w:val="bottom"/>
          </w:tcPr>
          <w:p>
            <w:pPr>
              <w:spacing w:after="0"/>
              <w:rPr>
                <w:sz w:val="1"/>
                <w:szCs w:val="1"/>
                <w:color w:val="auto"/>
              </w:rPr>
            </w:pPr>
          </w:p>
        </w:tc>
      </w:tr>
      <w:tr>
        <w:trPr>
          <w:trHeight w:val="86"/>
        </w:trPr>
        <w:tc>
          <w:tcPr>
            <w:tcW w:w="3200" w:type="dxa"/>
            <w:vAlign w:val="bottom"/>
          </w:tcPr>
          <w:p>
            <w:pPr>
              <w:spacing w:after="0"/>
              <w:rPr>
                <w:sz w:val="7"/>
                <w:szCs w:val="7"/>
                <w:color w:val="auto"/>
              </w:rPr>
            </w:pPr>
          </w:p>
        </w:tc>
        <w:tc>
          <w:tcPr>
            <w:tcW w:w="7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Voluntary Termination/Termination Without</w:t>
            </w:r>
          </w:p>
        </w:tc>
        <w:tc>
          <w:tcPr>
            <w:tcW w:w="7740" w:type="dxa"/>
            <w:vAlign w:val="bottom"/>
            <w:shd w:val="clear" w:color="auto" w:fill="E9F0F3"/>
          </w:tcPr>
          <w:p>
            <w:pPr>
              <w:ind w:left="260"/>
              <w:spacing w:after="0"/>
              <w:rPr>
                <w:sz w:val="20"/>
                <w:szCs w:val="20"/>
                <w:color w:val="auto"/>
              </w:rPr>
            </w:pPr>
            <w:r>
              <w:rPr>
                <w:rFonts w:ascii="Arial" w:cs="Arial" w:eastAsia="Arial" w:hAnsi="Arial"/>
                <w:sz w:val="14"/>
                <w:szCs w:val="14"/>
                <w:color w:val="auto"/>
              </w:rPr>
              <w:t>Unvested stock options are forfeited.</w:t>
            </w:r>
          </w:p>
        </w:tc>
        <w:tc>
          <w:tcPr>
            <w:tcW w:w="0" w:type="dxa"/>
            <w:vAlign w:val="bottom"/>
          </w:tcPr>
          <w:p>
            <w:pPr>
              <w:spacing w:after="0"/>
              <w:rPr>
                <w:sz w:val="1"/>
                <w:szCs w:val="1"/>
                <w:color w:val="auto"/>
              </w:rPr>
            </w:pPr>
          </w:p>
        </w:tc>
      </w:tr>
      <w:tr>
        <w:trPr>
          <w:trHeight w:val="224"/>
        </w:trPr>
        <w:tc>
          <w:tcPr>
            <w:tcW w:w="32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Cause/Termination For “Good Reason”</w:t>
            </w:r>
            <w:r>
              <w:rPr>
                <w:rFonts w:ascii="Arial" w:cs="Arial" w:eastAsia="Arial" w:hAnsi="Arial"/>
                <w:sz w:val="16"/>
                <w:szCs w:val="16"/>
                <w:b w:val="1"/>
                <w:bCs w:val="1"/>
                <w:color w:val="auto"/>
                <w:vertAlign w:val="superscript"/>
              </w:rPr>
              <w:t>1</w:t>
            </w:r>
          </w:p>
        </w:tc>
        <w:tc>
          <w:tcPr>
            <w:tcW w:w="7740" w:type="dxa"/>
            <w:vAlign w:val="bottom"/>
            <w:vMerge w:val="restart"/>
            <w:shd w:val="clear" w:color="auto" w:fill="E9F0F3"/>
          </w:tcPr>
          <w:p>
            <w:pPr>
              <w:ind w:left="260"/>
              <w:spacing w:after="0"/>
              <w:rPr>
                <w:sz w:val="20"/>
                <w:szCs w:val="20"/>
                <w:color w:val="auto"/>
              </w:rPr>
            </w:pPr>
            <w:r>
              <w:rPr>
                <w:rFonts w:ascii="Arial" w:cs="Arial" w:eastAsia="Arial" w:hAnsi="Arial"/>
                <w:sz w:val="14"/>
                <w:szCs w:val="14"/>
                <w:color w:val="auto"/>
              </w:rPr>
              <w:t>Vested stock options expire three months after the termination of employment (or such earlier date on which they are</w:t>
            </w:r>
          </w:p>
        </w:tc>
        <w:tc>
          <w:tcPr>
            <w:tcW w:w="0" w:type="dxa"/>
            <w:vAlign w:val="bottom"/>
          </w:tcPr>
          <w:p>
            <w:pPr>
              <w:spacing w:after="0"/>
              <w:rPr>
                <w:sz w:val="1"/>
                <w:szCs w:val="1"/>
                <w:color w:val="auto"/>
              </w:rPr>
            </w:pPr>
          </w:p>
        </w:tc>
      </w:tr>
      <w:tr>
        <w:trPr>
          <w:trHeight w:val="23"/>
        </w:trPr>
        <w:tc>
          <w:tcPr>
            <w:tcW w:w="3200" w:type="dxa"/>
            <w:vAlign w:val="bottom"/>
            <w:shd w:val="clear" w:color="auto" w:fill="E9F0F3"/>
          </w:tcPr>
          <w:p>
            <w:pPr>
              <w:spacing w:after="0"/>
              <w:rPr>
                <w:sz w:val="2"/>
                <w:szCs w:val="2"/>
                <w:color w:val="auto"/>
              </w:rPr>
            </w:pPr>
          </w:p>
        </w:tc>
        <w:tc>
          <w:tcPr>
            <w:tcW w:w="7740" w:type="dxa"/>
            <w:vAlign w:val="bottom"/>
            <w:vMerge w:val="continue"/>
            <w:shd w:val="clear" w:color="auto" w:fill="E9F0F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200" w:type="dxa"/>
            <w:vAlign w:val="bottom"/>
            <w:shd w:val="clear" w:color="auto" w:fill="E9F0F3"/>
          </w:tcPr>
          <w:p>
            <w:pPr>
              <w:spacing w:after="0"/>
              <w:rPr>
                <w:sz w:val="16"/>
                <w:szCs w:val="16"/>
                <w:color w:val="auto"/>
              </w:rPr>
            </w:pPr>
          </w:p>
        </w:tc>
        <w:tc>
          <w:tcPr>
            <w:tcW w:w="7740" w:type="dxa"/>
            <w:vAlign w:val="bottom"/>
            <w:shd w:val="clear" w:color="auto" w:fill="E9F0F3"/>
          </w:tcPr>
          <w:p>
            <w:pPr>
              <w:ind w:left="260"/>
              <w:spacing w:after="0"/>
              <w:rPr>
                <w:sz w:val="20"/>
                <w:szCs w:val="20"/>
                <w:color w:val="auto"/>
              </w:rPr>
            </w:pPr>
            <w:r>
              <w:rPr>
                <w:rFonts w:ascii="Arial" w:cs="Arial" w:eastAsia="Arial" w:hAnsi="Arial"/>
                <w:sz w:val="14"/>
                <w:szCs w:val="14"/>
                <w:color w:val="auto"/>
              </w:rPr>
              <w:t>scheduled to expire).</w:t>
            </w:r>
          </w:p>
        </w:tc>
        <w:tc>
          <w:tcPr>
            <w:tcW w:w="0" w:type="dxa"/>
            <w:vAlign w:val="bottom"/>
          </w:tcPr>
          <w:p>
            <w:pPr>
              <w:spacing w:after="0"/>
              <w:rPr>
                <w:sz w:val="1"/>
                <w:szCs w:val="1"/>
                <w:color w:val="auto"/>
              </w:rPr>
            </w:pPr>
          </w:p>
        </w:tc>
      </w:tr>
      <w:tr>
        <w:trPr>
          <w:trHeight w:val="74"/>
        </w:trPr>
        <w:tc>
          <w:tcPr>
            <w:tcW w:w="3200" w:type="dxa"/>
            <w:vAlign w:val="bottom"/>
            <w:shd w:val="clear" w:color="auto" w:fill="E9F0F3"/>
          </w:tcPr>
          <w:p>
            <w:pPr>
              <w:spacing w:after="0"/>
              <w:rPr>
                <w:sz w:val="6"/>
                <w:szCs w:val="6"/>
                <w:color w:val="auto"/>
              </w:rPr>
            </w:pPr>
          </w:p>
        </w:tc>
        <w:tc>
          <w:tcPr>
            <w:tcW w:w="774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60" w:right="180" w:hanging="149"/>
        <w:spacing w:after="0" w:line="252" w:lineRule="auto"/>
        <w:tabs>
          <w:tab w:leader="none" w:pos="167" w:val="left"/>
        </w:tabs>
        <w:numPr>
          <w:ilvl w:val="0"/>
          <w:numId w:val="114"/>
        </w:numPr>
        <w:rPr>
          <w:rFonts w:ascii="Arial" w:cs="Arial" w:eastAsia="Arial" w:hAnsi="Arial"/>
          <w:sz w:val="13"/>
          <w:szCs w:val="13"/>
          <w:color w:val="auto"/>
        </w:rPr>
      </w:pPr>
      <w:r>
        <w:rPr>
          <w:rFonts w:ascii="Arial" w:cs="Arial" w:eastAsia="Arial" w:hAnsi="Arial"/>
          <w:sz w:val="13"/>
          <w:szCs w:val="13"/>
          <w:color w:val="auto"/>
        </w:rPr>
        <w:t>“Good reason” is as defined in a participant’s employment agreement (if any). “Cause” is as defined in the Stock Incentive Plan unless a participant’s employment agreement (if any) provides it controls.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6D98AD"/>
        </w:rPr>
        <w:t>RSUs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following sets forth the effect of certain triggering events on RSUs prior to their vesting.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Death/Disability</w:t>
            </w:r>
          </w:p>
        </w:tc>
        <w:tc>
          <w:tcPr>
            <w:tcW w:w="7740" w:type="dxa"/>
            <w:vAlign w:val="bottom"/>
            <w:shd w:val="clear" w:color="auto" w:fill="E9F0F3"/>
          </w:tcPr>
          <w:p>
            <w:pPr>
              <w:ind w:left="260"/>
              <w:spacing w:after="0"/>
              <w:rPr>
                <w:sz w:val="20"/>
                <w:szCs w:val="20"/>
                <w:color w:val="auto"/>
              </w:rPr>
            </w:pPr>
            <w:r>
              <w:rPr>
                <w:rFonts w:ascii="Arial" w:cs="Arial" w:eastAsia="Arial" w:hAnsi="Arial"/>
                <w:sz w:val="14"/>
                <w:szCs w:val="14"/>
                <w:color w:val="auto"/>
              </w:rPr>
              <w:t>All outstanding RSUs vest in full.</w:t>
            </w:r>
          </w:p>
        </w:tc>
      </w:tr>
      <w:tr>
        <w:trPr>
          <w:trHeight w:val="66"/>
        </w:trPr>
        <w:tc>
          <w:tcPr>
            <w:tcW w:w="3200" w:type="dxa"/>
            <w:vAlign w:val="bottom"/>
            <w:shd w:val="clear" w:color="auto" w:fill="E9F0F3"/>
          </w:tcPr>
          <w:p>
            <w:pPr>
              <w:spacing w:after="0"/>
              <w:rPr>
                <w:sz w:val="5"/>
                <w:szCs w:val="5"/>
                <w:color w:val="auto"/>
              </w:rPr>
            </w:pPr>
          </w:p>
        </w:tc>
        <w:tc>
          <w:tcPr>
            <w:tcW w:w="7740" w:type="dxa"/>
            <w:vAlign w:val="bottom"/>
            <w:shd w:val="clear" w:color="auto" w:fill="E9F0F3"/>
          </w:tcPr>
          <w:p>
            <w:pPr>
              <w:spacing w:after="0"/>
              <w:rPr>
                <w:sz w:val="5"/>
                <w:szCs w:val="5"/>
                <w:color w:val="auto"/>
              </w:rPr>
            </w:pPr>
          </w:p>
        </w:tc>
      </w:tr>
      <w:tr>
        <w:trPr>
          <w:trHeight w:val="235"/>
        </w:trPr>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Change In Control</w:t>
            </w:r>
          </w:p>
        </w:tc>
        <w:tc>
          <w:tcPr>
            <w:tcW w:w="7740" w:type="dxa"/>
            <w:vAlign w:val="bottom"/>
          </w:tcPr>
          <w:p>
            <w:pPr>
              <w:ind w:left="260"/>
              <w:spacing w:after="0"/>
              <w:rPr>
                <w:sz w:val="20"/>
                <w:szCs w:val="20"/>
                <w:color w:val="auto"/>
              </w:rPr>
            </w:pPr>
            <w:r>
              <w:rPr>
                <w:rFonts w:ascii="Arial" w:cs="Arial" w:eastAsia="Arial" w:hAnsi="Arial"/>
                <w:sz w:val="14"/>
                <w:szCs w:val="14"/>
                <w:color w:val="auto"/>
              </w:rPr>
              <w:t>All outstanding RSUs that are assumed by an acquirer upon a change in control will continue to vest on their original</w:t>
            </w:r>
          </w:p>
        </w:tc>
      </w:tr>
      <w:tr>
        <w:trPr>
          <w:trHeight w:val="165"/>
        </w:trPr>
        <w:tc>
          <w:tcPr>
            <w:tcW w:w="3200" w:type="dxa"/>
            <w:vAlign w:val="bottom"/>
          </w:tcPr>
          <w:p>
            <w:pPr>
              <w:spacing w:after="0"/>
              <w:rPr>
                <w:sz w:val="14"/>
                <w:szCs w:val="14"/>
                <w:color w:val="auto"/>
              </w:rPr>
            </w:pPr>
          </w:p>
        </w:tc>
        <w:tc>
          <w:tcPr>
            <w:tcW w:w="7740" w:type="dxa"/>
            <w:vAlign w:val="bottom"/>
          </w:tcPr>
          <w:p>
            <w:pPr>
              <w:ind w:left="260"/>
              <w:spacing w:after="0"/>
              <w:rPr>
                <w:sz w:val="20"/>
                <w:szCs w:val="20"/>
                <w:color w:val="auto"/>
              </w:rPr>
            </w:pPr>
            <w:r>
              <w:rPr>
                <w:rFonts w:ascii="Arial" w:cs="Arial" w:eastAsia="Arial" w:hAnsi="Arial"/>
                <w:sz w:val="14"/>
                <w:szCs w:val="14"/>
                <w:color w:val="auto"/>
              </w:rPr>
              <w:t>schedule and only vest in full on an accelerated basis after termination of employment (other than for “cause” or</w:t>
            </w:r>
          </w:p>
        </w:tc>
      </w:tr>
      <w:tr>
        <w:trPr>
          <w:trHeight w:val="165"/>
        </w:trPr>
        <w:tc>
          <w:tcPr>
            <w:tcW w:w="3200" w:type="dxa"/>
            <w:vAlign w:val="bottom"/>
          </w:tcPr>
          <w:p>
            <w:pPr>
              <w:spacing w:after="0"/>
              <w:rPr>
                <w:sz w:val="14"/>
                <w:szCs w:val="14"/>
                <w:color w:val="auto"/>
              </w:rPr>
            </w:pPr>
          </w:p>
        </w:tc>
        <w:tc>
          <w:tcPr>
            <w:tcW w:w="7740" w:type="dxa"/>
            <w:vAlign w:val="bottom"/>
          </w:tcPr>
          <w:p>
            <w:pPr>
              <w:ind w:left="260"/>
              <w:spacing w:after="0"/>
              <w:rPr>
                <w:sz w:val="20"/>
                <w:szCs w:val="20"/>
                <w:color w:val="auto"/>
              </w:rPr>
            </w:pPr>
            <w:r>
              <w:rPr>
                <w:rFonts w:ascii="Arial" w:cs="Arial" w:eastAsia="Arial" w:hAnsi="Arial"/>
                <w:sz w:val="14"/>
                <w:szCs w:val="14"/>
                <w:color w:val="auto"/>
              </w:rPr>
              <w:t>without “good reason,” as and if such terms are defined in a participant’s employment agreement, if any) within two</w:t>
            </w:r>
          </w:p>
        </w:tc>
      </w:tr>
      <w:tr>
        <w:trPr>
          <w:trHeight w:val="186"/>
        </w:trPr>
        <w:tc>
          <w:tcPr>
            <w:tcW w:w="3200" w:type="dxa"/>
            <w:vAlign w:val="bottom"/>
          </w:tcPr>
          <w:p>
            <w:pPr>
              <w:spacing w:after="0"/>
              <w:rPr>
                <w:sz w:val="16"/>
                <w:szCs w:val="16"/>
                <w:color w:val="auto"/>
              </w:rPr>
            </w:pPr>
          </w:p>
        </w:tc>
        <w:tc>
          <w:tcPr>
            <w:tcW w:w="7740" w:type="dxa"/>
            <w:vAlign w:val="bottom"/>
          </w:tcPr>
          <w:p>
            <w:pPr>
              <w:ind w:left="260"/>
              <w:spacing w:after="0"/>
              <w:rPr>
                <w:sz w:val="20"/>
                <w:szCs w:val="20"/>
                <w:color w:val="auto"/>
              </w:rPr>
            </w:pPr>
            <w:r>
              <w:rPr>
                <w:rFonts w:ascii="Arial" w:cs="Arial" w:eastAsia="Arial" w:hAnsi="Arial"/>
                <w:sz w:val="14"/>
                <w:szCs w:val="14"/>
                <w:color w:val="auto"/>
              </w:rPr>
              <w:t>years of the change in control (</w:t>
            </w:r>
            <w:r>
              <w:rPr>
                <w:rFonts w:ascii="Arial" w:cs="Arial" w:eastAsia="Arial" w:hAnsi="Arial"/>
                <w:sz w:val="14"/>
                <w:szCs w:val="14"/>
                <w:i w:val="1"/>
                <w:iCs w:val="1"/>
                <w:color w:val="auto"/>
              </w:rPr>
              <w:t>i.e</w:t>
            </w:r>
            <w:r>
              <w:rPr>
                <w:rFonts w:ascii="Arial" w:cs="Arial" w:eastAsia="Arial" w:hAnsi="Arial"/>
                <w:sz w:val="14"/>
                <w:szCs w:val="14"/>
                <w:color w:val="auto"/>
              </w:rPr>
              <w:t>., double trigger).</w:t>
            </w:r>
          </w:p>
        </w:tc>
      </w:tr>
      <w:tr>
        <w:trPr>
          <w:trHeight w:val="238"/>
        </w:trPr>
        <w:tc>
          <w:tcPr>
            <w:tcW w:w="3200" w:type="dxa"/>
            <w:vAlign w:val="bottom"/>
          </w:tcPr>
          <w:p>
            <w:pPr>
              <w:spacing w:after="0"/>
              <w:rPr>
                <w:sz w:val="20"/>
                <w:szCs w:val="20"/>
                <w:color w:val="auto"/>
              </w:rPr>
            </w:pPr>
          </w:p>
        </w:tc>
        <w:tc>
          <w:tcPr>
            <w:tcW w:w="7740" w:type="dxa"/>
            <w:vAlign w:val="bottom"/>
          </w:tcPr>
          <w:p>
            <w:pPr>
              <w:ind w:left="260"/>
              <w:spacing w:after="0"/>
              <w:rPr>
                <w:sz w:val="20"/>
                <w:szCs w:val="20"/>
                <w:color w:val="auto"/>
              </w:rPr>
            </w:pPr>
            <w:r>
              <w:rPr>
                <w:rFonts w:ascii="Arial" w:cs="Arial" w:eastAsia="Arial" w:hAnsi="Arial"/>
                <w:sz w:val="14"/>
                <w:szCs w:val="14"/>
                <w:color w:val="auto"/>
              </w:rPr>
              <w:t>All outstanding RSUs that are not assumed by an acquirer upon a change in control will vest in full on an accelerated</w:t>
            </w:r>
          </w:p>
        </w:tc>
      </w:tr>
      <w:tr>
        <w:trPr>
          <w:trHeight w:val="186"/>
        </w:trPr>
        <w:tc>
          <w:tcPr>
            <w:tcW w:w="3200" w:type="dxa"/>
            <w:vAlign w:val="bottom"/>
          </w:tcPr>
          <w:p>
            <w:pPr>
              <w:spacing w:after="0"/>
              <w:rPr>
                <w:sz w:val="16"/>
                <w:szCs w:val="16"/>
                <w:color w:val="auto"/>
              </w:rPr>
            </w:pPr>
          </w:p>
        </w:tc>
        <w:tc>
          <w:tcPr>
            <w:tcW w:w="7740" w:type="dxa"/>
            <w:vAlign w:val="bottom"/>
          </w:tcPr>
          <w:p>
            <w:pPr>
              <w:ind w:left="260"/>
              <w:spacing w:after="0"/>
              <w:rPr>
                <w:sz w:val="20"/>
                <w:szCs w:val="20"/>
                <w:color w:val="auto"/>
              </w:rPr>
            </w:pPr>
            <w:r>
              <w:rPr>
                <w:rFonts w:ascii="Arial" w:cs="Arial" w:eastAsia="Arial" w:hAnsi="Arial"/>
                <w:sz w:val="14"/>
                <w:szCs w:val="14"/>
                <w:color w:val="auto"/>
              </w:rPr>
              <w:t>basis upon the change in control.</w:t>
            </w:r>
          </w:p>
        </w:tc>
      </w:tr>
      <w:tr>
        <w:trPr>
          <w:trHeight w:val="74"/>
        </w:trPr>
        <w:tc>
          <w:tcPr>
            <w:tcW w:w="3200" w:type="dxa"/>
            <w:vAlign w:val="bottom"/>
          </w:tcPr>
          <w:p>
            <w:pPr>
              <w:spacing w:after="0"/>
              <w:rPr>
                <w:sz w:val="6"/>
                <w:szCs w:val="6"/>
                <w:color w:val="auto"/>
              </w:rPr>
            </w:pPr>
          </w:p>
        </w:tc>
        <w:tc>
          <w:tcPr>
            <w:tcW w:w="7740" w:type="dxa"/>
            <w:vAlign w:val="bottom"/>
          </w:tcPr>
          <w:p>
            <w:pPr>
              <w:spacing w:after="0"/>
              <w:rPr>
                <w:sz w:val="6"/>
                <w:szCs w:val="6"/>
                <w:color w:val="auto"/>
              </w:rPr>
            </w:pPr>
          </w:p>
        </w:tc>
      </w:tr>
      <w:tr>
        <w:trPr>
          <w:trHeight w:val="235"/>
        </w:trPr>
        <w:tc>
          <w:tcPr>
            <w:tcW w:w="32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Retirement</w:t>
            </w:r>
          </w:p>
        </w:tc>
        <w:tc>
          <w:tcPr>
            <w:tcW w:w="7740" w:type="dxa"/>
            <w:vAlign w:val="bottom"/>
            <w:shd w:val="clear" w:color="auto" w:fill="E9F0F3"/>
          </w:tcPr>
          <w:p>
            <w:pPr>
              <w:ind w:left="260"/>
              <w:spacing w:after="0"/>
              <w:rPr>
                <w:sz w:val="20"/>
                <w:szCs w:val="20"/>
                <w:color w:val="auto"/>
              </w:rPr>
            </w:pPr>
            <w:r>
              <w:rPr>
                <w:rFonts w:ascii="Arial" w:cs="Arial" w:eastAsia="Arial" w:hAnsi="Arial"/>
                <w:sz w:val="14"/>
                <w:szCs w:val="14"/>
                <w:color w:val="auto"/>
              </w:rPr>
              <w:t>All outstanding RSUs generally vest in full, except that RSUs granted in the year of retirement are forfeited immediately</w:t>
            </w:r>
          </w:p>
        </w:tc>
      </w:tr>
      <w:tr>
        <w:trPr>
          <w:trHeight w:val="186"/>
        </w:trPr>
        <w:tc>
          <w:tcPr>
            <w:tcW w:w="3200" w:type="dxa"/>
            <w:vAlign w:val="bottom"/>
            <w:shd w:val="clear" w:color="auto" w:fill="E9F0F3"/>
          </w:tcPr>
          <w:p>
            <w:pPr>
              <w:spacing w:after="0"/>
              <w:rPr>
                <w:sz w:val="16"/>
                <w:szCs w:val="16"/>
                <w:color w:val="auto"/>
              </w:rPr>
            </w:pPr>
          </w:p>
        </w:tc>
        <w:tc>
          <w:tcPr>
            <w:tcW w:w="7740" w:type="dxa"/>
            <w:vAlign w:val="bottom"/>
            <w:shd w:val="clear" w:color="auto" w:fill="E9F0F3"/>
          </w:tcPr>
          <w:p>
            <w:pPr>
              <w:ind w:left="260"/>
              <w:spacing w:after="0"/>
              <w:rPr>
                <w:sz w:val="20"/>
                <w:szCs w:val="20"/>
                <w:color w:val="auto"/>
              </w:rPr>
            </w:pPr>
            <w:r>
              <w:rPr>
                <w:rFonts w:ascii="Arial" w:cs="Arial" w:eastAsia="Arial" w:hAnsi="Arial"/>
                <w:sz w:val="14"/>
                <w:szCs w:val="14"/>
                <w:color w:val="auto"/>
              </w:rPr>
              <w:t>if the recipient retires before December 31.</w:t>
            </w:r>
          </w:p>
        </w:tc>
      </w:tr>
      <w:tr>
        <w:trPr>
          <w:trHeight w:val="74"/>
        </w:trPr>
        <w:tc>
          <w:tcPr>
            <w:tcW w:w="3200" w:type="dxa"/>
            <w:vAlign w:val="bottom"/>
            <w:shd w:val="clear" w:color="auto" w:fill="E9F0F3"/>
          </w:tcPr>
          <w:p>
            <w:pPr>
              <w:spacing w:after="0"/>
              <w:rPr>
                <w:sz w:val="6"/>
                <w:szCs w:val="6"/>
                <w:color w:val="auto"/>
              </w:rPr>
            </w:pPr>
          </w:p>
        </w:tc>
        <w:tc>
          <w:tcPr>
            <w:tcW w:w="7740" w:type="dxa"/>
            <w:vAlign w:val="bottom"/>
            <w:shd w:val="clear" w:color="auto" w:fill="E9F0F3"/>
          </w:tcPr>
          <w:p>
            <w:pPr>
              <w:spacing w:after="0"/>
              <w:rPr>
                <w:sz w:val="6"/>
                <w:szCs w:val="6"/>
                <w:color w:val="auto"/>
              </w:rPr>
            </w:pPr>
          </w:p>
        </w:tc>
      </w:tr>
      <w:tr>
        <w:trPr>
          <w:trHeight w:val="235"/>
        </w:trPr>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Voluntary Termination/Termination Without</w:t>
            </w:r>
          </w:p>
        </w:tc>
        <w:tc>
          <w:tcPr>
            <w:tcW w:w="7740" w:type="dxa"/>
            <w:vAlign w:val="bottom"/>
          </w:tcPr>
          <w:p>
            <w:pPr>
              <w:ind w:left="260"/>
              <w:spacing w:after="0"/>
              <w:rPr>
                <w:sz w:val="20"/>
                <w:szCs w:val="20"/>
                <w:color w:val="auto"/>
              </w:rPr>
            </w:pPr>
            <w:r>
              <w:rPr>
                <w:rFonts w:ascii="Arial" w:cs="Arial" w:eastAsia="Arial" w:hAnsi="Arial"/>
                <w:sz w:val="14"/>
                <w:szCs w:val="14"/>
                <w:color w:val="auto"/>
              </w:rPr>
              <w:t>All outstanding RSUs are forfeited immediately.</w:t>
            </w:r>
          </w:p>
        </w:tc>
      </w:tr>
      <w:tr>
        <w:trPr>
          <w:trHeight w:val="224"/>
        </w:trPr>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Cause/Termination For “Good Reason”</w:t>
            </w:r>
            <w:r>
              <w:rPr>
                <w:rFonts w:ascii="Arial" w:cs="Arial" w:eastAsia="Arial" w:hAnsi="Arial"/>
                <w:sz w:val="16"/>
                <w:szCs w:val="16"/>
                <w:b w:val="1"/>
                <w:bCs w:val="1"/>
                <w:color w:val="auto"/>
                <w:vertAlign w:val="superscript"/>
              </w:rPr>
              <w:t>1</w:t>
            </w:r>
          </w:p>
        </w:tc>
        <w:tc>
          <w:tcPr>
            <w:tcW w:w="7740" w:type="dxa"/>
            <w:vAlign w:val="bottom"/>
          </w:tcPr>
          <w:p>
            <w:pPr>
              <w:spacing w:after="0"/>
              <w:rPr>
                <w:sz w:val="19"/>
                <w:szCs w:val="19"/>
                <w:color w:val="auto"/>
              </w:rPr>
            </w:pPr>
          </w:p>
        </w:tc>
      </w:tr>
    </w:tbl>
    <w:p>
      <w:pPr>
        <w:spacing w:after="0" w:line="75" w:lineRule="exact"/>
        <w:rPr>
          <w:sz w:val="20"/>
          <w:szCs w:val="20"/>
          <w:color w:val="auto"/>
        </w:rPr>
      </w:pPr>
    </w:p>
    <w:p>
      <w:pPr>
        <w:ind w:left="160" w:right="180" w:hanging="149"/>
        <w:spacing w:after="0" w:line="252" w:lineRule="auto"/>
        <w:tabs>
          <w:tab w:leader="none" w:pos="167" w:val="left"/>
        </w:tabs>
        <w:numPr>
          <w:ilvl w:val="0"/>
          <w:numId w:val="115"/>
        </w:numPr>
        <w:rPr>
          <w:rFonts w:ascii="Arial" w:cs="Arial" w:eastAsia="Arial" w:hAnsi="Arial"/>
          <w:sz w:val="13"/>
          <w:szCs w:val="13"/>
          <w:color w:val="auto"/>
        </w:rPr>
      </w:pPr>
      <w:r>
        <w:rPr>
          <w:rFonts w:ascii="Arial" w:cs="Arial" w:eastAsia="Arial" w:hAnsi="Arial"/>
          <w:sz w:val="13"/>
          <w:szCs w:val="13"/>
          <w:color w:val="auto"/>
        </w:rPr>
        <w:t>“Good reason” is as defined in a participant’s employment agreement (if any). “Cause” is as defined in the Stock Incentive Plan unless a participant’s employment agreement (if any) provides it controls.</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EXECUTIVE COMPENSATION TABLES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695515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120" w:right="479" w:bottom="1440" w:gutter="0" w:footer="0" w:header="0"/>
        </w:sectPr>
      </w:pPr>
    </w:p>
    <w:bookmarkStart w:id="70" w:name="page71"/>
    <w:bookmarkEnd w:id="70"/>
    <w:p>
      <w:pPr>
        <w:ind w:left="20"/>
        <w:spacing w:after="0"/>
        <w:rPr>
          <w:sz w:val="20"/>
          <w:szCs w:val="20"/>
          <w:color w:val="auto"/>
        </w:rPr>
      </w:pPr>
      <w:r>
        <w:rPr>
          <w:rFonts w:ascii="Arial" w:cs="Arial" w:eastAsia="Arial" w:hAnsi="Arial"/>
          <w:sz w:val="17"/>
          <w:szCs w:val="17"/>
          <w:b w:val="1"/>
          <w:bCs w:val="1"/>
          <w:color w:val="6D98AD"/>
        </w:rPr>
        <w:t>PSUs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following sets forth the effect on PSUs of certain triggering events occurring during a performance cycle.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2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Death</w:t>
            </w:r>
          </w:p>
        </w:tc>
        <w:tc>
          <w:tcPr>
            <w:tcW w:w="7720" w:type="dxa"/>
            <w:vAlign w:val="bottom"/>
            <w:shd w:val="clear" w:color="auto" w:fill="E9F0F3"/>
          </w:tcPr>
          <w:p>
            <w:pPr>
              <w:ind w:left="240"/>
              <w:spacing w:after="0"/>
              <w:rPr>
                <w:sz w:val="20"/>
                <w:szCs w:val="20"/>
                <w:color w:val="auto"/>
              </w:rPr>
            </w:pPr>
            <w:r>
              <w:rPr>
                <w:rFonts w:ascii="Arial" w:cs="Arial" w:eastAsia="Arial" w:hAnsi="Arial"/>
                <w:sz w:val="14"/>
                <w:szCs w:val="14"/>
                <w:color w:val="auto"/>
              </w:rPr>
              <w:t>The participant’s estate will receive the target-level payout, prorated to reflect the portion of the performance cycle</w:t>
            </w:r>
          </w:p>
        </w:tc>
      </w:tr>
      <w:tr>
        <w:trPr>
          <w:trHeight w:val="186"/>
        </w:trPr>
        <w:tc>
          <w:tcPr>
            <w:tcW w:w="3220" w:type="dxa"/>
            <w:vAlign w:val="bottom"/>
            <w:shd w:val="clear" w:color="auto" w:fill="E9F0F3"/>
          </w:tcPr>
          <w:p>
            <w:pPr>
              <w:spacing w:after="0"/>
              <w:rPr>
                <w:sz w:val="16"/>
                <w:szCs w:val="16"/>
                <w:color w:val="auto"/>
              </w:rPr>
            </w:pPr>
          </w:p>
        </w:tc>
        <w:tc>
          <w:tcPr>
            <w:tcW w:w="7720" w:type="dxa"/>
            <w:vAlign w:val="bottom"/>
            <w:shd w:val="clear" w:color="auto" w:fill="E9F0F3"/>
          </w:tcPr>
          <w:p>
            <w:pPr>
              <w:ind w:left="240"/>
              <w:spacing w:after="0"/>
              <w:rPr>
                <w:sz w:val="20"/>
                <w:szCs w:val="20"/>
                <w:color w:val="auto"/>
              </w:rPr>
            </w:pPr>
            <w:r>
              <w:rPr>
                <w:rFonts w:ascii="Arial" w:cs="Arial" w:eastAsia="Arial" w:hAnsi="Arial"/>
                <w:sz w:val="14"/>
                <w:szCs w:val="14"/>
                <w:color w:val="auto"/>
              </w:rPr>
              <w:t>worked by the participant.</w:t>
            </w:r>
          </w:p>
        </w:tc>
      </w:tr>
      <w:tr>
        <w:trPr>
          <w:trHeight w:val="86"/>
        </w:trPr>
        <w:tc>
          <w:tcPr>
            <w:tcW w:w="3220" w:type="dxa"/>
            <w:vAlign w:val="bottom"/>
            <w:shd w:val="clear" w:color="auto" w:fill="E9F0F3"/>
          </w:tcPr>
          <w:p>
            <w:pPr>
              <w:spacing w:after="0"/>
              <w:rPr>
                <w:sz w:val="7"/>
                <w:szCs w:val="7"/>
                <w:color w:val="auto"/>
              </w:rPr>
            </w:pPr>
          </w:p>
        </w:tc>
        <w:tc>
          <w:tcPr>
            <w:tcW w:w="7720" w:type="dxa"/>
            <w:vAlign w:val="bottom"/>
            <w:shd w:val="clear" w:color="auto" w:fill="E9F0F3"/>
          </w:tcPr>
          <w:p>
            <w:pPr>
              <w:spacing w:after="0"/>
              <w:rPr>
                <w:sz w:val="7"/>
                <w:szCs w:val="7"/>
                <w:color w:val="auto"/>
              </w:rPr>
            </w:pPr>
          </w:p>
        </w:tc>
      </w:tr>
      <w:tr>
        <w:trPr>
          <w:trHeight w:val="223"/>
        </w:trPr>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Change In Control</w:t>
            </w:r>
          </w:p>
        </w:tc>
        <w:tc>
          <w:tcPr>
            <w:tcW w:w="7720" w:type="dxa"/>
            <w:vAlign w:val="bottom"/>
          </w:tcPr>
          <w:p>
            <w:pPr>
              <w:ind w:left="240"/>
              <w:spacing w:after="0"/>
              <w:rPr>
                <w:sz w:val="20"/>
                <w:szCs w:val="20"/>
                <w:color w:val="auto"/>
              </w:rPr>
            </w:pPr>
            <w:r>
              <w:rPr>
                <w:rFonts w:ascii="Arial" w:cs="Arial" w:eastAsia="Arial" w:hAnsi="Arial"/>
                <w:sz w:val="14"/>
                <w:szCs w:val="14"/>
                <w:color w:val="auto"/>
              </w:rPr>
              <w:t>Awards assumed by the acquirer upon a change in control will be deemed to have satisfied the performance level</w:t>
            </w:r>
          </w:p>
        </w:tc>
      </w:tr>
      <w:tr>
        <w:trPr>
          <w:trHeight w:val="165"/>
        </w:trPr>
        <w:tc>
          <w:tcPr>
            <w:tcW w:w="3220" w:type="dxa"/>
            <w:vAlign w:val="bottom"/>
          </w:tcPr>
          <w:p>
            <w:pPr>
              <w:spacing w:after="0"/>
              <w:rPr>
                <w:sz w:val="14"/>
                <w:szCs w:val="14"/>
                <w:color w:val="auto"/>
              </w:rPr>
            </w:pPr>
          </w:p>
        </w:tc>
        <w:tc>
          <w:tcPr>
            <w:tcW w:w="7720" w:type="dxa"/>
            <w:vAlign w:val="bottom"/>
          </w:tcPr>
          <w:p>
            <w:pPr>
              <w:ind w:left="240"/>
              <w:spacing w:after="0"/>
              <w:rPr>
                <w:sz w:val="20"/>
                <w:szCs w:val="20"/>
                <w:color w:val="auto"/>
              </w:rPr>
            </w:pPr>
            <w:r>
              <w:rPr>
                <w:rFonts w:ascii="Arial" w:cs="Arial" w:eastAsia="Arial" w:hAnsi="Arial"/>
                <w:sz w:val="14"/>
                <w:szCs w:val="14"/>
                <w:color w:val="auto"/>
              </w:rPr>
              <w:t>achieved as of the date of the change in control (if calculable at the time of the change in control) or target</w:t>
            </w:r>
          </w:p>
        </w:tc>
      </w:tr>
      <w:tr>
        <w:trPr>
          <w:trHeight w:val="165"/>
        </w:trPr>
        <w:tc>
          <w:tcPr>
            <w:tcW w:w="3220" w:type="dxa"/>
            <w:vAlign w:val="bottom"/>
          </w:tcPr>
          <w:p>
            <w:pPr>
              <w:spacing w:after="0"/>
              <w:rPr>
                <w:sz w:val="14"/>
                <w:szCs w:val="14"/>
                <w:color w:val="auto"/>
              </w:rPr>
            </w:pPr>
          </w:p>
        </w:tc>
        <w:tc>
          <w:tcPr>
            <w:tcW w:w="7720" w:type="dxa"/>
            <w:vAlign w:val="bottom"/>
          </w:tcPr>
          <w:p>
            <w:pPr>
              <w:ind w:left="240"/>
              <w:spacing w:after="0"/>
              <w:rPr>
                <w:sz w:val="20"/>
                <w:szCs w:val="20"/>
                <w:color w:val="auto"/>
              </w:rPr>
            </w:pPr>
            <w:r>
              <w:rPr>
                <w:rFonts w:ascii="Arial" w:cs="Arial" w:eastAsia="Arial" w:hAnsi="Arial"/>
                <w:sz w:val="14"/>
                <w:szCs w:val="14"/>
                <w:color w:val="auto"/>
              </w:rPr>
              <w:t>performance (if performance is not calculable or less than half the performance cycle has elapsed). The awards then</w:t>
            </w:r>
          </w:p>
        </w:tc>
      </w:tr>
      <w:tr>
        <w:trPr>
          <w:trHeight w:val="165"/>
        </w:trPr>
        <w:tc>
          <w:tcPr>
            <w:tcW w:w="3220" w:type="dxa"/>
            <w:vAlign w:val="bottom"/>
          </w:tcPr>
          <w:p>
            <w:pPr>
              <w:spacing w:after="0"/>
              <w:rPr>
                <w:sz w:val="14"/>
                <w:szCs w:val="14"/>
                <w:color w:val="auto"/>
              </w:rPr>
            </w:pPr>
          </w:p>
        </w:tc>
        <w:tc>
          <w:tcPr>
            <w:tcW w:w="7720" w:type="dxa"/>
            <w:vAlign w:val="bottom"/>
          </w:tcPr>
          <w:p>
            <w:pPr>
              <w:ind w:left="240"/>
              <w:spacing w:after="0"/>
              <w:rPr>
                <w:sz w:val="20"/>
                <w:szCs w:val="20"/>
                <w:color w:val="auto"/>
              </w:rPr>
            </w:pPr>
            <w:r>
              <w:rPr>
                <w:rFonts w:ascii="Arial" w:cs="Arial" w:eastAsia="Arial" w:hAnsi="Arial"/>
                <w:sz w:val="14"/>
                <w:szCs w:val="14"/>
                <w:color w:val="auto"/>
              </w:rPr>
              <w:t>will be deemed to be time-based and will vest upon the earlier of the participant’s termination of employment (other</w:t>
            </w:r>
          </w:p>
        </w:tc>
      </w:tr>
      <w:tr>
        <w:trPr>
          <w:trHeight w:val="165"/>
        </w:trPr>
        <w:tc>
          <w:tcPr>
            <w:tcW w:w="3220" w:type="dxa"/>
            <w:vAlign w:val="bottom"/>
          </w:tcPr>
          <w:p>
            <w:pPr>
              <w:spacing w:after="0"/>
              <w:rPr>
                <w:sz w:val="14"/>
                <w:szCs w:val="14"/>
                <w:color w:val="auto"/>
              </w:rPr>
            </w:pPr>
          </w:p>
        </w:tc>
        <w:tc>
          <w:tcPr>
            <w:tcW w:w="7720" w:type="dxa"/>
            <w:vAlign w:val="bottom"/>
          </w:tcPr>
          <w:p>
            <w:pPr>
              <w:ind w:left="240"/>
              <w:spacing w:after="0"/>
              <w:rPr>
                <w:sz w:val="20"/>
                <w:szCs w:val="20"/>
                <w:color w:val="auto"/>
              </w:rPr>
            </w:pPr>
            <w:r>
              <w:rPr>
                <w:rFonts w:ascii="Arial" w:cs="Arial" w:eastAsia="Arial" w:hAnsi="Arial"/>
                <w:sz w:val="14"/>
                <w:szCs w:val="14"/>
                <w:color w:val="auto"/>
              </w:rPr>
              <w:t>than for “cause” or without “good reason,” as and if such terms are defined in the participant’s employment agreement,</w:t>
            </w:r>
          </w:p>
        </w:tc>
      </w:tr>
      <w:tr>
        <w:trPr>
          <w:trHeight w:val="165"/>
        </w:trPr>
        <w:tc>
          <w:tcPr>
            <w:tcW w:w="3220" w:type="dxa"/>
            <w:vAlign w:val="bottom"/>
          </w:tcPr>
          <w:p>
            <w:pPr>
              <w:spacing w:after="0"/>
              <w:rPr>
                <w:sz w:val="14"/>
                <w:szCs w:val="14"/>
                <w:color w:val="auto"/>
              </w:rPr>
            </w:pPr>
          </w:p>
        </w:tc>
        <w:tc>
          <w:tcPr>
            <w:tcW w:w="7720" w:type="dxa"/>
            <w:vAlign w:val="bottom"/>
          </w:tcPr>
          <w:p>
            <w:pPr>
              <w:ind w:left="240"/>
              <w:spacing w:after="0"/>
              <w:rPr>
                <w:sz w:val="20"/>
                <w:szCs w:val="20"/>
                <w:color w:val="auto"/>
              </w:rPr>
            </w:pPr>
            <w:r>
              <w:rPr>
                <w:rFonts w:ascii="Arial" w:cs="Arial" w:eastAsia="Arial" w:hAnsi="Arial"/>
                <w:sz w:val="14"/>
                <w:szCs w:val="14"/>
                <w:color w:val="auto"/>
              </w:rPr>
              <w:t>if any) during the two-year period following the change in control or the scheduled end of the performance cycle (</w:t>
            </w:r>
            <w:r>
              <w:rPr>
                <w:rFonts w:ascii="Arial" w:cs="Arial" w:eastAsia="Arial" w:hAnsi="Arial"/>
                <w:sz w:val="14"/>
                <w:szCs w:val="14"/>
                <w:i w:val="1"/>
                <w:iCs w:val="1"/>
                <w:color w:val="auto"/>
              </w:rPr>
              <w:t>i.e.</w:t>
            </w:r>
            <w:r>
              <w:rPr>
                <w:rFonts w:ascii="Arial" w:cs="Arial" w:eastAsia="Arial" w:hAnsi="Arial"/>
                <w:sz w:val="14"/>
                <w:szCs w:val="14"/>
                <w:color w:val="auto"/>
              </w:rPr>
              <w:t>,</w:t>
            </w:r>
          </w:p>
        </w:tc>
      </w:tr>
      <w:tr>
        <w:trPr>
          <w:trHeight w:val="186"/>
        </w:trPr>
        <w:tc>
          <w:tcPr>
            <w:tcW w:w="3220" w:type="dxa"/>
            <w:vAlign w:val="bottom"/>
          </w:tcPr>
          <w:p>
            <w:pPr>
              <w:spacing w:after="0"/>
              <w:rPr>
                <w:sz w:val="16"/>
                <w:szCs w:val="16"/>
                <w:color w:val="auto"/>
              </w:rPr>
            </w:pPr>
          </w:p>
        </w:tc>
        <w:tc>
          <w:tcPr>
            <w:tcW w:w="7720" w:type="dxa"/>
            <w:vAlign w:val="bottom"/>
          </w:tcPr>
          <w:p>
            <w:pPr>
              <w:ind w:left="240"/>
              <w:spacing w:after="0"/>
              <w:rPr>
                <w:sz w:val="20"/>
                <w:szCs w:val="20"/>
                <w:color w:val="auto"/>
              </w:rPr>
            </w:pPr>
            <w:r>
              <w:rPr>
                <w:rFonts w:ascii="Arial" w:cs="Arial" w:eastAsia="Arial" w:hAnsi="Arial"/>
                <w:sz w:val="14"/>
                <w:szCs w:val="14"/>
                <w:color w:val="auto"/>
              </w:rPr>
              <w:t>double trigger).</w:t>
            </w:r>
          </w:p>
        </w:tc>
      </w:tr>
      <w:tr>
        <w:trPr>
          <w:trHeight w:val="309"/>
        </w:trPr>
        <w:tc>
          <w:tcPr>
            <w:tcW w:w="3220" w:type="dxa"/>
            <w:vAlign w:val="bottom"/>
          </w:tcPr>
          <w:p>
            <w:pPr>
              <w:spacing w:after="0"/>
              <w:rPr>
                <w:sz w:val="24"/>
                <w:szCs w:val="24"/>
                <w:color w:val="auto"/>
              </w:rPr>
            </w:pPr>
          </w:p>
        </w:tc>
        <w:tc>
          <w:tcPr>
            <w:tcW w:w="7720" w:type="dxa"/>
            <w:vAlign w:val="bottom"/>
          </w:tcPr>
          <w:p>
            <w:pPr>
              <w:ind w:left="240"/>
              <w:spacing w:after="0"/>
              <w:rPr>
                <w:sz w:val="20"/>
                <w:szCs w:val="20"/>
                <w:color w:val="auto"/>
              </w:rPr>
            </w:pPr>
            <w:r>
              <w:rPr>
                <w:rFonts w:ascii="Arial" w:cs="Arial" w:eastAsia="Arial" w:hAnsi="Arial"/>
                <w:sz w:val="14"/>
                <w:szCs w:val="14"/>
                <w:color w:val="auto"/>
              </w:rPr>
              <w:t>Awards not assumed by the acquirer upon a change in control will be deemed to have satisfied the performance level</w:t>
            </w:r>
          </w:p>
        </w:tc>
      </w:tr>
      <w:tr>
        <w:trPr>
          <w:trHeight w:val="165"/>
        </w:trPr>
        <w:tc>
          <w:tcPr>
            <w:tcW w:w="3220" w:type="dxa"/>
            <w:vAlign w:val="bottom"/>
          </w:tcPr>
          <w:p>
            <w:pPr>
              <w:spacing w:after="0"/>
              <w:rPr>
                <w:sz w:val="14"/>
                <w:szCs w:val="14"/>
                <w:color w:val="auto"/>
              </w:rPr>
            </w:pPr>
          </w:p>
        </w:tc>
        <w:tc>
          <w:tcPr>
            <w:tcW w:w="7720" w:type="dxa"/>
            <w:vAlign w:val="bottom"/>
          </w:tcPr>
          <w:p>
            <w:pPr>
              <w:ind w:left="240"/>
              <w:spacing w:after="0"/>
              <w:rPr>
                <w:sz w:val="20"/>
                <w:szCs w:val="20"/>
                <w:color w:val="auto"/>
              </w:rPr>
            </w:pPr>
            <w:r>
              <w:rPr>
                <w:rFonts w:ascii="Arial" w:cs="Arial" w:eastAsia="Arial" w:hAnsi="Arial"/>
                <w:sz w:val="14"/>
                <w:szCs w:val="14"/>
                <w:color w:val="auto"/>
              </w:rPr>
              <w:t>achieved as of the date of the change in control (if calculable at the time of the change in control) or target</w:t>
            </w:r>
          </w:p>
        </w:tc>
      </w:tr>
      <w:tr>
        <w:trPr>
          <w:trHeight w:val="165"/>
        </w:trPr>
        <w:tc>
          <w:tcPr>
            <w:tcW w:w="3220" w:type="dxa"/>
            <w:vAlign w:val="bottom"/>
          </w:tcPr>
          <w:p>
            <w:pPr>
              <w:spacing w:after="0"/>
              <w:rPr>
                <w:sz w:val="14"/>
                <w:szCs w:val="14"/>
                <w:color w:val="auto"/>
              </w:rPr>
            </w:pPr>
          </w:p>
        </w:tc>
        <w:tc>
          <w:tcPr>
            <w:tcW w:w="7720" w:type="dxa"/>
            <w:vAlign w:val="bottom"/>
          </w:tcPr>
          <w:p>
            <w:pPr>
              <w:ind w:left="240"/>
              <w:spacing w:after="0"/>
              <w:rPr>
                <w:sz w:val="20"/>
                <w:szCs w:val="20"/>
                <w:color w:val="auto"/>
              </w:rPr>
            </w:pPr>
            <w:r>
              <w:rPr>
                <w:rFonts w:ascii="Arial" w:cs="Arial" w:eastAsia="Arial" w:hAnsi="Arial"/>
                <w:sz w:val="14"/>
                <w:szCs w:val="14"/>
                <w:color w:val="auto"/>
              </w:rPr>
              <w:t>performance (if performance is not calculable or less than half the performance cycle has elapsed), and the participant</w:t>
            </w:r>
          </w:p>
        </w:tc>
      </w:tr>
      <w:tr>
        <w:trPr>
          <w:trHeight w:val="186"/>
        </w:trPr>
        <w:tc>
          <w:tcPr>
            <w:tcW w:w="3220" w:type="dxa"/>
            <w:vAlign w:val="bottom"/>
          </w:tcPr>
          <w:p>
            <w:pPr>
              <w:spacing w:after="0"/>
              <w:rPr>
                <w:sz w:val="16"/>
                <w:szCs w:val="16"/>
                <w:color w:val="auto"/>
              </w:rPr>
            </w:pPr>
          </w:p>
        </w:tc>
        <w:tc>
          <w:tcPr>
            <w:tcW w:w="7720" w:type="dxa"/>
            <w:vAlign w:val="bottom"/>
          </w:tcPr>
          <w:p>
            <w:pPr>
              <w:ind w:left="240"/>
              <w:spacing w:after="0"/>
              <w:rPr>
                <w:sz w:val="20"/>
                <w:szCs w:val="20"/>
                <w:color w:val="auto"/>
              </w:rPr>
            </w:pPr>
            <w:r>
              <w:rPr>
                <w:rFonts w:ascii="Arial" w:cs="Arial" w:eastAsia="Arial" w:hAnsi="Arial"/>
                <w:sz w:val="14"/>
                <w:szCs w:val="14"/>
                <w:color w:val="auto"/>
              </w:rPr>
              <w:t>will receive a prorated payout of the award to reflect the portion of the performance cycle worked by the participant.</w:t>
            </w:r>
          </w:p>
        </w:tc>
      </w:tr>
      <w:tr>
        <w:trPr>
          <w:trHeight w:val="86"/>
        </w:trPr>
        <w:tc>
          <w:tcPr>
            <w:tcW w:w="3220" w:type="dxa"/>
            <w:vAlign w:val="bottom"/>
          </w:tcPr>
          <w:p>
            <w:pPr>
              <w:spacing w:after="0"/>
              <w:rPr>
                <w:sz w:val="7"/>
                <w:szCs w:val="7"/>
                <w:color w:val="auto"/>
              </w:rPr>
            </w:pPr>
          </w:p>
        </w:tc>
        <w:tc>
          <w:tcPr>
            <w:tcW w:w="7720" w:type="dxa"/>
            <w:vAlign w:val="bottom"/>
          </w:tcPr>
          <w:p>
            <w:pPr>
              <w:spacing w:after="0"/>
              <w:rPr>
                <w:sz w:val="7"/>
                <w:szCs w:val="7"/>
                <w:color w:val="auto"/>
              </w:rPr>
            </w:pPr>
          </w:p>
        </w:tc>
      </w:tr>
      <w:tr>
        <w:trPr>
          <w:trHeight w:val="223"/>
        </w:trPr>
        <w:tc>
          <w:tcPr>
            <w:tcW w:w="322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Disability</w:t>
            </w:r>
          </w:p>
        </w:tc>
        <w:tc>
          <w:tcPr>
            <w:tcW w:w="7720" w:type="dxa"/>
            <w:vAlign w:val="bottom"/>
            <w:shd w:val="clear" w:color="auto" w:fill="E9F0F3"/>
          </w:tcPr>
          <w:p>
            <w:pPr>
              <w:ind w:left="240"/>
              <w:spacing w:after="0"/>
              <w:rPr>
                <w:sz w:val="20"/>
                <w:szCs w:val="20"/>
                <w:color w:val="auto"/>
              </w:rPr>
            </w:pPr>
            <w:r>
              <w:rPr>
                <w:rFonts w:ascii="Arial" w:cs="Arial" w:eastAsia="Arial" w:hAnsi="Arial"/>
                <w:sz w:val="14"/>
                <w:szCs w:val="14"/>
                <w:color w:val="auto"/>
              </w:rPr>
              <w:t>The participant will receive the payout, if any, that would have been payable for the performance cycle, prorated to</w:t>
            </w:r>
          </w:p>
        </w:tc>
      </w:tr>
      <w:tr>
        <w:trPr>
          <w:trHeight w:val="186"/>
        </w:trPr>
        <w:tc>
          <w:tcPr>
            <w:tcW w:w="3220" w:type="dxa"/>
            <w:vAlign w:val="bottom"/>
            <w:shd w:val="clear" w:color="auto" w:fill="E9F0F3"/>
          </w:tcPr>
          <w:p>
            <w:pPr>
              <w:spacing w:after="0"/>
              <w:rPr>
                <w:sz w:val="16"/>
                <w:szCs w:val="16"/>
                <w:color w:val="auto"/>
              </w:rPr>
            </w:pPr>
          </w:p>
        </w:tc>
        <w:tc>
          <w:tcPr>
            <w:tcW w:w="7720" w:type="dxa"/>
            <w:vAlign w:val="bottom"/>
            <w:shd w:val="clear" w:color="auto" w:fill="E9F0F3"/>
          </w:tcPr>
          <w:p>
            <w:pPr>
              <w:ind w:left="240"/>
              <w:spacing w:after="0"/>
              <w:rPr>
                <w:sz w:val="20"/>
                <w:szCs w:val="20"/>
                <w:color w:val="auto"/>
              </w:rPr>
            </w:pPr>
            <w:r>
              <w:rPr>
                <w:rFonts w:ascii="Arial" w:cs="Arial" w:eastAsia="Arial" w:hAnsi="Arial"/>
                <w:sz w:val="14"/>
                <w:szCs w:val="14"/>
                <w:color w:val="auto"/>
              </w:rPr>
              <w:t>reflect the portion of the performance cycle worked by the participant.</w:t>
            </w:r>
          </w:p>
        </w:tc>
      </w:tr>
      <w:tr>
        <w:trPr>
          <w:trHeight w:val="86"/>
        </w:trPr>
        <w:tc>
          <w:tcPr>
            <w:tcW w:w="3220" w:type="dxa"/>
            <w:vAlign w:val="bottom"/>
            <w:shd w:val="clear" w:color="auto" w:fill="E9F0F3"/>
          </w:tcPr>
          <w:p>
            <w:pPr>
              <w:spacing w:after="0"/>
              <w:rPr>
                <w:sz w:val="7"/>
                <w:szCs w:val="7"/>
                <w:color w:val="auto"/>
              </w:rPr>
            </w:pPr>
          </w:p>
        </w:tc>
        <w:tc>
          <w:tcPr>
            <w:tcW w:w="7720" w:type="dxa"/>
            <w:vAlign w:val="bottom"/>
            <w:shd w:val="clear" w:color="auto" w:fill="E9F0F3"/>
          </w:tcPr>
          <w:p>
            <w:pPr>
              <w:spacing w:after="0"/>
              <w:rPr>
                <w:sz w:val="7"/>
                <w:szCs w:val="7"/>
                <w:color w:val="auto"/>
              </w:rPr>
            </w:pPr>
          </w:p>
        </w:tc>
      </w:tr>
      <w:tr>
        <w:trPr>
          <w:trHeight w:val="223"/>
        </w:trPr>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Retirement</w:t>
            </w:r>
          </w:p>
        </w:tc>
        <w:tc>
          <w:tcPr>
            <w:tcW w:w="7720" w:type="dxa"/>
            <w:vAlign w:val="bottom"/>
          </w:tcPr>
          <w:p>
            <w:pPr>
              <w:ind w:left="240"/>
              <w:spacing w:after="0"/>
              <w:rPr>
                <w:sz w:val="20"/>
                <w:szCs w:val="20"/>
                <w:color w:val="auto"/>
              </w:rPr>
            </w:pPr>
            <w:r>
              <w:rPr>
                <w:rFonts w:ascii="Arial" w:cs="Arial" w:eastAsia="Arial" w:hAnsi="Arial"/>
                <w:sz w:val="14"/>
                <w:szCs w:val="14"/>
                <w:color w:val="auto"/>
              </w:rPr>
              <w:t>The participant will receive the full payout, if any, that would have been payable for the performance cycle if the</w:t>
            </w:r>
          </w:p>
        </w:tc>
      </w:tr>
      <w:tr>
        <w:trPr>
          <w:trHeight w:val="165"/>
        </w:trPr>
        <w:tc>
          <w:tcPr>
            <w:tcW w:w="3220" w:type="dxa"/>
            <w:vAlign w:val="bottom"/>
          </w:tcPr>
          <w:p>
            <w:pPr>
              <w:spacing w:after="0"/>
              <w:rPr>
                <w:sz w:val="14"/>
                <w:szCs w:val="14"/>
                <w:color w:val="auto"/>
              </w:rPr>
            </w:pPr>
          </w:p>
        </w:tc>
        <w:tc>
          <w:tcPr>
            <w:tcW w:w="7720" w:type="dxa"/>
            <w:vAlign w:val="bottom"/>
          </w:tcPr>
          <w:p>
            <w:pPr>
              <w:ind w:left="240"/>
              <w:spacing w:after="0"/>
              <w:rPr>
                <w:sz w:val="20"/>
                <w:szCs w:val="20"/>
                <w:color w:val="auto"/>
              </w:rPr>
            </w:pPr>
            <w:r>
              <w:rPr>
                <w:rFonts w:ascii="Arial" w:cs="Arial" w:eastAsia="Arial" w:hAnsi="Arial"/>
                <w:sz w:val="14"/>
                <w:szCs w:val="14"/>
                <w:color w:val="auto"/>
              </w:rPr>
              <w:t>participant retires on or after the first anniversary of the grant date. A participant who retires before the first anniversary</w:t>
            </w:r>
          </w:p>
        </w:tc>
      </w:tr>
      <w:tr>
        <w:trPr>
          <w:trHeight w:val="186"/>
        </w:trPr>
        <w:tc>
          <w:tcPr>
            <w:tcW w:w="3220" w:type="dxa"/>
            <w:vAlign w:val="bottom"/>
          </w:tcPr>
          <w:p>
            <w:pPr>
              <w:spacing w:after="0"/>
              <w:rPr>
                <w:sz w:val="16"/>
                <w:szCs w:val="16"/>
                <w:color w:val="auto"/>
              </w:rPr>
            </w:pPr>
          </w:p>
        </w:tc>
        <w:tc>
          <w:tcPr>
            <w:tcW w:w="7720" w:type="dxa"/>
            <w:vAlign w:val="bottom"/>
          </w:tcPr>
          <w:p>
            <w:pPr>
              <w:ind w:left="240"/>
              <w:spacing w:after="0"/>
              <w:rPr>
                <w:sz w:val="20"/>
                <w:szCs w:val="20"/>
                <w:color w:val="auto"/>
              </w:rPr>
            </w:pPr>
            <w:r>
              <w:rPr>
                <w:rFonts w:ascii="Arial" w:cs="Arial" w:eastAsia="Arial" w:hAnsi="Arial"/>
                <w:sz w:val="14"/>
                <w:szCs w:val="14"/>
                <w:color w:val="auto"/>
              </w:rPr>
              <w:t>of the grant date will not receive a payout.</w:t>
            </w:r>
          </w:p>
        </w:tc>
      </w:tr>
      <w:tr>
        <w:trPr>
          <w:trHeight w:val="86"/>
        </w:trPr>
        <w:tc>
          <w:tcPr>
            <w:tcW w:w="3220" w:type="dxa"/>
            <w:vAlign w:val="bottom"/>
          </w:tcPr>
          <w:p>
            <w:pPr>
              <w:spacing w:after="0"/>
              <w:rPr>
                <w:sz w:val="7"/>
                <w:szCs w:val="7"/>
                <w:color w:val="auto"/>
              </w:rPr>
            </w:pPr>
          </w:p>
        </w:tc>
        <w:tc>
          <w:tcPr>
            <w:tcW w:w="7720" w:type="dxa"/>
            <w:vAlign w:val="bottom"/>
          </w:tcPr>
          <w:p>
            <w:pPr>
              <w:spacing w:after="0"/>
              <w:rPr>
                <w:sz w:val="7"/>
                <w:szCs w:val="7"/>
                <w:color w:val="auto"/>
              </w:rPr>
            </w:pPr>
          </w:p>
        </w:tc>
      </w:tr>
      <w:tr>
        <w:trPr>
          <w:trHeight w:val="223"/>
        </w:trPr>
        <w:tc>
          <w:tcPr>
            <w:tcW w:w="322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Termination Without Cause/Termination For</w:t>
            </w:r>
          </w:p>
        </w:tc>
        <w:tc>
          <w:tcPr>
            <w:tcW w:w="7720" w:type="dxa"/>
            <w:vAlign w:val="bottom"/>
            <w:shd w:val="clear" w:color="auto" w:fill="E9F0F3"/>
          </w:tcPr>
          <w:p>
            <w:pPr>
              <w:ind w:left="240"/>
              <w:spacing w:after="0"/>
              <w:rPr>
                <w:sz w:val="20"/>
                <w:szCs w:val="20"/>
                <w:color w:val="auto"/>
              </w:rPr>
            </w:pPr>
            <w:r>
              <w:rPr>
                <w:rFonts w:ascii="Arial" w:cs="Arial" w:eastAsia="Arial" w:hAnsi="Arial"/>
                <w:sz w:val="14"/>
                <w:szCs w:val="14"/>
                <w:color w:val="auto"/>
              </w:rPr>
              <w:t>The participant will receive the payout, if any, that would have been payable for the performance cycle, prorated to</w:t>
            </w:r>
          </w:p>
        </w:tc>
      </w:tr>
      <w:tr>
        <w:trPr>
          <w:trHeight w:val="165"/>
        </w:trPr>
        <w:tc>
          <w:tcPr>
            <w:tcW w:w="3220" w:type="dxa"/>
            <w:vAlign w:val="bottom"/>
            <w:shd w:val="clear" w:color="auto" w:fill="E9F0F3"/>
          </w:tcPr>
          <w:p>
            <w:pPr>
              <w:ind w:left="60"/>
              <w:spacing w:after="0" w:line="165" w:lineRule="exact"/>
              <w:rPr>
                <w:sz w:val="20"/>
                <w:szCs w:val="20"/>
                <w:color w:val="auto"/>
              </w:rPr>
            </w:pPr>
            <w:r>
              <w:rPr>
                <w:rFonts w:ascii="Arial" w:cs="Arial" w:eastAsia="Arial" w:hAnsi="Arial"/>
                <w:sz w:val="14"/>
                <w:szCs w:val="14"/>
                <w:b w:val="1"/>
                <w:bCs w:val="1"/>
                <w:color w:val="auto"/>
              </w:rPr>
              <w:t>“Good Reason”</w:t>
            </w:r>
            <w:r>
              <w:rPr>
                <w:rFonts w:ascii="Arial" w:cs="Arial" w:eastAsia="Arial" w:hAnsi="Arial"/>
                <w:sz w:val="16"/>
                <w:szCs w:val="16"/>
                <w:b w:val="1"/>
                <w:bCs w:val="1"/>
                <w:color w:val="auto"/>
                <w:vertAlign w:val="superscript"/>
              </w:rPr>
              <w:t>1</w:t>
            </w:r>
          </w:p>
        </w:tc>
        <w:tc>
          <w:tcPr>
            <w:tcW w:w="7720" w:type="dxa"/>
            <w:vAlign w:val="bottom"/>
            <w:shd w:val="clear" w:color="auto" w:fill="E9F0F3"/>
          </w:tcPr>
          <w:p>
            <w:pPr>
              <w:ind w:left="240"/>
              <w:spacing w:after="0"/>
              <w:rPr>
                <w:sz w:val="20"/>
                <w:szCs w:val="20"/>
                <w:color w:val="auto"/>
              </w:rPr>
            </w:pPr>
            <w:r>
              <w:rPr>
                <w:rFonts w:ascii="Arial" w:cs="Arial" w:eastAsia="Arial" w:hAnsi="Arial"/>
                <w:sz w:val="14"/>
                <w:szCs w:val="14"/>
                <w:color w:val="auto"/>
              </w:rPr>
              <w:t>reflect the portion of the performance cycle worked by the participant, if the participant’s employment terminated on or</w:t>
            </w:r>
          </w:p>
        </w:tc>
      </w:tr>
      <w:tr>
        <w:trPr>
          <w:trHeight w:val="165"/>
        </w:trPr>
        <w:tc>
          <w:tcPr>
            <w:tcW w:w="3220" w:type="dxa"/>
            <w:vAlign w:val="bottom"/>
            <w:shd w:val="clear" w:color="auto" w:fill="E9F0F3"/>
          </w:tcPr>
          <w:p>
            <w:pPr>
              <w:spacing w:after="0"/>
              <w:rPr>
                <w:sz w:val="14"/>
                <w:szCs w:val="14"/>
                <w:color w:val="auto"/>
              </w:rPr>
            </w:pPr>
          </w:p>
        </w:tc>
        <w:tc>
          <w:tcPr>
            <w:tcW w:w="7720" w:type="dxa"/>
            <w:vAlign w:val="bottom"/>
            <w:shd w:val="clear" w:color="auto" w:fill="E9F0F3"/>
          </w:tcPr>
          <w:p>
            <w:pPr>
              <w:ind w:left="240"/>
              <w:spacing w:after="0"/>
              <w:rPr>
                <w:sz w:val="20"/>
                <w:szCs w:val="20"/>
                <w:color w:val="auto"/>
              </w:rPr>
            </w:pPr>
            <w:r>
              <w:rPr>
                <w:rFonts w:ascii="Arial" w:cs="Arial" w:eastAsia="Arial" w:hAnsi="Arial"/>
                <w:sz w:val="14"/>
                <w:szCs w:val="14"/>
                <w:color w:val="auto"/>
              </w:rPr>
              <w:t>after the first anniversary of the grant date. A participant whose employment is terminated before the first anniversary</w:t>
            </w:r>
          </w:p>
        </w:tc>
      </w:tr>
      <w:tr>
        <w:trPr>
          <w:trHeight w:val="186"/>
        </w:trPr>
        <w:tc>
          <w:tcPr>
            <w:tcW w:w="3220" w:type="dxa"/>
            <w:vAlign w:val="bottom"/>
            <w:shd w:val="clear" w:color="auto" w:fill="E9F0F3"/>
          </w:tcPr>
          <w:p>
            <w:pPr>
              <w:spacing w:after="0"/>
              <w:rPr>
                <w:sz w:val="16"/>
                <w:szCs w:val="16"/>
                <w:color w:val="auto"/>
              </w:rPr>
            </w:pPr>
          </w:p>
        </w:tc>
        <w:tc>
          <w:tcPr>
            <w:tcW w:w="7720" w:type="dxa"/>
            <w:vAlign w:val="bottom"/>
            <w:shd w:val="clear" w:color="auto" w:fill="E9F0F3"/>
          </w:tcPr>
          <w:p>
            <w:pPr>
              <w:ind w:left="240"/>
              <w:spacing w:after="0"/>
              <w:rPr>
                <w:sz w:val="20"/>
                <w:szCs w:val="20"/>
                <w:color w:val="auto"/>
              </w:rPr>
            </w:pPr>
            <w:r>
              <w:rPr>
                <w:rFonts w:ascii="Arial" w:cs="Arial" w:eastAsia="Arial" w:hAnsi="Arial"/>
                <w:sz w:val="14"/>
                <w:szCs w:val="14"/>
                <w:color w:val="auto"/>
              </w:rPr>
              <w:t>of the grant date will not receive a payout.</w:t>
            </w:r>
          </w:p>
        </w:tc>
      </w:tr>
      <w:tr>
        <w:trPr>
          <w:trHeight w:val="86"/>
        </w:trPr>
        <w:tc>
          <w:tcPr>
            <w:tcW w:w="3220" w:type="dxa"/>
            <w:vAlign w:val="bottom"/>
            <w:shd w:val="clear" w:color="auto" w:fill="E9F0F3"/>
          </w:tcPr>
          <w:p>
            <w:pPr>
              <w:spacing w:after="0"/>
              <w:rPr>
                <w:sz w:val="7"/>
                <w:szCs w:val="7"/>
                <w:color w:val="auto"/>
              </w:rPr>
            </w:pPr>
          </w:p>
        </w:tc>
        <w:tc>
          <w:tcPr>
            <w:tcW w:w="7720" w:type="dxa"/>
            <w:vAlign w:val="bottom"/>
            <w:shd w:val="clear" w:color="auto" w:fill="E9F0F3"/>
          </w:tcPr>
          <w:p>
            <w:pPr>
              <w:spacing w:after="0"/>
              <w:rPr>
                <w:sz w:val="7"/>
                <w:szCs w:val="7"/>
                <w:color w:val="auto"/>
              </w:rPr>
            </w:pPr>
          </w:p>
        </w:tc>
      </w:tr>
    </w:tbl>
    <w:p>
      <w:pPr>
        <w:spacing w:after="0" w:line="39" w:lineRule="exact"/>
        <w:rPr>
          <w:sz w:val="20"/>
          <w:szCs w:val="20"/>
          <w:color w:val="auto"/>
        </w:rPr>
      </w:pPr>
    </w:p>
    <w:p>
      <w:pPr>
        <w:ind w:left="160" w:right="140" w:hanging="149"/>
        <w:spacing w:after="0" w:line="252" w:lineRule="auto"/>
        <w:tabs>
          <w:tab w:leader="none" w:pos="167" w:val="left"/>
        </w:tabs>
        <w:numPr>
          <w:ilvl w:val="0"/>
          <w:numId w:val="116"/>
        </w:numPr>
        <w:rPr>
          <w:rFonts w:ascii="Arial" w:cs="Arial" w:eastAsia="Arial" w:hAnsi="Arial"/>
          <w:sz w:val="13"/>
          <w:szCs w:val="13"/>
          <w:color w:val="auto"/>
        </w:rPr>
      </w:pPr>
      <w:r>
        <w:rPr>
          <w:rFonts w:ascii="Arial" w:cs="Arial" w:eastAsia="Arial" w:hAnsi="Arial"/>
          <w:sz w:val="13"/>
          <w:szCs w:val="13"/>
          <w:color w:val="auto"/>
        </w:rPr>
        <w:t>“Good reason” is as defined in a participant’s employment agreement (if any). “Cause” is defined in the Performance Incentive Bonus Plan unless a participant’s employment agreement (if any) provides it controls.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all other cases, a participant must be employed by us on the last day of the performance cycle to remain eligible to receive an award.</w:t>
      </w:r>
    </w:p>
    <w:p>
      <w:pPr>
        <w:spacing w:after="0" w:line="110" w:lineRule="exact"/>
        <w:rPr>
          <w:sz w:val="20"/>
          <w:szCs w:val="20"/>
          <w:color w:val="auto"/>
        </w:rPr>
      </w:pPr>
    </w:p>
    <w:p>
      <w:pPr>
        <w:ind w:left="20" w:right="220"/>
        <w:spacing w:after="0" w:line="282" w:lineRule="auto"/>
        <w:rPr>
          <w:sz w:val="20"/>
          <w:szCs w:val="20"/>
          <w:color w:val="auto"/>
        </w:rPr>
      </w:pPr>
      <w:r>
        <w:rPr>
          <w:rFonts w:ascii="Arial" w:cs="Arial" w:eastAsia="Arial" w:hAnsi="Arial"/>
          <w:sz w:val="14"/>
          <w:szCs w:val="14"/>
          <w:color w:val="auto"/>
        </w:rPr>
        <w:t>Payouts in the event of death or a change in control will be paid within 30 days of the triggering event unless doing so would prompt the imposition of additional taxes under Section 409A of the Code, in which case payment will be delayed for six months and the amounts owed will accrue interest at a rate based on the 10-year Treasury bill.</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6D98AD"/>
        </w:rPr>
        <w:t>Performance Incentive Bonus Plan</w:t>
      </w:r>
    </w:p>
    <w:p>
      <w:pPr>
        <w:spacing w:after="0" w:line="49" w:lineRule="exact"/>
        <w:rPr>
          <w:sz w:val="20"/>
          <w:szCs w:val="20"/>
          <w:color w:val="auto"/>
        </w:rPr>
      </w:pPr>
    </w:p>
    <w:p>
      <w:pPr>
        <w:ind w:left="20" w:right="380"/>
        <w:spacing w:after="0" w:line="282" w:lineRule="auto"/>
        <w:rPr>
          <w:sz w:val="20"/>
          <w:szCs w:val="20"/>
          <w:color w:val="auto"/>
        </w:rPr>
      </w:pPr>
      <w:r>
        <w:rPr>
          <w:rFonts w:ascii="Arial" w:cs="Arial" w:eastAsia="Arial" w:hAnsi="Arial"/>
          <w:sz w:val="14"/>
          <w:szCs w:val="14"/>
          <w:color w:val="auto"/>
        </w:rPr>
        <w:t>We make annual bonus awards under our Performance Incentive Bonus Plan. The following sets forth the effect on annual bonuses of certain triggering events occurring during a performance cycle.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6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Death</w:t>
            </w:r>
          </w:p>
        </w:tc>
        <w:tc>
          <w:tcPr>
            <w:tcW w:w="7780" w:type="dxa"/>
            <w:vAlign w:val="bottom"/>
            <w:shd w:val="clear" w:color="auto" w:fill="E9F0F3"/>
          </w:tcPr>
          <w:p>
            <w:pPr>
              <w:ind w:left="300"/>
              <w:spacing w:after="0"/>
              <w:rPr>
                <w:sz w:val="20"/>
                <w:szCs w:val="20"/>
                <w:color w:val="auto"/>
              </w:rPr>
            </w:pPr>
            <w:r>
              <w:rPr>
                <w:rFonts w:ascii="Arial" w:cs="Arial" w:eastAsia="Arial" w:hAnsi="Arial"/>
                <w:sz w:val="14"/>
                <w:szCs w:val="14"/>
                <w:color w:val="auto"/>
              </w:rPr>
              <w:t>The participant’s estate will receive the target-level bonus, prorated to reflect the portion of the performance cycle</w:t>
            </w:r>
          </w:p>
        </w:tc>
      </w:tr>
      <w:tr>
        <w:trPr>
          <w:trHeight w:val="186"/>
        </w:trPr>
        <w:tc>
          <w:tcPr>
            <w:tcW w:w="3160" w:type="dxa"/>
            <w:vAlign w:val="bottom"/>
            <w:shd w:val="clear" w:color="auto" w:fill="E9F0F3"/>
          </w:tcPr>
          <w:p>
            <w:pPr>
              <w:spacing w:after="0"/>
              <w:rPr>
                <w:sz w:val="16"/>
                <w:szCs w:val="16"/>
                <w:color w:val="auto"/>
              </w:rPr>
            </w:pPr>
          </w:p>
        </w:tc>
        <w:tc>
          <w:tcPr>
            <w:tcW w:w="7780" w:type="dxa"/>
            <w:vAlign w:val="bottom"/>
            <w:shd w:val="clear" w:color="auto" w:fill="E9F0F3"/>
          </w:tcPr>
          <w:p>
            <w:pPr>
              <w:ind w:left="300"/>
              <w:spacing w:after="0"/>
              <w:rPr>
                <w:sz w:val="20"/>
                <w:szCs w:val="20"/>
                <w:color w:val="auto"/>
              </w:rPr>
            </w:pPr>
            <w:r>
              <w:rPr>
                <w:rFonts w:ascii="Arial" w:cs="Arial" w:eastAsia="Arial" w:hAnsi="Arial"/>
                <w:sz w:val="14"/>
                <w:szCs w:val="14"/>
                <w:color w:val="auto"/>
              </w:rPr>
              <w:t>worked by the participant.</w:t>
            </w:r>
          </w:p>
        </w:tc>
      </w:tr>
      <w:tr>
        <w:trPr>
          <w:trHeight w:val="74"/>
        </w:trPr>
        <w:tc>
          <w:tcPr>
            <w:tcW w:w="3160" w:type="dxa"/>
            <w:vAlign w:val="bottom"/>
            <w:shd w:val="clear" w:color="auto" w:fill="E9F0F3"/>
          </w:tcPr>
          <w:p>
            <w:pPr>
              <w:spacing w:after="0"/>
              <w:rPr>
                <w:sz w:val="6"/>
                <w:szCs w:val="6"/>
                <w:color w:val="auto"/>
              </w:rPr>
            </w:pPr>
          </w:p>
        </w:tc>
        <w:tc>
          <w:tcPr>
            <w:tcW w:w="7780" w:type="dxa"/>
            <w:vAlign w:val="bottom"/>
            <w:shd w:val="clear" w:color="auto" w:fill="E9F0F3"/>
          </w:tcPr>
          <w:p>
            <w:pPr>
              <w:spacing w:after="0"/>
              <w:rPr>
                <w:sz w:val="6"/>
                <w:szCs w:val="6"/>
                <w:color w:val="auto"/>
              </w:rPr>
            </w:pPr>
          </w:p>
        </w:tc>
      </w:tr>
      <w:tr>
        <w:trPr>
          <w:trHeight w:val="235"/>
        </w:trPr>
        <w:tc>
          <w:tcPr>
            <w:tcW w:w="3160" w:type="dxa"/>
            <w:vAlign w:val="bottom"/>
          </w:tcPr>
          <w:p>
            <w:pPr>
              <w:ind w:left="60"/>
              <w:spacing w:after="0"/>
              <w:rPr>
                <w:sz w:val="20"/>
                <w:szCs w:val="20"/>
                <w:color w:val="auto"/>
              </w:rPr>
            </w:pPr>
            <w:r>
              <w:rPr>
                <w:rFonts w:ascii="Arial" w:cs="Arial" w:eastAsia="Arial" w:hAnsi="Arial"/>
                <w:sz w:val="14"/>
                <w:szCs w:val="14"/>
                <w:b w:val="1"/>
                <w:bCs w:val="1"/>
                <w:color w:val="auto"/>
              </w:rPr>
              <w:t>Change In Control</w:t>
            </w:r>
          </w:p>
        </w:tc>
        <w:tc>
          <w:tcPr>
            <w:tcW w:w="7780" w:type="dxa"/>
            <w:vAlign w:val="bottom"/>
          </w:tcPr>
          <w:p>
            <w:pPr>
              <w:ind w:left="300"/>
              <w:spacing w:after="0"/>
              <w:rPr>
                <w:sz w:val="20"/>
                <w:szCs w:val="20"/>
                <w:color w:val="auto"/>
              </w:rPr>
            </w:pPr>
            <w:r>
              <w:rPr>
                <w:rFonts w:ascii="Arial" w:cs="Arial" w:eastAsia="Arial" w:hAnsi="Arial"/>
                <w:sz w:val="14"/>
                <w:szCs w:val="14"/>
                <w:color w:val="auto"/>
              </w:rPr>
              <w:t>The participant will receive the target-level bonus, prorated to reflect the portion of the performance cycle worked by</w:t>
            </w:r>
          </w:p>
        </w:tc>
      </w:tr>
      <w:tr>
        <w:trPr>
          <w:trHeight w:val="186"/>
        </w:trPr>
        <w:tc>
          <w:tcPr>
            <w:tcW w:w="3160" w:type="dxa"/>
            <w:vAlign w:val="bottom"/>
          </w:tcPr>
          <w:p>
            <w:pPr>
              <w:spacing w:after="0"/>
              <w:rPr>
                <w:sz w:val="16"/>
                <w:szCs w:val="16"/>
                <w:color w:val="auto"/>
              </w:rPr>
            </w:pPr>
          </w:p>
        </w:tc>
        <w:tc>
          <w:tcPr>
            <w:tcW w:w="7780" w:type="dxa"/>
            <w:vAlign w:val="bottom"/>
          </w:tcPr>
          <w:p>
            <w:pPr>
              <w:ind w:left="300"/>
              <w:spacing w:after="0"/>
              <w:rPr>
                <w:sz w:val="20"/>
                <w:szCs w:val="20"/>
                <w:color w:val="auto"/>
              </w:rPr>
            </w:pPr>
            <w:r>
              <w:rPr>
                <w:rFonts w:ascii="Arial" w:cs="Arial" w:eastAsia="Arial" w:hAnsi="Arial"/>
                <w:sz w:val="14"/>
                <w:szCs w:val="14"/>
                <w:color w:val="auto"/>
              </w:rPr>
              <w:t>the participant.</w:t>
            </w:r>
          </w:p>
        </w:tc>
      </w:tr>
      <w:tr>
        <w:trPr>
          <w:trHeight w:val="74"/>
        </w:trPr>
        <w:tc>
          <w:tcPr>
            <w:tcW w:w="3160" w:type="dxa"/>
            <w:vAlign w:val="bottom"/>
          </w:tcPr>
          <w:p>
            <w:pPr>
              <w:spacing w:after="0"/>
              <w:rPr>
                <w:sz w:val="6"/>
                <w:szCs w:val="6"/>
                <w:color w:val="auto"/>
              </w:rPr>
            </w:pPr>
          </w:p>
        </w:tc>
        <w:tc>
          <w:tcPr>
            <w:tcW w:w="7780" w:type="dxa"/>
            <w:vAlign w:val="bottom"/>
          </w:tcPr>
          <w:p>
            <w:pPr>
              <w:spacing w:after="0"/>
              <w:rPr>
                <w:sz w:val="6"/>
                <w:szCs w:val="6"/>
                <w:color w:val="auto"/>
              </w:rPr>
            </w:pPr>
          </w:p>
        </w:tc>
      </w:tr>
      <w:tr>
        <w:trPr>
          <w:trHeight w:val="235"/>
        </w:trPr>
        <w:tc>
          <w:tcPr>
            <w:tcW w:w="316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Disability/Retirement/Termination Without</w:t>
            </w:r>
          </w:p>
        </w:tc>
        <w:tc>
          <w:tcPr>
            <w:tcW w:w="7780" w:type="dxa"/>
            <w:vAlign w:val="bottom"/>
            <w:shd w:val="clear" w:color="auto" w:fill="E9F0F3"/>
          </w:tcPr>
          <w:p>
            <w:pPr>
              <w:ind w:left="300"/>
              <w:spacing w:after="0"/>
              <w:rPr>
                <w:sz w:val="20"/>
                <w:szCs w:val="20"/>
                <w:color w:val="auto"/>
              </w:rPr>
            </w:pPr>
            <w:r>
              <w:rPr>
                <w:rFonts w:ascii="Arial" w:cs="Arial" w:eastAsia="Arial" w:hAnsi="Arial"/>
                <w:sz w:val="14"/>
                <w:szCs w:val="14"/>
                <w:color w:val="auto"/>
              </w:rPr>
              <w:t>The participant will receive the payout, if any, that would have been payable for the performance cycle, prorated to</w:t>
            </w:r>
          </w:p>
        </w:tc>
      </w:tr>
      <w:tr>
        <w:trPr>
          <w:trHeight w:val="224"/>
        </w:trPr>
        <w:tc>
          <w:tcPr>
            <w:tcW w:w="316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Cause/Termination For “Good Reason”</w:t>
            </w:r>
            <w:r>
              <w:rPr>
                <w:rFonts w:ascii="Arial" w:cs="Arial" w:eastAsia="Arial" w:hAnsi="Arial"/>
                <w:sz w:val="16"/>
                <w:szCs w:val="16"/>
                <w:b w:val="1"/>
                <w:bCs w:val="1"/>
                <w:color w:val="auto"/>
                <w:vertAlign w:val="superscript"/>
              </w:rPr>
              <w:t>1</w:t>
            </w:r>
          </w:p>
        </w:tc>
        <w:tc>
          <w:tcPr>
            <w:tcW w:w="7780" w:type="dxa"/>
            <w:vAlign w:val="bottom"/>
            <w:shd w:val="clear" w:color="auto" w:fill="E9F0F3"/>
          </w:tcPr>
          <w:p>
            <w:pPr>
              <w:ind w:left="300"/>
              <w:spacing w:after="0"/>
              <w:rPr>
                <w:sz w:val="20"/>
                <w:szCs w:val="20"/>
                <w:color w:val="auto"/>
              </w:rPr>
            </w:pPr>
            <w:r>
              <w:rPr>
                <w:rFonts w:ascii="Arial" w:cs="Arial" w:eastAsia="Arial" w:hAnsi="Arial"/>
                <w:sz w:val="14"/>
                <w:szCs w:val="14"/>
                <w:color w:val="auto"/>
              </w:rPr>
              <w:t>reflect the portion of the performance cycle worked by the participant.</w:t>
            </w:r>
          </w:p>
        </w:tc>
      </w:tr>
      <w:tr>
        <w:trPr>
          <w:trHeight w:val="35"/>
        </w:trPr>
        <w:tc>
          <w:tcPr>
            <w:tcW w:w="3160" w:type="dxa"/>
            <w:vAlign w:val="bottom"/>
            <w:shd w:val="clear" w:color="auto" w:fill="E9F0F3"/>
          </w:tcPr>
          <w:p>
            <w:pPr>
              <w:spacing w:after="0"/>
              <w:rPr>
                <w:sz w:val="3"/>
                <w:szCs w:val="3"/>
                <w:color w:val="auto"/>
              </w:rPr>
            </w:pPr>
          </w:p>
        </w:tc>
        <w:tc>
          <w:tcPr>
            <w:tcW w:w="7780" w:type="dxa"/>
            <w:vAlign w:val="bottom"/>
            <w:shd w:val="clear" w:color="auto" w:fill="E9F0F3"/>
          </w:tcPr>
          <w:p>
            <w:pPr>
              <w:spacing w:after="0"/>
              <w:rPr>
                <w:sz w:val="3"/>
                <w:szCs w:val="3"/>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2"/>
          <w:szCs w:val="12"/>
          <w:color w:val="auto"/>
        </w:rPr>
        <w:t>1  “Good reason” is as defined under the participant’s employment agreement (if any). “Cause” is as defined in the Plan unless a participant’s employment agreement (if any) provides it controls.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all other cases, a participant must be employed by us on the last day of the performance cycle to remain eligible to receive an award.</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 xml:space="preserve">68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60" w:top="224" w:right="499" w:bottom="1440" w:gutter="0" w:footer="0" w:header="0"/>
        </w:sectPr>
      </w:pPr>
    </w:p>
    <w:bookmarkStart w:id="71" w:name="page72"/>
    <w:bookmarkEnd w:id="71"/>
    <w:p>
      <w:pPr>
        <w:ind w:left="20"/>
        <w:spacing w:after="0" w:line="282" w:lineRule="auto"/>
        <w:rPr>
          <w:sz w:val="20"/>
          <w:szCs w:val="20"/>
          <w:color w:val="auto"/>
        </w:rPr>
      </w:pPr>
      <w:r>
        <w:rPr>
          <w:rFonts w:ascii="Arial" w:cs="Arial" w:eastAsia="Arial" w:hAnsi="Arial"/>
          <w:sz w:val="14"/>
          <w:szCs w:val="14"/>
          <w:color w:val="auto"/>
        </w:rPr>
        <w:t>The bonus, in the event of death or a change in control, will be paid within 30 days of the triggering event unless doing so would prompt the imposition of additional taxes under Section 409A of the Code, in which case payment will be delayed for six months and the amounts owed will accrue interest at a rate based on the 10-year Treasury bill.</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6D98AD"/>
        </w:rPr>
        <w:t>Long-Term Incentive Plan</w:t>
      </w:r>
    </w:p>
    <w:p>
      <w:pPr>
        <w:spacing w:after="0" w:line="49" w:lineRule="exact"/>
        <w:rPr>
          <w:sz w:val="20"/>
          <w:szCs w:val="20"/>
          <w:color w:val="auto"/>
        </w:rPr>
      </w:pPr>
    </w:p>
    <w:p>
      <w:pPr>
        <w:ind w:left="20" w:right="340"/>
        <w:spacing w:after="0" w:line="264" w:lineRule="auto"/>
        <w:rPr>
          <w:sz w:val="20"/>
          <w:szCs w:val="20"/>
          <w:color w:val="auto"/>
        </w:rPr>
      </w:pPr>
      <w:r>
        <w:rPr>
          <w:rFonts w:ascii="Arial" w:cs="Arial" w:eastAsia="Arial" w:hAnsi="Arial"/>
          <w:sz w:val="14"/>
          <w:szCs w:val="14"/>
          <w:color w:val="auto"/>
        </w:rPr>
        <w:t>We have a Long-Term Incentive Plan (the “LTI Plan”) under which we can grant performance-based LTI awards. Payouts under this plan are typically made in cash. There were no awards made under this plan that were outstanding at any time during 2025. The following sets forth the effect on LTI Plan awards of certain triggering events occurring during a performance cycle.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Death</w:t>
            </w:r>
          </w:p>
        </w:tc>
        <w:tc>
          <w:tcPr>
            <w:tcW w:w="7840" w:type="dxa"/>
            <w:vAlign w:val="bottom"/>
            <w:shd w:val="clear" w:color="auto" w:fill="E9F0F3"/>
          </w:tcPr>
          <w:p>
            <w:pPr>
              <w:ind w:left="360"/>
              <w:spacing w:after="0"/>
              <w:rPr>
                <w:sz w:val="20"/>
                <w:szCs w:val="20"/>
                <w:color w:val="auto"/>
              </w:rPr>
            </w:pPr>
            <w:r>
              <w:rPr>
                <w:rFonts w:ascii="Arial" w:cs="Arial" w:eastAsia="Arial" w:hAnsi="Arial"/>
                <w:sz w:val="14"/>
                <w:szCs w:val="14"/>
                <w:color w:val="auto"/>
              </w:rPr>
              <w:t>The participant’s estate will receive the target-level payout, prorated to reflect the portion of the performance cycle</w:t>
            </w:r>
          </w:p>
        </w:tc>
      </w:tr>
      <w:tr>
        <w:trPr>
          <w:trHeight w:val="186"/>
        </w:trPr>
        <w:tc>
          <w:tcPr>
            <w:tcW w:w="3100" w:type="dxa"/>
            <w:vAlign w:val="bottom"/>
            <w:shd w:val="clear" w:color="auto" w:fill="E9F0F3"/>
          </w:tcPr>
          <w:p>
            <w:pPr>
              <w:spacing w:after="0"/>
              <w:rPr>
                <w:sz w:val="16"/>
                <w:szCs w:val="16"/>
                <w:color w:val="auto"/>
              </w:rPr>
            </w:pPr>
          </w:p>
        </w:tc>
        <w:tc>
          <w:tcPr>
            <w:tcW w:w="7840" w:type="dxa"/>
            <w:vAlign w:val="bottom"/>
            <w:shd w:val="clear" w:color="auto" w:fill="E9F0F3"/>
          </w:tcPr>
          <w:p>
            <w:pPr>
              <w:ind w:left="360"/>
              <w:spacing w:after="0"/>
              <w:rPr>
                <w:sz w:val="20"/>
                <w:szCs w:val="20"/>
                <w:color w:val="auto"/>
              </w:rPr>
            </w:pPr>
            <w:r>
              <w:rPr>
                <w:rFonts w:ascii="Arial" w:cs="Arial" w:eastAsia="Arial" w:hAnsi="Arial"/>
                <w:sz w:val="14"/>
                <w:szCs w:val="14"/>
                <w:color w:val="auto"/>
              </w:rPr>
              <w:t>worked by the participant.</w:t>
            </w:r>
          </w:p>
        </w:tc>
      </w:tr>
      <w:tr>
        <w:trPr>
          <w:trHeight w:val="86"/>
        </w:trPr>
        <w:tc>
          <w:tcPr>
            <w:tcW w:w="3100" w:type="dxa"/>
            <w:vAlign w:val="bottom"/>
            <w:shd w:val="clear" w:color="auto" w:fill="E9F0F3"/>
          </w:tcPr>
          <w:p>
            <w:pPr>
              <w:spacing w:after="0"/>
              <w:rPr>
                <w:sz w:val="7"/>
                <w:szCs w:val="7"/>
                <w:color w:val="auto"/>
              </w:rPr>
            </w:pPr>
          </w:p>
        </w:tc>
        <w:tc>
          <w:tcPr>
            <w:tcW w:w="7840" w:type="dxa"/>
            <w:vAlign w:val="bottom"/>
            <w:shd w:val="clear" w:color="auto" w:fill="E9F0F3"/>
          </w:tcPr>
          <w:p>
            <w:pPr>
              <w:spacing w:after="0"/>
              <w:rPr>
                <w:sz w:val="7"/>
                <w:szCs w:val="7"/>
                <w:color w:val="auto"/>
              </w:rPr>
            </w:pPr>
          </w:p>
        </w:tc>
      </w:tr>
      <w:tr>
        <w:trPr>
          <w:trHeight w:val="223"/>
        </w:trPr>
        <w:tc>
          <w:tcPr>
            <w:tcW w:w="3100" w:type="dxa"/>
            <w:vAlign w:val="bottom"/>
          </w:tcPr>
          <w:p>
            <w:pPr>
              <w:ind w:left="60"/>
              <w:spacing w:after="0"/>
              <w:rPr>
                <w:sz w:val="20"/>
                <w:szCs w:val="20"/>
                <w:color w:val="auto"/>
              </w:rPr>
            </w:pPr>
            <w:r>
              <w:rPr>
                <w:rFonts w:ascii="Arial" w:cs="Arial" w:eastAsia="Arial" w:hAnsi="Arial"/>
                <w:sz w:val="14"/>
                <w:szCs w:val="14"/>
                <w:b w:val="1"/>
                <w:bCs w:val="1"/>
                <w:color w:val="auto"/>
              </w:rPr>
              <w:t>Change In Control</w:t>
            </w:r>
          </w:p>
        </w:tc>
        <w:tc>
          <w:tcPr>
            <w:tcW w:w="7840" w:type="dxa"/>
            <w:vAlign w:val="bottom"/>
          </w:tcPr>
          <w:p>
            <w:pPr>
              <w:ind w:left="360"/>
              <w:spacing w:after="0"/>
              <w:rPr>
                <w:sz w:val="20"/>
                <w:szCs w:val="20"/>
                <w:color w:val="auto"/>
              </w:rPr>
            </w:pPr>
            <w:r>
              <w:rPr>
                <w:rFonts w:ascii="Arial" w:cs="Arial" w:eastAsia="Arial" w:hAnsi="Arial"/>
                <w:sz w:val="14"/>
                <w:szCs w:val="14"/>
                <w:color w:val="auto"/>
              </w:rPr>
              <w:t>The award will be deemed time-based and will be payable at the target-level of performance upon the earlier of the</w:t>
            </w:r>
          </w:p>
        </w:tc>
      </w:tr>
      <w:tr>
        <w:trPr>
          <w:trHeight w:val="165"/>
        </w:trPr>
        <w:tc>
          <w:tcPr>
            <w:tcW w:w="3100" w:type="dxa"/>
            <w:vAlign w:val="bottom"/>
          </w:tcPr>
          <w:p>
            <w:pPr>
              <w:spacing w:after="0"/>
              <w:rPr>
                <w:sz w:val="14"/>
                <w:szCs w:val="14"/>
                <w:color w:val="auto"/>
              </w:rPr>
            </w:pPr>
          </w:p>
        </w:tc>
        <w:tc>
          <w:tcPr>
            <w:tcW w:w="7840" w:type="dxa"/>
            <w:vAlign w:val="bottom"/>
          </w:tcPr>
          <w:p>
            <w:pPr>
              <w:ind w:left="360"/>
              <w:spacing w:after="0"/>
              <w:rPr>
                <w:sz w:val="20"/>
                <w:szCs w:val="20"/>
                <w:color w:val="auto"/>
              </w:rPr>
            </w:pPr>
            <w:r>
              <w:rPr>
                <w:rFonts w:ascii="Arial" w:cs="Arial" w:eastAsia="Arial" w:hAnsi="Arial"/>
                <w:sz w:val="14"/>
                <w:szCs w:val="14"/>
                <w:color w:val="auto"/>
              </w:rPr>
              <w:t>participant’s termination of employment (other than for cause or without good reason (as defined in the participant’s</w:t>
            </w:r>
          </w:p>
        </w:tc>
      </w:tr>
      <w:tr>
        <w:trPr>
          <w:trHeight w:val="186"/>
        </w:trPr>
        <w:tc>
          <w:tcPr>
            <w:tcW w:w="3100" w:type="dxa"/>
            <w:vAlign w:val="bottom"/>
          </w:tcPr>
          <w:p>
            <w:pPr>
              <w:spacing w:after="0"/>
              <w:rPr>
                <w:sz w:val="16"/>
                <w:szCs w:val="16"/>
                <w:color w:val="auto"/>
              </w:rPr>
            </w:pPr>
          </w:p>
        </w:tc>
        <w:tc>
          <w:tcPr>
            <w:tcW w:w="7840" w:type="dxa"/>
            <w:vAlign w:val="bottom"/>
          </w:tcPr>
          <w:p>
            <w:pPr>
              <w:ind w:left="360"/>
              <w:spacing w:after="0"/>
              <w:rPr>
                <w:sz w:val="20"/>
                <w:szCs w:val="20"/>
                <w:color w:val="auto"/>
              </w:rPr>
            </w:pPr>
            <w:r>
              <w:rPr>
                <w:rFonts w:ascii="Arial" w:cs="Arial" w:eastAsia="Arial" w:hAnsi="Arial"/>
                <w:sz w:val="14"/>
                <w:szCs w:val="14"/>
                <w:color w:val="auto"/>
              </w:rPr>
              <w:t>employment agreement, if any)) or the scheduled end of the performance cycle (</w:t>
            </w:r>
            <w:r>
              <w:rPr>
                <w:rFonts w:ascii="Arial" w:cs="Arial" w:eastAsia="Arial" w:hAnsi="Arial"/>
                <w:sz w:val="14"/>
                <w:szCs w:val="14"/>
                <w:i w:val="1"/>
                <w:iCs w:val="1"/>
                <w:color w:val="auto"/>
              </w:rPr>
              <w:t>i.e.</w:t>
            </w:r>
            <w:r>
              <w:rPr>
                <w:rFonts w:ascii="Arial" w:cs="Arial" w:eastAsia="Arial" w:hAnsi="Arial"/>
                <w:sz w:val="14"/>
                <w:szCs w:val="14"/>
                <w:color w:val="auto"/>
              </w:rPr>
              <w:t>, double trigger).</w:t>
            </w:r>
          </w:p>
        </w:tc>
      </w:tr>
      <w:tr>
        <w:trPr>
          <w:trHeight w:val="86"/>
        </w:trPr>
        <w:tc>
          <w:tcPr>
            <w:tcW w:w="3100" w:type="dxa"/>
            <w:vAlign w:val="bottom"/>
          </w:tcPr>
          <w:p>
            <w:pPr>
              <w:spacing w:after="0"/>
              <w:rPr>
                <w:sz w:val="7"/>
                <w:szCs w:val="7"/>
                <w:color w:val="auto"/>
              </w:rPr>
            </w:pPr>
          </w:p>
        </w:tc>
        <w:tc>
          <w:tcPr>
            <w:tcW w:w="7840" w:type="dxa"/>
            <w:vAlign w:val="bottom"/>
          </w:tcPr>
          <w:p>
            <w:pPr>
              <w:spacing w:after="0"/>
              <w:rPr>
                <w:sz w:val="7"/>
                <w:szCs w:val="7"/>
                <w:color w:val="auto"/>
              </w:rPr>
            </w:pPr>
          </w:p>
        </w:tc>
      </w:tr>
      <w:tr>
        <w:trPr>
          <w:trHeight w:val="223"/>
        </w:trPr>
        <w:tc>
          <w:tcPr>
            <w:tcW w:w="31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Disability</w:t>
            </w:r>
          </w:p>
        </w:tc>
        <w:tc>
          <w:tcPr>
            <w:tcW w:w="7840" w:type="dxa"/>
            <w:vAlign w:val="bottom"/>
            <w:shd w:val="clear" w:color="auto" w:fill="E9F0F3"/>
          </w:tcPr>
          <w:p>
            <w:pPr>
              <w:ind w:left="360"/>
              <w:spacing w:after="0"/>
              <w:rPr>
                <w:sz w:val="20"/>
                <w:szCs w:val="20"/>
                <w:color w:val="auto"/>
              </w:rPr>
            </w:pPr>
            <w:r>
              <w:rPr>
                <w:rFonts w:ascii="Arial" w:cs="Arial" w:eastAsia="Arial" w:hAnsi="Arial"/>
                <w:sz w:val="14"/>
                <w:szCs w:val="14"/>
                <w:color w:val="auto"/>
              </w:rPr>
              <w:t>The participant will receive the payout, if any, that would have been payable for the performance cycle, prorated to</w:t>
            </w:r>
          </w:p>
        </w:tc>
      </w:tr>
      <w:tr>
        <w:trPr>
          <w:trHeight w:val="186"/>
        </w:trPr>
        <w:tc>
          <w:tcPr>
            <w:tcW w:w="3100" w:type="dxa"/>
            <w:vAlign w:val="bottom"/>
            <w:shd w:val="clear" w:color="auto" w:fill="E9F0F3"/>
          </w:tcPr>
          <w:p>
            <w:pPr>
              <w:spacing w:after="0"/>
              <w:rPr>
                <w:sz w:val="16"/>
                <w:szCs w:val="16"/>
                <w:color w:val="auto"/>
              </w:rPr>
            </w:pPr>
          </w:p>
        </w:tc>
        <w:tc>
          <w:tcPr>
            <w:tcW w:w="7840" w:type="dxa"/>
            <w:vAlign w:val="bottom"/>
            <w:shd w:val="clear" w:color="auto" w:fill="E9F0F3"/>
          </w:tcPr>
          <w:p>
            <w:pPr>
              <w:ind w:left="360"/>
              <w:spacing w:after="0"/>
              <w:rPr>
                <w:sz w:val="20"/>
                <w:szCs w:val="20"/>
                <w:color w:val="auto"/>
              </w:rPr>
            </w:pPr>
            <w:r>
              <w:rPr>
                <w:rFonts w:ascii="Arial" w:cs="Arial" w:eastAsia="Arial" w:hAnsi="Arial"/>
                <w:sz w:val="14"/>
                <w:szCs w:val="14"/>
                <w:color w:val="auto"/>
              </w:rPr>
              <w:t>reflect the portion of the performance cycle worked by the participant.</w:t>
            </w:r>
          </w:p>
        </w:tc>
      </w:tr>
      <w:tr>
        <w:trPr>
          <w:trHeight w:val="86"/>
        </w:trPr>
        <w:tc>
          <w:tcPr>
            <w:tcW w:w="3100" w:type="dxa"/>
            <w:vAlign w:val="bottom"/>
            <w:shd w:val="clear" w:color="auto" w:fill="E9F0F3"/>
          </w:tcPr>
          <w:p>
            <w:pPr>
              <w:spacing w:after="0"/>
              <w:rPr>
                <w:sz w:val="7"/>
                <w:szCs w:val="7"/>
                <w:color w:val="auto"/>
              </w:rPr>
            </w:pPr>
          </w:p>
        </w:tc>
        <w:tc>
          <w:tcPr>
            <w:tcW w:w="7840" w:type="dxa"/>
            <w:vAlign w:val="bottom"/>
            <w:shd w:val="clear" w:color="auto" w:fill="E9F0F3"/>
          </w:tcPr>
          <w:p>
            <w:pPr>
              <w:spacing w:after="0"/>
              <w:rPr>
                <w:sz w:val="7"/>
                <w:szCs w:val="7"/>
                <w:color w:val="auto"/>
              </w:rPr>
            </w:pPr>
          </w:p>
        </w:tc>
      </w:tr>
      <w:tr>
        <w:trPr>
          <w:trHeight w:val="223"/>
        </w:trPr>
        <w:tc>
          <w:tcPr>
            <w:tcW w:w="3100" w:type="dxa"/>
            <w:vAlign w:val="bottom"/>
          </w:tcPr>
          <w:p>
            <w:pPr>
              <w:ind w:left="60"/>
              <w:spacing w:after="0"/>
              <w:rPr>
                <w:sz w:val="20"/>
                <w:szCs w:val="20"/>
                <w:color w:val="auto"/>
              </w:rPr>
            </w:pPr>
            <w:r>
              <w:rPr>
                <w:rFonts w:ascii="Arial" w:cs="Arial" w:eastAsia="Arial" w:hAnsi="Arial"/>
                <w:sz w:val="14"/>
                <w:szCs w:val="14"/>
                <w:b w:val="1"/>
                <w:bCs w:val="1"/>
                <w:color w:val="auto"/>
              </w:rPr>
              <w:t>Retirement/Termination Without</w:t>
            </w:r>
          </w:p>
        </w:tc>
        <w:tc>
          <w:tcPr>
            <w:tcW w:w="7840" w:type="dxa"/>
            <w:vAlign w:val="bottom"/>
          </w:tcPr>
          <w:p>
            <w:pPr>
              <w:ind w:left="360"/>
              <w:spacing w:after="0"/>
              <w:rPr>
                <w:sz w:val="20"/>
                <w:szCs w:val="20"/>
                <w:color w:val="auto"/>
              </w:rPr>
            </w:pPr>
            <w:r>
              <w:rPr>
                <w:rFonts w:ascii="Arial" w:cs="Arial" w:eastAsia="Arial" w:hAnsi="Arial"/>
                <w:sz w:val="14"/>
                <w:szCs w:val="14"/>
                <w:color w:val="auto"/>
              </w:rPr>
              <w:t>If after the first fiscal year of the performance cycle, the participant will receive the payout, if any, that would have</w:t>
            </w:r>
          </w:p>
        </w:tc>
      </w:tr>
      <w:tr>
        <w:trPr>
          <w:trHeight w:val="165"/>
        </w:trPr>
        <w:tc>
          <w:tcPr>
            <w:tcW w:w="3100" w:type="dxa"/>
            <w:vAlign w:val="bottom"/>
          </w:tcPr>
          <w:p>
            <w:pPr>
              <w:ind w:left="60"/>
              <w:spacing w:after="0" w:line="165" w:lineRule="exact"/>
              <w:rPr>
                <w:sz w:val="20"/>
                <w:szCs w:val="20"/>
                <w:color w:val="auto"/>
              </w:rPr>
            </w:pPr>
            <w:r>
              <w:rPr>
                <w:rFonts w:ascii="Arial" w:cs="Arial" w:eastAsia="Arial" w:hAnsi="Arial"/>
                <w:sz w:val="14"/>
                <w:szCs w:val="14"/>
                <w:b w:val="1"/>
                <w:bCs w:val="1"/>
                <w:color w:val="auto"/>
              </w:rPr>
              <w:t>Cause/Termination For “Good Reason”</w:t>
            </w:r>
            <w:r>
              <w:rPr>
                <w:rFonts w:ascii="Arial" w:cs="Arial" w:eastAsia="Arial" w:hAnsi="Arial"/>
                <w:sz w:val="16"/>
                <w:szCs w:val="16"/>
                <w:b w:val="1"/>
                <w:bCs w:val="1"/>
                <w:color w:val="auto"/>
                <w:vertAlign w:val="superscript"/>
              </w:rPr>
              <w:t>1</w:t>
            </w:r>
          </w:p>
        </w:tc>
        <w:tc>
          <w:tcPr>
            <w:tcW w:w="7840" w:type="dxa"/>
            <w:vAlign w:val="bottom"/>
          </w:tcPr>
          <w:p>
            <w:pPr>
              <w:ind w:left="360"/>
              <w:spacing w:after="0"/>
              <w:rPr>
                <w:sz w:val="20"/>
                <w:szCs w:val="20"/>
                <w:color w:val="auto"/>
              </w:rPr>
            </w:pPr>
            <w:r>
              <w:rPr>
                <w:rFonts w:ascii="Arial" w:cs="Arial" w:eastAsia="Arial" w:hAnsi="Arial"/>
                <w:sz w:val="14"/>
                <w:szCs w:val="14"/>
                <w:color w:val="auto"/>
              </w:rPr>
              <w:t>been payable for the performance cycle, prorated to reflect the portion of the performance cycle worked by the</w:t>
            </w:r>
          </w:p>
        </w:tc>
      </w:tr>
      <w:tr>
        <w:trPr>
          <w:trHeight w:val="186"/>
        </w:trPr>
        <w:tc>
          <w:tcPr>
            <w:tcW w:w="3100" w:type="dxa"/>
            <w:vAlign w:val="bottom"/>
          </w:tcPr>
          <w:p>
            <w:pPr>
              <w:spacing w:after="0"/>
              <w:rPr>
                <w:sz w:val="16"/>
                <w:szCs w:val="16"/>
                <w:color w:val="auto"/>
              </w:rPr>
            </w:pPr>
          </w:p>
        </w:tc>
        <w:tc>
          <w:tcPr>
            <w:tcW w:w="7840" w:type="dxa"/>
            <w:vAlign w:val="bottom"/>
          </w:tcPr>
          <w:p>
            <w:pPr>
              <w:ind w:left="360"/>
              <w:spacing w:after="0"/>
              <w:rPr>
                <w:sz w:val="20"/>
                <w:szCs w:val="20"/>
                <w:color w:val="auto"/>
              </w:rPr>
            </w:pPr>
            <w:r>
              <w:rPr>
                <w:rFonts w:ascii="Arial" w:cs="Arial" w:eastAsia="Arial" w:hAnsi="Arial"/>
                <w:sz w:val="14"/>
                <w:szCs w:val="14"/>
                <w:color w:val="auto"/>
              </w:rPr>
              <w:t>participant. A participant who is terminated during the first fiscal year will not receive a payout.</w:t>
            </w: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2"/>
          <w:szCs w:val="12"/>
          <w:color w:val="auto"/>
        </w:rPr>
        <w:t>1  “Good reason” is as defined under the participant’s employment agreement (if any). “Cause” is as defined in the LTI Plan unless a participant’s employment agreement (if any) provides it controls.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all other cases, a participant must be employed by us on the last day of the performance cycle to remain eligible to receive an award.</w:t>
      </w:r>
    </w:p>
    <w:p>
      <w:pPr>
        <w:spacing w:after="0" w:line="98" w:lineRule="exact"/>
        <w:rPr>
          <w:sz w:val="20"/>
          <w:szCs w:val="20"/>
          <w:color w:val="auto"/>
        </w:rPr>
      </w:pPr>
    </w:p>
    <w:p>
      <w:pPr>
        <w:ind w:left="20" w:right="100"/>
        <w:spacing w:after="0" w:line="282" w:lineRule="auto"/>
        <w:rPr>
          <w:sz w:val="20"/>
          <w:szCs w:val="20"/>
          <w:color w:val="auto"/>
        </w:rPr>
      </w:pPr>
      <w:r>
        <w:rPr>
          <w:rFonts w:ascii="Arial" w:cs="Arial" w:eastAsia="Arial" w:hAnsi="Arial"/>
          <w:sz w:val="14"/>
          <w:szCs w:val="14"/>
          <w:color w:val="auto"/>
        </w:rPr>
        <w:t>The payout, in the event of death or a change in control, will be paid within 30 days of the triggering event unless doing so would prompt the imposition of additional taxes under Section 409A of the Code, in which case payment will be delayed for six months and the amounts owed will accrue interest at a rate based on the 10-year Treasury bill.</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6D98AD"/>
        </w:rPr>
        <w:t>Outstanding Equity at Fiscal Year-End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300" w:type="dxa"/>
            <w:vAlign w:val="bottom"/>
            <w:shd w:val="clear" w:color="auto" w:fill="99B7C6"/>
          </w:tcPr>
          <w:p>
            <w:pPr>
              <w:spacing w:after="0"/>
              <w:rPr>
                <w:sz w:val="21"/>
                <w:szCs w:val="21"/>
                <w:color w:val="auto"/>
              </w:rPr>
            </w:pPr>
          </w:p>
        </w:tc>
        <w:tc>
          <w:tcPr>
            <w:tcW w:w="1080" w:type="dxa"/>
            <w:vAlign w:val="bottom"/>
            <w:shd w:val="clear" w:color="auto" w:fill="99B7C6"/>
          </w:tcPr>
          <w:p>
            <w:pPr>
              <w:spacing w:after="0"/>
              <w:rPr>
                <w:sz w:val="21"/>
                <w:szCs w:val="21"/>
                <w:color w:val="auto"/>
              </w:rPr>
            </w:pPr>
          </w:p>
        </w:tc>
        <w:tc>
          <w:tcPr>
            <w:tcW w:w="1040" w:type="dxa"/>
            <w:vAlign w:val="bottom"/>
            <w:shd w:val="clear" w:color="auto" w:fill="6D98AD"/>
          </w:tcPr>
          <w:p>
            <w:pPr>
              <w:spacing w:after="0"/>
              <w:rPr>
                <w:sz w:val="21"/>
                <w:szCs w:val="21"/>
                <w:color w:val="auto"/>
              </w:rPr>
            </w:pPr>
          </w:p>
        </w:tc>
        <w:tc>
          <w:tcPr>
            <w:tcW w:w="1460" w:type="dxa"/>
            <w:vAlign w:val="bottom"/>
            <w:shd w:val="clear" w:color="auto" w:fill="6D98AD"/>
          </w:tcPr>
          <w:p>
            <w:pPr>
              <w:jc w:val="right"/>
              <w:spacing w:after="0"/>
              <w:rPr>
                <w:sz w:val="20"/>
                <w:szCs w:val="20"/>
                <w:color w:val="auto"/>
              </w:rPr>
            </w:pPr>
            <w:r>
              <w:rPr>
                <w:rFonts w:ascii="Arial" w:cs="Arial" w:eastAsia="Arial" w:hAnsi="Arial"/>
                <w:sz w:val="11"/>
                <w:szCs w:val="11"/>
                <w:b w:val="1"/>
                <w:bCs w:val="1"/>
                <w:color w:val="FFFFFF"/>
              </w:rPr>
              <w:t>OPTION AWARDS</w:t>
            </w:r>
            <w:r>
              <w:rPr>
                <w:rFonts w:ascii="Arial" w:cs="Arial" w:eastAsia="Arial" w:hAnsi="Arial"/>
                <w:sz w:val="12"/>
                <w:szCs w:val="12"/>
                <w:color w:val="FFFFFF"/>
                <w:vertAlign w:val="superscript"/>
              </w:rPr>
              <w:t>1</w:t>
            </w:r>
          </w:p>
        </w:tc>
        <w:tc>
          <w:tcPr>
            <w:tcW w:w="540" w:type="dxa"/>
            <w:vAlign w:val="bottom"/>
            <w:shd w:val="clear" w:color="auto" w:fill="6D98AD"/>
          </w:tcPr>
          <w:p>
            <w:pPr>
              <w:spacing w:after="0"/>
              <w:rPr>
                <w:sz w:val="21"/>
                <w:szCs w:val="21"/>
                <w:color w:val="auto"/>
              </w:rPr>
            </w:pPr>
          </w:p>
        </w:tc>
        <w:tc>
          <w:tcPr>
            <w:tcW w:w="940" w:type="dxa"/>
            <w:vAlign w:val="bottom"/>
            <w:shd w:val="clear" w:color="auto" w:fill="6D98AD"/>
          </w:tcPr>
          <w:p>
            <w:pPr>
              <w:spacing w:after="0"/>
              <w:rPr>
                <w:sz w:val="21"/>
                <w:szCs w:val="21"/>
                <w:color w:val="auto"/>
              </w:rPr>
            </w:pPr>
          </w:p>
        </w:tc>
        <w:tc>
          <w:tcPr>
            <w:tcW w:w="840" w:type="dxa"/>
            <w:vAlign w:val="bottom"/>
            <w:shd w:val="clear" w:color="auto" w:fill="99B7C6"/>
          </w:tcPr>
          <w:p>
            <w:pPr>
              <w:spacing w:after="0"/>
              <w:rPr>
                <w:sz w:val="21"/>
                <w:szCs w:val="21"/>
                <w:color w:val="auto"/>
              </w:rPr>
            </w:pPr>
          </w:p>
        </w:tc>
        <w:tc>
          <w:tcPr>
            <w:tcW w:w="1780" w:type="dxa"/>
            <w:vAlign w:val="bottom"/>
            <w:gridSpan w:val="2"/>
            <w:shd w:val="clear" w:color="auto" w:fill="99B7C6"/>
          </w:tcPr>
          <w:p>
            <w:pPr>
              <w:jc w:val="right"/>
              <w:ind w:right="342"/>
              <w:spacing w:after="0"/>
              <w:rPr>
                <w:sz w:val="20"/>
                <w:szCs w:val="20"/>
                <w:color w:val="auto"/>
              </w:rPr>
            </w:pPr>
            <w:r>
              <w:rPr>
                <w:rFonts w:ascii="Arial" w:cs="Arial" w:eastAsia="Arial" w:hAnsi="Arial"/>
                <w:sz w:val="11"/>
                <w:szCs w:val="11"/>
                <w:b w:val="1"/>
                <w:bCs w:val="1"/>
                <w:color w:val="FFFFFF"/>
              </w:rPr>
              <w:t>STOCK AWARDS</w:t>
            </w:r>
          </w:p>
        </w:tc>
        <w:tc>
          <w:tcPr>
            <w:tcW w:w="960" w:type="dxa"/>
            <w:vAlign w:val="bottom"/>
            <w:shd w:val="clear" w:color="auto" w:fill="99B7C6"/>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2300" w:type="dxa"/>
            <w:vAlign w:val="bottom"/>
            <w:shd w:val="clear" w:color="auto" w:fill="99B7C6"/>
          </w:tcPr>
          <w:p>
            <w:pPr>
              <w:spacing w:after="0"/>
              <w:rPr>
                <w:sz w:val="13"/>
                <w:szCs w:val="13"/>
                <w:color w:val="auto"/>
              </w:rPr>
            </w:pPr>
          </w:p>
        </w:tc>
        <w:tc>
          <w:tcPr>
            <w:tcW w:w="1080" w:type="dxa"/>
            <w:vAlign w:val="bottom"/>
            <w:shd w:val="clear" w:color="auto" w:fill="99B7C6"/>
          </w:tcPr>
          <w:p>
            <w:pPr>
              <w:spacing w:after="0"/>
              <w:rPr>
                <w:sz w:val="13"/>
                <w:szCs w:val="13"/>
                <w:color w:val="auto"/>
              </w:rPr>
            </w:pPr>
          </w:p>
        </w:tc>
        <w:tc>
          <w:tcPr>
            <w:tcW w:w="1040" w:type="dxa"/>
            <w:vAlign w:val="bottom"/>
            <w:shd w:val="clear" w:color="auto" w:fill="8AADBD"/>
          </w:tcPr>
          <w:p>
            <w:pPr>
              <w:spacing w:after="0"/>
              <w:rPr>
                <w:sz w:val="13"/>
                <w:szCs w:val="13"/>
                <w:color w:val="auto"/>
              </w:rPr>
            </w:pPr>
          </w:p>
        </w:tc>
        <w:tc>
          <w:tcPr>
            <w:tcW w:w="1460" w:type="dxa"/>
            <w:vAlign w:val="bottom"/>
            <w:shd w:val="clear" w:color="auto" w:fill="8AADBD"/>
          </w:tcPr>
          <w:p>
            <w:pPr>
              <w:spacing w:after="0"/>
              <w:rPr>
                <w:sz w:val="13"/>
                <w:szCs w:val="13"/>
                <w:color w:val="auto"/>
              </w:rPr>
            </w:pPr>
          </w:p>
        </w:tc>
        <w:tc>
          <w:tcPr>
            <w:tcW w:w="540" w:type="dxa"/>
            <w:vAlign w:val="bottom"/>
            <w:shd w:val="clear" w:color="auto" w:fill="8AADBD"/>
          </w:tcPr>
          <w:p>
            <w:pPr>
              <w:spacing w:after="0"/>
              <w:rPr>
                <w:sz w:val="13"/>
                <w:szCs w:val="13"/>
                <w:color w:val="auto"/>
              </w:rPr>
            </w:pPr>
          </w:p>
        </w:tc>
        <w:tc>
          <w:tcPr>
            <w:tcW w:w="940" w:type="dxa"/>
            <w:vAlign w:val="bottom"/>
            <w:shd w:val="clear" w:color="auto" w:fill="8AADBD"/>
          </w:tcPr>
          <w:p>
            <w:pPr>
              <w:spacing w:after="0"/>
              <w:rPr>
                <w:sz w:val="13"/>
                <w:szCs w:val="13"/>
                <w:color w:val="auto"/>
              </w:rPr>
            </w:pPr>
          </w:p>
        </w:tc>
        <w:tc>
          <w:tcPr>
            <w:tcW w:w="840" w:type="dxa"/>
            <w:vAlign w:val="bottom"/>
            <w:shd w:val="clear" w:color="auto" w:fill="B6CCD6"/>
          </w:tcPr>
          <w:p>
            <w:pPr>
              <w:spacing w:after="0"/>
              <w:rPr>
                <w:sz w:val="13"/>
                <w:szCs w:val="13"/>
                <w:color w:val="auto"/>
              </w:rPr>
            </w:pPr>
          </w:p>
        </w:tc>
        <w:tc>
          <w:tcPr>
            <w:tcW w:w="880" w:type="dxa"/>
            <w:vAlign w:val="bottom"/>
            <w:shd w:val="clear" w:color="auto" w:fill="B6CCD6"/>
          </w:tcPr>
          <w:p>
            <w:pPr>
              <w:spacing w:after="0"/>
              <w:rPr>
                <w:sz w:val="13"/>
                <w:szCs w:val="13"/>
                <w:color w:val="auto"/>
              </w:rPr>
            </w:pPr>
          </w:p>
        </w:tc>
        <w:tc>
          <w:tcPr>
            <w:tcW w:w="900" w:type="dxa"/>
            <w:vAlign w:val="bottom"/>
            <w:shd w:val="clear" w:color="auto" w:fill="B6CCD6"/>
          </w:tcPr>
          <w:p>
            <w:pPr>
              <w:jc w:val="right"/>
              <w:ind w:right="2"/>
              <w:spacing w:after="0"/>
              <w:rPr>
                <w:sz w:val="20"/>
                <w:szCs w:val="20"/>
                <w:color w:val="auto"/>
              </w:rPr>
            </w:pPr>
            <w:r>
              <w:rPr>
                <w:rFonts w:ascii="Arial" w:cs="Arial" w:eastAsia="Arial" w:hAnsi="Arial"/>
                <w:sz w:val="11"/>
                <w:szCs w:val="11"/>
                <w:b w:val="1"/>
                <w:bCs w:val="1"/>
                <w:color w:val="FFFFFF"/>
              </w:rPr>
              <w:t>Equity</w:t>
            </w:r>
          </w:p>
        </w:tc>
        <w:tc>
          <w:tcPr>
            <w:tcW w:w="960" w:type="dxa"/>
            <w:vAlign w:val="bottom"/>
            <w:shd w:val="clear" w:color="auto" w:fill="B6CCD6"/>
          </w:tcPr>
          <w:p>
            <w:pPr>
              <w:jc w:val="right"/>
              <w:ind w:right="62"/>
              <w:spacing w:after="0"/>
              <w:rPr>
                <w:sz w:val="20"/>
                <w:szCs w:val="20"/>
                <w:color w:val="auto"/>
              </w:rPr>
            </w:pPr>
            <w:r>
              <w:rPr>
                <w:rFonts w:ascii="Arial" w:cs="Arial" w:eastAsia="Arial" w:hAnsi="Arial"/>
                <w:sz w:val="11"/>
                <w:szCs w:val="11"/>
                <w:b w:val="1"/>
                <w:bCs w:val="1"/>
                <w:color w:val="FFFFFF"/>
              </w:rPr>
              <w:t>Equity</w:t>
            </w:r>
          </w:p>
        </w:tc>
        <w:tc>
          <w:tcPr>
            <w:tcW w:w="0" w:type="dxa"/>
            <w:vAlign w:val="bottom"/>
          </w:tcPr>
          <w:p>
            <w:pPr>
              <w:spacing w:after="0"/>
              <w:rPr>
                <w:sz w:val="1"/>
                <w:szCs w:val="1"/>
                <w:color w:val="auto"/>
              </w:rPr>
            </w:pPr>
          </w:p>
        </w:tc>
      </w:tr>
      <w:tr>
        <w:trPr>
          <w:trHeight w:val="118"/>
        </w:trPr>
        <w:tc>
          <w:tcPr>
            <w:tcW w:w="230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040" w:type="dxa"/>
            <w:vAlign w:val="bottom"/>
            <w:shd w:val="clear" w:color="auto" w:fill="8AADBD"/>
          </w:tcPr>
          <w:p>
            <w:pPr>
              <w:spacing w:after="0"/>
              <w:rPr>
                <w:sz w:val="10"/>
                <w:szCs w:val="10"/>
                <w:color w:val="auto"/>
              </w:rPr>
            </w:pPr>
          </w:p>
        </w:tc>
        <w:tc>
          <w:tcPr>
            <w:tcW w:w="1460" w:type="dxa"/>
            <w:vAlign w:val="bottom"/>
            <w:shd w:val="clear" w:color="auto" w:fill="8AADBD"/>
          </w:tcPr>
          <w:p>
            <w:pPr>
              <w:spacing w:after="0"/>
              <w:rPr>
                <w:sz w:val="10"/>
                <w:szCs w:val="10"/>
                <w:color w:val="auto"/>
              </w:rPr>
            </w:pPr>
          </w:p>
        </w:tc>
        <w:tc>
          <w:tcPr>
            <w:tcW w:w="540" w:type="dxa"/>
            <w:vAlign w:val="bottom"/>
            <w:shd w:val="clear" w:color="auto" w:fill="8AADBD"/>
          </w:tcPr>
          <w:p>
            <w:pPr>
              <w:spacing w:after="0"/>
              <w:rPr>
                <w:sz w:val="10"/>
                <w:szCs w:val="10"/>
                <w:color w:val="auto"/>
              </w:rPr>
            </w:pPr>
          </w:p>
        </w:tc>
        <w:tc>
          <w:tcPr>
            <w:tcW w:w="940" w:type="dxa"/>
            <w:vAlign w:val="bottom"/>
            <w:shd w:val="clear" w:color="auto" w:fill="8AADBD"/>
          </w:tcPr>
          <w:p>
            <w:pPr>
              <w:spacing w:after="0"/>
              <w:rPr>
                <w:sz w:val="10"/>
                <w:szCs w:val="10"/>
                <w:color w:val="auto"/>
              </w:rPr>
            </w:pPr>
          </w:p>
        </w:tc>
        <w:tc>
          <w:tcPr>
            <w:tcW w:w="840" w:type="dxa"/>
            <w:vAlign w:val="bottom"/>
            <w:shd w:val="clear" w:color="auto" w:fill="B6CCD6"/>
          </w:tcPr>
          <w:p>
            <w:pPr>
              <w:spacing w:after="0"/>
              <w:rPr>
                <w:sz w:val="10"/>
                <w:szCs w:val="10"/>
                <w:color w:val="auto"/>
              </w:rPr>
            </w:pPr>
          </w:p>
        </w:tc>
        <w:tc>
          <w:tcPr>
            <w:tcW w:w="880" w:type="dxa"/>
            <w:vAlign w:val="bottom"/>
            <w:shd w:val="clear" w:color="auto" w:fill="B6CCD6"/>
          </w:tcPr>
          <w:p>
            <w:pPr>
              <w:spacing w:after="0"/>
              <w:rPr>
                <w:sz w:val="10"/>
                <w:szCs w:val="10"/>
                <w:color w:val="auto"/>
              </w:rPr>
            </w:pPr>
          </w:p>
        </w:tc>
        <w:tc>
          <w:tcPr>
            <w:tcW w:w="900" w:type="dxa"/>
            <w:vAlign w:val="bottom"/>
            <w:shd w:val="clear" w:color="auto" w:fill="B6CCD6"/>
          </w:tcPr>
          <w:p>
            <w:pPr>
              <w:jc w:val="right"/>
              <w:ind w:right="2"/>
              <w:spacing w:after="0" w:line="118" w:lineRule="exact"/>
              <w:rPr>
                <w:sz w:val="20"/>
                <w:szCs w:val="20"/>
                <w:color w:val="auto"/>
              </w:rPr>
            </w:pPr>
            <w:r>
              <w:rPr>
                <w:rFonts w:ascii="Arial" w:cs="Arial" w:eastAsia="Arial" w:hAnsi="Arial"/>
                <w:sz w:val="11"/>
                <w:szCs w:val="11"/>
                <w:b w:val="1"/>
                <w:bCs w:val="1"/>
                <w:color w:val="FFFFFF"/>
              </w:rPr>
              <w:t>Incentive</w:t>
            </w:r>
          </w:p>
        </w:tc>
        <w:tc>
          <w:tcPr>
            <w:tcW w:w="960" w:type="dxa"/>
            <w:vAlign w:val="bottom"/>
            <w:shd w:val="clear" w:color="auto" w:fill="B6CCD6"/>
          </w:tcPr>
          <w:p>
            <w:pPr>
              <w:jc w:val="right"/>
              <w:ind w:right="62"/>
              <w:spacing w:after="0" w:line="118" w:lineRule="exact"/>
              <w:rPr>
                <w:sz w:val="20"/>
                <w:szCs w:val="20"/>
                <w:color w:val="auto"/>
              </w:rPr>
            </w:pPr>
            <w:r>
              <w:rPr>
                <w:rFonts w:ascii="Arial" w:cs="Arial" w:eastAsia="Arial" w:hAnsi="Arial"/>
                <w:sz w:val="11"/>
                <w:szCs w:val="11"/>
                <w:b w:val="1"/>
                <w:bCs w:val="1"/>
                <w:color w:val="FFFFFF"/>
              </w:rPr>
              <w:t>Incentive</w:t>
            </w:r>
          </w:p>
        </w:tc>
        <w:tc>
          <w:tcPr>
            <w:tcW w:w="0" w:type="dxa"/>
            <w:vAlign w:val="bottom"/>
          </w:tcPr>
          <w:p>
            <w:pPr>
              <w:spacing w:after="0"/>
              <w:rPr>
                <w:sz w:val="1"/>
                <w:szCs w:val="1"/>
                <w:color w:val="auto"/>
              </w:rPr>
            </w:pPr>
          </w:p>
        </w:tc>
      </w:tr>
      <w:tr>
        <w:trPr>
          <w:trHeight w:val="118"/>
        </w:trPr>
        <w:tc>
          <w:tcPr>
            <w:tcW w:w="230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040" w:type="dxa"/>
            <w:vAlign w:val="bottom"/>
            <w:shd w:val="clear" w:color="auto" w:fill="8AADBD"/>
          </w:tcPr>
          <w:p>
            <w:pPr>
              <w:spacing w:after="0"/>
              <w:rPr>
                <w:sz w:val="10"/>
                <w:szCs w:val="10"/>
                <w:color w:val="auto"/>
              </w:rPr>
            </w:pPr>
          </w:p>
        </w:tc>
        <w:tc>
          <w:tcPr>
            <w:tcW w:w="1460" w:type="dxa"/>
            <w:vAlign w:val="bottom"/>
            <w:shd w:val="clear" w:color="auto" w:fill="8AADBD"/>
          </w:tcPr>
          <w:p>
            <w:pPr>
              <w:spacing w:after="0"/>
              <w:rPr>
                <w:sz w:val="10"/>
                <w:szCs w:val="10"/>
                <w:color w:val="auto"/>
              </w:rPr>
            </w:pPr>
          </w:p>
        </w:tc>
        <w:tc>
          <w:tcPr>
            <w:tcW w:w="540" w:type="dxa"/>
            <w:vAlign w:val="bottom"/>
            <w:shd w:val="clear" w:color="auto" w:fill="8AADBD"/>
          </w:tcPr>
          <w:p>
            <w:pPr>
              <w:spacing w:after="0"/>
              <w:rPr>
                <w:sz w:val="10"/>
                <w:szCs w:val="10"/>
                <w:color w:val="auto"/>
              </w:rPr>
            </w:pPr>
          </w:p>
        </w:tc>
        <w:tc>
          <w:tcPr>
            <w:tcW w:w="940" w:type="dxa"/>
            <w:vAlign w:val="bottom"/>
            <w:shd w:val="clear" w:color="auto" w:fill="8AADBD"/>
          </w:tcPr>
          <w:p>
            <w:pPr>
              <w:spacing w:after="0"/>
              <w:rPr>
                <w:sz w:val="10"/>
                <w:szCs w:val="10"/>
                <w:color w:val="auto"/>
              </w:rPr>
            </w:pPr>
          </w:p>
        </w:tc>
        <w:tc>
          <w:tcPr>
            <w:tcW w:w="840" w:type="dxa"/>
            <w:vAlign w:val="bottom"/>
            <w:shd w:val="clear" w:color="auto" w:fill="B6CCD6"/>
          </w:tcPr>
          <w:p>
            <w:pPr>
              <w:spacing w:after="0"/>
              <w:rPr>
                <w:sz w:val="10"/>
                <w:szCs w:val="10"/>
                <w:color w:val="auto"/>
              </w:rPr>
            </w:pPr>
          </w:p>
        </w:tc>
        <w:tc>
          <w:tcPr>
            <w:tcW w:w="880" w:type="dxa"/>
            <w:vAlign w:val="bottom"/>
            <w:vMerge w:val="restart"/>
            <w:shd w:val="clear" w:color="auto" w:fill="B6CCD6"/>
          </w:tcPr>
          <w:p>
            <w:pPr>
              <w:jc w:val="right"/>
              <w:spacing w:after="0"/>
              <w:rPr>
                <w:sz w:val="20"/>
                <w:szCs w:val="20"/>
                <w:color w:val="auto"/>
              </w:rPr>
            </w:pPr>
            <w:r>
              <w:rPr>
                <w:rFonts w:ascii="Arial" w:cs="Arial" w:eastAsia="Arial" w:hAnsi="Arial"/>
                <w:sz w:val="11"/>
                <w:szCs w:val="11"/>
                <w:b w:val="1"/>
                <w:bCs w:val="1"/>
                <w:color w:val="FFFFFF"/>
              </w:rPr>
              <w:t>Market</w:t>
            </w:r>
          </w:p>
        </w:tc>
        <w:tc>
          <w:tcPr>
            <w:tcW w:w="900" w:type="dxa"/>
            <w:vAlign w:val="bottom"/>
            <w:shd w:val="clear" w:color="auto" w:fill="B6CCD6"/>
          </w:tcPr>
          <w:p>
            <w:pPr>
              <w:jc w:val="right"/>
              <w:ind w:right="2"/>
              <w:spacing w:after="0" w:line="118" w:lineRule="exact"/>
              <w:rPr>
                <w:sz w:val="20"/>
                <w:szCs w:val="20"/>
                <w:color w:val="auto"/>
              </w:rPr>
            </w:pPr>
            <w:r>
              <w:rPr>
                <w:rFonts w:ascii="Arial" w:cs="Arial" w:eastAsia="Arial" w:hAnsi="Arial"/>
                <w:sz w:val="11"/>
                <w:szCs w:val="11"/>
                <w:b w:val="1"/>
                <w:bCs w:val="1"/>
                <w:color w:val="FFFFFF"/>
              </w:rPr>
              <w:t>Plans Awards:</w:t>
            </w:r>
          </w:p>
        </w:tc>
        <w:tc>
          <w:tcPr>
            <w:tcW w:w="960" w:type="dxa"/>
            <w:vAlign w:val="bottom"/>
            <w:shd w:val="clear" w:color="auto" w:fill="B6CCD6"/>
          </w:tcPr>
          <w:p>
            <w:pPr>
              <w:jc w:val="right"/>
              <w:ind w:right="62"/>
              <w:spacing w:after="0" w:line="118" w:lineRule="exact"/>
              <w:rPr>
                <w:sz w:val="20"/>
                <w:szCs w:val="20"/>
                <w:color w:val="auto"/>
              </w:rPr>
            </w:pPr>
            <w:r>
              <w:rPr>
                <w:rFonts w:ascii="Arial" w:cs="Arial" w:eastAsia="Arial" w:hAnsi="Arial"/>
                <w:sz w:val="11"/>
                <w:szCs w:val="11"/>
                <w:b w:val="1"/>
                <w:bCs w:val="1"/>
                <w:color w:val="FFFFFF"/>
              </w:rPr>
              <w:t>Plans Awards:</w:t>
            </w:r>
          </w:p>
        </w:tc>
        <w:tc>
          <w:tcPr>
            <w:tcW w:w="0" w:type="dxa"/>
            <w:vAlign w:val="bottom"/>
          </w:tcPr>
          <w:p>
            <w:pPr>
              <w:spacing w:after="0"/>
              <w:rPr>
                <w:sz w:val="1"/>
                <w:szCs w:val="1"/>
                <w:color w:val="auto"/>
              </w:rPr>
            </w:pPr>
          </w:p>
        </w:tc>
      </w:tr>
      <w:tr>
        <w:trPr>
          <w:trHeight w:val="118"/>
        </w:trPr>
        <w:tc>
          <w:tcPr>
            <w:tcW w:w="230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040" w:type="dxa"/>
            <w:vAlign w:val="bottom"/>
            <w:shd w:val="clear" w:color="auto" w:fill="8AADBD"/>
          </w:tcPr>
          <w:p>
            <w:pPr>
              <w:spacing w:after="0"/>
              <w:rPr>
                <w:sz w:val="10"/>
                <w:szCs w:val="10"/>
                <w:color w:val="auto"/>
              </w:rPr>
            </w:pPr>
          </w:p>
        </w:tc>
        <w:tc>
          <w:tcPr>
            <w:tcW w:w="1460" w:type="dxa"/>
            <w:vAlign w:val="bottom"/>
            <w:shd w:val="clear" w:color="auto" w:fill="8AADBD"/>
          </w:tcPr>
          <w:p>
            <w:pPr>
              <w:spacing w:after="0"/>
              <w:rPr>
                <w:sz w:val="10"/>
                <w:szCs w:val="10"/>
                <w:color w:val="auto"/>
              </w:rPr>
            </w:pPr>
          </w:p>
        </w:tc>
        <w:tc>
          <w:tcPr>
            <w:tcW w:w="540" w:type="dxa"/>
            <w:vAlign w:val="bottom"/>
            <w:shd w:val="clear" w:color="auto" w:fill="8AADBD"/>
          </w:tcPr>
          <w:p>
            <w:pPr>
              <w:spacing w:after="0"/>
              <w:rPr>
                <w:sz w:val="10"/>
                <w:szCs w:val="10"/>
                <w:color w:val="auto"/>
              </w:rPr>
            </w:pPr>
          </w:p>
        </w:tc>
        <w:tc>
          <w:tcPr>
            <w:tcW w:w="940" w:type="dxa"/>
            <w:vAlign w:val="bottom"/>
            <w:shd w:val="clear" w:color="auto" w:fill="8AADBD"/>
          </w:tcPr>
          <w:p>
            <w:pPr>
              <w:spacing w:after="0"/>
              <w:rPr>
                <w:sz w:val="10"/>
                <w:szCs w:val="10"/>
                <w:color w:val="auto"/>
              </w:rPr>
            </w:pPr>
          </w:p>
        </w:tc>
        <w:tc>
          <w:tcPr>
            <w:tcW w:w="840" w:type="dxa"/>
            <w:vAlign w:val="bottom"/>
            <w:vMerge w:val="restart"/>
            <w:shd w:val="clear" w:color="auto" w:fill="B6CCD6"/>
          </w:tcPr>
          <w:p>
            <w:pPr>
              <w:jc w:val="right"/>
              <w:spacing w:after="0"/>
              <w:rPr>
                <w:sz w:val="20"/>
                <w:szCs w:val="20"/>
                <w:color w:val="auto"/>
              </w:rPr>
            </w:pPr>
            <w:r>
              <w:rPr>
                <w:rFonts w:ascii="Arial" w:cs="Arial" w:eastAsia="Arial" w:hAnsi="Arial"/>
                <w:sz w:val="11"/>
                <w:szCs w:val="11"/>
                <w:b w:val="1"/>
                <w:bCs w:val="1"/>
                <w:color w:val="FFFFFF"/>
              </w:rPr>
              <w:t>Number of</w:t>
            </w:r>
          </w:p>
        </w:tc>
        <w:tc>
          <w:tcPr>
            <w:tcW w:w="880" w:type="dxa"/>
            <w:vAlign w:val="bottom"/>
            <w:vMerge w:val="continue"/>
            <w:shd w:val="clear" w:color="auto" w:fill="B6CCD6"/>
          </w:tcPr>
          <w:p>
            <w:pPr>
              <w:spacing w:after="0"/>
              <w:rPr>
                <w:sz w:val="10"/>
                <w:szCs w:val="10"/>
                <w:color w:val="auto"/>
              </w:rPr>
            </w:pPr>
          </w:p>
        </w:tc>
        <w:tc>
          <w:tcPr>
            <w:tcW w:w="900" w:type="dxa"/>
            <w:vAlign w:val="bottom"/>
            <w:shd w:val="clear" w:color="auto" w:fill="B6CCD6"/>
          </w:tcPr>
          <w:p>
            <w:pPr>
              <w:jc w:val="right"/>
              <w:ind w:right="2"/>
              <w:spacing w:after="0" w:line="118" w:lineRule="exact"/>
              <w:rPr>
                <w:sz w:val="20"/>
                <w:szCs w:val="20"/>
                <w:color w:val="auto"/>
              </w:rPr>
            </w:pPr>
            <w:r>
              <w:rPr>
                <w:rFonts w:ascii="Arial" w:cs="Arial" w:eastAsia="Arial" w:hAnsi="Arial"/>
                <w:sz w:val="11"/>
                <w:szCs w:val="11"/>
                <w:b w:val="1"/>
                <w:bCs w:val="1"/>
                <w:color w:val="FFFFFF"/>
              </w:rPr>
              <w:t>Number of</w:t>
            </w:r>
          </w:p>
        </w:tc>
        <w:tc>
          <w:tcPr>
            <w:tcW w:w="960" w:type="dxa"/>
            <w:vAlign w:val="bottom"/>
            <w:shd w:val="clear" w:color="auto" w:fill="B6CCD6"/>
          </w:tcPr>
          <w:p>
            <w:pPr>
              <w:jc w:val="right"/>
              <w:ind w:right="62"/>
              <w:spacing w:after="0" w:line="118" w:lineRule="exact"/>
              <w:rPr>
                <w:sz w:val="20"/>
                <w:szCs w:val="20"/>
                <w:color w:val="auto"/>
              </w:rPr>
            </w:pPr>
            <w:r>
              <w:rPr>
                <w:rFonts w:ascii="Arial" w:cs="Arial" w:eastAsia="Arial" w:hAnsi="Arial"/>
                <w:sz w:val="11"/>
                <w:szCs w:val="11"/>
                <w:b w:val="1"/>
                <w:bCs w:val="1"/>
                <w:color w:val="FFFFFF"/>
              </w:rPr>
              <w:t>Market or</w:t>
            </w:r>
          </w:p>
        </w:tc>
        <w:tc>
          <w:tcPr>
            <w:tcW w:w="0" w:type="dxa"/>
            <w:vAlign w:val="bottom"/>
          </w:tcPr>
          <w:p>
            <w:pPr>
              <w:spacing w:after="0"/>
              <w:rPr>
                <w:sz w:val="1"/>
                <w:szCs w:val="1"/>
                <w:color w:val="auto"/>
              </w:rPr>
            </w:pPr>
          </w:p>
        </w:tc>
      </w:tr>
      <w:tr>
        <w:trPr>
          <w:trHeight w:val="118"/>
        </w:trPr>
        <w:tc>
          <w:tcPr>
            <w:tcW w:w="230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040" w:type="dxa"/>
            <w:vAlign w:val="bottom"/>
            <w:shd w:val="clear" w:color="auto" w:fill="8AADBD"/>
          </w:tcPr>
          <w:p>
            <w:pPr>
              <w:spacing w:after="0"/>
              <w:rPr>
                <w:sz w:val="10"/>
                <w:szCs w:val="10"/>
                <w:color w:val="auto"/>
              </w:rPr>
            </w:pPr>
          </w:p>
        </w:tc>
        <w:tc>
          <w:tcPr>
            <w:tcW w:w="1460" w:type="dxa"/>
            <w:vAlign w:val="bottom"/>
            <w:shd w:val="clear" w:color="auto" w:fill="8AADBD"/>
          </w:tcPr>
          <w:p>
            <w:pPr>
              <w:spacing w:after="0"/>
              <w:rPr>
                <w:sz w:val="10"/>
                <w:szCs w:val="10"/>
                <w:color w:val="auto"/>
              </w:rPr>
            </w:pPr>
          </w:p>
        </w:tc>
        <w:tc>
          <w:tcPr>
            <w:tcW w:w="540" w:type="dxa"/>
            <w:vAlign w:val="bottom"/>
            <w:shd w:val="clear" w:color="auto" w:fill="8AADBD"/>
          </w:tcPr>
          <w:p>
            <w:pPr>
              <w:spacing w:after="0"/>
              <w:rPr>
                <w:sz w:val="10"/>
                <w:szCs w:val="10"/>
                <w:color w:val="auto"/>
              </w:rPr>
            </w:pPr>
          </w:p>
        </w:tc>
        <w:tc>
          <w:tcPr>
            <w:tcW w:w="940" w:type="dxa"/>
            <w:vAlign w:val="bottom"/>
            <w:shd w:val="clear" w:color="auto" w:fill="8AADBD"/>
          </w:tcPr>
          <w:p>
            <w:pPr>
              <w:spacing w:after="0"/>
              <w:rPr>
                <w:sz w:val="10"/>
                <w:szCs w:val="10"/>
                <w:color w:val="auto"/>
              </w:rPr>
            </w:pPr>
          </w:p>
        </w:tc>
        <w:tc>
          <w:tcPr>
            <w:tcW w:w="840" w:type="dxa"/>
            <w:vAlign w:val="bottom"/>
            <w:vMerge w:val="continue"/>
            <w:shd w:val="clear" w:color="auto" w:fill="B6CCD6"/>
          </w:tcPr>
          <w:p>
            <w:pPr>
              <w:spacing w:after="0"/>
              <w:rPr>
                <w:sz w:val="10"/>
                <w:szCs w:val="10"/>
                <w:color w:val="auto"/>
              </w:rPr>
            </w:pPr>
          </w:p>
        </w:tc>
        <w:tc>
          <w:tcPr>
            <w:tcW w:w="880" w:type="dxa"/>
            <w:vAlign w:val="bottom"/>
            <w:shd w:val="clear" w:color="auto" w:fill="B6CCD6"/>
          </w:tcPr>
          <w:p>
            <w:pPr>
              <w:jc w:val="right"/>
              <w:spacing w:after="0" w:line="118" w:lineRule="exact"/>
              <w:rPr>
                <w:sz w:val="20"/>
                <w:szCs w:val="20"/>
                <w:color w:val="auto"/>
              </w:rPr>
            </w:pPr>
            <w:r>
              <w:rPr>
                <w:rFonts w:ascii="Arial" w:cs="Arial" w:eastAsia="Arial" w:hAnsi="Arial"/>
                <w:sz w:val="11"/>
                <w:szCs w:val="11"/>
                <w:b w:val="1"/>
                <w:bCs w:val="1"/>
                <w:color w:val="FFFFFF"/>
              </w:rPr>
              <w:t>Value of</w:t>
            </w:r>
          </w:p>
        </w:tc>
        <w:tc>
          <w:tcPr>
            <w:tcW w:w="900" w:type="dxa"/>
            <w:vAlign w:val="bottom"/>
            <w:shd w:val="clear" w:color="auto" w:fill="B6CCD6"/>
          </w:tcPr>
          <w:p>
            <w:pPr>
              <w:jc w:val="right"/>
              <w:ind w:right="2"/>
              <w:spacing w:after="0" w:line="118" w:lineRule="exact"/>
              <w:rPr>
                <w:sz w:val="20"/>
                <w:szCs w:val="20"/>
                <w:color w:val="auto"/>
              </w:rPr>
            </w:pPr>
            <w:r>
              <w:rPr>
                <w:rFonts w:ascii="Arial" w:cs="Arial" w:eastAsia="Arial" w:hAnsi="Arial"/>
                <w:sz w:val="11"/>
                <w:szCs w:val="11"/>
                <w:b w:val="1"/>
                <w:bCs w:val="1"/>
                <w:color w:val="FFFFFF"/>
              </w:rPr>
              <w:t>Unearned</w:t>
            </w:r>
          </w:p>
        </w:tc>
        <w:tc>
          <w:tcPr>
            <w:tcW w:w="960" w:type="dxa"/>
            <w:vAlign w:val="bottom"/>
            <w:shd w:val="clear" w:color="auto" w:fill="B6CCD6"/>
          </w:tcPr>
          <w:p>
            <w:pPr>
              <w:jc w:val="right"/>
              <w:ind w:right="62"/>
              <w:spacing w:after="0" w:line="118" w:lineRule="exact"/>
              <w:rPr>
                <w:sz w:val="20"/>
                <w:szCs w:val="20"/>
                <w:color w:val="auto"/>
              </w:rPr>
            </w:pPr>
            <w:r>
              <w:rPr>
                <w:rFonts w:ascii="Arial" w:cs="Arial" w:eastAsia="Arial" w:hAnsi="Arial"/>
                <w:sz w:val="11"/>
                <w:szCs w:val="11"/>
                <w:b w:val="1"/>
                <w:bCs w:val="1"/>
                <w:color w:val="FFFFFF"/>
                <w:w w:val="99"/>
              </w:rPr>
              <w:t>Payout Value of</w:t>
            </w:r>
          </w:p>
        </w:tc>
        <w:tc>
          <w:tcPr>
            <w:tcW w:w="0" w:type="dxa"/>
            <w:vAlign w:val="bottom"/>
          </w:tcPr>
          <w:p>
            <w:pPr>
              <w:spacing w:after="0"/>
              <w:rPr>
                <w:sz w:val="1"/>
                <w:szCs w:val="1"/>
                <w:color w:val="auto"/>
              </w:rPr>
            </w:pPr>
          </w:p>
        </w:tc>
      </w:tr>
      <w:tr>
        <w:trPr>
          <w:trHeight w:val="121"/>
        </w:trPr>
        <w:tc>
          <w:tcPr>
            <w:tcW w:w="230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040" w:type="dxa"/>
            <w:vAlign w:val="bottom"/>
            <w:shd w:val="clear" w:color="auto" w:fill="8AADBD"/>
          </w:tcPr>
          <w:p>
            <w:pPr>
              <w:jc w:val="right"/>
              <w:spacing w:after="0" w:line="122" w:lineRule="exact"/>
              <w:rPr>
                <w:sz w:val="20"/>
                <w:szCs w:val="20"/>
                <w:color w:val="auto"/>
              </w:rPr>
            </w:pPr>
            <w:r>
              <w:rPr>
                <w:rFonts w:ascii="Arial" w:cs="Arial" w:eastAsia="Arial" w:hAnsi="Arial"/>
                <w:sz w:val="11"/>
                <w:szCs w:val="11"/>
                <w:b w:val="1"/>
                <w:bCs w:val="1"/>
                <w:color w:val="FFFFFF"/>
              </w:rPr>
              <w:t>Number of</w:t>
            </w:r>
          </w:p>
        </w:tc>
        <w:tc>
          <w:tcPr>
            <w:tcW w:w="1460" w:type="dxa"/>
            <w:vAlign w:val="bottom"/>
            <w:shd w:val="clear" w:color="auto" w:fill="8AADBD"/>
          </w:tcPr>
          <w:p>
            <w:pPr>
              <w:jc w:val="right"/>
              <w:ind w:right="278"/>
              <w:spacing w:after="0" w:line="122" w:lineRule="exact"/>
              <w:rPr>
                <w:sz w:val="20"/>
                <w:szCs w:val="20"/>
                <w:color w:val="auto"/>
              </w:rPr>
            </w:pPr>
            <w:r>
              <w:rPr>
                <w:rFonts w:ascii="Arial" w:cs="Arial" w:eastAsia="Arial" w:hAnsi="Arial"/>
                <w:sz w:val="11"/>
                <w:szCs w:val="11"/>
                <w:b w:val="1"/>
                <w:bCs w:val="1"/>
                <w:color w:val="FFFFFF"/>
              </w:rPr>
              <w:t>Number of</w:t>
            </w:r>
          </w:p>
        </w:tc>
        <w:tc>
          <w:tcPr>
            <w:tcW w:w="540" w:type="dxa"/>
            <w:vAlign w:val="bottom"/>
            <w:shd w:val="clear" w:color="auto" w:fill="8AADBD"/>
          </w:tcPr>
          <w:p>
            <w:pPr>
              <w:spacing w:after="0"/>
              <w:rPr>
                <w:sz w:val="10"/>
                <w:szCs w:val="10"/>
                <w:color w:val="auto"/>
              </w:rPr>
            </w:pPr>
          </w:p>
        </w:tc>
        <w:tc>
          <w:tcPr>
            <w:tcW w:w="940" w:type="dxa"/>
            <w:vAlign w:val="bottom"/>
            <w:shd w:val="clear" w:color="auto" w:fill="8AADBD"/>
          </w:tcPr>
          <w:p>
            <w:pPr>
              <w:spacing w:after="0"/>
              <w:rPr>
                <w:sz w:val="10"/>
                <w:szCs w:val="10"/>
                <w:color w:val="auto"/>
              </w:rPr>
            </w:pPr>
          </w:p>
        </w:tc>
        <w:tc>
          <w:tcPr>
            <w:tcW w:w="840" w:type="dxa"/>
            <w:vAlign w:val="bottom"/>
            <w:shd w:val="clear" w:color="auto" w:fill="B6CCD6"/>
          </w:tcPr>
          <w:p>
            <w:pPr>
              <w:jc w:val="right"/>
              <w:spacing w:after="0" w:line="122" w:lineRule="exact"/>
              <w:rPr>
                <w:sz w:val="20"/>
                <w:szCs w:val="20"/>
                <w:color w:val="auto"/>
              </w:rPr>
            </w:pPr>
            <w:r>
              <w:rPr>
                <w:rFonts w:ascii="Arial" w:cs="Arial" w:eastAsia="Arial" w:hAnsi="Arial"/>
                <w:sz w:val="11"/>
                <w:szCs w:val="11"/>
                <w:b w:val="1"/>
                <w:bCs w:val="1"/>
                <w:color w:val="FFFFFF"/>
              </w:rPr>
              <w:t>Shares or</w:t>
            </w:r>
          </w:p>
        </w:tc>
        <w:tc>
          <w:tcPr>
            <w:tcW w:w="880" w:type="dxa"/>
            <w:vAlign w:val="bottom"/>
            <w:shd w:val="clear" w:color="auto" w:fill="B6CCD6"/>
          </w:tcPr>
          <w:p>
            <w:pPr>
              <w:jc w:val="right"/>
              <w:spacing w:after="0" w:line="122" w:lineRule="exact"/>
              <w:rPr>
                <w:sz w:val="20"/>
                <w:szCs w:val="20"/>
                <w:color w:val="auto"/>
              </w:rPr>
            </w:pPr>
            <w:r>
              <w:rPr>
                <w:rFonts w:ascii="Arial" w:cs="Arial" w:eastAsia="Arial" w:hAnsi="Arial"/>
                <w:sz w:val="11"/>
                <w:szCs w:val="11"/>
                <w:b w:val="1"/>
                <w:bCs w:val="1"/>
                <w:color w:val="FFFFFF"/>
              </w:rPr>
              <w:t>Shares or</w:t>
            </w:r>
          </w:p>
        </w:tc>
        <w:tc>
          <w:tcPr>
            <w:tcW w:w="900" w:type="dxa"/>
            <w:vAlign w:val="bottom"/>
            <w:shd w:val="clear" w:color="auto" w:fill="B6CCD6"/>
          </w:tcPr>
          <w:p>
            <w:pPr>
              <w:jc w:val="right"/>
              <w:ind w:right="2"/>
              <w:spacing w:after="0" w:line="122" w:lineRule="exact"/>
              <w:rPr>
                <w:sz w:val="20"/>
                <w:szCs w:val="20"/>
                <w:color w:val="auto"/>
              </w:rPr>
            </w:pPr>
            <w:r>
              <w:rPr>
                <w:rFonts w:ascii="Arial" w:cs="Arial" w:eastAsia="Arial" w:hAnsi="Arial"/>
                <w:sz w:val="11"/>
                <w:szCs w:val="11"/>
                <w:b w:val="1"/>
                <w:bCs w:val="1"/>
                <w:color w:val="FFFFFF"/>
              </w:rPr>
              <w:t>Shares,</w:t>
            </w:r>
          </w:p>
        </w:tc>
        <w:tc>
          <w:tcPr>
            <w:tcW w:w="960" w:type="dxa"/>
            <w:vAlign w:val="bottom"/>
            <w:shd w:val="clear" w:color="auto" w:fill="B6CCD6"/>
          </w:tcPr>
          <w:p>
            <w:pPr>
              <w:jc w:val="right"/>
              <w:ind w:right="62"/>
              <w:spacing w:after="0" w:line="122" w:lineRule="exact"/>
              <w:rPr>
                <w:sz w:val="20"/>
                <w:szCs w:val="20"/>
                <w:color w:val="auto"/>
              </w:rPr>
            </w:pPr>
            <w:r>
              <w:rPr>
                <w:rFonts w:ascii="Arial" w:cs="Arial" w:eastAsia="Arial" w:hAnsi="Arial"/>
                <w:sz w:val="11"/>
                <w:szCs w:val="11"/>
                <w:b w:val="1"/>
                <w:bCs w:val="1"/>
                <w:color w:val="FFFFFF"/>
              </w:rPr>
              <w:t>Unearned</w:t>
            </w:r>
          </w:p>
        </w:tc>
        <w:tc>
          <w:tcPr>
            <w:tcW w:w="0" w:type="dxa"/>
            <w:vAlign w:val="bottom"/>
          </w:tcPr>
          <w:p>
            <w:pPr>
              <w:spacing w:after="0"/>
              <w:rPr>
                <w:sz w:val="1"/>
                <w:szCs w:val="1"/>
                <w:color w:val="auto"/>
              </w:rPr>
            </w:pPr>
          </w:p>
        </w:tc>
      </w:tr>
      <w:tr>
        <w:trPr>
          <w:trHeight w:val="118"/>
        </w:trPr>
        <w:tc>
          <w:tcPr>
            <w:tcW w:w="230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040" w:type="dxa"/>
            <w:vAlign w:val="bottom"/>
            <w:shd w:val="clear" w:color="auto" w:fill="8AADBD"/>
          </w:tcPr>
          <w:p>
            <w:pPr>
              <w:jc w:val="right"/>
              <w:spacing w:after="0" w:line="118" w:lineRule="exact"/>
              <w:rPr>
                <w:sz w:val="20"/>
                <w:szCs w:val="20"/>
                <w:color w:val="auto"/>
              </w:rPr>
            </w:pPr>
            <w:r>
              <w:rPr>
                <w:rFonts w:ascii="Arial" w:cs="Arial" w:eastAsia="Arial" w:hAnsi="Arial"/>
                <w:sz w:val="11"/>
                <w:szCs w:val="11"/>
                <w:b w:val="1"/>
                <w:bCs w:val="1"/>
                <w:color w:val="FFFFFF"/>
              </w:rPr>
              <w:t>Securities</w:t>
            </w:r>
          </w:p>
        </w:tc>
        <w:tc>
          <w:tcPr>
            <w:tcW w:w="1460" w:type="dxa"/>
            <w:vAlign w:val="bottom"/>
            <w:shd w:val="clear" w:color="auto" w:fill="8AADBD"/>
          </w:tcPr>
          <w:p>
            <w:pPr>
              <w:jc w:val="right"/>
              <w:ind w:right="278"/>
              <w:spacing w:after="0" w:line="118" w:lineRule="exact"/>
              <w:rPr>
                <w:sz w:val="20"/>
                <w:szCs w:val="20"/>
                <w:color w:val="auto"/>
              </w:rPr>
            </w:pPr>
            <w:r>
              <w:rPr>
                <w:rFonts w:ascii="Arial" w:cs="Arial" w:eastAsia="Arial" w:hAnsi="Arial"/>
                <w:sz w:val="11"/>
                <w:szCs w:val="11"/>
                <w:b w:val="1"/>
                <w:bCs w:val="1"/>
                <w:color w:val="FFFFFF"/>
              </w:rPr>
              <w:t>Securities</w:t>
            </w:r>
          </w:p>
        </w:tc>
        <w:tc>
          <w:tcPr>
            <w:tcW w:w="540" w:type="dxa"/>
            <w:vAlign w:val="bottom"/>
            <w:shd w:val="clear" w:color="auto" w:fill="8AADBD"/>
          </w:tcPr>
          <w:p>
            <w:pPr>
              <w:spacing w:after="0"/>
              <w:rPr>
                <w:sz w:val="10"/>
                <w:szCs w:val="10"/>
                <w:color w:val="auto"/>
              </w:rPr>
            </w:pPr>
          </w:p>
        </w:tc>
        <w:tc>
          <w:tcPr>
            <w:tcW w:w="940" w:type="dxa"/>
            <w:vAlign w:val="bottom"/>
            <w:shd w:val="clear" w:color="auto" w:fill="8AADBD"/>
          </w:tcPr>
          <w:p>
            <w:pPr>
              <w:spacing w:after="0"/>
              <w:rPr>
                <w:sz w:val="10"/>
                <w:szCs w:val="10"/>
                <w:color w:val="auto"/>
              </w:rPr>
            </w:pPr>
          </w:p>
        </w:tc>
        <w:tc>
          <w:tcPr>
            <w:tcW w:w="840" w:type="dxa"/>
            <w:vAlign w:val="bottom"/>
            <w:shd w:val="clear" w:color="auto" w:fill="B6CCD6"/>
          </w:tcPr>
          <w:p>
            <w:pPr>
              <w:jc w:val="right"/>
              <w:ind w:right="20"/>
              <w:spacing w:after="0" w:line="118" w:lineRule="exact"/>
              <w:rPr>
                <w:sz w:val="20"/>
                <w:szCs w:val="20"/>
                <w:color w:val="auto"/>
              </w:rPr>
            </w:pPr>
            <w:r>
              <w:rPr>
                <w:rFonts w:ascii="Arial" w:cs="Arial" w:eastAsia="Arial" w:hAnsi="Arial"/>
                <w:sz w:val="11"/>
                <w:szCs w:val="11"/>
                <w:b w:val="1"/>
                <w:bCs w:val="1"/>
                <w:color w:val="FFFFFF"/>
              </w:rPr>
              <w:t>Units of</w:t>
            </w:r>
          </w:p>
        </w:tc>
        <w:tc>
          <w:tcPr>
            <w:tcW w:w="880" w:type="dxa"/>
            <w:vAlign w:val="bottom"/>
            <w:shd w:val="clear" w:color="auto" w:fill="B6CCD6"/>
          </w:tcPr>
          <w:p>
            <w:pPr>
              <w:jc w:val="right"/>
              <w:spacing w:after="0" w:line="118" w:lineRule="exact"/>
              <w:rPr>
                <w:sz w:val="20"/>
                <w:szCs w:val="20"/>
                <w:color w:val="auto"/>
              </w:rPr>
            </w:pPr>
            <w:r>
              <w:rPr>
                <w:rFonts w:ascii="Arial" w:cs="Arial" w:eastAsia="Arial" w:hAnsi="Arial"/>
                <w:sz w:val="11"/>
                <w:szCs w:val="11"/>
                <w:b w:val="1"/>
                <w:bCs w:val="1"/>
                <w:color w:val="FFFFFF"/>
              </w:rPr>
              <w:t>Units of</w:t>
            </w:r>
          </w:p>
        </w:tc>
        <w:tc>
          <w:tcPr>
            <w:tcW w:w="900" w:type="dxa"/>
            <w:vAlign w:val="bottom"/>
            <w:shd w:val="clear" w:color="auto" w:fill="B6CCD6"/>
          </w:tcPr>
          <w:p>
            <w:pPr>
              <w:jc w:val="right"/>
              <w:ind w:right="2"/>
              <w:spacing w:after="0" w:line="118" w:lineRule="exact"/>
              <w:rPr>
                <w:sz w:val="20"/>
                <w:szCs w:val="20"/>
                <w:color w:val="auto"/>
              </w:rPr>
            </w:pPr>
            <w:r>
              <w:rPr>
                <w:rFonts w:ascii="Arial" w:cs="Arial" w:eastAsia="Arial" w:hAnsi="Arial"/>
                <w:sz w:val="11"/>
                <w:szCs w:val="11"/>
                <w:b w:val="1"/>
                <w:bCs w:val="1"/>
                <w:color w:val="FFFFFF"/>
              </w:rPr>
              <w:t>Units or</w:t>
            </w:r>
          </w:p>
        </w:tc>
        <w:tc>
          <w:tcPr>
            <w:tcW w:w="960" w:type="dxa"/>
            <w:vAlign w:val="bottom"/>
            <w:shd w:val="clear" w:color="auto" w:fill="B6CCD6"/>
          </w:tcPr>
          <w:p>
            <w:pPr>
              <w:jc w:val="right"/>
              <w:ind w:right="62"/>
              <w:spacing w:after="0" w:line="118" w:lineRule="exact"/>
              <w:rPr>
                <w:sz w:val="20"/>
                <w:szCs w:val="20"/>
                <w:color w:val="auto"/>
              </w:rPr>
            </w:pPr>
            <w:r>
              <w:rPr>
                <w:rFonts w:ascii="Arial" w:cs="Arial" w:eastAsia="Arial" w:hAnsi="Arial"/>
                <w:sz w:val="11"/>
                <w:szCs w:val="11"/>
                <w:b w:val="1"/>
                <w:bCs w:val="1"/>
                <w:color w:val="FFFFFF"/>
              </w:rPr>
              <w:t>Shares,</w:t>
            </w:r>
          </w:p>
        </w:tc>
        <w:tc>
          <w:tcPr>
            <w:tcW w:w="0" w:type="dxa"/>
            <w:vAlign w:val="bottom"/>
          </w:tcPr>
          <w:p>
            <w:pPr>
              <w:spacing w:after="0"/>
              <w:rPr>
                <w:sz w:val="1"/>
                <w:szCs w:val="1"/>
                <w:color w:val="auto"/>
              </w:rPr>
            </w:pPr>
          </w:p>
        </w:tc>
      </w:tr>
      <w:tr>
        <w:trPr>
          <w:trHeight w:val="118"/>
        </w:trPr>
        <w:tc>
          <w:tcPr>
            <w:tcW w:w="230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040" w:type="dxa"/>
            <w:vAlign w:val="bottom"/>
            <w:shd w:val="clear" w:color="auto" w:fill="8AADBD"/>
          </w:tcPr>
          <w:p>
            <w:pPr>
              <w:jc w:val="right"/>
              <w:spacing w:after="0" w:line="118" w:lineRule="exact"/>
              <w:rPr>
                <w:sz w:val="20"/>
                <w:szCs w:val="20"/>
                <w:color w:val="auto"/>
              </w:rPr>
            </w:pPr>
            <w:r>
              <w:rPr>
                <w:rFonts w:ascii="Arial" w:cs="Arial" w:eastAsia="Arial" w:hAnsi="Arial"/>
                <w:sz w:val="11"/>
                <w:szCs w:val="11"/>
                <w:b w:val="1"/>
                <w:bCs w:val="1"/>
                <w:color w:val="FFFFFF"/>
              </w:rPr>
              <w:t>Underlying</w:t>
            </w:r>
          </w:p>
        </w:tc>
        <w:tc>
          <w:tcPr>
            <w:tcW w:w="1460" w:type="dxa"/>
            <w:vAlign w:val="bottom"/>
            <w:shd w:val="clear" w:color="auto" w:fill="8AADBD"/>
          </w:tcPr>
          <w:p>
            <w:pPr>
              <w:jc w:val="right"/>
              <w:ind w:right="278"/>
              <w:spacing w:after="0" w:line="118" w:lineRule="exact"/>
              <w:rPr>
                <w:sz w:val="20"/>
                <w:szCs w:val="20"/>
                <w:color w:val="auto"/>
              </w:rPr>
            </w:pPr>
            <w:r>
              <w:rPr>
                <w:rFonts w:ascii="Arial" w:cs="Arial" w:eastAsia="Arial" w:hAnsi="Arial"/>
                <w:sz w:val="11"/>
                <w:szCs w:val="11"/>
                <w:b w:val="1"/>
                <w:bCs w:val="1"/>
                <w:color w:val="FFFFFF"/>
              </w:rPr>
              <w:t>Underlying</w:t>
            </w:r>
          </w:p>
        </w:tc>
        <w:tc>
          <w:tcPr>
            <w:tcW w:w="540" w:type="dxa"/>
            <w:vAlign w:val="bottom"/>
            <w:vMerge w:val="restart"/>
            <w:shd w:val="clear" w:color="auto" w:fill="8AADBD"/>
          </w:tcPr>
          <w:p>
            <w:pPr>
              <w:jc w:val="right"/>
              <w:spacing w:after="0"/>
              <w:rPr>
                <w:sz w:val="20"/>
                <w:szCs w:val="20"/>
                <w:color w:val="auto"/>
              </w:rPr>
            </w:pPr>
            <w:r>
              <w:rPr>
                <w:rFonts w:ascii="Arial" w:cs="Arial" w:eastAsia="Arial" w:hAnsi="Arial"/>
                <w:sz w:val="11"/>
                <w:szCs w:val="11"/>
                <w:b w:val="1"/>
                <w:bCs w:val="1"/>
                <w:color w:val="FFFFFF"/>
              </w:rPr>
              <w:t>Option</w:t>
            </w:r>
          </w:p>
        </w:tc>
        <w:tc>
          <w:tcPr>
            <w:tcW w:w="940" w:type="dxa"/>
            <w:vAlign w:val="bottom"/>
            <w:shd w:val="clear" w:color="auto" w:fill="8AADBD"/>
          </w:tcPr>
          <w:p>
            <w:pPr>
              <w:spacing w:after="0"/>
              <w:rPr>
                <w:sz w:val="10"/>
                <w:szCs w:val="10"/>
                <w:color w:val="auto"/>
              </w:rPr>
            </w:pPr>
          </w:p>
        </w:tc>
        <w:tc>
          <w:tcPr>
            <w:tcW w:w="840" w:type="dxa"/>
            <w:vAlign w:val="bottom"/>
            <w:shd w:val="clear" w:color="auto" w:fill="B6CCD6"/>
          </w:tcPr>
          <w:p>
            <w:pPr>
              <w:jc w:val="right"/>
              <w:ind w:right="20"/>
              <w:spacing w:after="0" w:line="118" w:lineRule="exact"/>
              <w:rPr>
                <w:sz w:val="20"/>
                <w:szCs w:val="20"/>
                <w:color w:val="auto"/>
              </w:rPr>
            </w:pPr>
            <w:r>
              <w:rPr>
                <w:rFonts w:ascii="Arial" w:cs="Arial" w:eastAsia="Arial" w:hAnsi="Arial"/>
                <w:sz w:val="11"/>
                <w:szCs w:val="11"/>
                <w:b w:val="1"/>
                <w:bCs w:val="1"/>
                <w:color w:val="FFFFFF"/>
              </w:rPr>
              <w:t>Stock</w:t>
            </w:r>
          </w:p>
        </w:tc>
        <w:tc>
          <w:tcPr>
            <w:tcW w:w="880" w:type="dxa"/>
            <w:vAlign w:val="bottom"/>
            <w:shd w:val="clear" w:color="auto" w:fill="B6CCD6"/>
          </w:tcPr>
          <w:p>
            <w:pPr>
              <w:jc w:val="right"/>
              <w:spacing w:after="0" w:line="118" w:lineRule="exact"/>
              <w:rPr>
                <w:sz w:val="20"/>
                <w:szCs w:val="20"/>
                <w:color w:val="auto"/>
              </w:rPr>
            </w:pPr>
            <w:r>
              <w:rPr>
                <w:rFonts w:ascii="Arial" w:cs="Arial" w:eastAsia="Arial" w:hAnsi="Arial"/>
                <w:sz w:val="11"/>
                <w:szCs w:val="11"/>
                <w:b w:val="1"/>
                <w:bCs w:val="1"/>
                <w:color w:val="FFFFFF"/>
              </w:rPr>
              <w:t>Stock</w:t>
            </w:r>
          </w:p>
        </w:tc>
        <w:tc>
          <w:tcPr>
            <w:tcW w:w="900" w:type="dxa"/>
            <w:vAlign w:val="bottom"/>
            <w:shd w:val="clear" w:color="auto" w:fill="B6CCD6"/>
          </w:tcPr>
          <w:p>
            <w:pPr>
              <w:jc w:val="right"/>
              <w:ind w:right="22"/>
              <w:spacing w:after="0" w:line="118" w:lineRule="exact"/>
              <w:rPr>
                <w:sz w:val="20"/>
                <w:szCs w:val="20"/>
                <w:color w:val="auto"/>
              </w:rPr>
            </w:pPr>
            <w:r>
              <w:rPr>
                <w:rFonts w:ascii="Arial" w:cs="Arial" w:eastAsia="Arial" w:hAnsi="Arial"/>
                <w:sz w:val="11"/>
                <w:szCs w:val="11"/>
                <w:b w:val="1"/>
                <w:bCs w:val="1"/>
                <w:color w:val="FFFFFF"/>
              </w:rPr>
              <w:t>Other</w:t>
            </w:r>
          </w:p>
        </w:tc>
        <w:tc>
          <w:tcPr>
            <w:tcW w:w="960" w:type="dxa"/>
            <w:vAlign w:val="bottom"/>
            <w:shd w:val="clear" w:color="auto" w:fill="B6CCD6"/>
          </w:tcPr>
          <w:p>
            <w:pPr>
              <w:jc w:val="right"/>
              <w:ind w:right="62"/>
              <w:spacing w:after="0" w:line="118" w:lineRule="exact"/>
              <w:rPr>
                <w:sz w:val="20"/>
                <w:szCs w:val="20"/>
                <w:color w:val="auto"/>
              </w:rPr>
            </w:pPr>
            <w:r>
              <w:rPr>
                <w:rFonts w:ascii="Arial" w:cs="Arial" w:eastAsia="Arial" w:hAnsi="Arial"/>
                <w:sz w:val="11"/>
                <w:szCs w:val="11"/>
                <w:b w:val="1"/>
                <w:bCs w:val="1"/>
                <w:color w:val="FFFFFF"/>
              </w:rPr>
              <w:t>Units or</w:t>
            </w:r>
          </w:p>
        </w:tc>
        <w:tc>
          <w:tcPr>
            <w:tcW w:w="0" w:type="dxa"/>
            <w:vAlign w:val="bottom"/>
          </w:tcPr>
          <w:p>
            <w:pPr>
              <w:spacing w:after="0"/>
              <w:rPr>
                <w:sz w:val="1"/>
                <w:szCs w:val="1"/>
                <w:color w:val="auto"/>
              </w:rPr>
            </w:pPr>
          </w:p>
        </w:tc>
      </w:tr>
      <w:tr>
        <w:trPr>
          <w:trHeight w:val="118"/>
        </w:trPr>
        <w:tc>
          <w:tcPr>
            <w:tcW w:w="230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040" w:type="dxa"/>
            <w:vAlign w:val="bottom"/>
            <w:shd w:val="clear" w:color="auto" w:fill="8AADBD"/>
          </w:tcPr>
          <w:p>
            <w:pPr>
              <w:jc w:val="right"/>
              <w:spacing w:after="0" w:line="118" w:lineRule="exact"/>
              <w:rPr>
                <w:sz w:val="20"/>
                <w:szCs w:val="20"/>
                <w:color w:val="auto"/>
              </w:rPr>
            </w:pPr>
            <w:r>
              <w:rPr>
                <w:rFonts w:ascii="Arial" w:cs="Arial" w:eastAsia="Arial" w:hAnsi="Arial"/>
                <w:sz w:val="11"/>
                <w:szCs w:val="11"/>
                <w:b w:val="1"/>
                <w:bCs w:val="1"/>
                <w:color w:val="FFFFFF"/>
              </w:rPr>
              <w:t>Unexercised</w:t>
            </w:r>
          </w:p>
        </w:tc>
        <w:tc>
          <w:tcPr>
            <w:tcW w:w="1460" w:type="dxa"/>
            <w:vAlign w:val="bottom"/>
            <w:shd w:val="clear" w:color="auto" w:fill="8AADBD"/>
          </w:tcPr>
          <w:p>
            <w:pPr>
              <w:jc w:val="right"/>
              <w:ind w:right="278"/>
              <w:spacing w:after="0" w:line="118" w:lineRule="exact"/>
              <w:rPr>
                <w:sz w:val="20"/>
                <w:szCs w:val="20"/>
                <w:color w:val="auto"/>
              </w:rPr>
            </w:pPr>
            <w:r>
              <w:rPr>
                <w:rFonts w:ascii="Arial" w:cs="Arial" w:eastAsia="Arial" w:hAnsi="Arial"/>
                <w:sz w:val="11"/>
                <w:szCs w:val="11"/>
                <w:b w:val="1"/>
                <w:bCs w:val="1"/>
                <w:color w:val="FFFFFF"/>
              </w:rPr>
              <w:t>Unexercised</w:t>
            </w:r>
          </w:p>
        </w:tc>
        <w:tc>
          <w:tcPr>
            <w:tcW w:w="540" w:type="dxa"/>
            <w:vAlign w:val="bottom"/>
            <w:vMerge w:val="continue"/>
            <w:shd w:val="clear" w:color="auto" w:fill="8AADBD"/>
          </w:tcPr>
          <w:p>
            <w:pPr>
              <w:spacing w:after="0"/>
              <w:rPr>
                <w:sz w:val="10"/>
                <w:szCs w:val="10"/>
                <w:color w:val="auto"/>
              </w:rPr>
            </w:pPr>
          </w:p>
        </w:tc>
        <w:tc>
          <w:tcPr>
            <w:tcW w:w="940" w:type="dxa"/>
            <w:vAlign w:val="bottom"/>
            <w:vMerge w:val="restart"/>
            <w:shd w:val="clear" w:color="auto" w:fill="8AADBD"/>
          </w:tcPr>
          <w:p>
            <w:pPr>
              <w:jc w:val="right"/>
              <w:spacing w:after="0"/>
              <w:rPr>
                <w:sz w:val="20"/>
                <w:szCs w:val="20"/>
                <w:color w:val="auto"/>
              </w:rPr>
            </w:pPr>
            <w:r>
              <w:rPr>
                <w:rFonts w:ascii="Arial" w:cs="Arial" w:eastAsia="Arial" w:hAnsi="Arial"/>
                <w:sz w:val="11"/>
                <w:szCs w:val="11"/>
                <w:b w:val="1"/>
                <w:bCs w:val="1"/>
                <w:color w:val="FFFFFF"/>
              </w:rPr>
              <w:t>Option</w:t>
            </w:r>
          </w:p>
        </w:tc>
        <w:tc>
          <w:tcPr>
            <w:tcW w:w="840" w:type="dxa"/>
            <w:vAlign w:val="bottom"/>
            <w:shd w:val="clear" w:color="auto" w:fill="B6CCD6"/>
          </w:tcPr>
          <w:p>
            <w:pPr>
              <w:jc w:val="right"/>
              <w:ind w:right="20"/>
              <w:spacing w:after="0" w:line="118" w:lineRule="exact"/>
              <w:rPr>
                <w:sz w:val="20"/>
                <w:szCs w:val="20"/>
                <w:color w:val="auto"/>
              </w:rPr>
            </w:pPr>
            <w:r>
              <w:rPr>
                <w:rFonts w:ascii="Arial" w:cs="Arial" w:eastAsia="Arial" w:hAnsi="Arial"/>
                <w:sz w:val="11"/>
                <w:szCs w:val="11"/>
                <w:b w:val="1"/>
                <w:bCs w:val="1"/>
                <w:color w:val="FFFFFF"/>
              </w:rPr>
              <w:t>That</w:t>
            </w:r>
          </w:p>
        </w:tc>
        <w:tc>
          <w:tcPr>
            <w:tcW w:w="880" w:type="dxa"/>
            <w:vAlign w:val="bottom"/>
            <w:shd w:val="clear" w:color="auto" w:fill="B6CCD6"/>
          </w:tcPr>
          <w:p>
            <w:pPr>
              <w:jc w:val="right"/>
              <w:ind w:right="21"/>
              <w:spacing w:after="0" w:line="118" w:lineRule="exact"/>
              <w:rPr>
                <w:sz w:val="20"/>
                <w:szCs w:val="20"/>
                <w:color w:val="auto"/>
              </w:rPr>
            </w:pPr>
            <w:r>
              <w:rPr>
                <w:rFonts w:ascii="Arial" w:cs="Arial" w:eastAsia="Arial" w:hAnsi="Arial"/>
                <w:sz w:val="11"/>
                <w:szCs w:val="11"/>
                <w:b w:val="1"/>
                <w:bCs w:val="1"/>
                <w:color w:val="FFFFFF"/>
              </w:rPr>
              <w:t>That Have</w:t>
            </w:r>
          </w:p>
        </w:tc>
        <w:tc>
          <w:tcPr>
            <w:tcW w:w="900" w:type="dxa"/>
            <w:vAlign w:val="bottom"/>
            <w:shd w:val="clear" w:color="auto" w:fill="B6CCD6"/>
          </w:tcPr>
          <w:p>
            <w:pPr>
              <w:jc w:val="right"/>
              <w:ind w:right="22"/>
              <w:spacing w:after="0" w:line="118" w:lineRule="exact"/>
              <w:rPr>
                <w:sz w:val="20"/>
                <w:szCs w:val="20"/>
                <w:color w:val="auto"/>
              </w:rPr>
            </w:pPr>
            <w:r>
              <w:rPr>
                <w:rFonts w:ascii="Arial" w:cs="Arial" w:eastAsia="Arial" w:hAnsi="Arial"/>
                <w:sz w:val="11"/>
                <w:szCs w:val="11"/>
                <w:b w:val="1"/>
                <w:bCs w:val="1"/>
                <w:color w:val="FFFFFF"/>
              </w:rPr>
              <w:t>Rights</w:t>
            </w:r>
          </w:p>
        </w:tc>
        <w:tc>
          <w:tcPr>
            <w:tcW w:w="960" w:type="dxa"/>
            <w:vAlign w:val="bottom"/>
            <w:shd w:val="clear" w:color="auto" w:fill="B6CCD6"/>
          </w:tcPr>
          <w:p>
            <w:pPr>
              <w:jc w:val="right"/>
              <w:ind w:right="62"/>
              <w:spacing w:after="0" w:line="118" w:lineRule="exact"/>
              <w:rPr>
                <w:sz w:val="20"/>
                <w:szCs w:val="20"/>
                <w:color w:val="auto"/>
              </w:rPr>
            </w:pPr>
            <w:r>
              <w:rPr>
                <w:rFonts w:ascii="Arial" w:cs="Arial" w:eastAsia="Arial" w:hAnsi="Arial"/>
                <w:sz w:val="11"/>
                <w:szCs w:val="11"/>
                <w:b w:val="1"/>
                <w:bCs w:val="1"/>
                <w:color w:val="FFFFFF"/>
              </w:rPr>
              <w:t>Other Rights</w:t>
            </w:r>
          </w:p>
        </w:tc>
        <w:tc>
          <w:tcPr>
            <w:tcW w:w="0" w:type="dxa"/>
            <w:vAlign w:val="bottom"/>
          </w:tcPr>
          <w:p>
            <w:pPr>
              <w:spacing w:after="0"/>
              <w:rPr>
                <w:sz w:val="1"/>
                <w:szCs w:val="1"/>
                <w:color w:val="auto"/>
              </w:rPr>
            </w:pPr>
          </w:p>
        </w:tc>
      </w:tr>
      <w:tr>
        <w:trPr>
          <w:trHeight w:val="125"/>
        </w:trPr>
        <w:tc>
          <w:tcPr>
            <w:tcW w:w="2300" w:type="dxa"/>
            <w:vAlign w:val="bottom"/>
            <w:shd w:val="clear" w:color="auto" w:fill="99B7C6"/>
          </w:tcPr>
          <w:p>
            <w:pPr>
              <w:spacing w:after="0"/>
              <w:rPr>
                <w:sz w:val="10"/>
                <w:szCs w:val="10"/>
                <w:color w:val="auto"/>
              </w:rPr>
            </w:pPr>
          </w:p>
        </w:tc>
        <w:tc>
          <w:tcPr>
            <w:tcW w:w="1080" w:type="dxa"/>
            <w:vAlign w:val="bottom"/>
            <w:vMerge w:val="restart"/>
            <w:shd w:val="clear" w:color="auto" w:fill="99B7C6"/>
          </w:tcPr>
          <w:p>
            <w:pPr>
              <w:jc w:val="right"/>
              <w:spacing w:after="0"/>
              <w:rPr>
                <w:sz w:val="20"/>
                <w:szCs w:val="20"/>
                <w:color w:val="auto"/>
              </w:rPr>
            </w:pPr>
            <w:r>
              <w:rPr>
                <w:rFonts w:ascii="Arial" w:cs="Arial" w:eastAsia="Arial" w:hAnsi="Arial"/>
                <w:sz w:val="11"/>
                <w:szCs w:val="11"/>
                <w:b w:val="1"/>
                <w:bCs w:val="1"/>
                <w:color w:val="FFFFFF"/>
              </w:rPr>
              <w:t>Date of</w:t>
            </w:r>
          </w:p>
        </w:tc>
        <w:tc>
          <w:tcPr>
            <w:tcW w:w="1040" w:type="dxa"/>
            <w:vAlign w:val="bottom"/>
            <w:shd w:val="clear" w:color="auto" w:fill="8AADBD"/>
          </w:tcPr>
          <w:p>
            <w:pPr>
              <w:jc w:val="right"/>
              <w:spacing w:after="0" w:line="125" w:lineRule="exact"/>
              <w:rPr>
                <w:sz w:val="20"/>
                <w:szCs w:val="20"/>
                <w:color w:val="auto"/>
              </w:rPr>
            </w:pPr>
            <w:r>
              <w:rPr>
                <w:rFonts w:ascii="Arial" w:cs="Arial" w:eastAsia="Arial" w:hAnsi="Arial"/>
                <w:sz w:val="11"/>
                <w:szCs w:val="11"/>
                <w:b w:val="1"/>
                <w:bCs w:val="1"/>
                <w:color w:val="FFFFFF"/>
              </w:rPr>
              <w:t>Options</w:t>
            </w:r>
          </w:p>
        </w:tc>
        <w:tc>
          <w:tcPr>
            <w:tcW w:w="1460" w:type="dxa"/>
            <w:vAlign w:val="bottom"/>
            <w:shd w:val="clear" w:color="auto" w:fill="8AADBD"/>
          </w:tcPr>
          <w:p>
            <w:pPr>
              <w:jc w:val="right"/>
              <w:ind w:right="278"/>
              <w:spacing w:after="0" w:line="125" w:lineRule="exact"/>
              <w:rPr>
                <w:sz w:val="20"/>
                <w:szCs w:val="20"/>
                <w:color w:val="auto"/>
              </w:rPr>
            </w:pPr>
            <w:r>
              <w:rPr>
                <w:rFonts w:ascii="Arial" w:cs="Arial" w:eastAsia="Arial" w:hAnsi="Arial"/>
                <w:sz w:val="11"/>
                <w:szCs w:val="11"/>
                <w:b w:val="1"/>
                <w:bCs w:val="1"/>
                <w:color w:val="FFFFFF"/>
              </w:rPr>
              <w:t>Options</w:t>
            </w:r>
          </w:p>
        </w:tc>
        <w:tc>
          <w:tcPr>
            <w:tcW w:w="540" w:type="dxa"/>
            <w:vAlign w:val="bottom"/>
            <w:shd w:val="clear" w:color="auto" w:fill="8AADBD"/>
          </w:tcPr>
          <w:p>
            <w:pPr>
              <w:jc w:val="right"/>
              <w:spacing w:after="0" w:line="125" w:lineRule="exact"/>
              <w:rPr>
                <w:sz w:val="20"/>
                <w:szCs w:val="20"/>
                <w:color w:val="auto"/>
              </w:rPr>
            </w:pPr>
            <w:r>
              <w:rPr>
                <w:rFonts w:ascii="Arial" w:cs="Arial" w:eastAsia="Arial" w:hAnsi="Arial"/>
                <w:sz w:val="11"/>
                <w:szCs w:val="11"/>
                <w:b w:val="1"/>
                <w:bCs w:val="1"/>
                <w:color w:val="FFFFFF"/>
              </w:rPr>
              <w:t>Exercise</w:t>
            </w:r>
          </w:p>
        </w:tc>
        <w:tc>
          <w:tcPr>
            <w:tcW w:w="940" w:type="dxa"/>
            <w:vAlign w:val="bottom"/>
            <w:vMerge w:val="continue"/>
            <w:shd w:val="clear" w:color="auto" w:fill="8AADBD"/>
          </w:tcPr>
          <w:p>
            <w:pPr>
              <w:spacing w:after="0"/>
              <w:rPr>
                <w:sz w:val="10"/>
                <w:szCs w:val="10"/>
                <w:color w:val="auto"/>
              </w:rPr>
            </w:pPr>
          </w:p>
        </w:tc>
        <w:tc>
          <w:tcPr>
            <w:tcW w:w="840" w:type="dxa"/>
            <w:vAlign w:val="bottom"/>
            <w:shd w:val="clear" w:color="auto" w:fill="B6CCD6"/>
          </w:tcPr>
          <w:p>
            <w:pPr>
              <w:jc w:val="right"/>
              <w:spacing w:after="0" w:line="125" w:lineRule="exact"/>
              <w:rPr>
                <w:sz w:val="20"/>
                <w:szCs w:val="20"/>
                <w:color w:val="auto"/>
              </w:rPr>
            </w:pPr>
            <w:r>
              <w:rPr>
                <w:rFonts w:ascii="Arial" w:cs="Arial" w:eastAsia="Arial" w:hAnsi="Arial"/>
                <w:sz w:val="11"/>
                <w:szCs w:val="11"/>
                <w:b w:val="1"/>
                <w:bCs w:val="1"/>
                <w:color w:val="FFFFFF"/>
              </w:rPr>
              <w:t>Have Not</w:t>
            </w:r>
          </w:p>
        </w:tc>
        <w:tc>
          <w:tcPr>
            <w:tcW w:w="880" w:type="dxa"/>
            <w:vAlign w:val="bottom"/>
            <w:shd w:val="clear" w:color="auto" w:fill="B6CCD6"/>
          </w:tcPr>
          <w:p>
            <w:pPr>
              <w:jc w:val="right"/>
              <w:ind w:right="21"/>
              <w:spacing w:after="0" w:line="125" w:lineRule="exact"/>
              <w:rPr>
                <w:sz w:val="20"/>
                <w:szCs w:val="20"/>
                <w:color w:val="auto"/>
              </w:rPr>
            </w:pPr>
            <w:r>
              <w:rPr>
                <w:rFonts w:ascii="Arial" w:cs="Arial" w:eastAsia="Arial" w:hAnsi="Arial"/>
                <w:sz w:val="11"/>
                <w:szCs w:val="11"/>
                <w:b w:val="1"/>
                <w:bCs w:val="1"/>
                <w:color w:val="FFFFFF"/>
              </w:rPr>
              <w:t>Not</w:t>
            </w:r>
          </w:p>
        </w:tc>
        <w:tc>
          <w:tcPr>
            <w:tcW w:w="900" w:type="dxa"/>
            <w:vAlign w:val="bottom"/>
            <w:shd w:val="clear" w:color="auto" w:fill="B6CCD6"/>
          </w:tcPr>
          <w:p>
            <w:pPr>
              <w:jc w:val="right"/>
              <w:ind w:right="22"/>
              <w:spacing w:after="0" w:line="125" w:lineRule="exact"/>
              <w:rPr>
                <w:sz w:val="20"/>
                <w:szCs w:val="20"/>
                <w:color w:val="auto"/>
              </w:rPr>
            </w:pPr>
            <w:r>
              <w:rPr>
                <w:rFonts w:ascii="Arial" w:cs="Arial" w:eastAsia="Arial" w:hAnsi="Arial"/>
                <w:sz w:val="11"/>
                <w:szCs w:val="11"/>
                <w:b w:val="1"/>
                <w:bCs w:val="1"/>
                <w:color w:val="FFFFFF"/>
              </w:rPr>
              <w:t>That Have</w:t>
            </w:r>
          </w:p>
        </w:tc>
        <w:tc>
          <w:tcPr>
            <w:tcW w:w="960" w:type="dxa"/>
            <w:vAlign w:val="bottom"/>
            <w:shd w:val="clear" w:color="auto" w:fill="B6CCD6"/>
          </w:tcPr>
          <w:p>
            <w:pPr>
              <w:jc w:val="right"/>
              <w:ind w:right="62"/>
              <w:spacing w:after="0" w:line="125" w:lineRule="exact"/>
              <w:rPr>
                <w:sz w:val="20"/>
                <w:szCs w:val="20"/>
                <w:color w:val="auto"/>
              </w:rPr>
            </w:pPr>
            <w:r>
              <w:rPr>
                <w:rFonts w:ascii="Arial" w:cs="Arial" w:eastAsia="Arial" w:hAnsi="Arial"/>
                <w:sz w:val="11"/>
                <w:szCs w:val="11"/>
                <w:b w:val="1"/>
                <w:bCs w:val="1"/>
                <w:color w:val="FFFFFF"/>
              </w:rPr>
              <w:t>That Have</w:t>
            </w:r>
          </w:p>
        </w:tc>
        <w:tc>
          <w:tcPr>
            <w:tcW w:w="0" w:type="dxa"/>
            <w:vAlign w:val="bottom"/>
          </w:tcPr>
          <w:p>
            <w:pPr>
              <w:spacing w:after="0"/>
              <w:rPr>
                <w:sz w:val="1"/>
                <w:szCs w:val="1"/>
                <w:color w:val="auto"/>
              </w:rPr>
            </w:pPr>
          </w:p>
        </w:tc>
      </w:tr>
      <w:tr>
        <w:trPr>
          <w:trHeight w:val="119"/>
        </w:trPr>
        <w:tc>
          <w:tcPr>
            <w:tcW w:w="2300" w:type="dxa"/>
            <w:vAlign w:val="bottom"/>
            <w:vMerge w:val="restart"/>
            <w:shd w:val="clear" w:color="auto" w:fill="99B7C6"/>
          </w:tcPr>
          <w:p>
            <w:pPr>
              <w:ind w:left="60"/>
              <w:spacing w:after="0"/>
              <w:rPr>
                <w:sz w:val="20"/>
                <w:szCs w:val="20"/>
                <w:color w:val="auto"/>
              </w:rPr>
            </w:pPr>
            <w:r>
              <w:rPr>
                <w:rFonts w:ascii="Arial" w:cs="Arial" w:eastAsia="Arial" w:hAnsi="Arial"/>
                <w:sz w:val="11"/>
                <w:szCs w:val="11"/>
                <w:b w:val="1"/>
                <w:bCs w:val="1"/>
                <w:color w:val="FFFFFF"/>
              </w:rPr>
              <w:t>Name</w:t>
            </w:r>
          </w:p>
        </w:tc>
        <w:tc>
          <w:tcPr>
            <w:tcW w:w="1080" w:type="dxa"/>
            <w:vAlign w:val="bottom"/>
            <w:vMerge w:val="continue"/>
            <w:shd w:val="clear" w:color="auto" w:fill="99B7C6"/>
          </w:tcPr>
          <w:p>
            <w:pPr>
              <w:spacing w:after="0"/>
              <w:rPr>
                <w:sz w:val="10"/>
                <w:szCs w:val="10"/>
                <w:color w:val="auto"/>
              </w:rPr>
            </w:pPr>
          </w:p>
        </w:tc>
        <w:tc>
          <w:tcPr>
            <w:tcW w:w="1040" w:type="dxa"/>
            <w:vAlign w:val="bottom"/>
            <w:shd w:val="clear" w:color="auto" w:fill="8AADBD"/>
          </w:tcPr>
          <w:p>
            <w:pPr>
              <w:jc w:val="right"/>
              <w:spacing w:after="0" w:line="120" w:lineRule="exact"/>
              <w:rPr>
                <w:sz w:val="20"/>
                <w:szCs w:val="20"/>
                <w:color w:val="auto"/>
              </w:rPr>
            </w:pPr>
            <w:r>
              <w:rPr>
                <w:rFonts w:ascii="Arial" w:cs="Arial" w:eastAsia="Arial" w:hAnsi="Arial"/>
                <w:sz w:val="11"/>
                <w:szCs w:val="11"/>
                <w:b w:val="1"/>
                <w:bCs w:val="1"/>
                <w:color w:val="FFFFFF"/>
              </w:rPr>
              <w:t>Exercisable</w:t>
            </w:r>
          </w:p>
        </w:tc>
        <w:tc>
          <w:tcPr>
            <w:tcW w:w="1460" w:type="dxa"/>
            <w:vAlign w:val="bottom"/>
            <w:shd w:val="clear" w:color="auto" w:fill="8AADBD"/>
          </w:tcPr>
          <w:p>
            <w:pPr>
              <w:jc w:val="right"/>
              <w:ind w:right="278"/>
              <w:spacing w:after="0" w:line="120" w:lineRule="exact"/>
              <w:rPr>
                <w:sz w:val="20"/>
                <w:szCs w:val="20"/>
                <w:color w:val="auto"/>
              </w:rPr>
            </w:pPr>
            <w:r>
              <w:rPr>
                <w:rFonts w:ascii="Arial" w:cs="Arial" w:eastAsia="Arial" w:hAnsi="Arial"/>
                <w:sz w:val="11"/>
                <w:szCs w:val="11"/>
                <w:b w:val="1"/>
                <w:bCs w:val="1"/>
                <w:color w:val="FFFFFF"/>
              </w:rPr>
              <w:t>Unexercisable</w:t>
            </w:r>
          </w:p>
        </w:tc>
        <w:tc>
          <w:tcPr>
            <w:tcW w:w="540" w:type="dxa"/>
            <w:vAlign w:val="bottom"/>
            <w:shd w:val="clear" w:color="auto" w:fill="8AADBD"/>
          </w:tcPr>
          <w:p>
            <w:pPr>
              <w:jc w:val="right"/>
              <w:ind w:right="15"/>
              <w:spacing w:after="0" w:line="120" w:lineRule="exact"/>
              <w:rPr>
                <w:sz w:val="20"/>
                <w:szCs w:val="20"/>
                <w:color w:val="auto"/>
              </w:rPr>
            </w:pPr>
            <w:r>
              <w:rPr>
                <w:rFonts w:ascii="Arial" w:cs="Arial" w:eastAsia="Arial" w:hAnsi="Arial"/>
                <w:sz w:val="11"/>
                <w:szCs w:val="11"/>
                <w:b w:val="1"/>
                <w:bCs w:val="1"/>
                <w:color w:val="FFFFFF"/>
              </w:rPr>
              <w:t>Price</w:t>
            </w:r>
          </w:p>
        </w:tc>
        <w:tc>
          <w:tcPr>
            <w:tcW w:w="940" w:type="dxa"/>
            <w:vAlign w:val="bottom"/>
            <w:shd w:val="clear" w:color="auto" w:fill="8AADBD"/>
          </w:tcPr>
          <w:p>
            <w:pPr>
              <w:jc w:val="right"/>
              <w:spacing w:after="0" w:line="120" w:lineRule="exact"/>
              <w:rPr>
                <w:sz w:val="20"/>
                <w:szCs w:val="20"/>
                <w:color w:val="auto"/>
              </w:rPr>
            </w:pPr>
            <w:r>
              <w:rPr>
                <w:rFonts w:ascii="Arial" w:cs="Arial" w:eastAsia="Arial" w:hAnsi="Arial"/>
                <w:sz w:val="11"/>
                <w:szCs w:val="11"/>
                <w:b w:val="1"/>
                <w:bCs w:val="1"/>
                <w:color w:val="FFFFFF"/>
              </w:rPr>
              <w:t>Expiration</w:t>
            </w:r>
          </w:p>
        </w:tc>
        <w:tc>
          <w:tcPr>
            <w:tcW w:w="840" w:type="dxa"/>
            <w:vAlign w:val="bottom"/>
            <w:shd w:val="clear" w:color="auto" w:fill="B6CCD6"/>
          </w:tcPr>
          <w:p>
            <w:pPr>
              <w:jc w:val="right"/>
              <w:spacing w:after="0" w:line="120" w:lineRule="exact"/>
              <w:rPr>
                <w:sz w:val="20"/>
                <w:szCs w:val="20"/>
                <w:color w:val="auto"/>
              </w:rPr>
            </w:pPr>
            <w:r>
              <w:rPr>
                <w:rFonts w:ascii="Arial" w:cs="Arial" w:eastAsia="Arial" w:hAnsi="Arial"/>
                <w:sz w:val="11"/>
                <w:szCs w:val="11"/>
                <w:b w:val="1"/>
                <w:bCs w:val="1"/>
                <w:color w:val="FFFFFF"/>
              </w:rPr>
              <w:t>Vested</w:t>
            </w:r>
            <w:r>
              <w:rPr>
                <w:rFonts w:ascii="Arial" w:cs="Arial" w:eastAsia="Arial" w:hAnsi="Arial"/>
                <w:sz w:val="12"/>
                <w:szCs w:val="12"/>
                <w:color w:val="FFFFFF"/>
                <w:vertAlign w:val="superscript"/>
              </w:rPr>
              <w:t>2</w:t>
            </w:r>
          </w:p>
        </w:tc>
        <w:tc>
          <w:tcPr>
            <w:tcW w:w="880" w:type="dxa"/>
            <w:vAlign w:val="bottom"/>
            <w:shd w:val="clear" w:color="auto" w:fill="B6CCD6"/>
          </w:tcPr>
          <w:p>
            <w:pPr>
              <w:jc w:val="right"/>
              <w:spacing w:after="0" w:line="120" w:lineRule="exact"/>
              <w:rPr>
                <w:sz w:val="20"/>
                <w:szCs w:val="20"/>
                <w:color w:val="auto"/>
              </w:rPr>
            </w:pPr>
            <w:r>
              <w:rPr>
                <w:rFonts w:ascii="Arial" w:cs="Arial" w:eastAsia="Arial" w:hAnsi="Arial"/>
                <w:sz w:val="11"/>
                <w:szCs w:val="11"/>
                <w:b w:val="1"/>
                <w:bCs w:val="1"/>
                <w:color w:val="FFFFFF"/>
              </w:rPr>
              <w:t>Vested</w:t>
            </w:r>
            <w:r>
              <w:rPr>
                <w:rFonts w:ascii="Arial" w:cs="Arial" w:eastAsia="Arial" w:hAnsi="Arial"/>
                <w:sz w:val="12"/>
                <w:szCs w:val="12"/>
                <w:color w:val="FFFFFF"/>
                <w:vertAlign w:val="superscript"/>
              </w:rPr>
              <w:t>3</w:t>
            </w:r>
          </w:p>
        </w:tc>
        <w:tc>
          <w:tcPr>
            <w:tcW w:w="900" w:type="dxa"/>
            <w:vAlign w:val="bottom"/>
            <w:shd w:val="clear" w:color="auto" w:fill="B6CCD6"/>
          </w:tcPr>
          <w:p>
            <w:pPr>
              <w:jc w:val="right"/>
              <w:ind w:right="2"/>
              <w:spacing w:after="0" w:line="120" w:lineRule="exact"/>
              <w:rPr>
                <w:sz w:val="20"/>
                <w:szCs w:val="20"/>
                <w:color w:val="auto"/>
              </w:rPr>
            </w:pPr>
            <w:r>
              <w:rPr>
                <w:rFonts w:ascii="Arial" w:cs="Arial" w:eastAsia="Arial" w:hAnsi="Arial"/>
                <w:sz w:val="11"/>
                <w:szCs w:val="11"/>
                <w:b w:val="1"/>
                <w:bCs w:val="1"/>
                <w:color w:val="FFFFFF"/>
              </w:rPr>
              <w:t>Not Vested</w:t>
            </w:r>
            <w:r>
              <w:rPr>
                <w:rFonts w:ascii="Arial" w:cs="Arial" w:eastAsia="Arial" w:hAnsi="Arial"/>
                <w:sz w:val="12"/>
                <w:szCs w:val="12"/>
                <w:color w:val="FFFFFF"/>
                <w:vertAlign w:val="superscript"/>
              </w:rPr>
              <w:t>4</w:t>
            </w:r>
          </w:p>
        </w:tc>
        <w:tc>
          <w:tcPr>
            <w:tcW w:w="960" w:type="dxa"/>
            <w:vAlign w:val="bottom"/>
            <w:shd w:val="clear" w:color="auto" w:fill="B6CCD6"/>
          </w:tcPr>
          <w:p>
            <w:pPr>
              <w:jc w:val="right"/>
              <w:ind w:right="62"/>
              <w:spacing w:after="0" w:line="120" w:lineRule="exact"/>
              <w:rPr>
                <w:sz w:val="20"/>
                <w:szCs w:val="20"/>
                <w:color w:val="auto"/>
              </w:rPr>
            </w:pPr>
            <w:r>
              <w:rPr>
                <w:rFonts w:ascii="Arial" w:cs="Arial" w:eastAsia="Arial" w:hAnsi="Arial"/>
                <w:sz w:val="11"/>
                <w:szCs w:val="11"/>
                <w:b w:val="1"/>
                <w:bCs w:val="1"/>
                <w:color w:val="FFFFFF"/>
              </w:rPr>
              <w:t>Not Vested</w:t>
            </w:r>
            <w:r>
              <w:rPr>
                <w:rFonts w:ascii="Arial" w:cs="Arial" w:eastAsia="Arial" w:hAnsi="Arial"/>
                <w:sz w:val="12"/>
                <w:szCs w:val="12"/>
                <w:color w:val="FFFFFF"/>
                <w:vertAlign w:val="superscript"/>
              </w:rPr>
              <w:t>3</w:t>
            </w:r>
          </w:p>
        </w:tc>
        <w:tc>
          <w:tcPr>
            <w:tcW w:w="0" w:type="dxa"/>
            <w:vAlign w:val="bottom"/>
          </w:tcPr>
          <w:p>
            <w:pPr>
              <w:spacing w:after="0"/>
              <w:rPr>
                <w:sz w:val="1"/>
                <w:szCs w:val="1"/>
                <w:color w:val="auto"/>
              </w:rPr>
            </w:pPr>
          </w:p>
        </w:tc>
      </w:tr>
      <w:tr>
        <w:trPr>
          <w:trHeight w:val="168"/>
        </w:trPr>
        <w:tc>
          <w:tcPr>
            <w:tcW w:w="2300" w:type="dxa"/>
            <w:vAlign w:val="bottom"/>
            <w:vMerge w:val="continue"/>
            <w:shd w:val="clear" w:color="auto" w:fill="99B7C6"/>
          </w:tcPr>
          <w:p>
            <w:pPr>
              <w:spacing w:after="0"/>
              <w:rPr>
                <w:sz w:val="14"/>
                <w:szCs w:val="14"/>
                <w:color w:val="auto"/>
              </w:rPr>
            </w:pPr>
          </w:p>
        </w:tc>
        <w:tc>
          <w:tcPr>
            <w:tcW w:w="1080" w:type="dxa"/>
            <w:vAlign w:val="bottom"/>
            <w:shd w:val="clear" w:color="auto" w:fill="99B7C6"/>
          </w:tcPr>
          <w:p>
            <w:pPr>
              <w:jc w:val="right"/>
              <w:spacing w:after="0"/>
              <w:rPr>
                <w:sz w:val="20"/>
                <w:szCs w:val="20"/>
                <w:color w:val="auto"/>
              </w:rPr>
            </w:pPr>
            <w:r>
              <w:rPr>
                <w:rFonts w:ascii="Arial" w:cs="Arial" w:eastAsia="Arial" w:hAnsi="Arial"/>
                <w:sz w:val="11"/>
                <w:szCs w:val="11"/>
                <w:b w:val="1"/>
                <w:bCs w:val="1"/>
                <w:color w:val="FFFFFF"/>
              </w:rPr>
              <w:t>Grant</w:t>
            </w:r>
          </w:p>
        </w:tc>
        <w:tc>
          <w:tcPr>
            <w:tcW w:w="1040" w:type="dxa"/>
            <w:vAlign w:val="bottom"/>
            <w:shd w:val="clear" w:color="auto" w:fill="8AADBD"/>
          </w:tcPr>
          <w:p>
            <w:pPr>
              <w:jc w:val="right"/>
              <w:spacing w:after="0"/>
              <w:rPr>
                <w:sz w:val="20"/>
                <w:szCs w:val="20"/>
                <w:color w:val="auto"/>
              </w:rPr>
            </w:pPr>
            <w:r>
              <w:rPr>
                <w:rFonts w:ascii="Arial" w:cs="Arial" w:eastAsia="Arial" w:hAnsi="Arial"/>
                <w:sz w:val="11"/>
                <w:szCs w:val="11"/>
                <w:b w:val="1"/>
                <w:bCs w:val="1"/>
                <w:color w:val="FFFFFF"/>
              </w:rPr>
              <w:t>(#)</w:t>
            </w:r>
          </w:p>
        </w:tc>
        <w:tc>
          <w:tcPr>
            <w:tcW w:w="1460" w:type="dxa"/>
            <w:vAlign w:val="bottom"/>
            <w:shd w:val="clear" w:color="auto" w:fill="8AADBD"/>
          </w:tcPr>
          <w:p>
            <w:pPr>
              <w:jc w:val="right"/>
              <w:ind w:right="278"/>
              <w:spacing w:after="0"/>
              <w:rPr>
                <w:sz w:val="20"/>
                <w:szCs w:val="20"/>
                <w:color w:val="auto"/>
              </w:rPr>
            </w:pPr>
            <w:r>
              <w:rPr>
                <w:rFonts w:ascii="Arial" w:cs="Arial" w:eastAsia="Arial" w:hAnsi="Arial"/>
                <w:sz w:val="11"/>
                <w:szCs w:val="11"/>
                <w:b w:val="1"/>
                <w:bCs w:val="1"/>
                <w:color w:val="FFFFFF"/>
              </w:rPr>
              <w:t>(#)</w:t>
            </w:r>
          </w:p>
        </w:tc>
        <w:tc>
          <w:tcPr>
            <w:tcW w:w="540" w:type="dxa"/>
            <w:vAlign w:val="bottom"/>
            <w:shd w:val="clear" w:color="auto" w:fill="8AADBD"/>
          </w:tcPr>
          <w:p>
            <w:pPr>
              <w:jc w:val="right"/>
              <w:spacing w:after="0"/>
              <w:rPr>
                <w:sz w:val="20"/>
                <w:szCs w:val="20"/>
                <w:color w:val="auto"/>
              </w:rPr>
            </w:pPr>
            <w:r>
              <w:rPr>
                <w:rFonts w:ascii="Arial" w:cs="Arial" w:eastAsia="Arial" w:hAnsi="Arial"/>
                <w:sz w:val="11"/>
                <w:szCs w:val="11"/>
                <w:b w:val="1"/>
                <w:bCs w:val="1"/>
                <w:color w:val="FFFFFF"/>
              </w:rPr>
              <w:t>($)</w:t>
            </w:r>
          </w:p>
        </w:tc>
        <w:tc>
          <w:tcPr>
            <w:tcW w:w="940" w:type="dxa"/>
            <w:vAlign w:val="bottom"/>
            <w:shd w:val="clear" w:color="auto" w:fill="8AADBD"/>
          </w:tcPr>
          <w:p>
            <w:pPr>
              <w:jc w:val="right"/>
              <w:spacing w:after="0"/>
              <w:rPr>
                <w:sz w:val="20"/>
                <w:szCs w:val="20"/>
                <w:color w:val="auto"/>
              </w:rPr>
            </w:pPr>
            <w:r>
              <w:rPr>
                <w:rFonts w:ascii="Arial" w:cs="Arial" w:eastAsia="Arial" w:hAnsi="Arial"/>
                <w:sz w:val="11"/>
                <w:szCs w:val="11"/>
                <w:b w:val="1"/>
                <w:bCs w:val="1"/>
                <w:color w:val="FFFFFF"/>
              </w:rPr>
              <w:t>Date</w:t>
            </w:r>
          </w:p>
        </w:tc>
        <w:tc>
          <w:tcPr>
            <w:tcW w:w="840" w:type="dxa"/>
            <w:vAlign w:val="bottom"/>
            <w:shd w:val="clear" w:color="auto" w:fill="B6CCD6"/>
          </w:tcPr>
          <w:p>
            <w:pPr>
              <w:jc w:val="right"/>
              <w:spacing w:after="0"/>
              <w:rPr>
                <w:sz w:val="20"/>
                <w:szCs w:val="20"/>
                <w:color w:val="auto"/>
              </w:rPr>
            </w:pPr>
            <w:r>
              <w:rPr>
                <w:rFonts w:ascii="Arial" w:cs="Arial" w:eastAsia="Arial" w:hAnsi="Arial"/>
                <w:sz w:val="11"/>
                <w:szCs w:val="11"/>
                <w:b w:val="1"/>
                <w:bCs w:val="1"/>
                <w:color w:val="FFFFFF"/>
              </w:rPr>
              <w:t>(#)</w:t>
            </w:r>
          </w:p>
        </w:tc>
        <w:tc>
          <w:tcPr>
            <w:tcW w:w="880" w:type="dxa"/>
            <w:vAlign w:val="bottom"/>
            <w:shd w:val="clear" w:color="auto" w:fill="B6CCD6"/>
          </w:tcPr>
          <w:p>
            <w:pPr>
              <w:jc w:val="right"/>
              <w:spacing w:after="0"/>
              <w:rPr>
                <w:sz w:val="20"/>
                <w:szCs w:val="20"/>
                <w:color w:val="auto"/>
              </w:rPr>
            </w:pPr>
            <w:r>
              <w:rPr>
                <w:rFonts w:ascii="Arial" w:cs="Arial" w:eastAsia="Arial" w:hAnsi="Arial"/>
                <w:sz w:val="11"/>
                <w:szCs w:val="11"/>
                <w:b w:val="1"/>
                <w:bCs w:val="1"/>
                <w:color w:val="FFFFFF"/>
              </w:rPr>
              <w:t>($)</w:t>
            </w:r>
          </w:p>
        </w:tc>
        <w:tc>
          <w:tcPr>
            <w:tcW w:w="900" w:type="dxa"/>
            <w:vAlign w:val="bottom"/>
            <w:shd w:val="clear" w:color="auto" w:fill="B6CCD6"/>
          </w:tcPr>
          <w:p>
            <w:pPr>
              <w:jc w:val="right"/>
              <w:ind w:right="2"/>
              <w:spacing w:after="0"/>
              <w:rPr>
                <w:sz w:val="20"/>
                <w:szCs w:val="20"/>
                <w:color w:val="auto"/>
              </w:rPr>
            </w:pPr>
            <w:r>
              <w:rPr>
                <w:rFonts w:ascii="Arial" w:cs="Arial" w:eastAsia="Arial" w:hAnsi="Arial"/>
                <w:sz w:val="11"/>
                <w:szCs w:val="11"/>
                <w:b w:val="1"/>
                <w:bCs w:val="1"/>
                <w:color w:val="FFFFFF"/>
              </w:rPr>
              <w:t>(#)</w:t>
            </w:r>
          </w:p>
        </w:tc>
        <w:tc>
          <w:tcPr>
            <w:tcW w:w="960" w:type="dxa"/>
            <w:vAlign w:val="bottom"/>
            <w:shd w:val="clear" w:color="auto" w:fill="B6CCD6"/>
          </w:tcPr>
          <w:p>
            <w:pPr>
              <w:jc w:val="right"/>
              <w:ind w:right="62"/>
              <w:spacing w:after="0"/>
              <w:rPr>
                <w:sz w:val="20"/>
                <w:szCs w:val="20"/>
                <w:color w:val="auto"/>
              </w:rPr>
            </w:pPr>
            <w:r>
              <w:rPr>
                <w:rFonts w:ascii="Arial" w:cs="Arial" w:eastAsia="Arial" w:hAnsi="Arial"/>
                <w:sz w:val="11"/>
                <w:szCs w:val="11"/>
                <w:b w:val="1"/>
                <w:bCs w:val="1"/>
                <w:color w:val="FFFFFF"/>
              </w:rPr>
              <w:t>($)</w:t>
            </w:r>
          </w:p>
        </w:tc>
        <w:tc>
          <w:tcPr>
            <w:tcW w:w="0" w:type="dxa"/>
            <w:vAlign w:val="bottom"/>
          </w:tcPr>
          <w:p>
            <w:pPr>
              <w:spacing w:after="0"/>
              <w:rPr>
                <w:sz w:val="1"/>
                <w:szCs w:val="1"/>
                <w:color w:val="auto"/>
              </w:rPr>
            </w:pPr>
          </w:p>
        </w:tc>
      </w:tr>
      <w:tr>
        <w:trPr>
          <w:trHeight w:val="264"/>
        </w:trPr>
        <w:tc>
          <w:tcPr>
            <w:tcW w:w="23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Stefan Larsson</w:t>
            </w: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6/3/2019</w:t>
            </w:r>
          </w:p>
        </w:tc>
        <w:tc>
          <w:tcPr>
            <w:tcW w:w="10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53,500</w:t>
            </w:r>
          </w:p>
        </w:tc>
        <w:tc>
          <w:tcPr>
            <w:tcW w:w="1460" w:type="dxa"/>
            <w:vAlign w:val="bottom"/>
            <w:shd w:val="clear" w:color="auto" w:fill="E2EAEF"/>
          </w:tcPr>
          <w:p>
            <w:pPr>
              <w:jc w:val="right"/>
              <w:ind w:right="278"/>
              <w:spacing w:after="0"/>
              <w:rPr>
                <w:sz w:val="20"/>
                <w:szCs w:val="20"/>
                <w:color w:val="auto"/>
              </w:rPr>
            </w:pPr>
            <w:r>
              <w:rPr>
                <w:rFonts w:ascii="Arial" w:cs="Arial" w:eastAsia="Arial" w:hAnsi="Arial"/>
                <w:sz w:val="14"/>
                <w:szCs w:val="14"/>
                <w:color w:val="auto"/>
              </w:rPr>
              <w:t>0</w:t>
            </w:r>
          </w:p>
        </w:tc>
        <w:tc>
          <w:tcPr>
            <w:tcW w:w="5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87.72</w:t>
            </w:r>
          </w:p>
        </w:tc>
        <w:tc>
          <w:tcPr>
            <w:tcW w:w="9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6/3/2029</w:t>
            </w:r>
          </w:p>
        </w:tc>
        <w:tc>
          <w:tcPr>
            <w:tcW w:w="840" w:type="dxa"/>
            <w:vAlign w:val="bottom"/>
            <w:shd w:val="clear" w:color="auto" w:fill="E9F0F3"/>
          </w:tcPr>
          <w:p>
            <w:pPr>
              <w:spacing w:after="0"/>
              <w:rPr>
                <w:sz w:val="22"/>
                <w:szCs w:val="22"/>
                <w:color w:val="auto"/>
              </w:rPr>
            </w:pPr>
          </w:p>
        </w:tc>
        <w:tc>
          <w:tcPr>
            <w:tcW w:w="880" w:type="dxa"/>
            <w:vAlign w:val="bottom"/>
            <w:shd w:val="clear" w:color="auto" w:fill="E9F0F3"/>
          </w:tcPr>
          <w:p>
            <w:pPr>
              <w:spacing w:after="0"/>
              <w:rPr>
                <w:sz w:val="22"/>
                <w:szCs w:val="22"/>
                <w:color w:val="auto"/>
              </w:rPr>
            </w:pPr>
          </w:p>
        </w:tc>
        <w:tc>
          <w:tcPr>
            <w:tcW w:w="900" w:type="dxa"/>
            <w:vAlign w:val="bottom"/>
            <w:shd w:val="clear" w:color="auto" w:fill="E9F0F3"/>
          </w:tcPr>
          <w:p>
            <w:pPr>
              <w:spacing w:after="0"/>
              <w:rPr>
                <w:sz w:val="22"/>
                <w:szCs w:val="22"/>
                <w:color w:val="auto"/>
              </w:rPr>
            </w:pPr>
          </w:p>
        </w:tc>
        <w:tc>
          <w:tcPr>
            <w:tcW w:w="960" w:type="dxa"/>
            <w:vAlign w:val="bottom"/>
            <w:shd w:val="clear" w:color="auto" w:fill="E9F0F3"/>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300" w:type="dxa"/>
            <w:vAlign w:val="bottom"/>
            <w:shd w:val="clear" w:color="auto" w:fill="E9F0F3"/>
          </w:tcPr>
          <w:p>
            <w:pPr>
              <w:spacing w:after="0"/>
              <w:rPr>
                <w:sz w:val="20"/>
                <w:szCs w:val="20"/>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4/14/2020</w:t>
            </w:r>
          </w:p>
        </w:tc>
        <w:tc>
          <w:tcPr>
            <w:tcW w:w="10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57,600</w:t>
            </w:r>
          </w:p>
        </w:tc>
        <w:tc>
          <w:tcPr>
            <w:tcW w:w="1460" w:type="dxa"/>
            <w:vAlign w:val="bottom"/>
            <w:shd w:val="clear" w:color="auto" w:fill="E2EAEF"/>
          </w:tcPr>
          <w:p>
            <w:pPr>
              <w:jc w:val="right"/>
              <w:ind w:right="278"/>
              <w:spacing w:after="0"/>
              <w:rPr>
                <w:sz w:val="20"/>
                <w:szCs w:val="20"/>
                <w:color w:val="auto"/>
              </w:rPr>
            </w:pPr>
            <w:r>
              <w:rPr>
                <w:rFonts w:ascii="Arial" w:cs="Arial" w:eastAsia="Arial" w:hAnsi="Arial"/>
                <w:sz w:val="14"/>
                <w:szCs w:val="14"/>
                <w:color w:val="auto"/>
              </w:rPr>
              <w:t>0</w:t>
            </w:r>
          </w:p>
        </w:tc>
        <w:tc>
          <w:tcPr>
            <w:tcW w:w="5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47.96</w:t>
            </w:r>
          </w:p>
        </w:tc>
        <w:tc>
          <w:tcPr>
            <w:tcW w:w="9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4/14/2030</w:t>
            </w:r>
          </w:p>
        </w:tc>
        <w:tc>
          <w:tcPr>
            <w:tcW w:w="840" w:type="dxa"/>
            <w:vAlign w:val="bottom"/>
            <w:shd w:val="clear" w:color="auto" w:fill="E9F0F3"/>
          </w:tcPr>
          <w:p>
            <w:pPr>
              <w:spacing w:after="0"/>
              <w:rPr>
                <w:sz w:val="20"/>
                <w:szCs w:val="20"/>
                <w:color w:val="auto"/>
              </w:rPr>
            </w:pPr>
          </w:p>
        </w:tc>
        <w:tc>
          <w:tcPr>
            <w:tcW w:w="880" w:type="dxa"/>
            <w:vAlign w:val="bottom"/>
            <w:shd w:val="clear" w:color="auto" w:fill="E9F0F3"/>
          </w:tcPr>
          <w:p>
            <w:pPr>
              <w:spacing w:after="0"/>
              <w:rPr>
                <w:sz w:val="20"/>
                <w:szCs w:val="20"/>
                <w:color w:val="auto"/>
              </w:rPr>
            </w:pPr>
          </w:p>
        </w:tc>
        <w:tc>
          <w:tcPr>
            <w:tcW w:w="900" w:type="dxa"/>
            <w:vAlign w:val="bottom"/>
            <w:shd w:val="clear" w:color="auto" w:fill="E9F0F3"/>
          </w:tcPr>
          <w:p>
            <w:pPr>
              <w:spacing w:after="0"/>
              <w:rPr>
                <w:sz w:val="20"/>
                <w:szCs w:val="20"/>
                <w:color w:val="auto"/>
              </w:rPr>
            </w:pPr>
          </w:p>
        </w:tc>
        <w:tc>
          <w:tcPr>
            <w:tcW w:w="960" w:type="dxa"/>
            <w:vAlign w:val="bottom"/>
            <w:shd w:val="clear" w:color="auto" w:fill="E9F0F3"/>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300" w:type="dxa"/>
            <w:vAlign w:val="bottom"/>
            <w:shd w:val="clear" w:color="auto" w:fill="E9F0F3"/>
          </w:tcPr>
          <w:p>
            <w:pPr>
              <w:spacing w:after="0"/>
              <w:rPr>
                <w:sz w:val="21"/>
                <w:szCs w:val="21"/>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9/10/2020</w:t>
            </w:r>
          </w:p>
        </w:tc>
        <w:tc>
          <w:tcPr>
            <w:tcW w:w="10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17,700</w:t>
            </w:r>
          </w:p>
        </w:tc>
        <w:tc>
          <w:tcPr>
            <w:tcW w:w="1460" w:type="dxa"/>
            <w:vAlign w:val="bottom"/>
            <w:shd w:val="clear" w:color="auto" w:fill="E2EAEF"/>
          </w:tcPr>
          <w:p>
            <w:pPr>
              <w:jc w:val="right"/>
              <w:ind w:right="278"/>
              <w:spacing w:after="0"/>
              <w:rPr>
                <w:sz w:val="20"/>
                <w:szCs w:val="20"/>
                <w:color w:val="auto"/>
              </w:rPr>
            </w:pPr>
            <w:r>
              <w:rPr>
                <w:rFonts w:ascii="Arial" w:cs="Arial" w:eastAsia="Arial" w:hAnsi="Arial"/>
                <w:sz w:val="14"/>
                <w:szCs w:val="14"/>
                <w:color w:val="auto"/>
              </w:rPr>
              <w:t>0</w:t>
            </w:r>
          </w:p>
        </w:tc>
        <w:tc>
          <w:tcPr>
            <w:tcW w:w="5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67.05</w:t>
            </w:r>
          </w:p>
        </w:tc>
        <w:tc>
          <w:tcPr>
            <w:tcW w:w="9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9/10/2030</w:t>
            </w:r>
          </w:p>
        </w:tc>
        <w:tc>
          <w:tcPr>
            <w:tcW w:w="840" w:type="dxa"/>
            <w:vAlign w:val="bottom"/>
            <w:shd w:val="clear" w:color="auto" w:fill="E9F0F3"/>
          </w:tcPr>
          <w:p>
            <w:pPr>
              <w:spacing w:after="0"/>
              <w:rPr>
                <w:sz w:val="21"/>
                <w:szCs w:val="21"/>
                <w:color w:val="auto"/>
              </w:rPr>
            </w:pPr>
          </w:p>
        </w:tc>
        <w:tc>
          <w:tcPr>
            <w:tcW w:w="880" w:type="dxa"/>
            <w:vAlign w:val="bottom"/>
            <w:shd w:val="clear" w:color="auto" w:fill="E9F0F3"/>
          </w:tcPr>
          <w:p>
            <w:pPr>
              <w:spacing w:after="0"/>
              <w:rPr>
                <w:sz w:val="21"/>
                <w:szCs w:val="21"/>
                <w:color w:val="auto"/>
              </w:rPr>
            </w:pPr>
          </w:p>
        </w:tc>
        <w:tc>
          <w:tcPr>
            <w:tcW w:w="900" w:type="dxa"/>
            <w:vAlign w:val="bottom"/>
            <w:shd w:val="clear" w:color="auto" w:fill="E9F0F3"/>
          </w:tcPr>
          <w:p>
            <w:pPr>
              <w:spacing w:after="0"/>
              <w:rPr>
                <w:sz w:val="21"/>
                <w:szCs w:val="21"/>
                <w:color w:val="auto"/>
              </w:rPr>
            </w:pPr>
          </w:p>
        </w:tc>
        <w:tc>
          <w:tcPr>
            <w:tcW w:w="960" w:type="dxa"/>
            <w:vAlign w:val="bottom"/>
            <w:shd w:val="clear" w:color="auto" w:fill="E9F0F3"/>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00" w:type="dxa"/>
            <w:vAlign w:val="bottom"/>
            <w:shd w:val="clear" w:color="auto" w:fill="E9F0F3"/>
          </w:tcPr>
          <w:p>
            <w:pPr>
              <w:spacing w:after="0"/>
              <w:rPr>
                <w:sz w:val="21"/>
                <w:szCs w:val="21"/>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4/5/2021</w:t>
            </w:r>
          </w:p>
        </w:tc>
        <w:tc>
          <w:tcPr>
            <w:tcW w:w="10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33,200</w:t>
            </w:r>
          </w:p>
        </w:tc>
        <w:tc>
          <w:tcPr>
            <w:tcW w:w="1460" w:type="dxa"/>
            <w:vAlign w:val="bottom"/>
            <w:shd w:val="clear" w:color="auto" w:fill="E2EAEF"/>
          </w:tcPr>
          <w:p>
            <w:pPr>
              <w:jc w:val="right"/>
              <w:ind w:right="278"/>
              <w:spacing w:after="0"/>
              <w:rPr>
                <w:sz w:val="20"/>
                <w:szCs w:val="20"/>
                <w:color w:val="auto"/>
              </w:rPr>
            </w:pPr>
            <w:r>
              <w:rPr>
                <w:rFonts w:ascii="Arial" w:cs="Arial" w:eastAsia="Arial" w:hAnsi="Arial"/>
                <w:sz w:val="14"/>
                <w:szCs w:val="14"/>
                <w:color w:val="auto"/>
              </w:rPr>
              <w:t>0</w:t>
            </w:r>
          </w:p>
        </w:tc>
        <w:tc>
          <w:tcPr>
            <w:tcW w:w="5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104.30</w:t>
            </w:r>
          </w:p>
        </w:tc>
        <w:tc>
          <w:tcPr>
            <w:tcW w:w="9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4/5/2031</w:t>
            </w:r>
          </w:p>
        </w:tc>
        <w:tc>
          <w:tcPr>
            <w:tcW w:w="840" w:type="dxa"/>
            <w:vAlign w:val="bottom"/>
            <w:shd w:val="clear" w:color="auto" w:fill="E9F0F3"/>
          </w:tcPr>
          <w:p>
            <w:pPr>
              <w:spacing w:after="0"/>
              <w:rPr>
                <w:sz w:val="21"/>
                <w:szCs w:val="21"/>
                <w:color w:val="auto"/>
              </w:rPr>
            </w:pPr>
          </w:p>
        </w:tc>
        <w:tc>
          <w:tcPr>
            <w:tcW w:w="880" w:type="dxa"/>
            <w:vAlign w:val="bottom"/>
            <w:shd w:val="clear" w:color="auto" w:fill="E9F0F3"/>
          </w:tcPr>
          <w:p>
            <w:pPr>
              <w:spacing w:after="0"/>
              <w:rPr>
                <w:sz w:val="21"/>
                <w:szCs w:val="21"/>
                <w:color w:val="auto"/>
              </w:rPr>
            </w:pPr>
          </w:p>
        </w:tc>
        <w:tc>
          <w:tcPr>
            <w:tcW w:w="900" w:type="dxa"/>
            <w:vAlign w:val="bottom"/>
            <w:shd w:val="clear" w:color="auto" w:fill="E9F0F3"/>
          </w:tcPr>
          <w:p>
            <w:pPr>
              <w:spacing w:after="0"/>
              <w:rPr>
                <w:sz w:val="21"/>
                <w:szCs w:val="21"/>
                <w:color w:val="auto"/>
              </w:rPr>
            </w:pPr>
          </w:p>
        </w:tc>
        <w:tc>
          <w:tcPr>
            <w:tcW w:w="960" w:type="dxa"/>
            <w:vAlign w:val="bottom"/>
            <w:shd w:val="clear" w:color="auto" w:fill="E9F0F3"/>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00" w:type="dxa"/>
            <w:vAlign w:val="bottom"/>
            <w:shd w:val="clear" w:color="auto" w:fill="E9F0F3"/>
          </w:tcPr>
          <w:p>
            <w:pPr>
              <w:spacing w:after="0"/>
              <w:rPr>
                <w:sz w:val="21"/>
                <w:szCs w:val="21"/>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4/6/2022</w:t>
            </w:r>
          </w:p>
        </w:tc>
        <w:tc>
          <w:tcPr>
            <w:tcW w:w="10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35,025</w:t>
            </w:r>
          </w:p>
        </w:tc>
        <w:tc>
          <w:tcPr>
            <w:tcW w:w="1460" w:type="dxa"/>
            <w:vAlign w:val="bottom"/>
            <w:shd w:val="clear" w:color="auto" w:fill="E2EAEF"/>
          </w:tcPr>
          <w:p>
            <w:pPr>
              <w:jc w:val="right"/>
              <w:ind w:right="278"/>
              <w:spacing w:after="0"/>
              <w:rPr>
                <w:sz w:val="20"/>
                <w:szCs w:val="20"/>
                <w:color w:val="auto"/>
              </w:rPr>
            </w:pPr>
            <w:r>
              <w:rPr>
                <w:rFonts w:ascii="Arial" w:cs="Arial" w:eastAsia="Arial" w:hAnsi="Arial"/>
                <w:sz w:val="14"/>
                <w:szCs w:val="14"/>
                <w:color w:val="auto"/>
              </w:rPr>
              <w:t>11,675</w:t>
            </w:r>
          </w:p>
        </w:tc>
        <w:tc>
          <w:tcPr>
            <w:tcW w:w="5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71.51</w:t>
            </w:r>
          </w:p>
        </w:tc>
        <w:tc>
          <w:tcPr>
            <w:tcW w:w="9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4/6/2032</w:t>
            </w:r>
          </w:p>
        </w:tc>
        <w:tc>
          <w:tcPr>
            <w:tcW w:w="840" w:type="dxa"/>
            <w:vAlign w:val="bottom"/>
            <w:shd w:val="clear" w:color="auto" w:fill="E9F0F3"/>
          </w:tcPr>
          <w:p>
            <w:pPr>
              <w:spacing w:after="0"/>
              <w:rPr>
                <w:sz w:val="21"/>
                <w:szCs w:val="21"/>
                <w:color w:val="auto"/>
              </w:rPr>
            </w:pPr>
          </w:p>
        </w:tc>
        <w:tc>
          <w:tcPr>
            <w:tcW w:w="880" w:type="dxa"/>
            <w:vAlign w:val="bottom"/>
            <w:shd w:val="clear" w:color="auto" w:fill="E9F0F3"/>
          </w:tcPr>
          <w:p>
            <w:pPr>
              <w:spacing w:after="0"/>
              <w:rPr>
                <w:sz w:val="21"/>
                <w:szCs w:val="21"/>
                <w:color w:val="auto"/>
              </w:rPr>
            </w:pPr>
          </w:p>
        </w:tc>
        <w:tc>
          <w:tcPr>
            <w:tcW w:w="900" w:type="dxa"/>
            <w:vAlign w:val="bottom"/>
            <w:shd w:val="clear" w:color="auto" w:fill="E9F0F3"/>
          </w:tcPr>
          <w:p>
            <w:pPr>
              <w:spacing w:after="0"/>
              <w:rPr>
                <w:sz w:val="21"/>
                <w:szCs w:val="21"/>
                <w:color w:val="auto"/>
              </w:rPr>
            </w:pPr>
          </w:p>
        </w:tc>
        <w:tc>
          <w:tcPr>
            <w:tcW w:w="960" w:type="dxa"/>
            <w:vAlign w:val="bottom"/>
            <w:shd w:val="clear" w:color="auto" w:fill="E9F0F3"/>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00" w:type="dxa"/>
            <w:vAlign w:val="bottom"/>
            <w:shd w:val="clear" w:color="auto" w:fill="E9F0F3"/>
          </w:tcPr>
          <w:p>
            <w:pPr>
              <w:spacing w:after="0"/>
              <w:rPr>
                <w:sz w:val="21"/>
                <w:szCs w:val="21"/>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4/6/2023</w:t>
            </w:r>
          </w:p>
        </w:tc>
        <w:tc>
          <w:tcPr>
            <w:tcW w:w="10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25,550</w:t>
            </w:r>
          </w:p>
        </w:tc>
        <w:tc>
          <w:tcPr>
            <w:tcW w:w="1460" w:type="dxa"/>
            <w:vAlign w:val="bottom"/>
            <w:shd w:val="clear" w:color="auto" w:fill="E2EAEF"/>
          </w:tcPr>
          <w:p>
            <w:pPr>
              <w:jc w:val="right"/>
              <w:ind w:right="278"/>
              <w:spacing w:after="0"/>
              <w:rPr>
                <w:sz w:val="20"/>
                <w:szCs w:val="20"/>
                <w:color w:val="auto"/>
              </w:rPr>
            </w:pPr>
            <w:r>
              <w:rPr>
                <w:rFonts w:ascii="Arial" w:cs="Arial" w:eastAsia="Arial" w:hAnsi="Arial"/>
                <w:sz w:val="14"/>
                <w:szCs w:val="14"/>
                <w:color w:val="auto"/>
              </w:rPr>
              <w:t>25,550</w:t>
            </w:r>
          </w:p>
        </w:tc>
        <w:tc>
          <w:tcPr>
            <w:tcW w:w="5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83.80</w:t>
            </w:r>
          </w:p>
        </w:tc>
        <w:tc>
          <w:tcPr>
            <w:tcW w:w="9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4/6/2033</w:t>
            </w:r>
          </w:p>
        </w:tc>
        <w:tc>
          <w:tcPr>
            <w:tcW w:w="840" w:type="dxa"/>
            <w:vAlign w:val="bottom"/>
            <w:shd w:val="clear" w:color="auto" w:fill="E9F0F3"/>
          </w:tcPr>
          <w:p>
            <w:pPr>
              <w:spacing w:after="0"/>
              <w:rPr>
                <w:sz w:val="21"/>
                <w:szCs w:val="21"/>
                <w:color w:val="auto"/>
              </w:rPr>
            </w:pPr>
          </w:p>
        </w:tc>
        <w:tc>
          <w:tcPr>
            <w:tcW w:w="880" w:type="dxa"/>
            <w:vAlign w:val="bottom"/>
            <w:shd w:val="clear" w:color="auto" w:fill="E9F0F3"/>
          </w:tcPr>
          <w:p>
            <w:pPr>
              <w:spacing w:after="0"/>
              <w:rPr>
                <w:sz w:val="21"/>
                <w:szCs w:val="21"/>
                <w:color w:val="auto"/>
              </w:rPr>
            </w:pPr>
          </w:p>
        </w:tc>
        <w:tc>
          <w:tcPr>
            <w:tcW w:w="900" w:type="dxa"/>
            <w:vAlign w:val="bottom"/>
            <w:shd w:val="clear" w:color="auto" w:fill="E9F0F3"/>
          </w:tcPr>
          <w:p>
            <w:pPr>
              <w:spacing w:after="0"/>
              <w:rPr>
                <w:sz w:val="21"/>
                <w:szCs w:val="21"/>
                <w:color w:val="auto"/>
              </w:rPr>
            </w:pPr>
          </w:p>
        </w:tc>
        <w:tc>
          <w:tcPr>
            <w:tcW w:w="960" w:type="dxa"/>
            <w:vAlign w:val="bottom"/>
            <w:shd w:val="clear" w:color="auto" w:fill="E9F0F3"/>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00" w:type="dxa"/>
            <w:vAlign w:val="bottom"/>
            <w:shd w:val="clear" w:color="auto" w:fill="E9F0F3"/>
          </w:tcPr>
          <w:p>
            <w:pPr>
              <w:spacing w:after="0"/>
              <w:rPr>
                <w:sz w:val="21"/>
                <w:szCs w:val="21"/>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4/10/2024</w:t>
            </w:r>
          </w:p>
        </w:tc>
        <w:tc>
          <w:tcPr>
            <w:tcW w:w="10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9,125</w:t>
            </w:r>
          </w:p>
        </w:tc>
        <w:tc>
          <w:tcPr>
            <w:tcW w:w="1460" w:type="dxa"/>
            <w:vAlign w:val="bottom"/>
            <w:shd w:val="clear" w:color="auto" w:fill="E2EAEF"/>
          </w:tcPr>
          <w:p>
            <w:pPr>
              <w:jc w:val="right"/>
              <w:ind w:right="278"/>
              <w:spacing w:after="0"/>
              <w:rPr>
                <w:sz w:val="20"/>
                <w:szCs w:val="20"/>
                <w:color w:val="auto"/>
              </w:rPr>
            </w:pPr>
            <w:r>
              <w:rPr>
                <w:rFonts w:ascii="Arial" w:cs="Arial" w:eastAsia="Arial" w:hAnsi="Arial"/>
                <w:sz w:val="14"/>
                <w:szCs w:val="14"/>
                <w:color w:val="auto"/>
              </w:rPr>
              <w:t>27,375</w:t>
            </w:r>
          </w:p>
        </w:tc>
        <w:tc>
          <w:tcPr>
            <w:tcW w:w="5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109.75</w:t>
            </w:r>
          </w:p>
        </w:tc>
        <w:tc>
          <w:tcPr>
            <w:tcW w:w="9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4/10/2034</w:t>
            </w:r>
          </w:p>
        </w:tc>
        <w:tc>
          <w:tcPr>
            <w:tcW w:w="840" w:type="dxa"/>
            <w:vAlign w:val="bottom"/>
            <w:shd w:val="clear" w:color="auto" w:fill="E9F0F3"/>
          </w:tcPr>
          <w:p>
            <w:pPr>
              <w:spacing w:after="0"/>
              <w:rPr>
                <w:sz w:val="21"/>
                <w:szCs w:val="21"/>
                <w:color w:val="auto"/>
              </w:rPr>
            </w:pPr>
          </w:p>
        </w:tc>
        <w:tc>
          <w:tcPr>
            <w:tcW w:w="880" w:type="dxa"/>
            <w:vAlign w:val="bottom"/>
            <w:shd w:val="clear" w:color="auto" w:fill="E9F0F3"/>
          </w:tcPr>
          <w:p>
            <w:pPr>
              <w:spacing w:after="0"/>
              <w:rPr>
                <w:sz w:val="21"/>
                <w:szCs w:val="21"/>
                <w:color w:val="auto"/>
              </w:rPr>
            </w:pPr>
          </w:p>
        </w:tc>
        <w:tc>
          <w:tcPr>
            <w:tcW w:w="900" w:type="dxa"/>
            <w:vAlign w:val="bottom"/>
            <w:shd w:val="clear" w:color="auto" w:fill="E9F0F3"/>
          </w:tcPr>
          <w:p>
            <w:pPr>
              <w:spacing w:after="0"/>
              <w:rPr>
                <w:sz w:val="21"/>
                <w:szCs w:val="21"/>
                <w:color w:val="auto"/>
              </w:rPr>
            </w:pPr>
          </w:p>
        </w:tc>
        <w:tc>
          <w:tcPr>
            <w:tcW w:w="960" w:type="dxa"/>
            <w:vAlign w:val="bottom"/>
            <w:shd w:val="clear" w:color="auto" w:fill="E9F0F3"/>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00" w:type="dxa"/>
            <w:vAlign w:val="bottom"/>
            <w:shd w:val="clear" w:color="auto" w:fill="E9F0F3"/>
          </w:tcPr>
          <w:p>
            <w:pPr>
              <w:spacing w:after="0"/>
              <w:rPr>
                <w:sz w:val="21"/>
                <w:szCs w:val="21"/>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4/6/2022</w:t>
            </w:r>
          </w:p>
        </w:tc>
        <w:tc>
          <w:tcPr>
            <w:tcW w:w="1040" w:type="dxa"/>
            <w:vAlign w:val="bottom"/>
            <w:shd w:val="clear" w:color="auto" w:fill="E2EAEF"/>
          </w:tcPr>
          <w:p>
            <w:pPr>
              <w:spacing w:after="0"/>
              <w:rPr>
                <w:sz w:val="21"/>
                <w:szCs w:val="21"/>
                <w:color w:val="auto"/>
              </w:rPr>
            </w:pPr>
          </w:p>
        </w:tc>
        <w:tc>
          <w:tcPr>
            <w:tcW w:w="1460" w:type="dxa"/>
            <w:vAlign w:val="bottom"/>
            <w:shd w:val="clear" w:color="auto" w:fill="E2EAEF"/>
          </w:tcPr>
          <w:p>
            <w:pPr>
              <w:spacing w:after="0"/>
              <w:rPr>
                <w:sz w:val="21"/>
                <w:szCs w:val="21"/>
                <w:color w:val="auto"/>
              </w:rPr>
            </w:pPr>
          </w:p>
        </w:tc>
        <w:tc>
          <w:tcPr>
            <w:tcW w:w="540" w:type="dxa"/>
            <w:vAlign w:val="bottom"/>
            <w:shd w:val="clear" w:color="auto" w:fill="E2EAEF"/>
          </w:tcPr>
          <w:p>
            <w:pPr>
              <w:spacing w:after="0"/>
              <w:rPr>
                <w:sz w:val="21"/>
                <w:szCs w:val="21"/>
                <w:color w:val="auto"/>
              </w:rPr>
            </w:pPr>
          </w:p>
        </w:tc>
        <w:tc>
          <w:tcPr>
            <w:tcW w:w="940" w:type="dxa"/>
            <w:vAlign w:val="bottom"/>
            <w:shd w:val="clear" w:color="auto" w:fill="E2EAEF"/>
          </w:tcPr>
          <w:p>
            <w:pPr>
              <w:spacing w:after="0"/>
              <w:rPr>
                <w:sz w:val="21"/>
                <w:szCs w:val="21"/>
                <w:color w:val="auto"/>
              </w:rPr>
            </w:pPr>
          </w:p>
        </w:tc>
        <w:tc>
          <w:tcPr>
            <w:tcW w:w="8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8,391</w:t>
            </w:r>
          </w:p>
        </w:tc>
        <w:tc>
          <w:tcPr>
            <w:tcW w:w="8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523,263</w:t>
            </w:r>
          </w:p>
        </w:tc>
        <w:tc>
          <w:tcPr>
            <w:tcW w:w="900" w:type="dxa"/>
            <w:vAlign w:val="bottom"/>
            <w:shd w:val="clear" w:color="auto" w:fill="E9F0F3"/>
          </w:tcPr>
          <w:p>
            <w:pPr>
              <w:spacing w:after="0"/>
              <w:rPr>
                <w:sz w:val="21"/>
                <w:szCs w:val="21"/>
                <w:color w:val="auto"/>
              </w:rPr>
            </w:pPr>
          </w:p>
        </w:tc>
        <w:tc>
          <w:tcPr>
            <w:tcW w:w="960" w:type="dxa"/>
            <w:vAlign w:val="bottom"/>
            <w:shd w:val="clear" w:color="auto" w:fill="E9F0F3"/>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00" w:type="dxa"/>
            <w:vAlign w:val="bottom"/>
            <w:shd w:val="clear" w:color="auto" w:fill="E9F0F3"/>
          </w:tcPr>
          <w:p>
            <w:pPr>
              <w:spacing w:after="0"/>
              <w:rPr>
                <w:sz w:val="21"/>
                <w:szCs w:val="21"/>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4/6/2023</w:t>
            </w:r>
          </w:p>
        </w:tc>
        <w:tc>
          <w:tcPr>
            <w:tcW w:w="1040" w:type="dxa"/>
            <w:vAlign w:val="bottom"/>
            <w:shd w:val="clear" w:color="auto" w:fill="E2EAEF"/>
          </w:tcPr>
          <w:p>
            <w:pPr>
              <w:spacing w:after="0"/>
              <w:rPr>
                <w:sz w:val="21"/>
                <w:szCs w:val="21"/>
                <w:color w:val="auto"/>
              </w:rPr>
            </w:pPr>
          </w:p>
        </w:tc>
        <w:tc>
          <w:tcPr>
            <w:tcW w:w="1460" w:type="dxa"/>
            <w:vAlign w:val="bottom"/>
            <w:shd w:val="clear" w:color="auto" w:fill="E2EAEF"/>
          </w:tcPr>
          <w:p>
            <w:pPr>
              <w:spacing w:after="0"/>
              <w:rPr>
                <w:sz w:val="21"/>
                <w:szCs w:val="21"/>
                <w:color w:val="auto"/>
              </w:rPr>
            </w:pPr>
          </w:p>
        </w:tc>
        <w:tc>
          <w:tcPr>
            <w:tcW w:w="540" w:type="dxa"/>
            <w:vAlign w:val="bottom"/>
            <w:shd w:val="clear" w:color="auto" w:fill="E2EAEF"/>
          </w:tcPr>
          <w:p>
            <w:pPr>
              <w:spacing w:after="0"/>
              <w:rPr>
                <w:sz w:val="21"/>
                <w:szCs w:val="21"/>
                <w:color w:val="auto"/>
              </w:rPr>
            </w:pPr>
          </w:p>
        </w:tc>
        <w:tc>
          <w:tcPr>
            <w:tcW w:w="940" w:type="dxa"/>
            <w:vAlign w:val="bottom"/>
            <w:shd w:val="clear" w:color="auto" w:fill="E2EAEF"/>
          </w:tcPr>
          <w:p>
            <w:pPr>
              <w:spacing w:after="0"/>
              <w:rPr>
                <w:sz w:val="21"/>
                <w:szCs w:val="21"/>
                <w:color w:val="auto"/>
              </w:rPr>
            </w:pPr>
          </w:p>
        </w:tc>
        <w:tc>
          <w:tcPr>
            <w:tcW w:w="8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19,870</w:t>
            </w:r>
          </w:p>
        </w:tc>
        <w:tc>
          <w:tcPr>
            <w:tcW w:w="8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1,239,093</w:t>
            </w:r>
          </w:p>
        </w:tc>
        <w:tc>
          <w:tcPr>
            <w:tcW w:w="900" w:type="dxa"/>
            <w:vAlign w:val="bottom"/>
            <w:shd w:val="clear" w:color="auto" w:fill="E9F0F3"/>
          </w:tcPr>
          <w:p>
            <w:pPr>
              <w:spacing w:after="0"/>
              <w:rPr>
                <w:sz w:val="21"/>
                <w:szCs w:val="21"/>
                <w:color w:val="auto"/>
              </w:rPr>
            </w:pPr>
          </w:p>
        </w:tc>
        <w:tc>
          <w:tcPr>
            <w:tcW w:w="960" w:type="dxa"/>
            <w:vAlign w:val="bottom"/>
            <w:shd w:val="clear" w:color="auto" w:fill="E9F0F3"/>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00" w:type="dxa"/>
            <w:vAlign w:val="bottom"/>
            <w:shd w:val="clear" w:color="auto" w:fill="E9F0F3"/>
          </w:tcPr>
          <w:p>
            <w:pPr>
              <w:spacing w:after="0"/>
              <w:rPr>
                <w:sz w:val="21"/>
                <w:szCs w:val="21"/>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4/10/2024</w:t>
            </w:r>
          </w:p>
        </w:tc>
        <w:tc>
          <w:tcPr>
            <w:tcW w:w="1040" w:type="dxa"/>
            <w:vAlign w:val="bottom"/>
            <w:shd w:val="clear" w:color="auto" w:fill="E2EAEF"/>
          </w:tcPr>
          <w:p>
            <w:pPr>
              <w:spacing w:after="0"/>
              <w:rPr>
                <w:sz w:val="21"/>
                <w:szCs w:val="21"/>
                <w:color w:val="auto"/>
              </w:rPr>
            </w:pPr>
          </w:p>
        </w:tc>
        <w:tc>
          <w:tcPr>
            <w:tcW w:w="1460" w:type="dxa"/>
            <w:vAlign w:val="bottom"/>
            <w:shd w:val="clear" w:color="auto" w:fill="E2EAEF"/>
          </w:tcPr>
          <w:p>
            <w:pPr>
              <w:spacing w:after="0"/>
              <w:rPr>
                <w:sz w:val="21"/>
                <w:szCs w:val="21"/>
                <w:color w:val="auto"/>
              </w:rPr>
            </w:pPr>
          </w:p>
        </w:tc>
        <w:tc>
          <w:tcPr>
            <w:tcW w:w="540" w:type="dxa"/>
            <w:vAlign w:val="bottom"/>
            <w:shd w:val="clear" w:color="auto" w:fill="E2EAEF"/>
          </w:tcPr>
          <w:p>
            <w:pPr>
              <w:spacing w:after="0"/>
              <w:rPr>
                <w:sz w:val="21"/>
                <w:szCs w:val="21"/>
                <w:color w:val="auto"/>
              </w:rPr>
            </w:pPr>
          </w:p>
        </w:tc>
        <w:tc>
          <w:tcPr>
            <w:tcW w:w="940" w:type="dxa"/>
            <w:vAlign w:val="bottom"/>
            <w:shd w:val="clear" w:color="auto" w:fill="E2EAEF"/>
          </w:tcPr>
          <w:p>
            <w:pPr>
              <w:spacing w:after="0"/>
              <w:rPr>
                <w:sz w:val="21"/>
                <w:szCs w:val="21"/>
                <w:color w:val="auto"/>
              </w:rPr>
            </w:pPr>
          </w:p>
        </w:tc>
        <w:tc>
          <w:tcPr>
            <w:tcW w:w="8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22,758</w:t>
            </w:r>
          </w:p>
        </w:tc>
        <w:tc>
          <w:tcPr>
            <w:tcW w:w="8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1,419,189</w:t>
            </w:r>
          </w:p>
        </w:tc>
        <w:tc>
          <w:tcPr>
            <w:tcW w:w="900" w:type="dxa"/>
            <w:vAlign w:val="bottom"/>
            <w:shd w:val="clear" w:color="auto" w:fill="E9F0F3"/>
          </w:tcPr>
          <w:p>
            <w:pPr>
              <w:spacing w:after="0"/>
              <w:rPr>
                <w:sz w:val="21"/>
                <w:szCs w:val="21"/>
                <w:color w:val="auto"/>
              </w:rPr>
            </w:pPr>
          </w:p>
        </w:tc>
        <w:tc>
          <w:tcPr>
            <w:tcW w:w="960" w:type="dxa"/>
            <w:vAlign w:val="bottom"/>
            <w:shd w:val="clear" w:color="auto" w:fill="E9F0F3"/>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00" w:type="dxa"/>
            <w:vAlign w:val="bottom"/>
            <w:shd w:val="clear" w:color="auto" w:fill="E9F0F3"/>
          </w:tcPr>
          <w:p>
            <w:pPr>
              <w:spacing w:after="0"/>
              <w:rPr>
                <w:sz w:val="21"/>
                <w:szCs w:val="21"/>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4/10/2025</w:t>
            </w:r>
          </w:p>
        </w:tc>
        <w:tc>
          <w:tcPr>
            <w:tcW w:w="1040" w:type="dxa"/>
            <w:vAlign w:val="bottom"/>
            <w:shd w:val="clear" w:color="auto" w:fill="E2EAEF"/>
          </w:tcPr>
          <w:p>
            <w:pPr>
              <w:spacing w:after="0"/>
              <w:rPr>
                <w:sz w:val="21"/>
                <w:szCs w:val="21"/>
                <w:color w:val="auto"/>
              </w:rPr>
            </w:pPr>
          </w:p>
        </w:tc>
        <w:tc>
          <w:tcPr>
            <w:tcW w:w="1460" w:type="dxa"/>
            <w:vAlign w:val="bottom"/>
            <w:shd w:val="clear" w:color="auto" w:fill="E2EAEF"/>
          </w:tcPr>
          <w:p>
            <w:pPr>
              <w:spacing w:after="0"/>
              <w:rPr>
                <w:sz w:val="21"/>
                <w:szCs w:val="21"/>
                <w:color w:val="auto"/>
              </w:rPr>
            </w:pPr>
          </w:p>
        </w:tc>
        <w:tc>
          <w:tcPr>
            <w:tcW w:w="540" w:type="dxa"/>
            <w:vAlign w:val="bottom"/>
            <w:shd w:val="clear" w:color="auto" w:fill="E2EAEF"/>
          </w:tcPr>
          <w:p>
            <w:pPr>
              <w:spacing w:after="0"/>
              <w:rPr>
                <w:sz w:val="21"/>
                <w:szCs w:val="21"/>
                <w:color w:val="auto"/>
              </w:rPr>
            </w:pPr>
          </w:p>
        </w:tc>
        <w:tc>
          <w:tcPr>
            <w:tcW w:w="940" w:type="dxa"/>
            <w:vAlign w:val="bottom"/>
            <w:shd w:val="clear" w:color="auto" w:fill="E2EAEF"/>
          </w:tcPr>
          <w:p>
            <w:pPr>
              <w:spacing w:after="0"/>
              <w:rPr>
                <w:sz w:val="21"/>
                <w:szCs w:val="21"/>
                <w:color w:val="auto"/>
              </w:rPr>
            </w:pPr>
          </w:p>
        </w:tc>
        <w:tc>
          <w:tcPr>
            <w:tcW w:w="8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80,264</w:t>
            </w:r>
          </w:p>
        </w:tc>
        <w:tc>
          <w:tcPr>
            <w:tcW w:w="8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5,005,263</w:t>
            </w:r>
          </w:p>
        </w:tc>
        <w:tc>
          <w:tcPr>
            <w:tcW w:w="900" w:type="dxa"/>
            <w:vAlign w:val="bottom"/>
            <w:shd w:val="clear" w:color="auto" w:fill="E9F0F3"/>
          </w:tcPr>
          <w:p>
            <w:pPr>
              <w:spacing w:after="0"/>
              <w:rPr>
                <w:sz w:val="21"/>
                <w:szCs w:val="21"/>
                <w:color w:val="auto"/>
              </w:rPr>
            </w:pPr>
          </w:p>
        </w:tc>
        <w:tc>
          <w:tcPr>
            <w:tcW w:w="960" w:type="dxa"/>
            <w:vAlign w:val="bottom"/>
            <w:shd w:val="clear" w:color="auto" w:fill="E9F0F3"/>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00" w:type="dxa"/>
            <w:vAlign w:val="bottom"/>
            <w:shd w:val="clear" w:color="auto" w:fill="E9F0F3"/>
          </w:tcPr>
          <w:p>
            <w:pPr>
              <w:spacing w:after="0"/>
              <w:rPr>
                <w:sz w:val="24"/>
                <w:szCs w:val="24"/>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4/06/2023</w:t>
            </w:r>
            <w:r>
              <w:rPr>
                <w:rFonts w:ascii="Arial" w:cs="Arial" w:eastAsia="Arial" w:hAnsi="Arial"/>
                <w:sz w:val="16"/>
                <w:szCs w:val="16"/>
                <w:color w:val="auto"/>
                <w:vertAlign w:val="superscript"/>
              </w:rPr>
              <w:t>5</w:t>
            </w:r>
          </w:p>
        </w:tc>
        <w:tc>
          <w:tcPr>
            <w:tcW w:w="1040" w:type="dxa"/>
            <w:vAlign w:val="bottom"/>
            <w:shd w:val="clear" w:color="auto" w:fill="E2EAEF"/>
          </w:tcPr>
          <w:p>
            <w:pPr>
              <w:spacing w:after="0"/>
              <w:rPr>
                <w:sz w:val="24"/>
                <w:szCs w:val="24"/>
                <w:color w:val="auto"/>
              </w:rPr>
            </w:pPr>
          </w:p>
        </w:tc>
        <w:tc>
          <w:tcPr>
            <w:tcW w:w="1460" w:type="dxa"/>
            <w:vAlign w:val="bottom"/>
            <w:shd w:val="clear" w:color="auto" w:fill="E2EAEF"/>
          </w:tcPr>
          <w:p>
            <w:pPr>
              <w:spacing w:after="0"/>
              <w:rPr>
                <w:sz w:val="24"/>
                <w:szCs w:val="24"/>
                <w:color w:val="auto"/>
              </w:rPr>
            </w:pPr>
          </w:p>
        </w:tc>
        <w:tc>
          <w:tcPr>
            <w:tcW w:w="540" w:type="dxa"/>
            <w:vAlign w:val="bottom"/>
            <w:shd w:val="clear" w:color="auto" w:fill="E2EAEF"/>
          </w:tcPr>
          <w:p>
            <w:pPr>
              <w:spacing w:after="0"/>
              <w:rPr>
                <w:sz w:val="24"/>
                <w:szCs w:val="24"/>
                <w:color w:val="auto"/>
              </w:rPr>
            </w:pPr>
          </w:p>
        </w:tc>
        <w:tc>
          <w:tcPr>
            <w:tcW w:w="940" w:type="dxa"/>
            <w:vAlign w:val="bottom"/>
            <w:shd w:val="clear" w:color="auto" w:fill="E2EAEF"/>
          </w:tcPr>
          <w:p>
            <w:pPr>
              <w:spacing w:after="0"/>
              <w:rPr>
                <w:sz w:val="24"/>
                <w:szCs w:val="24"/>
                <w:color w:val="auto"/>
              </w:rPr>
            </w:pPr>
          </w:p>
        </w:tc>
        <w:tc>
          <w:tcPr>
            <w:tcW w:w="840" w:type="dxa"/>
            <w:vAlign w:val="bottom"/>
            <w:shd w:val="clear" w:color="auto" w:fill="E9F0F3"/>
          </w:tcPr>
          <w:p>
            <w:pPr>
              <w:spacing w:after="0"/>
              <w:rPr>
                <w:sz w:val="24"/>
                <w:szCs w:val="24"/>
                <w:color w:val="auto"/>
              </w:rPr>
            </w:pPr>
          </w:p>
        </w:tc>
        <w:tc>
          <w:tcPr>
            <w:tcW w:w="880" w:type="dxa"/>
            <w:vAlign w:val="bottom"/>
            <w:shd w:val="clear" w:color="auto" w:fill="E9F0F3"/>
          </w:tcPr>
          <w:p>
            <w:pPr>
              <w:spacing w:after="0"/>
              <w:rPr>
                <w:sz w:val="24"/>
                <w:szCs w:val="24"/>
                <w:color w:val="auto"/>
              </w:rPr>
            </w:pPr>
          </w:p>
        </w:tc>
        <w:tc>
          <w:tcPr>
            <w:tcW w:w="900" w:type="dxa"/>
            <w:vAlign w:val="bottom"/>
            <w:shd w:val="clear" w:color="auto" w:fill="E9F0F3"/>
          </w:tcPr>
          <w:p>
            <w:pPr>
              <w:jc w:val="right"/>
              <w:ind w:right="2"/>
              <w:spacing w:after="0"/>
              <w:rPr>
                <w:sz w:val="20"/>
                <w:szCs w:val="20"/>
                <w:color w:val="auto"/>
              </w:rPr>
            </w:pPr>
            <w:r>
              <w:rPr>
                <w:rFonts w:ascii="Arial" w:cs="Arial" w:eastAsia="Arial" w:hAnsi="Arial"/>
                <w:sz w:val="14"/>
                <w:szCs w:val="14"/>
                <w:color w:val="auto"/>
              </w:rPr>
              <w:t>86,412</w:t>
            </w:r>
          </w:p>
        </w:tc>
        <w:tc>
          <w:tcPr>
            <w:tcW w:w="960" w:type="dxa"/>
            <w:vAlign w:val="bottom"/>
            <w:shd w:val="clear" w:color="auto" w:fill="E9F0F3"/>
          </w:tcPr>
          <w:p>
            <w:pPr>
              <w:jc w:val="right"/>
              <w:ind w:right="62"/>
              <w:spacing w:after="0"/>
              <w:rPr>
                <w:sz w:val="20"/>
                <w:szCs w:val="20"/>
                <w:color w:val="auto"/>
              </w:rPr>
            </w:pPr>
            <w:r>
              <w:rPr>
                <w:rFonts w:ascii="Arial" w:cs="Arial" w:eastAsia="Arial" w:hAnsi="Arial"/>
                <w:sz w:val="14"/>
                <w:szCs w:val="14"/>
                <w:color w:val="auto"/>
              </w:rPr>
              <w:t>5,388,652</w:t>
            </w:r>
          </w:p>
        </w:tc>
        <w:tc>
          <w:tcPr>
            <w:tcW w:w="0" w:type="dxa"/>
            <w:vAlign w:val="bottom"/>
          </w:tcPr>
          <w:p>
            <w:pPr>
              <w:spacing w:after="0"/>
              <w:rPr>
                <w:sz w:val="1"/>
                <w:szCs w:val="1"/>
                <w:color w:val="auto"/>
              </w:rPr>
            </w:pPr>
          </w:p>
        </w:tc>
      </w:tr>
      <w:tr>
        <w:trPr>
          <w:trHeight w:val="227"/>
        </w:trPr>
        <w:tc>
          <w:tcPr>
            <w:tcW w:w="2300" w:type="dxa"/>
            <w:vAlign w:val="bottom"/>
            <w:shd w:val="clear" w:color="auto" w:fill="E9F0F3"/>
          </w:tcPr>
          <w:p>
            <w:pPr>
              <w:spacing w:after="0"/>
              <w:rPr>
                <w:sz w:val="19"/>
                <w:szCs w:val="19"/>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4/10/2024</w:t>
            </w:r>
            <w:r>
              <w:rPr>
                <w:rFonts w:ascii="Arial" w:cs="Arial" w:eastAsia="Arial" w:hAnsi="Arial"/>
                <w:sz w:val="16"/>
                <w:szCs w:val="16"/>
                <w:color w:val="auto"/>
                <w:vertAlign w:val="superscript"/>
              </w:rPr>
              <w:t>6</w:t>
            </w:r>
          </w:p>
        </w:tc>
        <w:tc>
          <w:tcPr>
            <w:tcW w:w="1040" w:type="dxa"/>
            <w:vAlign w:val="bottom"/>
            <w:shd w:val="clear" w:color="auto" w:fill="E2EAEF"/>
          </w:tcPr>
          <w:p>
            <w:pPr>
              <w:spacing w:after="0"/>
              <w:rPr>
                <w:sz w:val="19"/>
                <w:szCs w:val="19"/>
                <w:color w:val="auto"/>
              </w:rPr>
            </w:pPr>
          </w:p>
        </w:tc>
        <w:tc>
          <w:tcPr>
            <w:tcW w:w="1460" w:type="dxa"/>
            <w:vAlign w:val="bottom"/>
            <w:shd w:val="clear" w:color="auto" w:fill="E2EAEF"/>
          </w:tcPr>
          <w:p>
            <w:pPr>
              <w:spacing w:after="0"/>
              <w:rPr>
                <w:sz w:val="19"/>
                <w:szCs w:val="19"/>
                <w:color w:val="auto"/>
              </w:rPr>
            </w:pPr>
          </w:p>
        </w:tc>
        <w:tc>
          <w:tcPr>
            <w:tcW w:w="540" w:type="dxa"/>
            <w:vAlign w:val="bottom"/>
            <w:shd w:val="clear" w:color="auto" w:fill="E2EAEF"/>
          </w:tcPr>
          <w:p>
            <w:pPr>
              <w:spacing w:after="0"/>
              <w:rPr>
                <w:sz w:val="19"/>
                <w:szCs w:val="19"/>
                <w:color w:val="auto"/>
              </w:rPr>
            </w:pPr>
          </w:p>
        </w:tc>
        <w:tc>
          <w:tcPr>
            <w:tcW w:w="940" w:type="dxa"/>
            <w:vAlign w:val="bottom"/>
            <w:shd w:val="clear" w:color="auto" w:fill="E2EAEF"/>
          </w:tcPr>
          <w:p>
            <w:pPr>
              <w:spacing w:after="0"/>
              <w:rPr>
                <w:sz w:val="19"/>
                <w:szCs w:val="19"/>
                <w:color w:val="auto"/>
              </w:rPr>
            </w:pPr>
          </w:p>
        </w:tc>
        <w:tc>
          <w:tcPr>
            <w:tcW w:w="840" w:type="dxa"/>
            <w:vAlign w:val="bottom"/>
            <w:shd w:val="clear" w:color="auto" w:fill="E9F0F3"/>
          </w:tcPr>
          <w:p>
            <w:pPr>
              <w:spacing w:after="0"/>
              <w:rPr>
                <w:sz w:val="19"/>
                <w:szCs w:val="19"/>
                <w:color w:val="auto"/>
              </w:rPr>
            </w:pPr>
          </w:p>
        </w:tc>
        <w:tc>
          <w:tcPr>
            <w:tcW w:w="880" w:type="dxa"/>
            <w:vAlign w:val="bottom"/>
            <w:shd w:val="clear" w:color="auto" w:fill="E9F0F3"/>
          </w:tcPr>
          <w:p>
            <w:pPr>
              <w:spacing w:after="0"/>
              <w:rPr>
                <w:sz w:val="19"/>
                <w:szCs w:val="19"/>
                <w:color w:val="auto"/>
              </w:rPr>
            </w:pPr>
          </w:p>
        </w:tc>
        <w:tc>
          <w:tcPr>
            <w:tcW w:w="900" w:type="dxa"/>
            <w:vAlign w:val="bottom"/>
            <w:shd w:val="clear" w:color="auto" w:fill="E9F0F3"/>
          </w:tcPr>
          <w:p>
            <w:pPr>
              <w:jc w:val="right"/>
              <w:ind w:right="2"/>
              <w:spacing w:after="0"/>
              <w:rPr>
                <w:sz w:val="20"/>
                <w:szCs w:val="20"/>
                <w:color w:val="auto"/>
              </w:rPr>
            </w:pPr>
            <w:r>
              <w:rPr>
                <w:rFonts w:ascii="Arial" w:cs="Arial" w:eastAsia="Arial" w:hAnsi="Arial"/>
                <w:sz w:val="14"/>
                <w:szCs w:val="14"/>
                <w:color w:val="auto"/>
              </w:rPr>
              <w:t>37,929</w:t>
            </w:r>
          </w:p>
        </w:tc>
        <w:tc>
          <w:tcPr>
            <w:tcW w:w="960" w:type="dxa"/>
            <w:vAlign w:val="bottom"/>
            <w:shd w:val="clear" w:color="auto" w:fill="E9F0F3"/>
          </w:tcPr>
          <w:p>
            <w:pPr>
              <w:jc w:val="right"/>
              <w:ind w:right="62"/>
              <w:spacing w:after="0"/>
              <w:rPr>
                <w:sz w:val="20"/>
                <w:szCs w:val="20"/>
                <w:color w:val="auto"/>
              </w:rPr>
            </w:pPr>
            <w:r>
              <w:rPr>
                <w:rFonts w:ascii="Arial" w:cs="Arial" w:eastAsia="Arial" w:hAnsi="Arial"/>
                <w:sz w:val="14"/>
                <w:szCs w:val="14"/>
                <w:color w:val="auto"/>
              </w:rPr>
              <w:t>2,365,252</w:t>
            </w:r>
          </w:p>
        </w:tc>
        <w:tc>
          <w:tcPr>
            <w:tcW w:w="0" w:type="dxa"/>
            <w:vAlign w:val="bottom"/>
          </w:tcPr>
          <w:p>
            <w:pPr>
              <w:spacing w:after="0"/>
              <w:rPr>
                <w:sz w:val="1"/>
                <w:szCs w:val="1"/>
                <w:color w:val="auto"/>
              </w:rPr>
            </w:pPr>
          </w:p>
        </w:tc>
      </w:tr>
      <w:tr>
        <w:trPr>
          <w:trHeight w:val="220"/>
        </w:trPr>
        <w:tc>
          <w:tcPr>
            <w:tcW w:w="2300" w:type="dxa"/>
            <w:vAlign w:val="bottom"/>
            <w:shd w:val="clear" w:color="auto" w:fill="E9F0F3"/>
          </w:tcPr>
          <w:p>
            <w:pPr>
              <w:spacing w:after="0"/>
              <w:rPr>
                <w:sz w:val="19"/>
                <w:szCs w:val="19"/>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4/10/2025</w:t>
            </w:r>
            <w:r>
              <w:rPr>
                <w:rFonts w:ascii="Arial" w:cs="Arial" w:eastAsia="Arial" w:hAnsi="Arial"/>
                <w:sz w:val="16"/>
                <w:szCs w:val="16"/>
                <w:color w:val="auto"/>
                <w:vertAlign w:val="superscript"/>
              </w:rPr>
              <w:t>7</w:t>
            </w:r>
          </w:p>
        </w:tc>
        <w:tc>
          <w:tcPr>
            <w:tcW w:w="1040" w:type="dxa"/>
            <w:vAlign w:val="bottom"/>
            <w:shd w:val="clear" w:color="auto" w:fill="E2EAEF"/>
          </w:tcPr>
          <w:p>
            <w:pPr>
              <w:spacing w:after="0"/>
              <w:rPr>
                <w:sz w:val="19"/>
                <w:szCs w:val="19"/>
                <w:color w:val="auto"/>
              </w:rPr>
            </w:pPr>
          </w:p>
        </w:tc>
        <w:tc>
          <w:tcPr>
            <w:tcW w:w="1460" w:type="dxa"/>
            <w:vAlign w:val="bottom"/>
            <w:shd w:val="clear" w:color="auto" w:fill="E2EAEF"/>
          </w:tcPr>
          <w:p>
            <w:pPr>
              <w:spacing w:after="0"/>
              <w:rPr>
                <w:sz w:val="19"/>
                <w:szCs w:val="19"/>
                <w:color w:val="auto"/>
              </w:rPr>
            </w:pPr>
          </w:p>
        </w:tc>
        <w:tc>
          <w:tcPr>
            <w:tcW w:w="540" w:type="dxa"/>
            <w:vAlign w:val="bottom"/>
            <w:shd w:val="clear" w:color="auto" w:fill="E2EAEF"/>
          </w:tcPr>
          <w:p>
            <w:pPr>
              <w:spacing w:after="0"/>
              <w:rPr>
                <w:sz w:val="19"/>
                <w:szCs w:val="19"/>
                <w:color w:val="auto"/>
              </w:rPr>
            </w:pPr>
          </w:p>
        </w:tc>
        <w:tc>
          <w:tcPr>
            <w:tcW w:w="940" w:type="dxa"/>
            <w:vAlign w:val="bottom"/>
            <w:shd w:val="clear" w:color="auto" w:fill="E2EAEF"/>
          </w:tcPr>
          <w:p>
            <w:pPr>
              <w:spacing w:after="0"/>
              <w:rPr>
                <w:sz w:val="19"/>
                <w:szCs w:val="19"/>
                <w:color w:val="auto"/>
              </w:rPr>
            </w:pPr>
          </w:p>
        </w:tc>
        <w:tc>
          <w:tcPr>
            <w:tcW w:w="840" w:type="dxa"/>
            <w:vAlign w:val="bottom"/>
            <w:shd w:val="clear" w:color="auto" w:fill="E9F0F3"/>
          </w:tcPr>
          <w:p>
            <w:pPr>
              <w:spacing w:after="0"/>
              <w:rPr>
                <w:sz w:val="19"/>
                <w:szCs w:val="19"/>
                <w:color w:val="auto"/>
              </w:rPr>
            </w:pPr>
          </w:p>
        </w:tc>
        <w:tc>
          <w:tcPr>
            <w:tcW w:w="880" w:type="dxa"/>
            <w:vAlign w:val="bottom"/>
            <w:shd w:val="clear" w:color="auto" w:fill="E9F0F3"/>
          </w:tcPr>
          <w:p>
            <w:pPr>
              <w:spacing w:after="0"/>
              <w:rPr>
                <w:sz w:val="19"/>
                <w:szCs w:val="19"/>
                <w:color w:val="auto"/>
              </w:rPr>
            </w:pPr>
          </w:p>
        </w:tc>
        <w:tc>
          <w:tcPr>
            <w:tcW w:w="900" w:type="dxa"/>
            <w:vAlign w:val="bottom"/>
            <w:shd w:val="clear" w:color="auto" w:fill="E9F0F3"/>
          </w:tcPr>
          <w:p>
            <w:pPr>
              <w:jc w:val="right"/>
              <w:ind w:right="2"/>
              <w:spacing w:after="0"/>
              <w:rPr>
                <w:sz w:val="20"/>
                <w:szCs w:val="20"/>
                <w:color w:val="auto"/>
              </w:rPr>
            </w:pPr>
            <w:r>
              <w:rPr>
                <w:rFonts w:ascii="Arial" w:cs="Arial" w:eastAsia="Arial" w:hAnsi="Arial"/>
                <w:sz w:val="14"/>
                <w:szCs w:val="14"/>
                <w:color w:val="auto"/>
              </w:rPr>
              <w:t>40,132</w:t>
            </w:r>
          </w:p>
        </w:tc>
        <w:tc>
          <w:tcPr>
            <w:tcW w:w="960" w:type="dxa"/>
            <w:vAlign w:val="bottom"/>
            <w:shd w:val="clear" w:color="auto" w:fill="E9F0F3"/>
          </w:tcPr>
          <w:p>
            <w:pPr>
              <w:jc w:val="right"/>
              <w:ind w:right="62"/>
              <w:spacing w:after="0"/>
              <w:rPr>
                <w:sz w:val="20"/>
                <w:szCs w:val="20"/>
                <w:color w:val="auto"/>
              </w:rPr>
            </w:pPr>
            <w:r>
              <w:rPr>
                <w:rFonts w:ascii="Arial" w:cs="Arial" w:eastAsia="Arial" w:hAnsi="Arial"/>
                <w:sz w:val="14"/>
                <w:szCs w:val="14"/>
                <w:color w:val="auto"/>
              </w:rPr>
              <w:t>2,502,632</w:t>
            </w:r>
          </w:p>
        </w:tc>
        <w:tc>
          <w:tcPr>
            <w:tcW w:w="0" w:type="dxa"/>
            <w:vAlign w:val="bottom"/>
          </w:tcPr>
          <w:p>
            <w:pPr>
              <w:spacing w:after="0"/>
              <w:rPr>
                <w:sz w:val="1"/>
                <w:szCs w:val="1"/>
                <w:color w:val="auto"/>
              </w:rPr>
            </w:pPr>
          </w:p>
        </w:tc>
      </w:tr>
      <w:tr>
        <w:trPr>
          <w:trHeight w:val="39"/>
        </w:trPr>
        <w:tc>
          <w:tcPr>
            <w:tcW w:w="2300" w:type="dxa"/>
            <w:vAlign w:val="bottom"/>
            <w:shd w:val="clear" w:color="auto" w:fill="E9F0F3"/>
          </w:tcPr>
          <w:p>
            <w:pPr>
              <w:spacing w:after="0"/>
              <w:rPr>
                <w:sz w:val="3"/>
                <w:szCs w:val="3"/>
                <w:color w:val="auto"/>
              </w:rPr>
            </w:pPr>
          </w:p>
        </w:tc>
        <w:tc>
          <w:tcPr>
            <w:tcW w:w="1080" w:type="dxa"/>
            <w:vAlign w:val="bottom"/>
            <w:shd w:val="clear" w:color="auto" w:fill="E9F0F3"/>
          </w:tcPr>
          <w:p>
            <w:pPr>
              <w:spacing w:after="0"/>
              <w:rPr>
                <w:sz w:val="3"/>
                <w:szCs w:val="3"/>
                <w:color w:val="auto"/>
              </w:rPr>
            </w:pPr>
          </w:p>
        </w:tc>
        <w:tc>
          <w:tcPr>
            <w:tcW w:w="1040" w:type="dxa"/>
            <w:vAlign w:val="bottom"/>
            <w:shd w:val="clear" w:color="auto" w:fill="E2EAEF"/>
          </w:tcPr>
          <w:p>
            <w:pPr>
              <w:spacing w:after="0"/>
              <w:rPr>
                <w:sz w:val="3"/>
                <w:szCs w:val="3"/>
                <w:color w:val="auto"/>
              </w:rPr>
            </w:pPr>
          </w:p>
        </w:tc>
        <w:tc>
          <w:tcPr>
            <w:tcW w:w="1460" w:type="dxa"/>
            <w:vAlign w:val="bottom"/>
            <w:shd w:val="clear" w:color="auto" w:fill="E2EAEF"/>
          </w:tcPr>
          <w:p>
            <w:pPr>
              <w:spacing w:after="0"/>
              <w:rPr>
                <w:sz w:val="3"/>
                <w:szCs w:val="3"/>
                <w:color w:val="auto"/>
              </w:rPr>
            </w:pPr>
          </w:p>
        </w:tc>
        <w:tc>
          <w:tcPr>
            <w:tcW w:w="540" w:type="dxa"/>
            <w:vAlign w:val="bottom"/>
            <w:shd w:val="clear" w:color="auto" w:fill="E2EAEF"/>
          </w:tcPr>
          <w:p>
            <w:pPr>
              <w:spacing w:after="0"/>
              <w:rPr>
                <w:sz w:val="3"/>
                <w:szCs w:val="3"/>
                <w:color w:val="auto"/>
              </w:rPr>
            </w:pPr>
          </w:p>
        </w:tc>
        <w:tc>
          <w:tcPr>
            <w:tcW w:w="940" w:type="dxa"/>
            <w:vAlign w:val="bottom"/>
            <w:shd w:val="clear" w:color="auto" w:fill="E2EAEF"/>
          </w:tcPr>
          <w:p>
            <w:pPr>
              <w:spacing w:after="0"/>
              <w:rPr>
                <w:sz w:val="3"/>
                <w:szCs w:val="3"/>
                <w:color w:val="auto"/>
              </w:rPr>
            </w:pPr>
          </w:p>
        </w:tc>
        <w:tc>
          <w:tcPr>
            <w:tcW w:w="840" w:type="dxa"/>
            <w:vAlign w:val="bottom"/>
            <w:shd w:val="clear" w:color="auto" w:fill="E9F0F3"/>
          </w:tcPr>
          <w:p>
            <w:pPr>
              <w:spacing w:after="0"/>
              <w:rPr>
                <w:sz w:val="3"/>
                <w:szCs w:val="3"/>
                <w:color w:val="auto"/>
              </w:rPr>
            </w:pPr>
          </w:p>
        </w:tc>
        <w:tc>
          <w:tcPr>
            <w:tcW w:w="880" w:type="dxa"/>
            <w:vAlign w:val="bottom"/>
            <w:shd w:val="clear" w:color="auto" w:fill="E9F0F3"/>
          </w:tcPr>
          <w:p>
            <w:pPr>
              <w:spacing w:after="0"/>
              <w:rPr>
                <w:sz w:val="3"/>
                <w:szCs w:val="3"/>
                <w:color w:val="auto"/>
              </w:rPr>
            </w:pPr>
          </w:p>
        </w:tc>
        <w:tc>
          <w:tcPr>
            <w:tcW w:w="900" w:type="dxa"/>
            <w:vAlign w:val="bottom"/>
            <w:shd w:val="clear" w:color="auto" w:fill="E9F0F3"/>
          </w:tcPr>
          <w:p>
            <w:pPr>
              <w:spacing w:after="0"/>
              <w:rPr>
                <w:sz w:val="3"/>
                <w:szCs w:val="3"/>
                <w:color w:val="auto"/>
              </w:rPr>
            </w:pPr>
          </w:p>
        </w:tc>
        <w:tc>
          <w:tcPr>
            <w:tcW w:w="960" w:type="dxa"/>
            <w:vAlign w:val="bottom"/>
            <w:shd w:val="clear" w:color="auto" w:fill="E9F0F3"/>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EXECUTIVE COMPENSATION TABLES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127" w:right="47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47"/>
        </w:trPr>
        <w:tc>
          <w:tcPr>
            <w:tcW w:w="2300" w:type="dxa"/>
            <w:vAlign w:val="bottom"/>
            <w:shd w:val="clear" w:color="auto" w:fill="99B7C6"/>
          </w:tcPr>
          <w:p>
            <w:pPr>
              <w:spacing w:after="0"/>
              <w:rPr>
                <w:sz w:val="21"/>
                <w:szCs w:val="21"/>
                <w:color w:val="auto"/>
              </w:rPr>
            </w:pPr>
          </w:p>
        </w:tc>
        <w:tc>
          <w:tcPr>
            <w:tcW w:w="1080" w:type="dxa"/>
            <w:vAlign w:val="bottom"/>
            <w:shd w:val="clear" w:color="auto" w:fill="99B7C6"/>
          </w:tcPr>
          <w:p>
            <w:pPr>
              <w:spacing w:after="0"/>
              <w:rPr>
                <w:sz w:val="21"/>
                <w:szCs w:val="21"/>
                <w:color w:val="auto"/>
              </w:rPr>
            </w:pPr>
          </w:p>
        </w:tc>
        <w:tc>
          <w:tcPr>
            <w:tcW w:w="1040" w:type="dxa"/>
            <w:vAlign w:val="bottom"/>
            <w:shd w:val="clear" w:color="auto" w:fill="6D98AD"/>
          </w:tcPr>
          <w:p>
            <w:pPr>
              <w:spacing w:after="0"/>
              <w:rPr>
                <w:sz w:val="21"/>
                <w:szCs w:val="21"/>
                <w:color w:val="auto"/>
              </w:rPr>
            </w:pPr>
          </w:p>
        </w:tc>
        <w:tc>
          <w:tcPr>
            <w:tcW w:w="1460" w:type="dxa"/>
            <w:vAlign w:val="bottom"/>
            <w:shd w:val="clear" w:color="auto" w:fill="6D98AD"/>
          </w:tcPr>
          <w:p>
            <w:pPr>
              <w:jc w:val="right"/>
              <w:spacing w:after="0"/>
              <w:rPr>
                <w:sz w:val="20"/>
                <w:szCs w:val="20"/>
                <w:color w:val="auto"/>
              </w:rPr>
            </w:pPr>
            <w:r>
              <w:rPr>
                <w:rFonts w:ascii="Arial" w:cs="Arial" w:eastAsia="Arial" w:hAnsi="Arial"/>
                <w:sz w:val="11"/>
                <w:szCs w:val="11"/>
                <w:b w:val="1"/>
                <w:bCs w:val="1"/>
                <w:color w:val="FFFFFF"/>
              </w:rPr>
              <w:t>OPTION AWARDS</w:t>
            </w:r>
            <w:r>
              <w:rPr>
                <w:rFonts w:ascii="Arial" w:cs="Arial" w:eastAsia="Arial" w:hAnsi="Arial"/>
                <w:sz w:val="12"/>
                <w:szCs w:val="12"/>
                <w:color w:val="FFFFFF"/>
                <w:vertAlign w:val="superscript"/>
              </w:rPr>
              <w:t>1</w:t>
            </w:r>
          </w:p>
        </w:tc>
        <w:tc>
          <w:tcPr>
            <w:tcW w:w="540" w:type="dxa"/>
            <w:vAlign w:val="bottom"/>
            <w:shd w:val="clear" w:color="auto" w:fill="6D98AD"/>
          </w:tcPr>
          <w:p>
            <w:pPr>
              <w:spacing w:after="0"/>
              <w:rPr>
                <w:sz w:val="21"/>
                <w:szCs w:val="21"/>
                <w:color w:val="auto"/>
              </w:rPr>
            </w:pPr>
          </w:p>
        </w:tc>
        <w:tc>
          <w:tcPr>
            <w:tcW w:w="940" w:type="dxa"/>
            <w:vAlign w:val="bottom"/>
            <w:shd w:val="clear" w:color="auto" w:fill="6D98AD"/>
          </w:tcPr>
          <w:p>
            <w:pPr>
              <w:spacing w:after="0"/>
              <w:rPr>
                <w:sz w:val="21"/>
                <w:szCs w:val="21"/>
                <w:color w:val="auto"/>
              </w:rPr>
            </w:pPr>
          </w:p>
        </w:tc>
        <w:tc>
          <w:tcPr>
            <w:tcW w:w="840" w:type="dxa"/>
            <w:vAlign w:val="bottom"/>
            <w:shd w:val="clear" w:color="auto" w:fill="99B7C6"/>
          </w:tcPr>
          <w:p>
            <w:pPr>
              <w:spacing w:after="0"/>
              <w:rPr>
                <w:sz w:val="21"/>
                <w:szCs w:val="21"/>
                <w:color w:val="auto"/>
              </w:rPr>
            </w:pPr>
          </w:p>
        </w:tc>
        <w:tc>
          <w:tcPr>
            <w:tcW w:w="1780" w:type="dxa"/>
            <w:vAlign w:val="bottom"/>
            <w:gridSpan w:val="2"/>
            <w:shd w:val="clear" w:color="auto" w:fill="99B7C6"/>
          </w:tcPr>
          <w:p>
            <w:pPr>
              <w:jc w:val="right"/>
              <w:ind w:right="339"/>
              <w:spacing w:after="0"/>
              <w:rPr>
                <w:sz w:val="20"/>
                <w:szCs w:val="20"/>
                <w:color w:val="auto"/>
              </w:rPr>
            </w:pPr>
            <w:r>
              <w:rPr>
                <w:rFonts w:ascii="Arial" w:cs="Arial" w:eastAsia="Arial" w:hAnsi="Arial"/>
                <w:sz w:val="11"/>
                <w:szCs w:val="11"/>
                <w:b w:val="1"/>
                <w:bCs w:val="1"/>
                <w:color w:val="FFFFFF"/>
              </w:rPr>
              <w:t>STOCK AWARDS</w:t>
            </w:r>
          </w:p>
        </w:tc>
        <w:tc>
          <w:tcPr>
            <w:tcW w:w="960" w:type="dxa"/>
            <w:vAlign w:val="bottom"/>
            <w:shd w:val="clear" w:color="auto" w:fill="99B7C6"/>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2300" w:type="dxa"/>
            <w:vAlign w:val="bottom"/>
            <w:shd w:val="clear" w:color="auto" w:fill="99B7C6"/>
          </w:tcPr>
          <w:p>
            <w:pPr>
              <w:spacing w:after="0"/>
              <w:rPr>
                <w:sz w:val="13"/>
                <w:szCs w:val="13"/>
                <w:color w:val="auto"/>
              </w:rPr>
            </w:pPr>
          </w:p>
        </w:tc>
        <w:tc>
          <w:tcPr>
            <w:tcW w:w="1080" w:type="dxa"/>
            <w:vAlign w:val="bottom"/>
            <w:shd w:val="clear" w:color="auto" w:fill="99B7C6"/>
          </w:tcPr>
          <w:p>
            <w:pPr>
              <w:spacing w:after="0"/>
              <w:rPr>
                <w:sz w:val="13"/>
                <w:szCs w:val="13"/>
                <w:color w:val="auto"/>
              </w:rPr>
            </w:pPr>
          </w:p>
        </w:tc>
        <w:tc>
          <w:tcPr>
            <w:tcW w:w="1040" w:type="dxa"/>
            <w:vAlign w:val="bottom"/>
            <w:shd w:val="clear" w:color="auto" w:fill="8AADBD"/>
          </w:tcPr>
          <w:p>
            <w:pPr>
              <w:spacing w:after="0"/>
              <w:rPr>
                <w:sz w:val="13"/>
                <w:szCs w:val="13"/>
                <w:color w:val="auto"/>
              </w:rPr>
            </w:pPr>
          </w:p>
        </w:tc>
        <w:tc>
          <w:tcPr>
            <w:tcW w:w="1460" w:type="dxa"/>
            <w:vAlign w:val="bottom"/>
            <w:shd w:val="clear" w:color="auto" w:fill="8AADBD"/>
          </w:tcPr>
          <w:p>
            <w:pPr>
              <w:spacing w:after="0"/>
              <w:rPr>
                <w:sz w:val="13"/>
                <w:szCs w:val="13"/>
                <w:color w:val="auto"/>
              </w:rPr>
            </w:pPr>
          </w:p>
        </w:tc>
        <w:tc>
          <w:tcPr>
            <w:tcW w:w="540" w:type="dxa"/>
            <w:vAlign w:val="bottom"/>
            <w:shd w:val="clear" w:color="auto" w:fill="8AADBD"/>
          </w:tcPr>
          <w:p>
            <w:pPr>
              <w:spacing w:after="0"/>
              <w:rPr>
                <w:sz w:val="13"/>
                <w:szCs w:val="13"/>
                <w:color w:val="auto"/>
              </w:rPr>
            </w:pPr>
          </w:p>
        </w:tc>
        <w:tc>
          <w:tcPr>
            <w:tcW w:w="940" w:type="dxa"/>
            <w:vAlign w:val="bottom"/>
            <w:shd w:val="clear" w:color="auto" w:fill="8AADBD"/>
          </w:tcPr>
          <w:p>
            <w:pPr>
              <w:spacing w:after="0"/>
              <w:rPr>
                <w:sz w:val="13"/>
                <w:szCs w:val="13"/>
                <w:color w:val="auto"/>
              </w:rPr>
            </w:pPr>
          </w:p>
        </w:tc>
        <w:tc>
          <w:tcPr>
            <w:tcW w:w="840" w:type="dxa"/>
            <w:vAlign w:val="bottom"/>
            <w:shd w:val="clear" w:color="auto" w:fill="B6CCD6"/>
          </w:tcPr>
          <w:p>
            <w:pPr>
              <w:spacing w:after="0"/>
              <w:rPr>
                <w:sz w:val="13"/>
                <w:szCs w:val="13"/>
                <w:color w:val="auto"/>
              </w:rPr>
            </w:pPr>
          </w:p>
        </w:tc>
        <w:tc>
          <w:tcPr>
            <w:tcW w:w="880" w:type="dxa"/>
            <w:vAlign w:val="bottom"/>
            <w:shd w:val="clear" w:color="auto" w:fill="B6CCD6"/>
          </w:tcPr>
          <w:p>
            <w:pPr>
              <w:spacing w:after="0"/>
              <w:rPr>
                <w:sz w:val="13"/>
                <w:szCs w:val="13"/>
                <w:color w:val="auto"/>
              </w:rPr>
            </w:pPr>
          </w:p>
        </w:tc>
        <w:tc>
          <w:tcPr>
            <w:tcW w:w="900" w:type="dxa"/>
            <w:vAlign w:val="bottom"/>
            <w:shd w:val="clear" w:color="auto" w:fill="B6CCD6"/>
          </w:tcPr>
          <w:p>
            <w:pPr>
              <w:jc w:val="right"/>
              <w:spacing w:after="0"/>
              <w:rPr>
                <w:sz w:val="20"/>
                <w:szCs w:val="20"/>
                <w:color w:val="auto"/>
              </w:rPr>
            </w:pPr>
            <w:r>
              <w:rPr>
                <w:rFonts w:ascii="Arial" w:cs="Arial" w:eastAsia="Arial" w:hAnsi="Arial"/>
                <w:sz w:val="11"/>
                <w:szCs w:val="11"/>
                <w:b w:val="1"/>
                <w:bCs w:val="1"/>
                <w:color w:val="FFFFFF"/>
              </w:rPr>
              <w:t>Equity</w:t>
            </w:r>
          </w:p>
        </w:tc>
        <w:tc>
          <w:tcPr>
            <w:tcW w:w="960" w:type="dxa"/>
            <w:vAlign w:val="bottom"/>
            <w:shd w:val="clear" w:color="auto" w:fill="B6CCD6"/>
          </w:tcPr>
          <w:p>
            <w:pPr>
              <w:jc w:val="right"/>
              <w:ind w:right="59"/>
              <w:spacing w:after="0"/>
              <w:rPr>
                <w:sz w:val="20"/>
                <w:szCs w:val="20"/>
                <w:color w:val="auto"/>
              </w:rPr>
            </w:pPr>
            <w:r>
              <w:rPr>
                <w:rFonts w:ascii="Arial" w:cs="Arial" w:eastAsia="Arial" w:hAnsi="Arial"/>
                <w:sz w:val="11"/>
                <w:szCs w:val="11"/>
                <w:b w:val="1"/>
                <w:bCs w:val="1"/>
                <w:color w:val="FFFFFF"/>
              </w:rPr>
              <w:t>Equity</w:t>
            </w:r>
          </w:p>
        </w:tc>
        <w:tc>
          <w:tcPr>
            <w:tcW w:w="0" w:type="dxa"/>
            <w:vAlign w:val="bottom"/>
          </w:tcPr>
          <w:p>
            <w:pPr>
              <w:spacing w:after="0"/>
              <w:rPr>
                <w:sz w:val="1"/>
                <w:szCs w:val="1"/>
                <w:color w:val="auto"/>
              </w:rPr>
            </w:pPr>
          </w:p>
        </w:tc>
      </w:tr>
      <w:tr>
        <w:trPr>
          <w:trHeight w:val="118"/>
        </w:trPr>
        <w:tc>
          <w:tcPr>
            <w:tcW w:w="230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040" w:type="dxa"/>
            <w:vAlign w:val="bottom"/>
            <w:shd w:val="clear" w:color="auto" w:fill="8AADBD"/>
          </w:tcPr>
          <w:p>
            <w:pPr>
              <w:spacing w:after="0"/>
              <w:rPr>
                <w:sz w:val="10"/>
                <w:szCs w:val="10"/>
                <w:color w:val="auto"/>
              </w:rPr>
            </w:pPr>
          </w:p>
        </w:tc>
        <w:tc>
          <w:tcPr>
            <w:tcW w:w="1460" w:type="dxa"/>
            <w:vAlign w:val="bottom"/>
            <w:shd w:val="clear" w:color="auto" w:fill="8AADBD"/>
          </w:tcPr>
          <w:p>
            <w:pPr>
              <w:spacing w:after="0"/>
              <w:rPr>
                <w:sz w:val="10"/>
                <w:szCs w:val="10"/>
                <w:color w:val="auto"/>
              </w:rPr>
            </w:pPr>
          </w:p>
        </w:tc>
        <w:tc>
          <w:tcPr>
            <w:tcW w:w="540" w:type="dxa"/>
            <w:vAlign w:val="bottom"/>
            <w:shd w:val="clear" w:color="auto" w:fill="8AADBD"/>
          </w:tcPr>
          <w:p>
            <w:pPr>
              <w:spacing w:after="0"/>
              <w:rPr>
                <w:sz w:val="10"/>
                <w:szCs w:val="10"/>
                <w:color w:val="auto"/>
              </w:rPr>
            </w:pPr>
          </w:p>
        </w:tc>
        <w:tc>
          <w:tcPr>
            <w:tcW w:w="940" w:type="dxa"/>
            <w:vAlign w:val="bottom"/>
            <w:shd w:val="clear" w:color="auto" w:fill="8AADBD"/>
          </w:tcPr>
          <w:p>
            <w:pPr>
              <w:spacing w:after="0"/>
              <w:rPr>
                <w:sz w:val="10"/>
                <w:szCs w:val="10"/>
                <w:color w:val="auto"/>
              </w:rPr>
            </w:pPr>
          </w:p>
        </w:tc>
        <w:tc>
          <w:tcPr>
            <w:tcW w:w="840" w:type="dxa"/>
            <w:vAlign w:val="bottom"/>
            <w:shd w:val="clear" w:color="auto" w:fill="B6CCD6"/>
          </w:tcPr>
          <w:p>
            <w:pPr>
              <w:spacing w:after="0"/>
              <w:rPr>
                <w:sz w:val="10"/>
                <w:szCs w:val="10"/>
                <w:color w:val="auto"/>
              </w:rPr>
            </w:pPr>
          </w:p>
        </w:tc>
        <w:tc>
          <w:tcPr>
            <w:tcW w:w="880" w:type="dxa"/>
            <w:vAlign w:val="bottom"/>
            <w:shd w:val="clear" w:color="auto" w:fill="B6CCD6"/>
          </w:tcPr>
          <w:p>
            <w:pPr>
              <w:spacing w:after="0"/>
              <w:rPr>
                <w:sz w:val="10"/>
                <w:szCs w:val="10"/>
                <w:color w:val="auto"/>
              </w:rPr>
            </w:pPr>
          </w:p>
        </w:tc>
        <w:tc>
          <w:tcPr>
            <w:tcW w:w="900" w:type="dxa"/>
            <w:vAlign w:val="bottom"/>
            <w:shd w:val="clear" w:color="auto" w:fill="B6CCD6"/>
          </w:tcPr>
          <w:p>
            <w:pPr>
              <w:jc w:val="right"/>
              <w:spacing w:after="0" w:line="118" w:lineRule="exact"/>
              <w:rPr>
                <w:sz w:val="20"/>
                <w:szCs w:val="20"/>
                <w:color w:val="auto"/>
              </w:rPr>
            </w:pPr>
            <w:r>
              <w:rPr>
                <w:rFonts w:ascii="Arial" w:cs="Arial" w:eastAsia="Arial" w:hAnsi="Arial"/>
                <w:sz w:val="11"/>
                <w:szCs w:val="11"/>
                <w:b w:val="1"/>
                <w:bCs w:val="1"/>
                <w:color w:val="FFFFFF"/>
              </w:rPr>
              <w:t>Incentive</w:t>
            </w:r>
          </w:p>
        </w:tc>
        <w:tc>
          <w:tcPr>
            <w:tcW w:w="960" w:type="dxa"/>
            <w:vAlign w:val="bottom"/>
            <w:shd w:val="clear" w:color="auto" w:fill="B6CCD6"/>
          </w:tcPr>
          <w:p>
            <w:pPr>
              <w:jc w:val="right"/>
              <w:ind w:right="59"/>
              <w:spacing w:after="0" w:line="118" w:lineRule="exact"/>
              <w:rPr>
                <w:sz w:val="20"/>
                <w:szCs w:val="20"/>
                <w:color w:val="auto"/>
              </w:rPr>
            </w:pPr>
            <w:r>
              <w:rPr>
                <w:rFonts w:ascii="Arial" w:cs="Arial" w:eastAsia="Arial" w:hAnsi="Arial"/>
                <w:sz w:val="11"/>
                <w:szCs w:val="11"/>
                <w:b w:val="1"/>
                <w:bCs w:val="1"/>
                <w:color w:val="FFFFFF"/>
              </w:rPr>
              <w:t>Incentive</w:t>
            </w:r>
          </w:p>
        </w:tc>
        <w:tc>
          <w:tcPr>
            <w:tcW w:w="0" w:type="dxa"/>
            <w:vAlign w:val="bottom"/>
          </w:tcPr>
          <w:p>
            <w:pPr>
              <w:spacing w:after="0"/>
              <w:rPr>
                <w:sz w:val="1"/>
                <w:szCs w:val="1"/>
                <w:color w:val="auto"/>
              </w:rPr>
            </w:pPr>
          </w:p>
        </w:tc>
      </w:tr>
      <w:tr>
        <w:trPr>
          <w:trHeight w:val="118"/>
        </w:trPr>
        <w:tc>
          <w:tcPr>
            <w:tcW w:w="230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040" w:type="dxa"/>
            <w:vAlign w:val="bottom"/>
            <w:shd w:val="clear" w:color="auto" w:fill="8AADBD"/>
          </w:tcPr>
          <w:p>
            <w:pPr>
              <w:spacing w:after="0"/>
              <w:rPr>
                <w:sz w:val="10"/>
                <w:szCs w:val="10"/>
                <w:color w:val="auto"/>
              </w:rPr>
            </w:pPr>
          </w:p>
        </w:tc>
        <w:tc>
          <w:tcPr>
            <w:tcW w:w="1460" w:type="dxa"/>
            <w:vAlign w:val="bottom"/>
            <w:shd w:val="clear" w:color="auto" w:fill="8AADBD"/>
          </w:tcPr>
          <w:p>
            <w:pPr>
              <w:spacing w:after="0"/>
              <w:rPr>
                <w:sz w:val="10"/>
                <w:szCs w:val="10"/>
                <w:color w:val="auto"/>
              </w:rPr>
            </w:pPr>
          </w:p>
        </w:tc>
        <w:tc>
          <w:tcPr>
            <w:tcW w:w="540" w:type="dxa"/>
            <w:vAlign w:val="bottom"/>
            <w:shd w:val="clear" w:color="auto" w:fill="8AADBD"/>
          </w:tcPr>
          <w:p>
            <w:pPr>
              <w:spacing w:after="0"/>
              <w:rPr>
                <w:sz w:val="10"/>
                <w:szCs w:val="10"/>
                <w:color w:val="auto"/>
              </w:rPr>
            </w:pPr>
          </w:p>
        </w:tc>
        <w:tc>
          <w:tcPr>
            <w:tcW w:w="940" w:type="dxa"/>
            <w:vAlign w:val="bottom"/>
            <w:shd w:val="clear" w:color="auto" w:fill="8AADBD"/>
          </w:tcPr>
          <w:p>
            <w:pPr>
              <w:spacing w:after="0"/>
              <w:rPr>
                <w:sz w:val="10"/>
                <w:szCs w:val="10"/>
                <w:color w:val="auto"/>
              </w:rPr>
            </w:pPr>
          </w:p>
        </w:tc>
        <w:tc>
          <w:tcPr>
            <w:tcW w:w="840" w:type="dxa"/>
            <w:vAlign w:val="bottom"/>
            <w:shd w:val="clear" w:color="auto" w:fill="B6CCD6"/>
          </w:tcPr>
          <w:p>
            <w:pPr>
              <w:spacing w:after="0"/>
              <w:rPr>
                <w:sz w:val="10"/>
                <w:szCs w:val="10"/>
                <w:color w:val="auto"/>
              </w:rPr>
            </w:pPr>
          </w:p>
        </w:tc>
        <w:tc>
          <w:tcPr>
            <w:tcW w:w="880" w:type="dxa"/>
            <w:vAlign w:val="bottom"/>
            <w:vMerge w:val="restart"/>
            <w:shd w:val="clear" w:color="auto" w:fill="B6CCD6"/>
          </w:tcPr>
          <w:p>
            <w:pPr>
              <w:jc w:val="right"/>
              <w:spacing w:after="0"/>
              <w:rPr>
                <w:sz w:val="20"/>
                <w:szCs w:val="20"/>
                <w:color w:val="auto"/>
              </w:rPr>
            </w:pPr>
            <w:r>
              <w:rPr>
                <w:rFonts w:ascii="Arial" w:cs="Arial" w:eastAsia="Arial" w:hAnsi="Arial"/>
                <w:sz w:val="11"/>
                <w:szCs w:val="11"/>
                <w:b w:val="1"/>
                <w:bCs w:val="1"/>
                <w:color w:val="FFFFFF"/>
              </w:rPr>
              <w:t>Market</w:t>
            </w:r>
          </w:p>
        </w:tc>
        <w:tc>
          <w:tcPr>
            <w:tcW w:w="900" w:type="dxa"/>
            <w:vAlign w:val="bottom"/>
            <w:shd w:val="clear" w:color="auto" w:fill="B6CCD6"/>
          </w:tcPr>
          <w:p>
            <w:pPr>
              <w:jc w:val="right"/>
              <w:spacing w:after="0" w:line="118" w:lineRule="exact"/>
              <w:rPr>
                <w:sz w:val="20"/>
                <w:szCs w:val="20"/>
                <w:color w:val="auto"/>
              </w:rPr>
            </w:pPr>
            <w:r>
              <w:rPr>
                <w:rFonts w:ascii="Arial" w:cs="Arial" w:eastAsia="Arial" w:hAnsi="Arial"/>
                <w:sz w:val="11"/>
                <w:szCs w:val="11"/>
                <w:b w:val="1"/>
                <w:bCs w:val="1"/>
                <w:color w:val="FFFFFF"/>
              </w:rPr>
              <w:t>Plans Awards:</w:t>
            </w:r>
          </w:p>
        </w:tc>
        <w:tc>
          <w:tcPr>
            <w:tcW w:w="960" w:type="dxa"/>
            <w:vAlign w:val="bottom"/>
            <w:shd w:val="clear" w:color="auto" w:fill="B6CCD6"/>
          </w:tcPr>
          <w:p>
            <w:pPr>
              <w:jc w:val="right"/>
              <w:ind w:right="59"/>
              <w:spacing w:after="0" w:line="118" w:lineRule="exact"/>
              <w:rPr>
                <w:sz w:val="20"/>
                <w:szCs w:val="20"/>
                <w:color w:val="auto"/>
              </w:rPr>
            </w:pPr>
            <w:r>
              <w:rPr>
                <w:rFonts w:ascii="Arial" w:cs="Arial" w:eastAsia="Arial" w:hAnsi="Arial"/>
                <w:sz w:val="11"/>
                <w:szCs w:val="11"/>
                <w:b w:val="1"/>
                <w:bCs w:val="1"/>
                <w:color w:val="FFFFFF"/>
              </w:rPr>
              <w:t>Plans Awards:</w:t>
            </w:r>
          </w:p>
        </w:tc>
        <w:tc>
          <w:tcPr>
            <w:tcW w:w="0" w:type="dxa"/>
            <w:vAlign w:val="bottom"/>
          </w:tcPr>
          <w:p>
            <w:pPr>
              <w:spacing w:after="0"/>
              <w:rPr>
                <w:sz w:val="1"/>
                <w:szCs w:val="1"/>
                <w:color w:val="auto"/>
              </w:rPr>
            </w:pPr>
          </w:p>
        </w:tc>
      </w:tr>
      <w:tr>
        <w:trPr>
          <w:trHeight w:val="118"/>
        </w:trPr>
        <w:tc>
          <w:tcPr>
            <w:tcW w:w="230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040" w:type="dxa"/>
            <w:vAlign w:val="bottom"/>
            <w:shd w:val="clear" w:color="auto" w:fill="8AADBD"/>
          </w:tcPr>
          <w:p>
            <w:pPr>
              <w:spacing w:after="0"/>
              <w:rPr>
                <w:sz w:val="10"/>
                <w:szCs w:val="10"/>
                <w:color w:val="auto"/>
              </w:rPr>
            </w:pPr>
          </w:p>
        </w:tc>
        <w:tc>
          <w:tcPr>
            <w:tcW w:w="1460" w:type="dxa"/>
            <w:vAlign w:val="bottom"/>
            <w:shd w:val="clear" w:color="auto" w:fill="8AADBD"/>
          </w:tcPr>
          <w:p>
            <w:pPr>
              <w:spacing w:after="0"/>
              <w:rPr>
                <w:sz w:val="10"/>
                <w:szCs w:val="10"/>
                <w:color w:val="auto"/>
              </w:rPr>
            </w:pPr>
          </w:p>
        </w:tc>
        <w:tc>
          <w:tcPr>
            <w:tcW w:w="540" w:type="dxa"/>
            <w:vAlign w:val="bottom"/>
            <w:shd w:val="clear" w:color="auto" w:fill="8AADBD"/>
          </w:tcPr>
          <w:p>
            <w:pPr>
              <w:spacing w:after="0"/>
              <w:rPr>
                <w:sz w:val="10"/>
                <w:szCs w:val="10"/>
                <w:color w:val="auto"/>
              </w:rPr>
            </w:pPr>
          </w:p>
        </w:tc>
        <w:tc>
          <w:tcPr>
            <w:tcW w:w="940" w:type="dxa"/>
            <w:vAlign w:val="bottom"/>
            <w:shd w:val="clear" w:color="auto" w:fill="8AADBD"/>
          </w:tcPr>
          <w:p>
            <w:pPr>
              <w:spacing w:after="0"/>
              <w:rPr>
                <w:sz w:val="10"/>
                <w:szCs w:val="10"/>
                <w:color w:val="auto"/>
              </w:rPr>
            </w:pPr>
          </w:p>
        </w:tc>
        <w:tc>
          <w:tcPr>
            <w:tcW w:w="840" w:type="dxa"/>
            <w:vAlign w:val="bottom"/>
            <w:vMerge w:val="restart"/>
            <w:shd w:val="clear" w:color="auto" w:fill="B6CCD6"/>
          </w:tcPr>
          <w:p>
            <w:pPr>
              <w:jc w:val="right"/>
              <w:spacing w:after="0"/>
              <w:rPr>
                <w:sz w:val="20"/>
                <w:szCs w:val="20"/>
                <w:color w:val="auto"/>
              </w:rPr>
            </w:pPr>
            <w:r>
              <w:rPr>
                <w:rFonts w:ascii="Arial" w:cs="Arial" w:eastAsia="Arial" w:hAnsi="Arial"/>
                <w:sz w:val="11"/>
                <w:szCs w:val="11"/>
                <w:b w:val="1"/>
                <w:bCs w:val="1"/>
                <w:color w:val="FFFFFF"/>
              </w:rPr>
              <w:t>Number of</w:t>
            </w:r>
          </w:p>
        </w:tc>
        <w:tc>
          <w:tcPr>
            <w:tcW w:w="880" w:type="dxa"/>
            <w:vAlign w:val="bottom"/>
            <w:vMerge w:val="continue"/>
            <w:shd w:val="clear" w:color="auto" w:fill="B6CCD6"/>
          </w:tcPr>
          <w:p>
            <w:pPr>
              <w:spacing w:after="0"/>
              <w:rPr>
                <w:sz w:val="10"/>
                <w:szCs w:val="10"/>
                <w:color w:val="auto"/>
              </w:rPr>
            </w:pPr>
          </w:p>
        </w:tc>
        <w:tc>
          <w:tcPr>
            <w:tcW w:w="900" w:type="dxa"/>
            <w:vAlign w:val="bottom"/>
            <w:shd w:val="clear" w:color="auto" w:fill="B6CCD6"/>
          </w:tcPr>
          <w:p>
            <w:pPr>
              <w:jc w:val="right"/>
              <w:spacing w:after="0" w:line="118" w:lineRule="exact"/>
              <w:rPr>
                <w:sz w:val="20"/>
                <w:szCs w:val="20"/>
                <w:color w:val="auto"/>
              </w:rPr>
            </w:pPr>
            <w:r>
              <w:rPr>
                <w:rFonts w:ascii="Arial" w:cs="Arial" w:eastAsia="Arial" w:hAnsi="Arial"/>
                <w:sz w:val="11"/>
                <w:szCs w:val="11"/>
                <w:b w:val="1"/>
                <w:bCs w:val="1"/>
                <w:color w:val="FFFFFF"/>
              </w:rPr>
              <w:t>Number of</w:t>
            </w:r>
          </w:p>
        </w:tc>
        <w:tc>
          <w:tcPr>
            <w:tcW w:w="960" w:type="dxa"/>
            <w:vAlign w:val="bottom"/>
            <w:shd w:val="clear" w:color="auto" w:fill="B6CCD6"/>
          </w:tcPr>
          <w:p>
            <w:pPr>
              <w:jc w:val="right"/>
              <w:ind w:right="59"/>
              <w:spacing w:after="0" w:line="118" w:lineRule="exact"/>
              <w:rPr>
                <w:sz w:val="20"/>
                <w:szCs w:val="20"/>
                <w:color w:val="auto"/>
              </w:rPr>
            </w:pPr>
            <w:r>
              <w:rPr>
                <w:rFonts w:ascii="Arial" w:cs="Arial" w:eastAsia="Arial" w:hAnsi="Arial"/>
                <w:sz w:val="11"/>
                <w:szCs w:val="11"/>
                <w:b w:val="1"/>
                <w:bCs w:val="1"/>
                <w:color w:val="FFFFFF"/>
              </w:rPr>
              <w:t>Market or</w:t>
            </w:r>
          </w:p>
        </w:tc>
        <w:tc>
          <w:tcPr>
            <w:tcW w:w="0" w:type="dxa"/>
            <w:vAlign w:val="bottom"/>
          </w:tcPr>
          <w:p>
            <w:pPr>
              <w:spacing w:after="0"/>
              <w:rPr>
                <w:sz w:val="1"/>
                <w:szCs w:val="1"/>
                <w:color w:val="auto"/>
              </w:rPr>
            </w:pPr>
          </w:p>
        </w:tc>
      </w:tr>
      <w:tr>
        <w:trPr>
          <w:trHeight w:val="118"/>
        </w:trPr>
        <w:tc>
          <w:tcPr>
            <w:tcW w:w="230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040" w:type="dxa"/>
            <w:vAlign w:val="bottom"/>
            <w:shd w:val="clear" w:color="auto" w:fill="8AADBD"/>
          </w:tcPr>
          <w:p>
            <w:pPr>
              <w:spacing w:after="0"/>
              <w:rPr>
                <w:sz w:val="10"/>
                <w:szCs w:val="10"/>
                <w:color w:val="auto"/>
              </w:rPr>
            </w:pPr>
          </w:p>
        </w:tc>
        <w:tc>
          <w:tcPr>
            <w:tcW w:w="1460" w:type="dxa"/>
            <w:vAlign w:val="bottom"/>
            <w:shd w:val="clear" w:color="auto" w:fill="8AADBD"/>
          </w:tcPr>
          <w:p>
            <w:pPr>
              <w:spacing w:after="0"/>
              <w:rPr>
                <w:sz w:val="10"/>
                <w:szCs w:val="10"/>
                <w:color w:val="auto"/>
              </w:rPr>
            </w:pPr>
          </w:p>
        </w:tc>
        <w:tc>
          <w:tcPr>
            <w:tcW w:w="540" w:type="dxa"/>
            <w:vAlign w:val="bottom"/>
            <w:shd w:val="clear" w:color="auto" w:fill="8AADBD"/>
          </w:tcPr>
          <w:p>
            <w:pPr>
              <w:spacing w:after="0"/>
              <w:rPr>
                <w:sz w:val="10"/>
                <w:szCs w:val="10"/>
                <w:color w:val="auto"/>
              </w:rPr>
            </w:pPr>
          </w:p>
        </w:tc>
        <w:tc>
          <w:tcPr>
            <w:tcW w:w="940" w:type="dxa"/>
            <w:vAlign w:val="bottom"/>
            <w:shd w:val="clear" w:color="auto" w:fill="8AADBD"/>
          </w:tcPr>
          <w:p>
            <w:pPr>
              <w:spacing w:after="0"/>
              <w:rPr>
                <w:sz w:val="10"/>
                <w:szCs w:val="10"/>
                <w:color w:val="auto"/>
              </w:rPr>
            </w:pPr>
          </w:p>
        </w:tc>
        <w:tc>
          <w:tcPr>
            <w:tcW w:w="840" w:type="dxa"/>
            <w:vAlign w:val="bottom"/>
            <w:vMerge w:val="continue"/>
            <w:shd w:val="clear" w:color="auto" w:fill="B6CCD6"/>
          </w:tcPr>
          <w:p>
            <w:pPr>
              <w:spacing w:after="0"/>
              <w:rPr>
                <w:sz w:val="10"/>
                <w:szCs w:val="10"/>
                <w:color w:val="auto"/>
              </w:rPr>
            </w:pPr>
          </w:p>
        </w:tc>
        <w:tc>
          <w:tcPr>
            <w:tcW w:w="880" w:type="dxa"/>
            <w:vAlign w:val="bottom"/>
            <w:shd w:val="clear" w:color="auto" w:fill="B6CCD6"/>
          </w:tcPr>
          <w:p>
            <w:pPr>
              <w:jc w:val="right"/>
              <w:spacing w:after="0" w:line="118" w:lineRule="exact"/>
              <w:rPr>
                <w:sz w:val="20"/>
                <w:szCs w:val="20"/>
                <w:color w:val="auto"/>
              </w:rPr>
            </w:pPr>
            <w:r>
              <w:rPr>
                <w:rFonts w:ascii="Arial" w:cs="Arial" w:eastAsia="Arial" w:hAnsi="Arial"/>
                <w:sz w:val="11"/>
                <w:szCs w:val="11"/>
                <w:b w:val="1"/>
                <w:bCs w:val="1"/>
                <w:color w:val="FFFFFF"/>
              </w:rPr>
              <w:t>Value of</w:t>
            </w:r>
          </w:p>
        </w:tc>
        <w:tc>
          <w:tcPr>
            <w:tcW w:w="900" w:type="dxa"/>
            <w:vAlign w:val="bottom"/>
            <w:shd w:val="clear" w:color="auto" w:fill="B6CCD6"/>
          </w:tcPr>
          <w:p>
            <w:pPr>
              <w:jc w:val="right"/>
              <w:spacing w:after="0" w:line="118" w:lineRule="exact"/>
              <w:rPr>
                <w:sz w:val="20"/>
                <w:szCs w:val="20"/>
                <w:color w:val="auto"/>
              </w:rPr>
            </w:pPr>
            <w:r>
              <w:rPr>
                <w:rFonts w:ascii="Arial" w:cs="Arial" w:eastAsia="Arial" w:hAnsi="Arial"/>
                <w:sz w:val="11"/>
                <w:szCs w:val="11"/>
                <w:b w:val="1"/>
                <w:bCs w:val="1"/>
                <w:color w:val="FFFFFF"/>
              </w:rPr>
              <w:t>Unearned</w:t>
            </w:r>
          </w:p>
        </w:tc>
        <w:tc>
          <w:tcPr>
            <w:tcW w:w="960" w:type="dxa"/>
            <w:vAlign w:val="bottom"/>
            <w:shd w:val="clear" w:color="auto" w:fill="B6CCD6"/>
          </w:tcPr>
          <w:p>
            <w:pPr>
              <w:jc w:val="right"/>
              <w:ind w:right="59"/>
              <w:spacing w:after="0" w:line="118" w:lineRule="exact"/>
              <w:rPr>
                <w:sz w:val="20"/>
                <w:szCs w:val="20"/>
                <w:color w:val="auto"/>
              </w:rPr>
            </w:pPr>
            <w:r>
              <w:rPr>
                <w:rFonts w:ascii="Arial" w:cs="Arial" w:eastAsia="Arial" w:hAnsi="Arial"/>
                <w:sz w:val="11"/>
                <w:szCs w:val="11"/>
                <w:b w:val="1"/>
                <w:bCs w:val="1"/>
                <w:color w:val="FFFFFF"/>
                <w:w w:val="99"/>
              </w:rPr>
              <w:t>Payout Value of</w:t>
            </w:r>
          </w:p>
        </w:tc>
        <w:tc>
          <w:tcPr>
            <w:tcW w:w="0" w:type="dxa"/>
            <w:vAlign w:val="bottom"/>
          </w:tcPr>
          <w:p>
            <w:pPr>
              <w:spacing w:after="0"/>
              <w:rPr>
                <w:sz w:val="1"/>
                <w:szCs w:val="1"/>
                <w:color w:val="auto"/>
              </w:rPr>
            </w:pPr>
          </w:p>
        </w:tc>
      </w:tr>
      <w:tr>
        <w:trPr>
          <w:trHeight w:val="121"/>
        </w:trPr>
        <w:tc>
          <w:tcPr>
            <w:tcW w:w="230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040" w:type="dxa"/>
            <w:vAlign w:val="bottom"/>
            <w:shd w:val="clear" w:color="auto" w:fill="8AADBD"/>
          </w:tcPr>
          <w:p>
            <w:pPr>
              <w:jc w:val="right"/>
              <w:spacing w:after="0" w:line="122" w:lineRule="exact"/>
              <w:rPr>
                <w:sz w:val="20"/>
                <w:szCs w:val="20"/>
                <w:color w:val="auto"/>
              </w:rPr>
            </w:pPr>
            <w:r>
              <w:rPr>
                <w:rFonts w:ascii="Arial" w:cs="Arial" w:eastAsia="Arial" w:hAnsi="Arial"/>
                <w:sz w:val="11"/>
                <w:szCs w:val="11"/>
                <w:b w:val="1"/>
                <w:bCs w:val="1"/>
                <w:color w:val="FFFFFF"/>
              </w:rPr>
              <w:t>Number of</w:t>
            </w:r>
          </w:p>
        </w:tc>
        <w:tc>
          <w:tcPr>
            <w:tcW w:w="1460" w:type="dxa"/>
            <w:vAlign w:val="bottom"/>
            <w:shd w:val="clear" w:color="auto" w:fill="8AADBD"/>
          </w:tcPr>
          <w:p>
            <w:pPr>
              <w:jc w:val="right"/>
              <w:ind w:right="281"/>
              <w:spacing w:after="0" w:line="122" w:lineRule="exact"/>
              <w:rPr>
                <w:sz w:val="20"/>
                <w:szCs w:val="20"/>
                <w:color w:val="auto"/>
              </w:rPr>
            </w:pPr>
            <w:r>
              <w:rPr>
                <w:rFonts w:ascii="Arial" w:cs="Arial" w:eastAsia="Arial" w:hAnsi="Arial"/>
                <w:sz w:val="11"/>
                <w:szCs w:val="11"/>
                <w:b w:val="1"/>
                <w:bCs w:val="1"/>
                <w:color w:val="FFFFFF"/>
              </w:rPr>
              <w:t>Number of</w:t>
            </w:r>
          </w:p>
        </w:tc>
        <w:tc>
          <w:tcPr>
            <w:tcW w:w="540" w:type="dxa"/>
            <w:vAlign w:val="bottom"/>
            <w:shd w:val="clear" w:color="auto" w:fill="8AADBD"/>
          </w:tcPr>
          <w:p>
            <w:pPr>
              <w:spacing w:after="0"/>
              <w:rPr>
                <w:sz w:val="10"/>
                <w:szCs w:val="10"/>
                <w:color w:val="auto"/>
              </w:rPr>
            </w:pPr>
          </w:p>
        </w:tc>
        <w:tc>
          <w:tcPr>
            <w:tcW w:w="940" w:type="dxa"/>
            <w:vAlign w:val="bottom"/>
            <w:shd w:val="clear" w:color="auto" w:fill="8AADBD"/>
          </w:tcPr>
          <w:p>
            <w:pPr>
              <w:spacing w:after="0"/>
              <w:rPr>
                <w:sz w:val="10"/>
                <w:szCs w:val="10"/>
                <w:color w:val="auto"/>
              </w:rPr>
            </w:pPr>
          </w:p>
        </w:tc>
        <w:tc>
          <w:tcPr>
            <w:tcW w:w="840" w:type="dxa"/>
            <w:vAlign w:val="bottom"/>
            <w:shd w:val="clear" w:color="auto" w:fill="B6CCD6"/>
          </w:tcPr>
          <w:p>
            <w:pPr>
              <w:jc w:val="right"/>
              <w:spacing w:after="0" w:line="122" w:lineRule="exact"/>
              <w:rPr>
                <w:sz w:val="20"/>
                <w:szCs w:val="20"/>
                <w:color w:val="auto"/>
              </w:rPr>
            </w:pPr>
            <w:r>
              <w:rPr>
                <w:rFonts w:ascii="Arial" w:cs="Arial" w:eastAsia="Arial" w:hAnsi="Arial"/>
                <w:sz w:val="11"/>
                <w:szCs w:val="11"/>
                <w:b w:val="1"/>
                <w:bCs w:val="1"/>
                <w:color w:val="FFFFFF"/>
              </w:rPr>
              <w:t>Shares or</w:t>
            </w:r>
          </w:p>
        </w:tc>
        <w:tc>
          <w:tcPr>
            <w:tcW w:w="880" w:type="dxa"/>
            <w:vAlign w:val="bottom"/>
            <w:shd w:val="clear" w:color="auto" w:fill="B6CCD6"/>
          </w:tcPr>
          <w:p>
            <w:pPr>
              <w:jc w:val="right"/>
              <w:spacing w:after="0" w:line="122" w:lineRule="exact"/>
              <w:rPr>
                <w:sz w:val="20"/>
                <w:szCs w:val="20"/>
                <w:color w:val="auto"/>
              </w:rPr>
            </w:pPr>
            <w:r>
              <w:rPr>
                <w:rFonts w:ascii="Arial" w:cs="Arial" w:eastAsia="Arial" w:hAnsi="Arial"/>
                <w:sz w:val="11"/>
                <w:szCs w:val="11"/>
                <w:b w:val="1"/>
                <w:bCs w:val="1"/>
                <w:color w:val="FFFFFF"/>
              </w:rPr>
              <w:t>Shares or</w:t>
            </w:r>
          </w:p>
        </w:tc>
        <w:tc>
          <w:tcPr>
            <w:tcW w:w="900" w:type="dxa"/>
            <w:vAlign w:val="bottom"/>
            <w:shd w:val="clear" w:color="auto" w:fill="B6CCD6"/>
          </w:tcPr>
          <w:p>
            <w:pPr>
              <w:jc w:val="right"/>
              <w:spacing w:after="0" w:line="122" w:lineRule="exact"/>
              <w:rPr>
                <w:sz w:val="20"/>
                <w:szCs w:val="20"/>
                <w:color w:val="auto"/>
              </w:rPr>
            </w:pPr>
            <w:r>
              <w:rPr>
                <w:rFonts w:ascii="Arial" w:cs="Arial" w:eastAsia="Arial" w:hAnsi="Arial"/>
                <w:sz w:val="11"/>
                <w:szCs w:val="11"/>
                <w:b w:val="1"/>
                <w:bCs w:val="1"/>
                <w:color w:val="FFFFFF"/>
              </w:rPr>
              <w:t>Shares,</w:t>
            </w:r>
          </w:p>
        </w:tc>
        <w:tc>
          <w:tcPr>
            <w:tcW w:w="960" w:type="dxa"/>
            <w:vAlign w:val="bottom"/>
            <w:shd w:val="clear" w:color="auto" w:fill="B6CCD6"/>
          </w:tcPr>
          <w:p>
            <w:pPr>
              <w:jc w:val="right"/>
              <w:ind w:right="59"/>
              <w:spacing w:after="0" w:line="122" w:lineRule="exact"/>
              <w:rPr>
                <w:sz w:val="20"/>
                <w:szCs w:val="20"/>
                <w:color w:val="auto"/>
              </w:rPr>
            </w:pPr>
            <w:r>
              <w:rPr>
                <w:rFonts w:ascii="Arial" w:cs="Arial" w:eastAsia="Arial" w:hAnsi="Arial"/>
                <w:sz w:val="11"/>
                <w:szCs w:val="11"/>
                <w:b w:val="1"/>
                <w:bCs w:val="1"/>
                <w:color w:val="FFFFFF"/>
              </w:rPr>
              <w:t>Unearned</w:t>
            </w:r>
          </w:p>
        </w:tc>
        <w:tc>
          <w:tcPr>
            <w:tcW w:w="0" w:type="dxa"/>
            <w:vAlign w:val="bottom"/>
          </w:tcPr>
          <w:p>
            <w:pPr>
              <w:spacing w:after="0"/>
              <w:rPr>
                <w:sz w:val="1"/>
                <w:szCs w:val="1"/>
                <w:color w:val="auto"/>
              </w:rPr>
            </w:pPr>
          </w:p>
        </w:tc>
      </w:tr>
      <w:tr>
        <w:trPr>
          <w:trHeight w:val="118"/>
        </w:trPr>
        <w:tc>
          <w:tcPr>
            <w:tcW w:w="230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040" w:type="dxa"/>
            <w:vAlign w:val="bottom"/>
            <w:shd w:val="clear" w:color="auto" w:fill="8AADBD"/>
          </w:tcPr>
          <w:p>
            <w:pPr>
              <w:jc w:val="right"/>
              <w:spacing w:after="0" w:line="118" w:lineRule="exact"/>
              <w:rPr>
                <w:sz w:val="20"/>
                <w:szCs w:val="20"/>
                <w:color w:val="auto"/>
              </w:rPr>
            </w:pPr>
            <w:r>
              <w:rPr>
                <w:rFonts w:ascii="Arial" w:cs="Arial" w:eastAsia="Arial" w:hAnsi="Arial"/>
                <w:sz w:val="11"/>
                <w:szCs w:val="11"/>
                <w:b w:val="1"/>
                <w:bCs w:val="1"/>
                <w:color w:val="FFFFFF"/>
              </w:rPr>
              <w:t>Securities</w:t>
            </w:r>
          </w:p>
        </w:tc>
        <w:tc>
          <w:tcPr>
            <w:tcW w:w="1460" w:type="dxa"/>
            <w:vAlign w:val="bottom"/>
            <w:shd w:val="clear" w:color="auto" w:fill="8AADBD"/>
          </w:tcPr>
          <w:p>
            <w:pPr>
              <w:jc w:val="right"/>
              <w:ind w:right="281"/>
              <w:spacing w:after="0" w:line="118" w:lineRule="exact"/>
              <w:rPr>
                <w:sz w:val="20"/>
                <w:szCs w:val="20"/>
                <w:color w:val="auto"/>
              </w:rPr>
            </w:pPr>
            <w:r>
              <w:rPr>
                <w:rFonts w:ascii="Arial" w:cs="Arial" w:eastAsia="Arial" w:hAnsi="Arial"/>
                <w:sz w:val="11"/>
                <w:szCs w:val="11"/>
                <w:b w:val="1"/>
                <w:bCs w:val="1"/>
                <w:color w:val="FFFFFF"/>
              </w:rPr>
              <w:t>Securities</w:t>
            </w:r>
          </w:p>
        </w:tc>
        <w:tc>
          <w:tcPr>
            <w:tcW w:w="540" w:type="dxa"/>
            <w:vAlign w:val="bottom"/>
            <w:shd w:val="clear" w:color="auto" w:fill="8AADBD"/>
          </w:tcPr>
          <w:p>
            <w:pPr>
              <w:spacing w:after="0"/>
              <w:rPr>
                <w:sz w:val="10"/>
                <w:szCs w:val="10"/>
                <w:color w:val="auto"/>
              </w:rPr>
            </w:pPr>
          </w:p>
        </w:tc>
        <w:tc>
          <w:tcPr>
            <w:tcW w:w="940" w:type="dxa"/>
            <w:vAlign w:val="bottom"/>
            <w:shd w:val="clear" w:color="auto" w:fill="8AADBD"/>
          </w:tcPr>
          <w:p>
            <w:pPr>
              <w:spacing w:after="0"/>
              <w:rPr>
                <w:sz w:val="10"/>
                <w:szCs w:val="10"/>
                <w:color w:val="auto"/>
              </w:rPr>
            </w:pPr>
          </w:p>
        </w:tc>
        <w:tc>
          <w:tcPr>
            <w:tcW w:w="840" w:type="dxa"/>
            <w:vAlign w:val="bottom"/>
            <w:shd w:val="clear" w:color="auto" w:fill="B6CCD6"/>
          </w:tcPr>
          <w:p>
            <w:pPr>
              <w:jc w:val="right"/>
              <w:ind w:right="15"/>
              <w:spacing w:after="0" w:line="118" w:lineRule="exact"/>
              <w:rPr>
                <w:sz w:val="20"/>
                <w:szCs w:val="20"/>
                <w:color w:val="auto"/>
              </w:rPr>
            </w:pPr>
            <w:r>
              <w:rPr>
                <w:rFonts w:ascii="Arial" w:cs="Arial" w:eastAsia="Arial" w:hAnsi="Arial"/>
                <w:sz w:val="11"/>
                <w:szCs w:val="11"/>
                <w:b w:val="1"/>
                <w:bCs w:val="1"/>
                <w:color w:val="FFFFFF"/>
              </w:rPr>
              <w:t>Units of</w:t>
            </w:r>
          </w:p>
        </w:tc>
        <w:tc>
          <w:tcPr>
            <w:tcW w:w="880" w:type="dxa"/>
            <w:vAlign w:val="bottom"/>
            <w:shd w:val="clear" w:color="auto" w:fill="B6CCD6"/>
          </w:tcPr>
          <w:p>
            <w:pPr>
              <w:jc w:val="right"/>
              <w:spacing w:after="0" w:line="118" w:lineRule="exact"/>
              <w:rPr>
                <w:sz w:val="20"/>
                <w:szCs w:val="20"/>
                <w:color w:val="auto"/>
              </w:rPr>
            </w:pPr>
            <w:r>
              <w:rPr>
                <w:rFonts w:ascii="Arial" w:cs="Arial" w:eastAsia="Arial" w:hAnsi="Arial"/>
                <w:sz w:val="11"/>
                <w:szCs w:val="11"/>
                <w:b w:val="1"/>
                <w:bCs w:val="1"/>
                <w:color w:val="FFFFFF"/>
              </w:rPr>
              <w:t>Units of</w:t>
            </w:r>
          </w:p>
        </w:tc>
        <w:tc>
          <w:tcPr>
            <w:tcW w:w="900" w:type="dxa"/>
            <w:vAlign w:val="bottom"/>
            <w:shd w:val="clear" w:color="auto" w:fill="B6CCD6"/>
          </w:tcPr>
          <w:p>
            <w:pPr>
              <w:jc w:val="right"/>
              <w:spacing w:after="0" w:line="118" w:lineRule="exact"/>
              <w:rPr>
                <w:sz w:val="20"/>
                <w:szCs w:val="20"/>
                <w:color w:val="auto"/>
              </w:rPr>
            </w:pPr>
            <w:r>
              <w:rPr>
                <w:rFonts w:ascii="Arial" w:cs="Arial" w:eastAsia="Arial" w:hAnsi="Arial"/>
                <w:sz w:val="11"/>
                <w:szCs w:val="11"/>
                <w:b w:val="1"/>
                <w:bCs w:val="1"/>
                <w:color w:val="FFFFFF"/>
              </w:rPr>
              <w:t>Units or</w:t>
            </w:r>
          </w:p>
        </w:tc>
        <w:tc>
          <w:tcPr>
            <w:tcW w:w="960" w:type="dxa"/>
            <w:vAlign w:val="bottom"/>
            <w:shd w:val="clear" w:color="auto" w:fill="B6CCD6"/>
          </w:tcPr>
          <w:p>
            <w:pPr>
              <w:jc w:val="right"/>
              <w:ind w:right="59"/>
              <w:spacing w:after="0" w:line="118" w:lineRule="exact"/>
              <w:rPr>
                <w:sz w:val="20"/>
                <w:szCs w:val="20"/>
                <w:color w:val="auto"/>
              </w:rPr>
            </w:pPr>
            <w:r>
              <w:rPr>
                <w:rFonts w:ascii="Arial" w:cs="Arial" w:eastAsia="Arial" w:hAnsi="Arial"/>
                <w:sz w:val="11"/>
                <w:szCs w:val="11"/>
                <w:b w:val="1"/>
                <w:bCs w:val="1"/>
                <w:color w:val="FFFFFF"/>
              </w:rPr>
              <w:t>Shares,</w:t>
            </w:r>
          </w:p>
        </w:tc>
        <w:tc>
          <w:tcPr>
            <w:tcW w:w="0" w:type="dxa"/>
            <w:vAlign w:val="bottom"/>
          </w:tcPr>
          <w:p>
            <w:pPr>
              <w:spacing w:after="0"/>
              <w:rPr>
                <w:sz w:val="1"/>
                <w:szCs w:val="1"/>
                <w:color w:val="auto"/>
              </w:rPr>
            </w:pPr>
          </w:p>
        </w:tc>
      </w:tr>
      <w:tr>
        <w:trPr>
          <w:trHeight w:val="118"/>
        </w:trPr>
        <w:tc>
          <w:tcPr>
            <w:tcW w:w="230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040" w:type="dxa"/>
            <w:vAlign w:val="bottom"/>
            <w:shd w:val="clear" w:color="auto" w:fill="8AADBD"/>
          </w:tcPr>
          <w:p>
            <w:pPr>
              <w:jc w:val="right"/>
              <w:spacing w:after="0" w:line="118" w:lineRule="exact"/>
              <w:rPr>
                <w:sz w:val="20"/>
                <w:szCs w:val="20"/>
                <w:color w:val="auto"/>
              </w:rPr>
            </w:pPr>
            <w:r>
              <w:rPr>
                <w:rFonts w:ascii="Arial" w:cs="Arial" w:eastAsia="Arial" w:hAnsi="Arial"/>
                <w:sz w:val="11"/>
                <w:szCs w:val="11"/>
                <w:b w:val="1"/>
                <w:bCs w:val="1"/>
                <w:color w:val="FFFFFF"/>
              </w:rPr>
              <w:t>Underlying</w:t>
            </w:r>
          </w:p>
        </w:tc>
        <w:tc>
          <w:tcPr>
            <w:tcW w:w="1460" w:type="dxa"/>
            <w:vAlign w:val="bottom"/>
            <w:shd w:val="clear" w:color="auto" w:fill="8AADBD"/>
          </w:tcPr>
          <w:p>
            <w:pPr>
              <w:jc w:val="right"/>
              <w:ind w:right="281"/>
              <w:spacing w:after="0" w:line="118" w:lineRule="exact"/>
              <w:rPr>
                <w:sz w:val="20"/>
                <w:szCs w:val="20"/>
                <w:color w:val="auto"/>
              </w:rPr>
            </w:pPr>
            <w:r>
              <w:rPr>
                <w:rFonts w:ascii="Arial" w:cs="Arial" w:eastAsia="Arial" w:hAnsi="Arial"/>
                <w:sz w:val="11"/>
                <w:szCs w:val="11"/>
                <w:b w:val="1"/>
                <w:bCs w:val="1"/>
                <w:color w:val="FFFFFF"/>
              </w:rPr>
              <w:t>Underlying</w:t>
            </w:r>
          </w:p>
        </w:tc>
        <w:tc>
          <w:tcPr>
            <w:tcW w:w="540" w:type="dxa"/>
            <w:vAlign w:val="bottom"/>
            <w:vMerge w:val="restart"/>
            <w:shd w:val="clear" w:color="auto" w:fill="8AADBD"/>
          </w:tcPr>
          <w:p>
            <w:pPr>
              <w:jc w:val="right"/>
              <w:spacing w:after="0"/>
              <w:rPr>
                <w:sz w:val="20"/>
                <w:szCs w:val="20"/>
                <w:color w:val="auto"/>
              </w:rPr>
            </w:pPr>
            <w:r>
              <w:rPr>
                <w:rFonts w:ascii="Arial" w:cs="Arial" w:eastAsia="Arial" w:hAnsi="Arial"/>
                <w:sz w:val="11"/>
                <w:szCs w:val="11"/>
                <w:b w:val="1"/>
                <w:bCs w:val="1"/>
                <w:color w:val="FFFFFF"/>
              </w:rPr>
              <w:t>Option</w:t>
            </w:r>
          </w:p>
        </w:tc>
        <w:tc>
          <w:tcPr>
            <w:tcW w:w="940" w:type="dxa"/>
            <w:vAlign w:val="bottom"/>
            <w:shd w:val="clear" w:color="auto" w:fill="8AADBD"/>
          </w:tcPr>
          <w:p>
            <w:pPr>
              <w:spacing w:after="0"/>
              <w:rPr>
                <w:sz w:val="10"/>
                <w:szCs w:val="10"/>
                <w:color w:val="auto"/>
              </w:rPr>
            </w:pPr>
          </w:p>
        </w:tc>
        <w:tc>
          <w:tcPr>
            <w:tcW w:w="840" w:type="dxa"/>
            <w:vAlign w:val="bottom"/>
            <w:shd w:val="clear" w:color="auto" w:fill="B6CCD6"/>
          </w:tcPr>
          <w:p>
            <w:pPr>
              <w:jc w:val="right"/>
              <w:ind w:right="15"/>
              <w:spacing w:after="0" w:line="118" w:lineRule="exact"/>
              <w:rPr>
                <w:sz w:val="20"/>
                <w:szCs w:val="20"/>
                <w:color w:val="auto"/>
              </w:rPr>
            </w:pPr>
            <w:r>
              <w:rPr>
                <w:rFonts w:ascii="Arial" w:cs="Arial" w:eastAsia="Arial" w:hAnsi="Arial"/>
                <w:sz w:val="11"/>
                <w:szCs w:val="11"/>
                <w:b w:val="1"/>
                <w:bCs w:val="1"/>
                <w:color w:val="FFFFFF"/>
              </w:rPr>
              <w:t>Stock</w:t>
            </w:r>
          </w:p>
        </w:tc>
        <w:tc>
          <w:tcPr>
            <w:tcW w:w="880" w:type="dxa"/>
            <w:vAlign w:val="bottom"/>
            <w:shd w:val="clear" w:color="auto" w:fill="B6CCD6"/>
          </w:tcPr>
          <w:p>
            <w:pPr>
              <w:jc w:val="right"/>
              <w:spacing w:after="0" w:line="118" w:lineRule="exact"/>
              <w:rPr>
                <w:sz w:val="20"/>
                <w:szCs w:val="20"/>
                <w:color w:val="auto"/>
              </w:rPr>
            </w:pPr>
            <w:r>
              <w:rPr>
                <w:rFonts w:ascii="Arial" w:cs="Arial" w:eastAsia="Arial" w:hAnsi="Arial"/>
                <w:sz w:val="11"/>
                <w:szCs w:val="11"/>
                <w:b w:val="1"/>
                <w:bCs w:val="1"/>
                <w:color w:val="FFFFFF"/>
              </w:rPr>
              <w:t>Stock</w:t>
            </w:r>
          </w:p>
        </w:tc>
        <w:tc>
          <w:tcPr>
            <w:tcW w:w="900" w:type="dxa"/>
            <w:vAlign w:val="bottom"/>
            <w:shd w:val="clear" w:color="auto" w:fill="B6CCD6"/>
          </w:tcPr>
          <w:p>
            <w:pPr>
              <w:jc w:val="right"/>
              <w:ind w:right="19"/>
              <w:spacing w:after="0" w:line="118" w:lineRule="exact"/>
              <w:rPr>
                <w:sz w:val="20"/>
                <w:szCs w:val="20"/>
                <w:color w:val="auto"/>
              </w:rPr>
            </w:pPr>
            <w:r>
              <w:rPr>
                <w:rFonts w:ascii="Arial" w:cs="Arial" w:eastAsia="Arial" w:hAnsi="Arial"/>
                <w:sz w:val="11"/>
                <w:szCs w:val="11"/>
                <w:b w:val="1"/>
                <w:bCs w:val="1"/>
                <w:color w:val="FFFFFF"/>
              </w:rPr>
              <w:t>Other</w:t>
            </w:r>
          </w:p>
        </w:tc>
        <w:tc>
          <w:tcPr>
            <w:tcW w:w="960" w:type="dxa"/>
            <w:vAlign w:val="bottom"/>
            <w:shd w:val="clear" w:color="auto" w:fill="B6CCD6"/>
          </w:tcPr>
          <w:p>
            <w:pPr>
              <w:jc w:val="right"/>
              <w:ind w:right="59"/>
              <w:spacing w:after="0" w:line="118" w:lineRule="exact"/>
              <w:rPr>
                <w:sz w:val="20"/>
                <w:szCs w:val="20"/>
                <w:color w:val="auto"/>
              </w:rPr>
            </w:pPr>
            <w:r>
              <w:rPr>
                <w:rFonts w:ascii="Arial" w:cs="Arial" w:eastAsia="Arial" w:hAnsi="Arial"/>
                <w:sz w:val="11"/>
                <w:szCs w:val="11"/>
                <w:b w:val="1"/>
                <w:bCs w:val="1"/>
                <w:color w:val="FFFFFF"/>
              </w:rPr>
              <w:t>Units or</w:t>
            </w:r>
          </w:p>
        </w:tc>
        <w:tc>
          <w:tcPr>
            <w:tcW w:w="0" w:type="dxa"/>
            <w:vAlign w:val="bottom"/>
          </w:tcPr>
          <w:p>
            <w:pPr>
              <w:spacing w:after="0"/>
              <w:rPr>
                <w:sz w:val="1"/>
                <w:szCs w:val="1"/>
                <w:color w:val="auto"/>
              </w:rPr>
            </w:pPr>
          </w:p>
        </w:tc>
      </w:tr>
      <w:tr>
        <w:trPr>
          <w:trHeight w:val="118"/>
        </w:trPr>
        <w:tc>
          <w:tcPr>
            <w:tcW w:w="230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040" w:type="dxa"/>
            <w:vAlign w:val="bottom"/>
            <w:shd w:val="clear" w:color="auto" w:fill="8AADBD"/>
          </w:tcPr>
          <w:p>
            <w:pPr>
              <w:jc w:val="right"/>
              <w:spacing w:after="0" w:line="118" w:lineRule="exact"/>
              <w:rPr>
                <w:sz w:val="20"/>
                <w:szCs w:val="20"/>
                <w:color w:val="auto"/>
              </w:rPr>
            </w:pPr>
            <w:r>
              <w:rPr>
                <w:rFonts w:ascii="Arial" w:cs="Arial" w:eastAsia="Arial" w:hAnsi="Arial"/>
                <w:sz w:val="11"/>
                <w:szCs w:val="11"/>
                <w:b w:val="1"/>
                <w:bCs w:val="1"/>
                <w:color w:val="FFFFFF"/>
              </w:rPr>
              <w:t>Unexercised</w:t>
            </w:r>
          </w:p>
        </w:tc>
        <w:tc>
          <w:tcPr>
            <w:tcW w:w="1460" w:type="dxa"/>
            <w:vAlign w:val="bottom"/>
            <w:shd w:val="clear" w:color="auto" w:fill="8AADBD"/>
          </w:tcPr>
          <w:p>
            <w:pPr>
              <w:jc w:val="right"/>
              <w:ind w:right="281"/>
              <w:spacing w:after="0" w:line="118" w:lineRule="exact"/>
              <w:rPr>
                <w:sz w:val="20"/>
                <w:szCs w:val="20"/>
                <w:color w:val="auto"/>
              </w:rPr>
            </w:pPr>
            <w:r>
              <w:rPr>
                <w:rFonts w:ascii="Arial" w:cs="Arial" w:eastAsia="Arial" w:hAnsi="Arial"/>
                <w:sz w:val="11"/>
                <w:szCs w:val="11"/>
                <w:b w:val="1"/>
                <w:bCs w:val="1"/>
                <w:color w:val="FFFFFF"/>
              </w:rPr>
              <w:t>Unexercised</w:t>
            </w:r>
          </w:p>
        </w:tc>
        <w:tc>
          <w:tcPr>
            <w:tcW w:w="540" w:type="dxa"/>
            <w:vAlign w:val="bottom"/>
            <w:vMerge w:val="continue"/>
            <w:shd w:val="clear" w:color="auto" w:fill="8AADBD"/>
          </w:tcPr>
          <w:p>
            <w:pPr>
              <w:spacing w:after="0"/>
              <w:rPr>
                <w:sz w:val="10"/>
                <w:szCs w:val="10"/>
                <w:color w:val="auto"/>
              </w:rPr>
            </w:pPr>
          </w:p>
        </w:tc>
        <w:tc>
          <w:tcPr>
            <w:tcW w:w="940" w:type="dxa"/>
            <w:vAlign w:val="bottom"/>
            <w:vMerge w:val="restart"/>
            <w:shd w:val="clear" w:color="auto" w:fill="8AADBD"/>
          </w:tcPr>
          <w:p>
            <w:pPr>
              <w:jc w:val="right"/>
              <w:spacing w:after="0"/>
              <w:rPr>
                <w:sz w:val="20"/>
                <w:szCs w:val="20"/>
                <w:color w:val="auto"/>
              </w:rPr>
            </w:pPr>
            <w:r>
              <w:rPr>
                <w:rFonts w:ascii="Arial" w:cs="Arial" w:eastAsia="Arial" w:hAnsi="Arial"/>
                <w:sz w:val="11"/>
                <w:szCs w:val="11"/>
                <w:b w:val="1"/>
                <w:bCs w:val="1"/>
                <w:color w:val="FFFFFF"/>
              </w:rPr>
              <w:t>Option</w:t>
            </w:r>
          </w:p>
        </w:tc>
        <w:tc>
          <w:tcPr>
            <w:tcW w:w="840" w:type="dxa"/>
            <w:vAlign w:val="bottom"/>
            <w:shd w:val="clear" w:color="auto" w:fill="B6CCD6"/>
          </w:tcPr>
          <w:p>
            <w:pPr>
              <w:jc w:val="right"/>
              <w:ind w:right="15"/>
              <w:spacing w:after="0" w:line="118" w:lineRule="exact"/>
              <w:rPr>
                <w:sz w:val="20"/>
                <w:szCs w:val="20"/>
                <w:color w:val="auto"/>
              </w:rPr>
            </w:pPr>
            <w:r>
              <w:rPr>
                <w:rFonts w:ascii="Arial" w:cs="Arial" w:eastAsia="Arial" w:hAnsi="Arial"/>
                <w:sz w:val="11"/>
                <w:szCs w:val="11"/>
                <w:b w:val="1"/>
                <w:bCs w:val="1"/>
                <w:color w:val="FFFFFF"/>
              </w:rPr>
              <w:t>That</w:t>
            </w:r>
          </w:p>
        </w:tc>
        <w:tc>
          <w:tcPr>
            <w:tcW w:w="880" w:type="dxa"/>
            <w:vAlign w:val="bottom"/>
            <w:shd w:val="clear" w:color="auto" w:fill="B6CCD6"/>
          </w:tcPr>
          <w:p>
            <w:pPr>
              <w:jc w:val="right"/>
              <w:ind w:right="16"/>
              <w:spacing w:after="0" w:line="118" w:lineRule="exact"/>
              <w:rPr>
                <w:sz w:val="20"/>
                <w:szCs w:val="20"/>
                <w:color w:val="auto"/>
              </w:rPr>
            </w:pPr>
            <w:r>
              <w:rPr>
                <w:rFonts w:ascii="Arial" w:cs="Arial" w:eastAsia="Arial" w:hAnsi="Arial"/>
                <w:sz w:val="11"/>
                <w:szCs w:val="11"/>
                <w:b w:val="1"/>
                <w:bCs w:val="1"/>
                <w:color w:val="FFFFFF"/>
              </w:rPr>
              <w:t>That Have</w:t>
            </w:r>
          </w:p>
        </w:tc>
        <w:tc>
          <w:tcPr>
            <w:tcW w:w="900" w:type="dxa"/>
            <w:vAlign w:val="bottom"/>
            <w:shd w:val="clear" w:color="auto" w:fill="B6CCD6"/>
          </w:tcPr>
          <w:p>
            <w:pPr>
              <w:jc w:val="right"/>
              <w:ind w:right="19"/>
              <w:spacing w:after="0" w:line="118" w:lineRule="exact"/>
              <w:rPr>
                <w:sz w:val="20"/>
                <w:szCs w:val="20"/>
                <w:color w:val="auto"/>
              </w:rPr>
            </w:pPr>
            <w:r>
              <w:rPr>
                <w:rFonts w:ascii="Arial" w:cs="Arial" w:eastAsia="Arial" w:hAnsi="Arial"/>
                <w:sz w:val="11"/>
                <w:szCs w:val="11"/>
                <w:b w:val="1"/>
                <w:bCs w:val="1"/>
                <w:color w:val="FFFFFF"/>
              </w:rPr>
              <w:t>Rights</w:t>
            </w:r>
          </w:p>
        </w:tc>
        <w:tc>
          <w:tcPr>
            <w:tcW w:w="960" w:type="dxa"/>
            <w:vAlign w:val="bottom"/>
            <w:shd w:val="clear" w:color="auto" w:fill="B6CCD6"/>
          </w:tcPr>
          <w:p>
            <w:pPr>
              <w:jc w:val="right"/>
              <w:ind w:right="59"/>
              <w:spacing w:after="0" w:line="118" w:lineRule="exact"/>
              <w:rPr>
                <w:sz w:val="20"/>
                <w:szCs w:val="20"/>
                <w:color w:val="auto"/>
              </w:rPr>
            </w:pPr>
            <w:r>
              <w:rPr>
                <w:rFonts w:ascii="Arial" w:cs="Arial" w:eastAsia="Arial" w:hAnsi="Arial"/>
                <w:sz w:val="11"/>
                <w:szCs w:val="11"/>
                <w:b w:val="1"/>
                <w:bCs w:val="1"/>
                <w:color w:val="FFFFFF"/>
              </w:rPr>
              <w:t>Other Rights</w:t>
            </w:r>
          </w:p>
        </w:tc>
        <w:tc>
          <w:tcPr>
            <w:tcW w:w="0" w:type="dxa"/>
            <w:vAlign w:val="bottom"/>
          </w:tcPr>
          <w:p>
            <w:pPr>
              <w:spacing w:after="0"/>
              <w:rPr>
                <w:sz w:val="1"/>
                <w:szCs w:val="1"/>
                <w:color w:val="auto"/>
              </w:rPr>
            </w:pPr>
          </w:p>
        </w:tc>
      </w:tr>
      <w:tr>
        <w:trPr>
          <w:trHeight w:val="125"/>
        </w:trPr>
        <w:tc>
          <w:tcPr>
            <w:tcW w:w="2300" w:type="dxa"/>
            <w:vAlign w:val="bottom"/>
            <w:shd w:val="clear" w:color="auto" w:fill="99B7C6"/>
          </w:tcPr>
          <w:p>
            <w:pPr>
              <w:spacing w:after="0"/>
              <w:rPr>
                <w:sz w:val="10"/>
                <w:szCs w:val="10"/>
                <w:color w:val="auto"/>
              </w:rPr>
            </w:pPr>
          </w:p>
        </w:tc>
        <w:tc>
          <w:tcPr>
            <w:tcW w:w="1080" w:type="dxa"/>
            <w:vAlign w:val="bottom"/>
            <w:vMerge w:val="restart"/>
            <w:shd w:val="clear" w:color="auto" w:fill="99B7C6"/>
          </w:tcPr>
          <w:p>
            <w:pPr>
              <w:jc w:val="right"/>
              <w:spacing w:after="0"/>
              <w:rPr>
                <w:sz w:val="20"/>
                <w:szCs w:val="20"/>
                <w:color w:val="auto"/>
              </w:rPr>
            </w:pPr>
            <w:r>
              <w:rPr>
                <w:rFonts w:ascii="Arial" w:cs="Arial" w:eastAsia="Arial" w:hAnsi="Arial"/>
                <w:sz w:val="11"/>
                <w:szCs w:val="11"/>
                <w:b w:val="1"/>
                <w:bCs w:val="1"/>
                <w:color w:val="FFFFFF"/>
              </w:rPr>
              <w:t>Date of</w:t>
            </w:r>
          </w:p>
        </w:tc>
        <w:tc>
          <w:tcPr>
            <w:tcW w:w="1040" w:type="dxa"/>
            <w:vAlign w:val="bottom"/>
            <w:shd w:val="clear" w:color="auto" w:fill="8AADBD"/>
          </w:tcPr>
          <w:p>
            <w:pPr>
              <w:jc w:val="right"/>
              <w:spacing w:after="0" w:line="125" w:lineRule="exact"/>
              <w:rPr>
                <w:sz w:val="20"/>
                <w:szCs w:val="20"/>
                <w:color w:val="auto"/>
              </w:rPr>
            </w:pPr>
            <w:r>
              <w:rPr>
                <w:rFonts w:ascii="Arial" w:cs="Arial" w:eastAsia="Arial" w:hAnsi="Arial"/>
                <w:sz w:val="11"/>
                <w:szCs w:val="11"/>
                <w:b w:val="1"/>
                <w:bCs w:val="1"/>
                <w:color w:val="FFFFFF"/>
              </w:rPr>
              <w:t>Options</w:t>
            </w:r>
          </w:p>
        </w:tc>
        <w:tc>
          <w:tcPr>
            <w:tcW w:w="1460" w:type="dxa"/>
            <w:vAlign w:val="bottom"/>
            <w:shd w:val="clear" w:color="auto" w:fill="8AADBD"/>
          </w:tcPr>
          <w:p>
            <w:pPr>
              <w:jc w:val="right"/>
              <w:ind w:right="281"/>
              <w:spacing w:after="0" w:line="125" w:lineRule="exact"/>
              <w:rPr>
                <w:sz w:val="20"/>
                <w:szCs w:val="20"/>
                <w:color w:val="auto"/>
              </w:rPr>
            </w:pPr>
            <w:r>
              <w:rPr>
                <w:rFonts w:ascii="Arial" w:cs="Arial" w:eastAsia="Arial" w:hAnsi="Arial"/>
                <w:sz w:val="11"/>
                <w:szCs w:val="11"/>
                <w:b w:val="1"/>
                <w:bCs w:val="1"/>
                <w:color w:val="FFFFFF"/>
              </w:rPr>
              <w:t>Options</w:t>
            </w:r>
          </w:p>
        </w:tc>
        <w:tc>
          <w:tcPr>
            <w:tcW w:w="540" w:type="dxa"/>
            <w:vAlign w:val="bottom"/>
            <w:shd w:val="clear" w:color="auto" w:fill="8AADBD"/>
          </w:tcPr>
          <w:p>
            <w:pPr>
              <w:jc w:val="right"/>
              <w:spacing w:after="0" w:line="125" w:lineRule="exact"/>
              <w:rPr>
                <w:sz w:val="20"/>
                <w:szCs w:val="20"/>
                <w:color w:val="auto"/>
              </w:rPr>
            </w:pPr>
            <w:r>
              <w:rPr>
                <w:rFonts w:ascii="Arial" w:cs="Arial" w:eastAsia="Arial" w:hAnsi="Arial"/>
                <w:sz w:val="11"/>
                <w:szCs w:val="11"/>
                <w:b w:val="1"/>
                <w:bCs w:val="1"/>
                <w:color w:val="FFFFFF"/>
              </w:rPr>
              <w:t>Exercise</w:t>
            </w:r>
          </w:p>
        </w:tc>
        <w:tc>
          <w:tcPr>
            <w:tcW w:w="940" w:type="dxa"/>
            <w:vAlign w:val="bottom"/>
            <w:vMerge w:val="continue"/>
            <w:shd w:val="clear" w:color="auto" w:fill="8AADBD"/>
          </w:tcPr>
          <w:p>
            <w:pPr>
              <w:spacing w:after="0"/>
              <w:rPr>
                <w:sz w:val="10"/>
                <w:szCs w:val="10"/>
                <w:color w:val="auto"/>
              </w:rPr>
            </w:pPr>
          </w:p>
        </w:tc>
        <w:tc>
          <w:tcPr>
            <w:tcW w:w="840" w:type="dxa"/>
            <w:vAlign w:val="bottom"/>
            <w:shd w:val="clear" w:color="auto" w:fill="B6CCD6"/>
          </w:tcPr>
          <w:p>
            <w:pPr>
              <w:jc w:val="right"/>
              <w:spacing w:after="0" w:line="125" w:lineRule="exact"/>
              <w:rPr>
                <w:sz w:val="20"/>
                <w:szCs w:val="20"/>
                <w:color w:val="auto"/>
              </w:rPr>
            </w:pPr>
            <w:r>
              <w:rPr>
                <w:rFonts w:ascii="Arial" w:cs="Arial" w:eastAsia="Arial" w:hAnsi="Arial"/>
                <w:sz w:val="11"/>
                <w:szCs w:val="11"/>
                <w:b w:val="1"/>
                <w:bCs w:val="1"/>
                <w:color w:val="FFFFFF"/>
              </w:rPr>
              <w:t>Have Not</w:t>
            </w:r>
          </w:p>
        </w:tc>
        <w:tc>
          <w:tcPr>
            <w:tcW w:w="880" w:type="dxa"/>
            <w:vAlign w:val="bottom"/>
            <w:shd w:val="clear" w:color="auto" w:fill="B6CCD6"/>
          </w:tcPr>
          <w:p>
            <w:pPr>
              <w:jc w:val="right"/>
              <w:ind w:right="16"/>
              <w:spacing w:after="0" w:line="125" w:lineRule="exact"/>
              <w:rPr>
                <w:sz w:val="20"/>
                <w:szCs w:val="20"/>
                <w:color w:val="auto"/>
              </w:rPr>
            </w:pPr>
            <w:r>
              <w:rPr>
                <w:rFonts w:ascii="Arial" w:cs="Arial" w:eastAsia="Arial" w:hAnsi="Arial"/>
                <w:sz w:val="11"/>
                <w:szCs w:val="11"/>
                <w:b w:val="1"/>
                <w:bCs w:val="1"/>
                <w:color w:val="FFFFFF"/>
              </w:rPr>
              <w:t>Not</w:t>
            </w:r>
          </w:p>
        </w:tc>
        <w:tc>
          <w:tcPr>
            <w:tcW w:w="900" w:type="dxa"/>
            <w:vAlign w:val="bottom"/>
            <w:shd w:val="clear" w:color="auto" w:fill="B6CCD6"/>
          </w:tcPr>
          <w:p>
            <w:pPr>
              <w:jc w:val="right"/>
              <w:ind w:right="19"/>
              <w:spacing w:after="0" w:line="125" w:lineRule="exact"/>
              <w:rPr>
                <w:sz w:val="20"/>
                <w:szCs w:val="20"/>
                <w:color w:val="auto"/>
              </w:rPr>
            </w:pPr>
            <w:r>
              <w:rPr>
                <w:rFonts w:ascii="Arial" w:cs="Arial" w:eastAsia="Arial" w:hAnsi="Arial"/>
                <w:sz w:val="11"/>
                <w:szCs w:val="11"/>
                <w:b w:val="1"/>
                <w:bCs w:val="1"/>
                <w:color w:val="FFFFFF"/>
              </w:rPr>
              <w:t>That Have</w:t>
            </w:r>
          </w:p>
        </w:tc>
        <w:tc>
          <w:tcPr>
            <w:tcW w:w="960" w:type="dxa"/>
            <w:vAlign w:val="bottom"/>
            <w:shd w:val="clear" w:color="auto" w:fill="B6CCD6"/>
          </w:tcPr>
          <w:p>
            <w:pPr>
              <w:jc w:val="right"/>
              <w:ind w:right="59"/>
              <w:spacing w:after="0" w:line="125" w:lineRule="exact"/>
              <w:rPr>
                <w:sz w:val="20"/>
                <w:szCs w:val="20"/>
                <w:color w:val="auto"/>
              </w:rPr>
            </w:pPr>
            <w:r>
              <w:rPr>
                <w:rFonts w:ascii="Arial" w:cs="Arial" w:eastAsia="Arial" w:hAnsi="Arial"/>
                <w:sz w:val="11"/>
                <w:szCs w:val="11"/>
                <w:b w:val="1"/>
                <w:bCs w:val="1"/>
                <w:color w:val="FFFFFF"/>
              </w:rPr>
              <w:t>That Have</w:t>
            </w:r>
          </w:p>
        </w:tc>
        <w:tc>
          <w:tcPr>
            <w:tcW w:w="0" w:type="dxa"/>
            <w:vAlign w:val="bottom"/>
          </w:tcPr>
          <w:p>
            <w:pPr>
              <w:spacing w:after="0"/>
              <w:rPr>
                <w:sz w:val="1"/>
                <w:szCs w:val="1"/>
                <w:color w:val="auto"/>
              </w:rPr>
            </w:pPr>
          </w:p>
        </w:tc>
      </w:tr>
      <w:tr>
        <w:trPr>
          <w:trHeight w:val="119"/>
        </w:trPr>
        <w:tc>
          <w:tcPr>
            <w:tcW w:w="2300" w:type="dxa"/>
            <w:vAlign w:val="bottom"/>
            <w:vMerge w:val="restart"/>
            <w:shd w:val="clear" w:color="auto" w:fill="99B7C6"/>
          </w:tcPr>
          <w:p>
            <w:pPr>
              <w:ind w:left="60"/>
              <w:spacing w:after="0"/>
              <w:rPr>
                <w:sz w:val="20"/>
                <w:szCs w:val="20"/>
                <w:color w:val="auto"/>
              </w:rPr>
            </w:pPr>
            <w:r>
              <w:rPr>
                <w:rFonts w:ascii="Arial" w:cs="Arial" w:eastAsia="Arial" w:hAnsi="Arial"/>
                <w:sz w:val="11"/>
                <w:szCs w:val="11"/>
                <w:b w:val="1"/>
                <w:bCs w:val="1"/>
                <w:color w:val="FFFFFF"/>
              </w:rPr>
              <w:t>Name</w:t>
            </w:r>
          </w:p>
        </w:tc>
        <w:tc>
          <w:tcPr>
            <w:tcW w:w="1080" w:type="dxa"/>
            <w:vAlign w:val="bottom"/>
            <w:vMerge w:val="continue"/>
            <w:shd w:val="clear" w:color="auto" w:fill="99B7C6"/>
          </w:tcPr>
          <w:p>
            <w:pPr>
              <w:spacing w:after="0"/>
              <w:rPr>
                <w:sz w:val="10"/>
                <w:szCs w:val="10"/>
                <w:color w:val="auto"/>
              </w:rPr>
            </w:pPr>
          </w:p>
        </w:tc>
        <w:tc>
          <w:tcPr>
            <w:tcW w:w="1040" w:type="dxa"/>
            <w:vAlign w:val="bottom"/>
            <w:shd w:val="clear" w:color="auto" w:fill="8AADBD"/>
          </w:tcPr>
          <w:p>
            <w:pPr>
              <w:jc w:val="right"/>
              <w:spacing w:after="0" w:line="119" w:lineRule="exact"/>
              <w:rPr>
                <w:sz w:val="20"/>
                <w:szCs w:val="20"/>
                <w:color w:val="auto"/>
              </w:rPr>
            </w:pPr>
            <w:r>
              <w:rPr>
                <w:rFonts w:ascii="Arial" w:cs="Arial" w:eastAsia="Arial" w:hAnsi="Arial"/>
                <w:sz w:val="11"/>
                <w:szCs w:val="11"/>
                <w:b w:val="1"/>
                <w:bCs w:val="1"/>
                <w:color w:val="FFFFFF"/>
              </w:rPr>
              <w:t>Exercisable</w:t>
            </w:r>
          </w:p>
        </w:tc>
        <w:tc>
          <w:tcPr>
            <w:tcW w:w="1460" w:type="dxa"/>
            <w:vAlign w:val="bottom"/>
            <w:shd w:val="clear" w:color="auto" w:fill="8AADBD"/>
          </w:tcPr>
          <w:p>
            <w:pPr>
              <w:jc w:val="right"/>
              <w:ind w:right="281"/>
              <w:spacing w:after="0" w:line="119" w:lineRule="exact"/>
              <w:rPr>
                <w:sz w:val="20"/>
                <w:szCs w:val="20"/>
                <w:color w:val="auto"/>
              </w:rPr>
            </w:pPr>
            <w:r>
              <w:rPr>
                <w:rFonts w:ascii="Arial" w:cs="Arial" w:eastAsia="Arial" w:hAnsi="Arial"/>
                <w:sz w:val="11"/>
                <w:szCs w:val="11"/>
                <w:b w:val="1"/>
                <w:bCs w:val="1"/>
                <w:color w:val="FFFFFF"/>
              </w:rPr>
              <w:t>Unexercisable</w:t>
            </w:r>
          </w:p>
        </w:tc>
        <w:tc>
          <w:tcPr>
            <w:tcW w:w="540" w:type="dxa"/>
            <w:vAlign w:val="bottom"/>
            <w:shd w:val="clear" w:color="auto" w:fill="8AADBD"/>
          </w:tcPr>
          <w:p>
            <w:pPr>
              <w:jc w:val="right"/>
              <w:ind w:right="18"/>
              <w:spacing w:after="0" w:line="119" w:lineRule="exact"/>
              <w:rPr>
                <w:sz w:val="20"/>
                <w:szCs w:val="20"/>
                <w:color w:val="auto"/>
              </w:rPr>
            </w:pPr>
            <w:r>
              <w:rPr>
                <w:rFonts w:ascii="Arial" w:cs="Arial" w:eastAsia="Arial" w:hAnsi="Arial"/>
                <w:sz w:val="11"/>
                <w:szCs w:val="11"/>
                <w:b w:val="1"/>
                <w:bCs w:val="1"/>
                <w:color w:val="FFFFFF"/>
              </w:rPr>
              <w:t>Price</w:t>
            </w:r>
          </w:p>
        </w:tc>
        <w:tc>
          <w:tcPr>
            <w:tcW w:w="940" w:type="dxa"/>
            <w:vAlign w:val="bottom"/>
            <w:shd w:val="clear" w:color="auto" w:fill="8AADBD"/>
          </w:tcPr>
          <w:p>
            <w:pPr>
              <w:jc w:val="right"/>
              <w:spacing w:after="0" w:line="119" w:lineRule="exact"/>
              <w:rPr>
                <w:sz w:val="20"/>
                <w:szCs w:val="20"/>
                <w:color w:val="auto"/>
              </w:rPr>
            </w:pPr>
            <w:r>
              <w:rPr>
                <w:rFonts w:ascii="Arial" w:cs="Arial" w:eastAsia="Arial" w:hAnsi="Arial"/>
                <w:sz w:val="11"/>
                <w:szCs w:val="11"/>
                <w:b w:val="1"/>
                <w:bCs w:val="1"/>
                <w:color w:val="FFFFFF"/>
              </w:rPr>
              <w:t>Expiration</w:t>
            </w:r>
          </w:p>
        </w:tc>
        <w:tc>
          <w:tcPr>
            <w:tcW w:w="840" w:type="dxa"/>
            <w:vAlign w:val="bottom"/>
            <w:shd w:val="clear" w:color="auto" w:fill="B6CCD6"/>
          </w:tcPr>
          <w:p>
            <w:pPr>
              <w:jc w:val="right"/>
              <w:spacing w:after="0" w:line="120" w:lineRule="exact"/>
              <w:rPr>
                <w:sz w:val="20"/>
                <w:szCs w:val="20"/>
                <w:color w:val="auto"/>
              </w:rPr>
            </w:pPr>
            <w:r>
              <w:rPr>
                <w:rFonts w:ascii="Arial" w:cs="Arial" w:eastAsia="Arial" w:hAnsi="Arial"/>
                <w:sz w:val="11"/>
                <w:szCs w:val="11"/>
                <w:b w:val="1"/>
                <w:bCs w:val="1"/>
                <w:color w:val="FFFFFF"/>
              </w:rPr>
              <w:t>Vested</w:t>
            </w:r>
            <w:r>
              <w:rPr>
                <w:rFonts w:ascii="Arial" w:cs="Arial" w:eastAsia="Arial" w:hAnsi="Arial"/>
                <w:sz w:val="12"/>
                <w:szCs w:val="12"/>
                <w:color w:val="FFFFFF"/>
                <w:vertAlign w:val="superscript"/>
              </w:rPr>
              <w:t>2</w:t>
            </w:r>
          </w:p>
        </w:tc>
        <w:tc>
          <w:tcPr>
            <w:tcW w:w="880" w:type="dxa"/>
            <w:vAlign w:val="bottom"/>
            <w:shd w:val="clear" w:color="auto" w:fill="B6CCD6"/>
          </w:tcPr>
          <w:p>
            <w:pPr>
              <w:jc w:val="right"/>
              <w:spacing w:after="0" w:line="120" w:lineRule="exact"/>
              <w:rPr>
                <w:sz w:val="20"/>
                <w:szCs w:val="20"/>
                <w:color w:val="auto"/>
              </w:rPr>
            </w:pPr>
            <w:r>
              <w:rPr>
                <w:rFonts w:ascii="Arial" w:cs="Arial" w:eastAsia="Arial" w:hAnsi="Arial"/>
                <w:sz w:val="11"/>
                <w:szCs w:val="11"/>
                <w:b w:val="1"/>
                <w:bCs w:val="1"/>
                <w:color w:val="FFFFFF"/>
              </w:rPr>
              <w:t>Vested</w:t>
            </w:r>
            <w:r>
              <w:rPr>
                <w:rFonts w:ascii="Arial" w:cs="Arial" w:eastAsia="Arial" w:hAnsi="Arial"/>
                <w:sz w:val="12"/>
                <w:szCs w:val="12"/>
                <w:color w:val="FFFFFF"/>
                <w:vertAlign w:val="superscript"/>
              </w:rPr>
              <w:t>3</w:t>
            </w:r>
          </w:p>
        </w:tc>
        <w:tc>
          <w:tcPr>
            <w:tcW w:w="900" w:type="dxa"/>
            <w:vAlign w:val="bottom"/>
            <w:shd w:val="clear" w:color="auto" w:fill="B6CCD6"/>
          </w:tcPr>
          <w:p>
            <w:pPr>
              <w:jc w:val="right"/>
              <w:spacing w:after="0" w:line="120" w:lineRule="exact"/>
              <w:rPr>
                <w:sz w:val="20"/>
                <w:szCs w:val="20"/>
                <w:color w:val="auto"/>
              </w:rPr>
            </w:pPr>
            <w:r>
              <w:rPr>
                <w:rFonts w:ascii="Arial" w:cs="Arial" w:eastAsia="Arial" w:hAnsi="Arial"/>
                <w:sz w:val="11"/>
                <w:szCs w:val="11"/>
                <w:b w:val="1"/>
                <w:bCs w:val="1"/>
                <w:color w:val="FFFFFF"/>
              </w:rPr>
              <w:t>Not Vested</w:t>
            </w:r>
            <w:r>
              <w:rPr>
                <w:rFonts w:ascii="Arial" w:cs="Arial" w:eastAsia="Arial" w:hAnsi="Arial"/>
                <w:sz w:val="12"/>
                <w:szCs w:val="12"/>
                <w:color w:val="FFFFFF"/>
                <w:vertAlign w:val="superscript"/>
              </w:rPr>
              <w:t>4</w:t>
            </w:r>
          </w:p>
        </w:tc>
        <w:tc>
          <w:tcPr>
            <w:tcW w:w="960" w:type="dxa"/>
            <w:vAlign w:val="bottom"/>
            <w:shd w:val="clear" w:color="auto" w:fill="B6CCD6"/>
          </w:tcPr>
          <w:p>
            <w:pPr>
              <w:jc w:val="right"/>
              <w:ind w:right="59"/>
              <w:spacing w:after="0" w:line="120" w:lineRule="exact"/>
              <w:rPr>
                <w:sz w:val="20"/>
                <w:szCs w:val="20"/>
                <w:color w:val="auto"/>
              </w:rPr>
            </w:pPr>
            <w:r>
              <w:rPr>
                <w:rFonts w:ascii="Arial" w:cs="Arial" w:eastAsia="Arial" w:hAnsi="Arial"/>
                <w:sz w:val="11"/>
                <w:szCs w:val="11"/>
                <w:b w:val="1"/>
                <w:bCs w:val="1"/>
                <w:color w:val="FFFFFF"/>
              </w:rPr>
              <w:t>Not Vested</w:t>
            </w:r>
            <w:r>
              <w:rPr>
                <w:rFonts w:ascii="Arial" w:cs="Arial" w:eastAsia="Arial" w:hAnsi="Arial"/>
                <w:sz w:val="12"/>
                <w:szCs w:val="12"/>
                <w:color w:val="FFFFFF"/>
                <w:vertAlign w:val="superscript"/>
              </w:rPr>
              <w:t>3</w:t>
            </w:r>
          </w:p>
        </w:tc>
        <w:tc>
          <w:tcPr>
            <w:tcW w:w="0" w:type="dxa"/>
            <w:vAlign w:val="bottom"/>
          </w:tcPr>
          <w:p>
            <w:pPr>
              <w:spacing w:after="0"/>
              <w:rPr>
                <w:sz w:val="1"/>
                <w:szCs w:val="1"/>
                <w:color w:val="auto"/>
              </w:rPr>
            </w:pPr>
          </w:p>
        </w:tc>
      </w:tr>
      <w:tr>
        <w:trPr>
          <w:trHeight w:val="168"/>
        </w:trPr>
        <w:tc>
          <w:tcPr>
            <w:tcW w:w="2300" w:type="dxa"/>
            <w:vAlign w:val="bottom"/>
            <w:vMerge w:val="continue"/>
            <w:shd w:val="clear" w:color="auto" w:fill="99B7C6"/>
          </w:tcPr>
          <w:p>
            <w:pPr>
              <w:spacing w:after="0"/>
              <w:rPr>
                <w:sz w:val="14"/>
                <w:szCs w:val="14"/>
                <w:color w:val="auto"/>
              </w:rPr>
            </w:pPr>
          </w:p>
        </w:tc>
        <w:tc>
          <w:tcPr>
            <w:tcW w:w="1080" w:type="dxa"/>
            <w:vAlign w:val="bottom"/>
            <w:shd w:val="clear" w:color="auto" w:fill="99B7C6"/>
          </w:tcPr>
          <w:p>
            <w:pPr>
              <w:jc w:val="right"/>
              <w:spacing w:after="0"/>
              <w:rPr>
                <w:sz w:val="20"/>
                <w:szCs w:val="20"/>
                <w:color w:val="auto"/>
              </w:rPr>
            </w:pPr>
            <w:r>
              <w:rPr>
                <w:rFonts w:ascii="Arial" w:cs="Arial" w:eastAsia="Arial" w:hAnsi="Arial"/>
                <w:sz w:val="11"/>
                <w:szCs w:val="11"/>
                <w:b w:val="1"/>
                <w:bCs w:val="1"/>
                <w:color w:val="FFFFFF"/>
              </w:rPr>
              <w:t>Grant</w:t>
            </w:r>
          </w:p>
        </w:tc>
        <w:tc>
          <w:tcPr>
            <w:tcW w:w="1040" w:type="dxa"/>
            <w:vAlign w:val="bottom"/>
            <w:shd w:val="clear" w:color="auto" w:fill="8AADBD"/>
          </w:tcPr>
          <w:p>
            <w:pPr>
              <w:jc w:val="right"/>
              <w:spacing w:after="0"/>
              <w:rPr>
                <w:sz w:val="20"/>
                <w:szCs w:val="20"/>
                <w:color w:val="auto"/>
              </w:rPr>
            </w:pPr>
            <w:r>
              <w:rPr>
                <w:rFonts w:ascii="Arial" w:cs="Arial" w:eastAsia="Arial" w:hAnsi="Arial"/>
                <w:sz w:val="11"/>
                <w:szCs w:val="11"/>
                <w:b w:val="1"/>
                <w:bCs w:val="1"/>
                <w:color w:val="FFFFFF"/>
              </w:rPr>
              <w:t>(#)</w:t>
            </w:r>
          </w:p>
        </w:tc>
        <w:tc>
          <w:tcPr>
            <w:tcW w:w="1460" w:type="dxa"/>
            <w:vAlign w:val="bottom"/>
            <w:shd w:val="clear" w:color="auto" w:fill="8AADBD"/>
          </w:tcPr>
          <w:p>
            <w:pPr>
              <w:jc w:val="right"/>
              <w:ind w:right="281"/>
              <w:spacing w:after="0"/>
              <w:rPr>
                <w:sz w:val="20"/>
                <w:szCs w:val="20"/>
                <w:color w:val="auto"/>
              </w:rPr>
            </w:pPr>
            <w:r>
              <w:rPr>
                <w:rFonts w:ascii="Arial" w:cs="Arial" w:eastAsia="Arial" w:hAnsi="Arial"/>
                <w:sz w:val="11"/>
                <w:szCs w:val="11"/>
                <w:b w:val="1"/>
                <w:bCs w:val="1"/>
                <w:color w:val="FFFFFF"/>
              </w:rPr>
              <w:t>(#)</w:t>
            </w:r>
          </w:p>
        </w:tc>
        <w:tc>
          <w:tcPr>
            <w:tcW w:w="540" w:type="dxa"/>
            <w:vAlign w:val="bottom"/>
            <w:shd w:val="clear" w:color="auto" w:fill="8AADBD"/>
          </w:tcPr>
          <w:p>
            <w:pPr>
              <w:jc w:val="right"/>
              <w:spacing w:after="0"/>
              <w:rPr>
                <w:sz w:val="20"/>
                <w:szCs w:val="20"/>
                <w:color w:val="auto"/>
              </w:rPr>
            </w:pPr>
            <w:r>
              <w:rPr>
                <w:rFonts w:ascii="Arial" w:cs="Arial" w:eastAsia="Arial" w:hAnsi="Arial"/>
                <w:sz w:val="11"/>
                <w:szCs w:val="11"/>
                <w:b w:val="1"/>
                <w:bCs w:val="1"/>
                <w:color w:val="FFFFFF"/>
              </w:rPr>
              <w:t>($)</w:t>
            </w:r>
          </w:p>
        </w:tc>
        <w:tc>
          <w:tcPr>
            <w:tcW w:w="940" w:type="dxa"/>
            <w:vAlign w:val="bottom"/>
            <w:shd w:val="clear" w:color="auto" w:fill="8AADBD"/>
          </w:tcPr>
          <w:p>
            <w:pPr>
              <w:jc w:val="right"/>
              <w:spacing w:after="0"/>
              <w:rPr>
                <w:sz w:val="20"/>
                <w:szCs w:val="20"/>
                <w:color w:val="auto"/>
              </w:rPr>
            </w:pPr>
            <w:r>
              <w:rPr>
                <w:rFonts w:ascii="Arial" w:cs="Arial" w:eastAsia="Arial" w:hAnsi="Arial"/>
                <w:sz w:val="11"/>
                <w:szCs w:val="11"/>
                <w:b w:val="1"/>
                <w:bCs w:val="1"/>
                <w:color w:val="FFFFFF"/>
              </w:rPr>
              <w:t>Date</w:t>
            </w:r>
          </w:p>
        </w:tc>
        <w:tc>
          <w:tcPr>
            <w:tcW w:w="840" w:type="dxa"/>
            <w:vAlign w:val="bottom"/>
            <w:shd w:val="clear" w:color="auto" w:fill="B6CCD6"/>
          </w:tcPr>
          <w:p>
            <w:pPr>
              <w:jc w:val="right"/>
              <w:spacing w:after="0"/>
              <w:rPr>
                <w:sz w:val="20"/>
                <w:szCs w:val="20"/>
                <w:color w:val="auto"/>
              </w:rPr>
            </w:pPr>
            <w:r>
              <w:rPr>
                <w:rFonts w:ascii="Arial" w:cs="Arial" w:eastAsia="Arial" w:hAnsi="Arial"/>
                <w:sz w:val="11"/>
                <w:szCs w:val="11"/>
                <w:b w:val="1"/>
                <w:bCs w:val="1"/>
                <w:color w:val="FFFFFF"/>
              </w:rPr>
              <w:t>(#)</w:t>
            </w:r>
          </w:p>
        </w:tc>
        <w:tc>
          <w:tcPr>
            <w:tcW w:w="880" w:type="dxa"/>
            <w:vAlign w:val="bottom"/>
            <w:shd w:val="clear" w:color="auto" w:fill="B6CCD6"/>
          </w:tcPr>
          <w:p>
            <w:pPr>
              <w:jc w:val="right"/>
              <w:spacing w:after="0"/>
              <w:rPr>
                <w:sz w:val="20"/>
                <w:szCs w:val="20"/>
                <w:color w:val="auto"/>
              </w:rPr>
            </w:pPr>
            <w:r>
              <w:rPr>
                <w:rFonts w:ascii="Arial" w:cs="Arial" w:eastAsia="Arial" w:hAnsi="Arial"/>
                <w:sz w:val="11"/>
                <w:szCs w:val="11"/>
                <w:b w:val="1"/>
                <w:bCs w:val="1"/>
                <w:color w:val="FFFFFF"/>
              </w:rPr>
              <w:t>($)</w:t>
            </w:r>
          </w:p>
        </w:tc>
        <w:tc>
          <w:tcPr>
            <w:tcW w:w="900" w:type="dxa"/>
            <w:vAlign w:val="bottom"/>
            <w:shd w:val="clear" w:color="auto" w:fill="B6CCD6"/>
          </w:tcPr>
          <w:p>
            <w:pPr>
              <w:jc w:val="right"/>
              <w:spacing w:after="0"/>
              <w:rPr>
                <w:sz w:val="20"/>
                <w:szCs w:val="20"/>
                <w:color w:val="auto"/>
              </w:rPr>
            </w:pPr>
            <w:r>
              <w:rPr>
                <w:rFonts w:ascii="Arial" w:cs="Arial" w:eastAsia="Arial" w:hAnsi="Arial"/>
                <w:sz w:val="11"/>
                <w:szCs w:val="11"/>
                <w:b w:val="1"/>
                <w:bCs w:val="1"/>
                <w:color w:val="FFFFFF"/>
              </w:rPr>
              <w:t>(#)</w:t>
            </w:r>
          </w:p>
        </w:tc>
        <w:tc>
          <w:tcPr>
            <w:tcW w:w="960" w:type="dxa"/>
            <w:vAlign w:val="bottom"/>
            <w:shd w:val="clear" w:color="auto" w:fill="B6CCD6"/>
          </w:tcPr>
          <w:p>
            <w:pPr>
              <w:jc w:val="right"/>
              <w:ind w:right="59"/>
              <w:spacing w:after="0"/>
              <w:rPr>
                <w:sz w:val="20"/>
                <w:szCs w:val="20"/>
                <w:color w:val="auto"/>
              </w:rPr>
            </w:pPr>
            <w:r>
              <w:rPr>
                <w:rFonts w:ascii="Arial" w:cs="Arial" w:eastAsia="Arial" w:hAnsi="Arial"/>
                <w:sz w:val="11"/>
                <w:szCs w:val="11"/>
                <w:b w:val="1"/>
                <w:bCs w:val="1"/>
                <w:color w:val="FFFFFF"/>
              </w:rPr>
              <w:t>($)</w:t>
            </w:r>
          </w:p>
        </w:tc>
        <w:tc>
          <w:tcPr>
            <w:tcW w:w="0" w:type="dxa"/>
            <w:vAlign w:val="bottom"/>
          </w:tcPr>
          <w:p>
            <w:pPr>
              <w:spacing w:after="0"/>
              <w:rPr>
                <w:sz w:val="1"/>
                <w:szCs w:val="1"/>
                <w:color w:val="auto"/>
              </w:rPr>
            </w:pPr>
          </w:p>
        </w:tc>
      </w:tr>
      <w:tr>
        <w:trPr>
          <w:trHeight w:val="264"/>
        </w:trPr>
        <w:tc>
          <w:tcPr>
            <w:tcW w:w="2300" w:type="dxa"/>
            <w:vAlign w:val="bottom"/>
          </w:tcPr>
          <w:p>
            <w:pPr>
              <w:ind w:left="60"/>
              <w:spacing w:after="0"/>
              <w:rPr>
                <w:sz w:val="20"/>
                <w:szCs w:val="20"/>
                <w:color w:val="auto"/>
              </w:rPr>
            </w:pPr>
            <w:r>
              <w:rPr>
                <w:rFonts w:ascii="Arial" w:cs="Arial" w:eastAsia="Arial" w:hAnsi="Arial"/>
                <w:sz w:val="14"/>
                <w:szCs w:val="14"/>
                <w:b w:val="1"/>
                <w:bCs w:val="1"/>
                <w:color w:val="auto"/>
              </w:rPr>
              <w:t>Melissa Stone</w:t>
            </w:r>
          </w:p>
        </w:tc>
        <w:tc>
          <w:tcPr>
            <w:tcW w:w="1080" w:type="dxa"/>
            <w:vAlign w:val="bottom"/>
          </w:tcPr>
          <w:p>
            <w:pPr>
              <w:jc w:val="right"/>
              <w:spacing w:after="0"/>
              <w:rPr>
                <w:sz w:val="20"/>
                <w:szCs w:val="20"/>
                <w:color w:val="auto"/>
              </w:rPr>
            </w:pPr>
            <w:r>
              <w:rPr>
                <w:rFonts w:ascii="Arial" w:cs="Arial" w:eastAsia="Arial" w:hAnsi="Arial"/>
                <w:sz w:val="14"/>
                <w:szCs w:val="14"/>
                <w:color w:val="auto"/>
              </w:rPr>
              <w:t>4/6/2022</w:t>
            </w:r>
          </w:p>
        </w:tc>
        <w:tc>
          <w:tcPr>
            <w:tcW w:w="10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438</w:t>
            </w:r>
          </w:p>
        </w:tc>
        <w:tc>
          <w:tcPr>
            <w:tcW w:w="880" w:type="dxa"/>
            <w:vAlign w:val="bottom"/>
          </w:tcPr>
          <w:p>
            <w:pPr>
              <w:jc w:val="right"/>
              <w:spacing w:after="0"/>
              <w:rPr>
                <w:sz w:val="20"/>
                <w:szCs w:val="20"/>
                <w:color w:val="auto"/>
              </w:rPr>
            </w:pPr>
            <w:r>
              <w:rPr>
                <w:rFonts w:ascii="Arial" w:cs="Arial" w:eastAsia="Arial" w:hAnsi="Arial"/>
                <w:sz w:val="14"/>
                <w:szCs w:val="14"/>
                <w:color w:val="auto"/>
              </w:rPr>
              <w:t>27,314</w:t>
            </w: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4/6/2023</w:t>
            </w:r>
          </w:p>
        </w:tc>
        <w:tc>
          <w:tcPr>
            <w:tcW w:w="1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1,790</w:t>
            </w:r>
          </w:p>
        </w:tc>
        <w:tc>
          <w:tcPr>
            <w:tcW w:w="880" w:type="dxa"/>
            <w:vAlign w:val="bottom"/>
          </w:tcPr>
          <w:p>
            <w:pPr>
              <w:jc w:val="right"/>
              <w:spacing w:after="0"/>
              <w:rPr>
                <w:sz w:val="20"/>
                <w:szCs w:val="20"/>
                <w:color w:val="auto"/>
              </w:rPr>
            </w:pPr>
            <w:r>
              <w:rPr>
                <w:rFonts w:ascii="Arial" w:cs="Arial" w:eastAsia="Arial" w:hAnsi="Arial"/>
                <w:sz w:val="14"/>
                <w:szCs w:val="14"/>
                <w:color w:val="auto"/>
              </w:rPr>
              <w:t>111,624</w:t>
            </w: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4/10/2024</w:t>
            </w:r>
          </w:p>
        </w:tc>
        <w:tc>
          <w:tcPr>
            <w:tcW w:w="10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1,368</w:t>
            </w:r>
          </w:p>
        </w:tc>
        <w:tc>
          <w:tcPr>
            <w:tcW w:w="880" w:type="dxa"/>
            <w:vAlign w:val="bottom"/>
          </w:tcPr>
          <w:p>
            <w:pPr>
              <w:jc w:val="right"/>
              <w:spacing w:after="0"/>
              <w:rPr>
                <w:sz w:val="20"/>
                <w:szCs w:val="20"/>
                <w:color w:val="auto"/>
              </w:rPr>
            </w:pPr>
            <w:r>
              <w:rPr>
                <w:rFonts w:ascii="Arial" w:cs="Arial" w:eastAsia="Arial" w:hAnsi="Arial"/>
                <w:sz w:val="14"/>
                <w:szCs w:val="14"/>
                <w:color w:val="auto"/>
              </w:rPr>
              <w:t>85,308</w:t>
            </w: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4/10/2025</w:t>
            </w:r>
          </w:p>
        </w:tc>
        <w:tc>
          <w:tcPr>
            <w:tcW w:w="10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4,340</w:t>
            </w:r>
          </w:p>
        </w:tc>
        <w:tc>
          <w:tcPr>
            <w:tcW w:w="880" w:type="dxa"/>
            <w:vAlign w:val="bottom"/>
          </w:tcPr>
          <w:p>
            <w:pPr>
              <w:jc w:val="right"/>
              <w:spacing w:after="0"/>
              <w:rPr>
                <w:sz w:val="20"/>
                <w:szCs w:val="20"/>
                <w:color w:val="auto"/>
              </w:rPr>
            </w:pPr>
            <w:r>
              <w:rPr>
                <w:rFonts w:ascii="Arial" w:cs="Arial" w:eastAsia="Arial" w:hAnsi="Arial"/>
                <w:sz w:val="14"/>
                <w:szCs w:val="14"/>
                <w:color w:val="auto"/>
              </w:rPr>
              <w:t>270,642</w:t>
            </w: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12/16/2025</w:t>
            </w:r>
          </w:p>
        </w:tc>
        <w:tc>
          <w:tcPr>
            <w:tcW w:w="10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2,744</w:t>
            </w:r>
          </w:p>
        </w:tc>
        <w:tc>
          <w:tcPr>
            <w:tcW w:w="880" w:type="dxa"/>
            <w:vAlign w:val="bottom"/>
          </w:tcPr>
          <w:p>
            <w:pPr>
              <w:jc w:val="right"/>
              <w:spacing w:after="0"/>
              <w:rPr>
                <w:sz w:val="20"/>
                <w:szCs w:val="20"/>
                <w:color w:val="auto"/>
              </w:rPr>
            </w:pPr>
            <w:r>
              <w:rPr>
                <w:rFonts w:ascii="Arial" w:cs="Arial" w:eastAsia="Arial" w:hAnsi="Arial"/>
                <w:sz w:val="14"/>
                <w:szCs w:val="14"/>
                <w:color w:val="auto"/>
              </w:rPr>
              <w:t>171,116</w:t>
            </w: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3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Lea Rytz Goldman</w:t>
            </w: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4/10/2024</w:t>
            </w:r>
          </w:p>
        </w:tc>
        <w:tc>
          <w:tcPr>
            <w:tcW w:w="1040" w:type="dxa"/>
            <w:vAlign w:val="bottom"/>
            <w:shd w:val="clear" w:color="auto" w:fill="E2EAEF"/>
          </w:tcPr>
          <w:p>
            <w:pPr>
              <w:spacing w:after="0"/>
              <w:rPr>
                <w:sz w:val="22"/>
                <w:szCs w:val="22"/>
                <w:color w:val="auto"/>
              </w:rPr>
            </w:pPr>
          </w:p>
        </w:tc>
        <w:tc>
          <w:tcPr>
            <w:tcW w:w="1460" w:type="dxa"/>
            <w:vAlign w:val="bottom"/>
            <w:shd w:val="clear" w:color="auto" w:fill="E2EAEF"/>
          </w:tcPr>
          <w:p>
            <w:pPr>
              <w:spacing w:after="0"/>
              <w:rPr>
                <w:sz w:val="22"/>
                <w:szCs w:val="22"/>
                <w:color w:val="auto"/>
              </w:rPr>
            </w:pPr>
          </w:p>
        </w:tc>
        <w:tc>
          <w:tcPr>
            <w:tcW w:w="540" w:type="dxa"/>
            <w:vAlign w:val="bottom"/>
            <w:shd w:val="clear" w:color="auto" w:fill="E2EAEF"/>
          </w:tcPr>
          <w:p>
            <w:pPr>
              <w:spacing w:after="0"/>
              <w:rPr>
                <w:sz w:val="22"/>
                <w:szCs w:val="22"/>
                <w:color w:val="auto"/>
              </w:rPr>
            </w:pPr>
          </w:p>
        </w:tc>
        <w:tc>
          <w:tcPr>
            <w:tcW w:w="940" w:type="dxa"/>
            <w:vAlign w:val="bottom"/>
            <w:shd w:val="clear" w:color="auto" w:fill="E2EAEF"/>
          </w:tcPr>
          <w:p>
            <w:pPr>
              <w:spacing w:after="0"/>
              <w:rPr>
                <w:sz w:val="22"/>
                <w:szCs w:val="22"/>
                <w:color w:val="auto"/>
              </w:rPr>
            </w:pPr>
          </w:p>
        </w:tc>
        <w:tc>
          <w:tcPr>
            <w:tcW w:w="8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5,127</w:t>
            </w:r>
          </w:p>
        </w:tc>
        <w:tc>
          <w:tcPr>
            <w:tcW w:w="8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319,720</w:t>
            </w:r>
          </w:p>
        </w:tc>
        <w:tc>
          <w:tcPr>
            <w:tcW w:w="900" w:type="dxa"/>
            <w:vAlign w:val="bottom"/>
            <w:shd w:val="clear" w:color="auto" w:fill="E9F0F3"/>
          </w:tcPr>
          <w:p>
            <w:pPr>
              <w:spacing w:after="0"/>
              <w:rPr>
                <w:sz w:val="22"/>
                <w:szCs w:val="22"/>
                <w:color w:val="auto"/>
              </w:rPr>
            </w:pPr>
          </w:p>
        </w:tc>
        <w:tc>
          <w:tcPr>
            <w:tcW w:w="960" w:type="dxa"/>
            <w:vAlign w:val="bottom"/>
            <w:shd w:val="clear" w:color="auto" w:fill="E9F0F3"/>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300" w:type="dxa"/>
            <w:vAlign w:val="bottom"/>
            <w:shd w:val="clear" w:color="auto" w:fill="E9F0F3"/>
          </w:tcPr>
          <w:p>
            <w:pPr>
              <w:spacing w:after="0"/>
              <w:rPr>
                <w:sz w:val="20"/>
                <w:szCs w:val="20"/>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4/10/2025</w:t>
            </w:r>
          </w:p>
        </w:tc>
        <w:tc>
          <w:tcPr>
            <w:tcW w:w="1040" w:type="dxa"/>
            <w:vAlign w:val="bottom"/>
            <w:shd w:val="clear" w:color="auto" w:fill="E2EAEF"/>
          </w:tcPr>
          <w:p>
            <w:pPr>
              <w:spacing w:after="0"/>
              <w:rPr>
                <w:sz w:val="20"/>
                <w:szCs w:val="20"/>
                <w:color w:val="auto"/>
              </w:rPr>
            </w:pPr>
          </w:p>
        </w:tc>
        <w:tc>
          <w:tcPr>
            <w:tcW w:w="1460" w:type="dxa"/>
            <w:vAlign w:val="bottom"/>
            <w:shd w:val="clear" w:color="auto" w:fill="E2EAEF"/>
          </w:tcPr>
          <w:p>
            <w:pPr>
              <w:spacing w:after="0"/>
              <w:rPr>
                <w:sz w:val="20"/>
                <w:szCs w:val="20"/>
                <w:color w:val="auto"/>
              </w:rPr>
            </w:pPr>
          </w:p>
        </w:tc>
        <w:tc>
          <w:tcPr>
            <w:tcW w:w="540" w:type="dxa"/>
            <w:vAlign w:val="bottom"/>
            <w:shd w:val="clear" w:color="auto" w:fill="E2EAEF"/>
          </w:tcPr>
          <w:p>
            <w:pPr>
              <w:spacing w:after="0"/>
              <w:rPr>
                <w:sz w:val="20"/>
                <w:szCs w:val="20"/>
                <w:color w:val="auto"/>
              </w:rPr>
            </w:pPr>
          </w:p>
        </w:tc>
        <w:tc>
          <w:tcPr>
            <w:tcW w:w="940" w:type="dxa"/>
            <w:vAlign w:val="bottom"/>
            <w:shd w:val="clear" w:color="auto" w:fill="E2EAEF"/>
          </w:tcPr>
          <w:p>
            <w:pPr>
              <w:spacing w:after="0"/>
              <w:rPr>
                <w:sz w:val="20"/>
                <w:szCs w:val="20"/>
                <w:color w:val="auto"/>
              </w:rPr>
            </w:pPr>
          </w:p>
        </w:tc>
        <w:tc>
          <w:tcPr>
            <w:tcW w:w="8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12,296</w:t>
            </w:r>
          </w:p>
        </w:tc>
        <w:tc>
          <w:tcPr>
            <w:tcW w:w="8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766,779</w:t>
            </w:r>
          </w:p>
        </w:tc>
        <w:tc>
          <w:tcPr>
            <w:tcW w:w="900" w:type="dxa"/>
            <w:vAlign w:val="bottom"/>
            <w:shd w:val="clear" w:color="auto" w:fill="E9F0F3"/>
          </w:tcPr>
          <w:p>
            <w:pPr>
              <w:spacing w:after="0"/>
              <w:rPr>
                <w:sz w:val="20"/>
                <w:szCs w:val="20"/>
                <w:color w:val="auto"/>
              </w:rPr>
            </w:pPr>
          </w:p>
        </w:tc>
        <w:tc>
          <w:tcPr>
            <w:tcW w:w="960" w:type="dxa"/>
            <w:vAlign w:val="bottom"/>
            <w:shd w:val="clear" w:color="auto" w:fill="E9F0F3"/>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2300" w:type="dxa"/>
            <w:vAlign w:val="bottom"/>
            <w:shd w:val="clear" w:color="auto" w:fill="E9F0F3"/>
          </w:tcPr>
          <w:p>
            <w:pPr>
              <w:spacing w:after="0"/>
              <w:rPr>
                <w:sz w:val="23"/>
                <w:szCs w:val="23"/>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4/10/2024</w:t>
            </w:r>
            <w:r>
              <w:rPr>
                <w:rFonts w:ascii="Arial" w:cs="Arial" w:eastAsia="Arial" w:hAnsi="Arial"/>
                <w:sz w:val="16"/>
                <w:szCs w:val="16"/>
                <w:color w:val="auto"/>
                <w:vertAlign w:val="superscript"/>
              </w:rPr>
              <w:t>6</w:t>
            </w:r>
          </w:p>
        </w:tc>
        <w:tc>
          <w:tcPr>
            <w:tcW w:w="1040" w:type="dxa"/>
            <w:vAlign w:val="bottom"/>
            <w:shd w:val="clear" w:color="auto" w:fill="E2EAEF"/>
          </w:tcPr>
          <w:p>
            <w:pPr>
              <w:spacing w:after="0"/>
              <w:rPr>
                <w:sz w:val="23"/>
                <w:szCs w:val="23"/>
                <w:color w:val="auto"/>
              </w:rPr>
            </w:pPr>
          </w:p>
        </w:tc>
        <w:tc>
          <w:tcPr>
            <w:tcW w:w="1460" w:type="dxa"/>
            <w:vAlign w:val="bottom"/>
            <w:shd w:val="clear" w:color="auto" w:fill="E2EAEF"/>
          </w:tcPr>
          <w:p>
            <w:pPr>
              <w:spacing w:after="0"/>
              <w:rPr>
                <w:sz w:val="23"/>
                <w:szCs w:val="23"/>
                <w:color w:val="auto"/>
              </w:rPr>
            </w:pPr>
          </w:p>
        </w:tc>
        <w:tc>
          <w:tcPr>
            <w:tcW w:w="540" w:type="dxa"/>
            <w:vAlign w:val="bottom"/>
            <w:shd w:val="clear" w:color="auto" w:fill="E2EAEF"/>
          </w:tcPr>
          <w:p>
            <w:pPr>
              <w:spacing w:after="0"/>
              <w:rPr>
                <w:sz w:val="23"/>
                <w:szCs w:val="23"/>
                <w:color w:val="auto"/>
              </w:rPr>
            </w:pPr>
          </w:p>
        </w:tc>
        <w:tc>
          <w:tcPr>
            <w:tcW w:w="940" w:type="dxa"/>
            <w:vAlign w:val="bottom"/>
            <w:shd w:val="clear" w:color="auto" w:fill="E2EAEF"/>
          </w:tcPr>
          <w:p>
            <w:pPr>
              <w:spacing w:after="0"/>
              <w:rPr>
                <w:sz w:val="23"/>
                <w:szCs w:val="23"/>
                <w:color w:val="auto"/>
              </w:rPr>
            </w:pPr>
          </w:p>
        </w:tc>
        <w:tc>
          <w:tcPr>
            <w:tcW w:w="840" w:type="dxa"/>
            <w:vAlign w:val="bottom"/>
            <w:shd w:val="clear" w:color="auto" w:fill="E9F0F3"/>
          </w:tcPr>
          <w:p>
            <w:pPr>
              <w:spacing w:after="0"/>
              <w:rPr>
                <w:sz w:val="23"/>
                <w:szCs w:val="23"/>
                <w:color w:val="auto"/>
              </w:rPr>
            </w:pPr>
          </w:p>
        </w:tc>
        <w:tc>
          <w:tcPr>
            <w:tcW w:w="880" w:type="dxa"/>
            <w:vAlign w:val="bottom"/>
            <w:shd w:val="clear" w:color="auto" w:fill="E9F0F3"/>
          </w:tcPr>
          <w:p>
            <w:pPr>
              <w:spacing w:after="0"/>
              <w:rPr>
                <w:sz w:val="23"/>
                <w:szCs w:val="23"/>
                <w:color w:val="auto"/>
              </w:rPr>
            </w:pPr>
          </w:p>
        </w:tc>
        <w:tc>
          <w:tcPr>
            <w:tcW w:w="900" w:type="dxa"/>
            <w:vAlign w:val="bottom"/>
            <w:shd w:val="clear" w:color="auto" w:fill="E9F0F3"/>
          </w:tcPr>
          <w:p>
            <w:pPr>
              <w:jc w:val="right"/>
              <w:spacing w:after="0"/>
              <w:rPr>
                <w:sz w:val="20"/>
                <w:szCs w:val="20"/>
                <w:color w:val="auto"/>
              </w:rPr>
            </w:pPr>
            <w:r>
              <w:rPr>
                <w:rFonts w:ascii="Arial" w:cs="Arial" w:eastAsia="Arial" w:hAnsi="Arial"/>
                <w:sz w:val="14"/>
                <w:szCs w:val="14"/>
                <w:color w:val="auto"/>
              </w:rPr>
              <w:t>5,127</w:t>
            </w:r>
          </w:p>
        </w:tc>
        <w:tc>
          <w:tcPr>
            <w:tcW w:w="960" w:type="dxa"/>
            <w:vAlign w:val="bottom"/>
            <w:shd w:val="clear" w:color="auto" w:fill="E9F0F3"/>
          </w:tcPr>
          <w:p>
            <w:pPr>
              <w:jc w:val="right"/>
              <w:ind w:right="59"/>
              <w:spacing w:after="0"/>
              <w:rPr>
                <w:sz w:val="20"/>
                <w:szCs w:val="20"/>
                <w:color w:val="auto"/>
              </w:rPr>
            </w:pPr>
            <w:r>
              <w:rPr>
                <w:rFonts w:ascii="Arial" w:cs="Arial" w:eastAsia="Arial" w:hAnsi="Arial"/>
                <w:sz w:val="14"/>
                <w:szCs w:val="14"/>
                <w:color w:val="auto"/>
              </w:rPr>
              <w:t>319,720</w:t>
            </w:r>
          </w:p>
        </w:tc>
        <w:tc>
          <w:tcPr>
            <w:tcW w:w="0" w:type="dxa"/>
            <w:vAlign w:val="bottom"/>
          </w:tcPr>
          <w:p>
            <w:pPr>
              <w:spacing w:after="0"/>
              <w:rPr>
                <w:sz w:val="1"/>
                <w:szCs w:val="1"/>
                <w:color w:val="auto"/>
              </w:rPr>
            </w:pPr>
          </w:p>
        </w:tc>
      </w:tr>
      <w:tr>
        <w:trPr>
          <w:trHeight w:val="247"/>
        </w:trPr>
        <w:tc>
          <w:tcPr>
            <w:tcW w:w="2300" w:type="dxa"/>
            <w:vAlign w:val="bottom"/>
            <w:shd w:val="clear" w:color="auto" w:fill="E9F0F3"/>
          </w:tcPr>
          <w:p>
            <w:pPr>
              <w:spacing w:after="0"/>
              <w:rPr>
                <w:sz w:val="21"/>
                <w:szCs w:val="21"/>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4/10/2025</w:t>
            </w:r>
            <w:r>
              <w:rPr>
                <w:rFonts w:ascii="Arial" w:cs="Arial" w:eastAsia="Arial" w:hAnsi="Arial"/>
                <w:sz w:val="16"/>
                <w:szCs w:val="16"/>
                <w:color w:val="auto"/>
                <w:vertAlign w:val="superscript"/>
              </w:rPr>
              <w:t>7</w:t>
            </w:r>
          </w:p>
        </w:tc>
        <w:tc>
          <w:tcPr>
            <w:tcW w:w="1040" w:type="dxa"/>
            <w:vAlign w:val="bottom"/>
            <w:shd w:val="clear" w:color="auto" w:fill="E2EAEF"/>
          </w:tcPr>
          <w:p>
            <w:pPr>
              <w:spacing w:after="0"/>
              <w:rPr>
                <w:sz w:val="21"/>
                <w:szCs w:val="21"/>
                <w:color w:val="auto"/>
              </w:rPr>
            </w:pPr>
          </w:p>
        </w:tc>
        <w:tc>
          <w:tcPr>
            <w:tcW w:w="1460" w:type="dxa"/>
            <w:vAlign w:val="bottom"/>
            <w:shd w:val="clear" w:color="auto" w:fill="E2EAEF"/>
          </w:tcPr>
          <w:p>
            <w:pPr>
              <w:spacing w:after="0"/>
              <w:rPr>
                <w:sz w:val="21"/>
                <w:szCs w:val="21"/>
                <w:color w:val="auto"/>
              </w:rPr>
            </w:pPr>
          </w:p>
        </w:tc>
        <w:tc>
          <w:tcPr>
            <w:tcW w:w="540" w:type="dxa"/>
            <w:vAlign w:val="bottom"/>
            <w:shd w:val="clear" w:color="auto" w:fill="E2EAEF"/>
          </w:tcPr>
          <w:p>
            <w:pPr>
              <w:spacing w:after="0"/>
              <w:rPr>
                <w:sz w:val="21"/>
                <w:szCs w:val="21"/>
                <w:color w:val="auto"/>
              </w:rPr>
            </w:pPr>
          </w:p>
        </w:tc>
        <w:tc>
          <w:tcPr>
            <w:tcW w:w="940" w:type="dxa"/>
            <w:vAlign w:val="bottom"/>
            <w:shd w:val="clear" w:color="auto" w:fill="E2EAEF"/>
          </w:tcPr>
          <w:p>
            <w:pPr>
              <w:spacing w:after="0"/>
              <w:rPr>
                <w:sz w:val="21"/>
                <w:szCs w:val="21"/>
                <w:color w:val="auto"/>
              </w:rPr>
            </w:pPr>
          </w:p>
        </w:tc>
        <w:tc>
          <w:tcPr>
            <w:tcW w:w="840" w:type="dxa"/>
            <w:vAlign w:val="bottom"/>
            <w:shd w:val="clear" w:color="auto" w:fill="E9F0F3"/>
          </w:tcPr>
          <w:p>
            <w:pPr>
              <w:spacing w:after="0"/>
              <w:rPr>
                <w:sz w:val="21"/>
                <w:szCs w:val="21"/>
                <w:color w:val="auto"/>
              </w:rPr>
            </w:pPr>
          </w:p>
        </w:tc>
        <w:tc>
          <w:tcPr>
            <w:tcW w:w="880" w:type="dxa"/>
            <w:vAlign w:val="bottom"/>
            <w:shd w:val="clear" w:color="auto" w:fill="E9F0F3"/>
          </w:tcPr>
          <w:p>
            <w:pPr>
              <w:spacing w:after="0"/>
              <w:rPr>
                <w:sz w:val="21"/>
                <w:szCs w:val="21"/>
                <w:color w:val="auto"/>
              </w:rPr>
            </w:pPr>
          </w:p>
        </w:tc>
        <w:tc>
          <w:tcPr>
            <w:tcW w:w="900" w:type="dxa"/>
            <w:vAlign w:val="bottom"/>
            <w:shd w:val="clear" w:color="auto" w:fill="E9F0F3"/>
          </w:tcPr>
          <w:p>
            <w:pPr>
              <w:jc w:val="right"/>
              <w:spacing w:after="0"/>
              <w:rPr>
                <w:sz w:val="20"/>
                <w:szCs w:val="20"/>
                <w:color w:val="auto"/>
              </w:rPr>
            </w:pPr>
            <w:r>
              <w:rPr>
                <w:rFonts w:ascii="Arial" w:cs="Arial" w:eastAsia="Arial" w:hAnsi="Arial"/>
                <w:sz w:val="14"/>
                <w:szCs w:val="14"/>
                <w:color w:val="auto"/>
              </w:rPr>
              <w:t>6,148</w:t>
            </w:r>
          </w:p>
        </w:tc>
        <w:tc>
          <w:tcPr>
            <w:tcW w:w="960" w:type="dxa"/>
            <w:vAlign w:val="bottom"/>
            <w:shd w:val="clear" w:color="auto" w:fill="E9F0F3"/>
          </w:tcPr>
          <w:p>
            <w:pPr>
              <w:jc w:val="right"/>
              <w:ind w:right="59"/>
              <w:spacing w:after="0"/>
              <w:rPr>
                <w:sz w:val="20"/>
                <w:szCs w:val="20"/>
                <w:color w:val="auto"/>
              </w:rPr>
            </w:pPr>
            <w:r>
              <w:rPr>
                <w:rFonts w:ascii="Arial" w:cs="Arial" w:eastAsia="Arial" w:hAnsi="Arial"/>
                <w:sz w:val="14"/>
                <w:szCs w:val="14"/>
                <w:color w:val="auto"/>
              </w:rPr>
              <w:t>383,389</w:t>
            </w:r>
          </w:p>
        </w:tc>
        <w:tc>
          <w:tcPr>
            <w:tcW w:w="0" w:type="dxa"/>
            <w:vAlign w:val="bottom"/>
          </w:tcPr>
          <w:p>
            <w:pPr>
              <w:spacing w:after="0"/>
              <w:rPr>
                <w:sz w:val="1"/>
                <w:szCs w:val="1"/>
                <w:color w:val="auto"/>
              </w:rPr>
            </w:pPr>
          </w:p>
        </w:tc>
      </w:tr>
      <w:tr>
        <w:trPr>
          <w:trHeight w:val="264"/>
        </w:trPr>
        <w:tc>
          <w:tcPr>
            <w:tcW w:w="2300" w:type="dxa"/>
            <w:vAlign w:val="bottom"/>
          </w:tcPr>
          <w:p>
            <w:pPr>
              <w:ind w:left="60"/>
              <w:spacing w:after="0"/>
              <w:rPr>
                <w:sz w:val="20"/>
                <w:szCs w:val="20"/>
                <w:color w:val="auto"/>
              </w:rPr>
            </w:pPr>
            <w:r>
              <w:rPr>
                <w:rFonts w:ascii="Arial" w:cs="Arial" w:eastAsia="Arial" w:hAnsi="Arial"/>
                <w:sz w:val="14"/>
                <w:szCs w:val="14"/>
                <w:b w:val="1"/>
                <w:bCs w:val="1"/>
                <w:color w:val="auto"/>
              </w:rPr>
              <w:t>Fredrik Olsson</w:t>
            </w:r>
          </w:p>
        </w:tc>
        <w:tc>
          <w:tcPr>
            <w:tcW w:w="1080" w:type="dxa"/>
            <w:vAlign w:val="bottom"/>
          </w:tcPr>
          <w:p>
            <w:pPr>
              <w:jc w:val="right"/>
              <w:spacing w:after="0"/>
              <w:rPr>
                <w:sz w:val="20"/>
                <w:szCs w:val="20"/>
                <w:color w:val="auto"/>
              </w:rPr>
            </w:pPr>
            <w:r>
              <w:rPr>
                <w:rFonts w:ascii="Arial" w:cs="Arial" w:eastAsia="Arial" w:hAnsi="Arial"/>
                <w:sz w:val="14"/>
                <w:szCs w:val="14"/>
                <w:color w:val="auto"/>
              </w:rPr>
              <w:t>1/3/2025</w:t>
            </w:r>
          </w:p>
        </w:tc>
        <w:tc>
          <w:tcPr>
            <w:tcW w:w="10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4,744</w:t>
            </w:r>
          </w:p>
        </w:tc>
        <w:tc>
          <w:tcPr>
            <w:tcW w:w="880" w:type="dxa"/>
            <w:vAlign w:val="bottom"/>
          </w:tcPr>
          <w:p>
            <w:pPr>
              <w:jc w:val="right"/>
              <w:spacing w:after="0"/>
              <w:rPr>
                <w:sz w:val="20"/>
                <w:szCs w:val="20"/>
                <w:color w:val="auto"/>
              </w:rPr>
            </w:pPr>
            <w:r>
              <w:rPr>
                <w:rFonts w:ascii="Arial" w:cs="Arial" w:eastAsia="Arial" w:hAnsi="Arial"/>
                <w:sz w:val="14"/>
                <w:szCs w:val="14"/>
                <w:color w:val="auto"/>
              </w:rPr>
              <w:t>295,836</w:t>
            </w: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4/10/2025</w:t>
            </w:r>
          </w:p>
        </w:tc>
        <w:tc>
          <w:tcPr>
            <w:tcW w:w="10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10,848</w:t>
            </w:r>
          </w:p>
        </w:tc>
        <w:tc>
          <w:tcPr>
            <w:tcW w:w="880" w:type="dxa"/>
            <w:vAlign w:val="bottom"/>
          </w:tcPr>
          <w:p>
            <w:pPr>
              <w:jc w:val="right"/>
              <w:spacing w:after="0"/>
              <w:rPr>
                <w:sz w:val="20"/>
                <w:szCs w:val="20"/>
                <w:color w:val="auto"/>
              </w:rPr>
            </w:pPr>
            <w:r>
              <w:rPr>
                <w:rFonts w:ascii="Arial" w:cs="Arial" w:eastAsia="Arial" w:hAnsi="Arial"/>
                <w:sz w:val="14"/>
                <w:szCs w:val="14"/>
                <w:color w:val="auto"/>
              </w:rPr>
              <w:t>676,481</w:t>
            </w:r>
          </w:p>
        </w:tc>
        <w:tc>
          <w:tcPr>
            <w:tcW w:w="9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2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4/10/2025</w:t>
            </w:r>
            <w:r>
              <w:rPr>
                <w:rFonts w:ascii="Arial" w:cs="Arial" w:eastAsia="Arial" w:hAnsi="Arial"/>
                <w:sz w:val="16"/>
                <w:szCs w:val="16"/>
                <w:color w:val="auto"/>
                <w:vertAlign w:val="superscript"/>
              </w:rPr>
              <w:t>7</w:t>
            </w: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5,424</w:t>
            </w:r>
          </w:p>
        </w:tc>
        <w:tc>
          <w:tcPr>
            <w:tcW w:w="960" w:type="dxa"/>
            <w:vAlign w:val="bottom"/>
          </w:tcPr>
          <w:p>
            <w:pPr>
              <w:jc w:val="right"/>
              <w:ind w:right="59"/>
              <w:spacing w:after="0"/>
              <w:rPr>
                <w:sz w:val="20"/>
                <w:szCs w:val="20"/>
                <w:color w:val="auto"/>
              </w:rPr>
            </w:pPr>
            <w:r>
              <w:rPr>
                <w:rFonts w:ascii="Arial" w:cs="Arial" w:eastAsia="Arial" w:hAnsi="Arial"/>
                <w:sz w:val="14"/>
                <w:szCs w:val="14"/>
                <w:color w:val="auto"/>
              </w:rPr>
              <w:t>338,241</w:t>
            </w:r>
          </w:p>
        </w:tc>
        <w:tc>
          <w:tcPr>
            <w:tcW w:w="0" w:type="dxa"/>
            <w:vAlign w:val="bottom"/>
          </w:tcPr>
          <w:p>
            <w:pPr>
              <w:spacing w:after="0"/>
              <w:rPr>
                <w:sz w:val="1"/>
                <w:szCs w:val="1"/>
                <w:color w:val="auto"/>
              </w:rPr>
            </w:pPr>
          </w:p>
        </w:tc>
      </w:tr>
      <w:tr>
        <w:trPr>
          <w:trHeight w:val="264"/>
        </w:trPr>
        <w:tc>
          <w:tcPr>
            <w:tcW w:w="23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David Savman</w:t>
            </w: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1/3/2023</w:t>
            </w:r>
          </w:p>
        </w:tc>
        <w:tc>
          <w:tcPr>
            <w:tcW w:w="1040" w:type="dxa"/>
            <w:vAlign w:val="bottom"/>
            <w:shd w:val="clear" w:color="auto" w:fill="E2EAEF"/>
          </w:tcPr>
          <w:p>
            <w:pPr>
              <w:spacing w:after="0"/>
              <w:rPr>
                <w:sz w:val="22"/>
                <w:szCs w:val="22"/>
                <w:color w:val="auto"/>
              </w:rPr>
            </w:pPr>
          </w:p>
        </w:tc>
        <w:tc>
          <w:tcPr>
            <w:tcW w:w="1460" w:type="dxa"/>
            <w:vAlign w:val="bottom"/>
            <w:shd w:val="clear" w:color="auto" w:fill="E2EAEF"/>
          </w:tcPr>
          <w:p>
            <w:pPr>
              <w:spacing w:after="0"/>
              <w:rPr>
                <w:sz w:val="22"/>
                <w:szCs w:val="22"/>
                <w:color w:val="auto"/>
              </w:rPr>
            </w:pPr>
          </w:p>
        </w:tc>
        <w:tc>
          <w:tcPr>
            <w:tcW w:w="540" w:type="dxa"/>
            <w:vAlign w:val="bottom"/>
            <w:shd w:val="clear" w:color="auto" w:fill="E2EAEF"/>
          </w:tcPr>
          <w:p>
            <w:pPr>
              <w:spacing w:after="0"/>
              <w:rPr>
                <w:sz w:val="22"/>
                <w:szCs w:val="22"/>
                <w:color w:val="auto"/>
              </w:rPr>
            </w:pPr>
          </w:p>
        </w:tc>
        <w:tc>
          <w:tcPr>
            <w:tcW w:w="940" w:type="dxa"/>
            <w:vAlign w:val="bottom"/>
            <w:shd w:val="clear" w:color="auto" w:fill="E2EAEF"/>
          </w:tcPr>
          <w:p>
            <w:pPr>
              <w:spacing w:after="0"/>
              <w:rPr>
                <w:sz w:val="22"/>
                <w:szCs w:val="22"/>
                <w:color w:val="auto"/>
              </w:rPr>
            </w:pPr>
          </w:p>
        </w:tc>
        <w:tc>
          <w:tcPr>
            <w:tcW w:w="8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1,052</w:t>
            </w:r>
          </w:p>
        </w:tc>
        <w:tc>
          <w:tcPr>
            <w:tcW w:w="8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65,603</w:t>
            </w:r>
          </w:p>
        </w:tc>
        <w:tc>
          <w:tcPr>
            <w:tcW w:w="900" w:type="dxa"/>
            <w:vAlign w:val="bottom"/>
            <w:shd w:val="clear" w:color="auto" w:fill="E9F0F3"/>
          </w:tcPr>
          <w:p>
            <w:pPr>
              <w:spacing w:after="0"/>
              <w:rPr>
                <w:sz w:val="22"/>
                <w:szCs w:val="22"/>
                <w:color w:val="auto"/>
              </w:rPr>
            </w:pPr>
          </w:p>
        </w:tc>
        <w:tc>
          <w:tcPr>
            <w:tcW w:w="960" w:type="dxa"/>
            <w:vAlign w:val="bottom"/>
            <w:shd w:val="clear" w:color="auto" w:fill="E9F0F3"/>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300" w:type="dxa"/>
            <w:vAlign w:val="bottom"/>
            <w:shd w:val="clear" w:color="auto" w:fill="E9F0F3"/>
          </w:tcPr>
          <w:p>
            <w:pPr>
              <w:spacing w:after="0"/>
              <w:rPr>
                <w:sz w:val="20"/>
                <w:szCs w:val="20"/>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4/6/2023</w:t>
            </w:r>
          </w:p>
        </w:tc>
        <w:tc>
          <w:tcPr>
            <w:tcW w:w="1040" w:type="dxa"/>
            <w:vAlign w:val="bottom"/>
            <w:shd w:val="clear" w:color="auto" w:fill="E2EAEF"/>
          </w:tcPr>
          <w:p>
            <w:pPr>
              <w:spacing w:after="0"/>
              <w:rPr>
                <w:sz w:val="20"/>
                <w:szCs w:val="20"/>
                <w:color w:val="auto"/>
              </w:rPr>
            </w:pPr>
          </w:p>
        </w:tc>
        <w:tc>
          <w:tcPr>
            <w:tcW w:w="1460" w:type="dxa"/>
            <w:vAlign w:val="bottom"/>
            <w:shd w:val="clear" w:color="auto" w:fill="E2EAEF"/>
          </w:tcPr>
          <w:p>
            <w:pPr>
              <w:spacing w:after="0"/>
              <w:rPr>
                <w:sz w:val="20"/>
                <w:szCs w:val="20"/>
                <w:color w:val="auto"/>
              </w:rPr>
            </w:pPr>
          </w:p>
        </w:tc>
        <w:tc>
          <w:tcPr>
            <w:tcW w:w="540" w:type="dxa"/>
            <w:vAlign w:val="bottom"/>
            <w:shd w:val="clear" w:color="auto" w:fill="E2EAEF"/>
          </w:tcPr>
          <w:p>
            <w:pPr>
              <w:spacing w:after="0"/>
              <w:rPr>
                <w:sz w:val="20"/>
                <w:szCs w:val="20"/>
                <w:color w:val="auto"/>
              </w:rPr>
            </w:pPr>
          </w:p>
        </w:tc>
        <w:tc>
          <w:tcPr>
            <w:tcW w:w="940" w:type="dxa"/>
            <w:vAlign w:val="bottom"/>
            <w:shd w:val="clear" w:color="auto" w:fill="E2EAEF"/>
          </w:tcPr>
          <w:p>
            <w:pPr>
              <w:spacing w:after="0"/>
              <w:rPr>
                <w:sz w:val="20"/>
                <w:szCs w:val="20"/>
                <w:color w:val="auto"/>
              </w:rPr>
            </w:pPr>
          </w:p>
        </w:tc>
        <w:tc>
          <w:tcPr>
            <w:tcW w:w="8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2,090</w:t>
            </w:r>
          </w:p>
        </w:tc>
        <w:tc>
          <w:tcPr>
            <w:tcW w:w="8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130,332</w:t>
            </w:r>
          </w:p>
        </w:tc>
        <w:tc>
          <w:tcPr>
            <w:tcW w:w="900" w:type="dxa"/>
            <w:vAlign w:val="bottom"/>
            <w:shd w:val="clear" w:color="auto" w:fill="E9F0F3"/>
          </w:tcPr>
          <w:p>
            <w:pPr>
              <w:spacing w:after="0"/>
              <w:rPr>
                <w:sz w:val="20"/>
                <w:szCs w:val="20"/>
                <w:color w:val="auto"/>
              </w:rPr>
            </w:pPr>
          </w:p>
        </w:tc>
        <w:tc>
          <w:tcPr>
            <w:tcW w:w="960" w:type="dxa"/>
            <w:vAlign w:val="bottom"/>
            <w:shd w:val="clear" w:color="auto" w:fill="E9F0F3"/>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300" w:type="dxa"/>
            <w:vAlign w:val="bottom"/>
            <w:shd w:val="clear" w:color="auto" w:fill="E9F0F3"/>
          </w:tcPr>
          <w:p>
            <w:pPr>
              <w:spacing w:after="0"/>
              <w:rPr>
                <w:sz w:val="21"/>
                <w:szCs w:val="21"/>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4/10/2024</w:t>
            </w:r>
          </w:p>
        </w:tc>
        <w:tc>
          <w:tcPr>
            <w:tcW w:w="1040" w:type="dxa"/>
            <w:vAlign w:val="bottom"/>
            <w:shd w:val="clear" w:color="auto" w:fill="E2EAEF"/>
          </w:tcPr>
          <w:p>
            <w:pPr>
              <w:spacing w:after="0"/>
              <w:rPr>
                <w:sz w:val="21"/>
                <w:szCs w:val="21"/>
                <w:color w:val="auto"/>
              </w:rPr>
            </w:pPr>
          </w:p>
        </w:tc>
        <w:tc>
          <w:tcPr>
            <w:tcW w:w="1460" w:type="dxa"/>
            <w:vAlign w:val="bottom"/>
            <w:shd w:val="clear" w:color="auto" w:fill="E2EAEF"/>
          </w:tcPr>
          <w:p>
            <w:pPr>
              <w:spacing w:after="0"/>
              <w:rPr>
                <w:sz w:val="21"/>
                <w:szCs w:val="21"/>
                <w:color w:val="auto"/>
              </w:rPr>
            </w:pPr>
          </w:p>
        </w:tc>
        <w:tc>
          <w:tcPr>
            <w:tcW w:w="540" w:type="dxa"/>
            <w:vAlign w:val="bottom"/>
            <w:shd w:val="clear" w:color="auto" w:fill="E2EAEF"/>
          </w:tcPr>
          <w:p>
            <w:pPr>
              <w:spacing w:after="0"/>
              <w:rPr>
                <w:sz w:val="21"/>
                <w:szCs w:val="21"/>
                <w:color w:val="auto"/>
              </w:rPr>
            </w:pPr>
          </w:p>
        </w:tc>
        <w:tc>
          <w:tcPr>
            <w:tcW w:w="940" w:type="dxa"/>
            <w:vAlign w:val="bottom"/>
            <w:shd w:val="clear" w:color="auto" w:fill="E2EAEF"/>
          </w:tcPr>
          <w:p>
            <w:pPr>
              <w:spacing w:after="0"/>
              <w:rPr>
                <w:sz w:val="21"/>
                <w:szCs w:val="21"/>
                <w:color w:val="auto"/>
              </w:rPr>
            </w:pPr>
          </w:p>
        </w:tc>
        <w:tc>
          <w:tcPr>
            <w:tcW w:w="8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3,417</w:t>
            </w:r>
          </w:p>
        </w:tc>
        <w:tc>
          <w:tcPr>
            <w:tcW w:w="8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213,084</w:t>
            </w:r>
          </w:p>
        </w:tc>
        <w:tc>
          <w:tcPr>
            <w:tcW w:w="900" w:type="dxa"/>
            <w:vAlign w:val="bottom"/>
            <w:shd w:val="clear" w:color="auto" w:fill="E9F0F3"/>
          </w:tcPr>
          <w:p>
            <w:pPr>
              <w:spacing w:after="0"/>
              <w:rPr>
                <w:sz w:val="21"/>
                <w:szCs w:val="21"/>
                <w:color w:val="auto"/>
              </w:rPr>
            </w:pPr>
          </w:p>
        </w:tc>
        <w:tc>
          <w:tcPr>
            <w:tcW w:w="960" w:type="dxa"/>
            <w:vAlign w:val="bottom"/>
            <w:shd w:val="clear" w:color="auto" w:fill="E9F0F3"/>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00" w:type="dxa"/>
            <w:vAlign w:val="bottom"/>
            <w:shd w:val="clear" w:color="auto" w:fill="E9F0F3"/>
          </w:tcPr>
          <w:p>
            <w:pPr>
              <w:spacing w:after="0"/>
              <w:rPr>
                <w:sz w:val="21"/>
                <w:szCs w:val="21"/>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4/10/2025</w:t>
            </w:r>
          </w:p>
        </w:tc>
        <w:tc>
          <w:tcPr>
            <w:tcW w:w="1040" w:type="dxa"/>
            <w:vAlign w:val="bottom"/>
            <w:shd w:val="clear" w:color="auto" w:fill="E2EAEF"/>
          </w:tcPr>
          <w:p>
            <w:pPr>
              <w:spacing w:after="0"/>
              <w:rPr>
                <w:sz w:val="21"/>
                <w:szCs w:val="21"/>
                <w:color w:val="auto"/>
              </w:rPr>
            </w:pPr>
          </w:p>
        </w:tc>
        <w:tc>
          <w:tcPr>
            <w:tcW w:w="1460" w:type="dxa"/>
            <w:vAlign w:val="bottom"/>
            <w:shd w:val="clear" w:color="auto" w:fill="E2EAEF"/>
          </w:tcPr>
          <w:p>
            <w:pPr>
              <w:spacing w:after="0"/>
              <w:rPr>
                <w:sz w:val="21"/>
                <w:szCs w:val="21"/>
                <w:color w:val="auto"/>
              </w:rPr>
            </w:pPr>
          </w:p>
        </w:tc>
        <w:tc>
          <w:tcPr>
            <w:tcW w:w="540" w:type="dxa"/>
            <w:vAlign w:val="bottom"/>
            <w:shd w:val="clear" w:color="auto" w:fill="E2EAEF"/>
          </w:tcPr>
          <w:p>
            <w:pPr>
              <w:spacing w:after="0"/>
              <w:rPr>
                <w:sz w:val="21"/>
                <w:szCs w:val="21"/>
                <w:color w:val="auto"/>
              </w:rPr>
            </w:pPr>
          </w:p>
        </w:tc>
        <w:tc>
          <w:tcPr>
            <w:tcW w:w="940" w:type="dxa"/>
            <w:vAlign w:val="bottom"/>
            <w:shd w:val="clear" w:color="auto" w:fill="E2EAEF"/>
          </w:tcPr>
          <w:p>
            <w:pPr>
              <w:spacing w:after="0"/>
              <w:rPr>
                <w:sz w:val="21"/>
                <w:szCs w:val="21"/>
                <w:color w:val="auto"/>
              </w:rPr>
            </w:pPr>
          </w:p>
        </w:tc>
        <w:tc>
          <w:tcPr>
            <w:tcW w:w="8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11,208</w:t>
            </w:r>
          </w:p>
        </w:tc>
        <w:tc>
          <w:tcPr>
            <w:tcW w:w="8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698,931</w:t>
            </w:r>
          </w:p>
        </w:tc>
        <w:tc>
          <w:tcPr>
            <w:tcW w:w="900" w:type="dxa"/>
            <w:vAlign w:val="bottom"/>
            <w:shd w:val="clear" w:color="auto" w:fill="E9F0F3"/>
          </w:tcPr>
          <w:p>
            <w:pPr>
              <w:spacing w:after="0"/>
              <w:rPr>
                <w:sz w:val="21"/>
                <w:szCs w:val="21"/>
                <w:color w:val="auto"/>
              </w:rPr>
            </w:pPr>
          </w:p>
        </w:tc>
        <w:tc>
          <w:tcPr>
            <w:tcW w:w="960" w:type="dxa"/>
            <w:vAlign w:val="bottom"/>
            <w:shd w:val="clear" w:color="auto" w:fill="E9F0F3"/>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00" w:type="dxa"/>
            <w:vAlign w:val="bottom"/>
            <w:shd w:val="clear" w:color="auto" w:fill="E9F0F3"/>
          </w:tcPr>
          <w:p>
            <w:pPr>
              <w:spacing w:after="0"/>
              <w:rPr>
                <w:sz w:val="24"/>
                <w:szCs w:val="24"/>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4/6/2023</w:t>
            </w:r>
            <w:r>
              <w:rPr>
                <w:rFonts w:ascii="Arial" w:cs="Arial" w:eastAsia="Arial" w:hAnsi="Arial"/>
                <w:sz w:val="16"/>
                <w:szCs w:val="16"/>
                <w:color w:val="auto"/>
                <w:vertAlign w:val="superscript"/>
              </w:rPr>
              <w:t>5</w:t>
            </w:r>
          </w:p>
        </w:tc>
        <w:tc>
          <w:tcPr>
            <w:tcW w:w="1040" w:type="dxa"/>
            <w:vAlign w:val="bottom"/>
            <w:shd w:val="clear" w:color="auto" w:fill="E2EAEF"/>
          </w:tcPr>
          <w:p>
            <w:pPr>
              <w:spacing w:after="0"/>
              <w:rPr>
                <w:sz w:val="24"/>
                <w:szCs w:val="24"/>
                <w:color w:val="auto"/>
              </w:rPr>
            </w:pPr>
          </w:p>
        </w:tc>
        <w:tc>
          <w:tcPr>
            <w:tcW w:w="1460" w:type="dxa"/>
            <w:vAlign w:val="bottom"/>
            <w:shd w:val="clear" w:color="auto" w:fill="E2EAEF"/>
          </w:tcPr>
          <w:p>
            <w:pPr>
              <w:spacing w:after="0"/>
              <w:rPr>
                <w:sz w:val="24"/>
                <w:szCs w:val="24"/>
                <w:color w:val="auto"/>
              </w:rPr>
            </w:pPr>
          </w:p>
        </w:tc>
        <w:tc>
          <w:tcPr>
            <w:tcW w:w="540" w:type="dxa"/>
            <w:vAlign w:val="bottom"/>
            <w:shd w:val="clear" w:color="auto" w:fill="E2EAEF"/>
          </w:tcPr>
          <w:p>
            <w:pPr>
              <w:spacing w:after="0"/>
              <w:rPr>
                <w:sz w:val="24"/>
                <w:szCs w:val="24"/>
                <w:color w:val="auto"/>
              </w:rPr>
            </w:pPr>
          </w:p>
        </w:tc>
        <w:tc>
          <w:tcPr>
            <w:tcW w:w="940" w:type="dxa"/>
            <w:vAlign w:val="bottom"/>
            <w:shd w:val="clear" w:color="auto" w:fill="E2EAEF"/>
          </w:tcPr>
          <w:p>
            <w:pPr>
              <w:spacing w:after="0"/>
              <w:rPr>
                <w:sz w:val="24"/>
                <w:szCs w:val="24"/>
                <w:color w:val="auto"/>
              </w:rPr>
            </w:pPr>
          </w:p>
        </w:tc>
        <w:tc>
          <w:tcPr>
            <w:tcW w:w="840" w:type="dxa"/>
            <w:vAlign w:val="bottom"/>
            <w:shd w:val="clear" w:color="auto" w:fill="E9F0F3"/>
          </w:tcPr>
          <w:p>
            <w:pPr>
              <w:spacing w:after="0"/>
              <w:rPr>
                <w:sz w:val="24"/>
                <w:szCs w:val="24"/>
                <w:color w:val="auto"/>
              </w:rPr>
            </w:pPr>
          </w:p>
        </w:tc>
        <w:tc>
          <w:tcPr>
            <w:tcW w:w="880" w:type="dxa"/>
            <w:vAlign w:val="bottom"/>
            <w:shd w:val="clear" w:color="auto" w:fill="E9F0F3"/>
          </w:tcPr>
          <w:p>
            <w:pPr>
              <w:spacing w:after="0"/>
              <w:rPr>
                <w:sz w:val="24"/>
                <w:szCs w:val="24"/>
                <w:color w:val="auto"/>
              </w:rPr>
            </w:pPr>
          </w:p>
        </w:tc>
        <w:tc>
          <w:tcPr>
            <w:tcW w:w="900" w:type="dxa"/>
            <w:vAlign w:val="bottom"/>
            <w:shd w:val="clear" w:color="auto" w:fill="E9F0F3"/>
          </w:tcPr>
          <w:p>
            <w:pPr>
              <w:jc w:val="right"/>
              <w:spacing w:after="0"/>
              <w:rPr>
                <w:sz w:val="20"/>
                <w:szCs w:val="20"/>
                <w:color w:val="auto"/>
              </w:rPr>
            </w:pPr>
            <w:r>
              <w:rPr>
                <w:rFonts w:ascii="Arial" w:cs="Arial" w:eastAsia="Arial" w:hAnsi="Arial"/>
                <w:sz w:val="14"/>
                <w:szCs w:val="14"/>
                <w:color w:val="auto"/>
              </w:rPr>
              <w:t>5,046</w:t>
            </w:r>
          </w:p>
        </w:tc>
        <w:tc>
          <w:tcPr>
            <w:tcW w:w="960" w:type="dxa"/>
            <w:vAlign w:val="bottom"/>
            <w:shd w:val="clear" w:color="auto" w:fill="E9F0F3"/>
          </w:tcPr>
          <w:p>
            <w:pPr>
              <w:jc w:val="right"/>
              <w:ind w:right="59"/>
              <w:spacing w:after="0"/>
              <w:rPr>
                <w:sz w:val="20"/>
                <w:szCs w:val="20"/>
                <w:color w:val="auto"/>
              </w:rPr>
            </w:pPr>
            <w:r>
              <w:rPr>
                <w:rFonts w:ascii="Arial" w:cs="Arial" w:eastAsia="Arial" w:hAnsi="Arial"/>
                <w:sz w:val="14"/>
                <w:szCs w:val="14"/>
                <w:color w:val="auto"/>
              </w:rPr>
              <w:t>314,669</w:t>
            </w:r>
          </w:p>
        </w:tc>
        <w:tc>
          <w:tcPr>
            <w:tcW w:w="0" w:type="dxa"/>
            <w:vAlign w:val="bottom"/>
          </w:tcPr>
          <w:p>
            <w:pPr>
              <w:spacing w:after="0"/>
              <w:rPr>
                <w:sz w:val="1"/>
                <w:szCs w:val="1"/>
                <w:color w:val="auto"/>
              </w:rPr>
            </w:pPr>
          </w:p>
        </w:tc>
      </w:tr>
      <w:tr>
        <w:trPr>
          <w:trHeight w:val="247"/>
        </w:trPr>
        <w:tc>
          <w:tcPr>
            <w:tcW w:w="2300" w:type="dxa"/>
            <w:vAlign w:val="bottom"/>
            <w:shd w:val="clear" w:color="auto" w:fill="E9F0F3"/>
          </w:tcPr>
          <w:p>
            <w:pPr>
              <w:spacing w:after="0"/>
              <w:rPr>
                <w:sz w:val="21"/>
                <w:szCs w:val="21"/>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4/10/2024</w:t>
            </w:r>
            <w:r>
              <w:rPr>
                <w:rFonts w:ascii="Arial" w:cs="Arial" w:eastAsia="Arial" w:hAnsi="Arial"/>
                <w:sz w:val="16"/>
                <w:szCs w:val="16"/>
                <w:color w:val="auto"/>
                <w:vertAlign w:val="superscript"/>
              </w:rPr>
              <w:t>6</w:t>
            </w:r>
          </w:p>
        </w:tc>
        <w:tc>
          <w:tcPr>
            <w:tcW w:w="1040" w:type="dxa"/>
            <w:vAlign w:val="bottom"/>
            <w:shd w:val="clear" w:color="auto" w:fill="E2EAEF"/>
          </w:tcPr>
          <w:p>
            <w:pPr>
              <w:spacing w:after="0"/>
              <w:rPr>
                <w:sz w:val="21"/>
                <w:szCs w:val="21"/>
                <w:color w:val="auto"/>
              </w:rPr>
            </w:pPr>
          </w:p>
        </w:tc>
        <w:tc>
          <w:tcPr>
            <w:tcW w:w="1460" w:type="dxa"/>
            <w:vAlign w:val="bottom"/>
            <w:shd w:val="clear" w:color="auto" w:fill="E2EAEF"/>
          </w:tcPr>
          <w:p>
            <w:pPr>
              <w:spacing w:after="0"/>
              <w:rPr>
                <w:sz w:val="21"/>
                <w:szCs w:val="21"/>
                <w:color w:val="auto"/>
              </w:rPr>
            </w:pPr>
          </w:p>
        </w:tc>
        <w:tc>
          <w:tcPr>
            <w:tcW w:w="540" w:type="dxa"/>
            <w:vAlign w:val="bottom"/>
            <w:shd w:val="clear" w:color="auto" w:fill="E2EAEF"/>
          </w:tcPr>
          <w:p>
            <w:pPr>
              <w:spacing w:after="0"/>
              <w:rPr>
                <w:sz w:val="21"/>
                <w:szCs w:val="21"/>
                <w:color w:val="auto"/>
              </w:rPr>
            </w:pPr>
          </w:p>
        </w:tc>
        <w:tc>
          <w:tcPr>
            <w:tcW w:w="940" w:type="dxa"/>
            <w:vAlign w:val="bottom"/>
            <w:shd w:val="clear" w:color="auto" w:fill="E2EAEF"/>
          </w:tcPr>
          <w:p>
            <w:pPr>
              <w:spacing w:after="0"/>
              <w:rPr>
                <w:sz w:val="21"/>
                <w:szCs w:val="21"/>
                <w:color w:val="auto"/>
              </w:rPr>
            </w:pPr>
          </w:p>
        </w:tc>
        <w:tc>
          <w:tcPr>
            <w:tcW w:w="840" w:type="dxa"/>
            <w:vAlign w:val="bottom"/>
            <w:shd w:val="clear" w:color="auto" w:fill="E9F0F3"/>
          </w:tcPr>
          <w:p>
            <w:pPr>
              <w:spacing w:after="0"/>
              <w:rPr>
                <w:sz w:val="21"/>
                <w:szCs w:val="21"/>
                <w:color w:val="auto"/>
              </w:rPr>
            </w:pPr>
          </w:p>
        </w:tc>
        <w:tc>
          <w:tcPr>
            <w:tcW w:w="880" w:type="dxa"/>
            <w:vAlign w:val="bottom"/>
            <w:shd w:val="clear" w:color="auto" w:fill="E9F0F3"/>
          </w:tcPr>
          <w:p>
            <w:pPr>
              <w:spacing w:after="0"/>
              <w:rPr>
                <w:sz w:val="21"/>
                <w:szCs w:val="21"/>
                <w:color w:val="auto"/>
              </w:rPr>
            </w:pPr>
          </w:p>
        </w:tc>
        <w:tc>
          <w:tcPr>
            <w:tcW w:w="900" w:type="dxa"/>
            <w:vAlign w:val="bottom"/>
            <w:shd w:val="clear" w:color="auto" w:fill="E9F0F3"/>
          </w:tcPr>
          <w:p>
            <w:pPr>
              <w:jc w:val="right"/>
              <w:spacing w:after="0"/>
              <w:rPr>
                <w:sz w:val="20"/>
                <w:szCs w:val="20"/>
                <w:color w:val="auto"/>
              </w:rPr>
            </w:pPr>
            <w:r>
              <w:rPr>
                <w:rFonts w:ascii="Arial" w:cs="Arial" w:eastAsia="Arial" w:hAnsi="Arial"/>
                <w:sz w:val="14"/>
                <w:szCs w:val="14"/>
                <w:color w:val="auto"/>
              </w:rPr>
              <w:t>3,417</w:t>
            </w:r>
          </w:p>
        </w:tc>
        <w:tc>
          <w:tcPr>
            <w:tcW w:w="960" w:type="dxa"/>
            <w:vAlign w:val="bottom"/>
            <w:shd w:val="clear" w:color="auto" w:fill="E9F0F3"/>
          </w:tcPr>
          <w:p>
            <w:pPr>
              <w:jc w:val="right"/>
              <w:ind w:right="59"/>
              <w:spacing w:after="0"/>
              <w:rPr>
                <w:sz w:val="20"/>
                <w:szCs w:val="20"/>
                <w:color w:val="auto"/>
              </w:rPr>
            </w:pPr>
            <w:r>
              <w:rPr>
                <w:rFonts w:ascii="Arial" w:cs="Arial" w:eastAsia="Arial" w:hAnsi="Arial"/>
                <w:sz w:val="14"/>
                <w:szCs w:val="14"/>
                <w:color w:val="auto"/>
              </w:rPr>
              <w:t>213,084</w:t>
            </w:r>
          </w:p>
        </w:tc>
        <w:tc>
          <w:tcPr>
            <w:tcW w:w="0" w:type="dxa"/>
            <w:vAlign w:val="bottom"/>
          </w:tcPr>
          <w:p>
            <w:pPr>
              <w:spacing w:after="0"/>
              <w:rPr>
                <w:sz w:val="1"/>
                <w:szCs w:val="1"/>
                <w:color w:val="auto"/>
              </w:rPr>
            </w:pPr>
          </w:p>
        </w:tc>
      </w:tr>
      <w:tr>
        <w:trPr>
          <w:trHeight w:val="240"/>
        </w:trPr>
        <w:tc>
          <w:tcPr>
            <w:tcW w:w="2300" w:type="dxa"/>
            <w:vAlign w:val="bottom"/>
            <w:shd w:val="clear" w:color="auto" w:fill="E9F0F3"/>
          </w:tcPr>
          <w:p>
            <w:pPr>
              <w:spacing w:after="0"/>
              <w:rPr>
                <w:sz w:val="20"/>
                <w:szCs w:val="20"/>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4/10/2025</w:t>
            </w:r>
            <w:r>
              <w:rPr>
                <w:rFonts w:ascii="Arial" w:cs="Arial" w:eastAsia="Arial" w:hAnsi="Arial"/>
                <w:sz w:val="16"/>
                <w:szCs w:val="16"/>
                <w:color w:val="auto"/>
                <w:vertAlign w:val="superscript"/>
              </w:rPr>
              <w:t>7</w:t>
            </w:r>
          </w:p>
        </w:tc>
        <w:tc>
          <w:tcPr>
            <w:tcW w:w="1040" w:type="dxa"/>
            <w:vAlign w:val="bottom"/>
            <w:shd w:val="clear" w:color="auto" w:fill="E2EAEF"/>
          </w:tcPr>
          <w:p>
            <w:pPr>
              <w:spacing w:after="0"/>
              <w:rPr>
                <w:sz w:val="20"/>
                <w:szCs w:val="20"/>
                <w:color w:val="auto"/>
              </w:rPr>
            </w:pPr>
          </w:p>
        </w:tc>
        <w:tc>
          <w:tcPr>
            <w:tcW w:w="1460" w:type="dxa"/>
            <w:vAlign w:val="bottom"/>
            <w:shd w:val="clear" w:color="auto" w:fill="E2EAEF"/>
          </w:tcPr>
          <w:p>
            <w:pPr>
              <w:spacing w:after="0"/>
              <w:rPr>
                <w:sz w:val="20"/>
                <w:szCs w:val="20"/>
                <w:color w:val="auto"/>
              </w:rPr>
            </w:pPr>
          </w:p>
        </w:tc>
        <w:tc>
          <w:tcPr>
            <w:tcW w:w="540" w:type="dxa"/>
            <w:vAlign w:val="bottom"/>
            <w:shd w:val="clear" w:color="auto" w:fill="E2EAEF"/>
          </w:tcPr>
          <w:p>
            <w:pPr>
              <w:spacing w:after="0"/>
              <w:rPr>
                <w:sz w:val="20"/>
                <w:szCs w:val="20"/>
                <w:color w:val="auto"/>
              </w:rPr>
            </w:pPr>
          </w:p>
        </w:tc>
        <w:tc>
          <w:tcPr>
            <w:tcW w:w="940" w:type="dxa"/>
            <w:vAlign w:val="bottom"/>
            <w:shd w:val="clear" w:color="auto" w:fill="E2EAEF"/>
          </w:tcPr>
          <w:p>
            <w:pPr>
              <w:spacing w:after="0"/>
              <w:rPr>
                <w:sz w:val="20"/>
                <w:szCs w:val="20"/>
                <w:color w:val="auto"/>
              </w:rPr>
            </w:pPr>
          </w:p>
        </w:tc>
        <w:tc>
          <w:tcPr>
            <w:tcW w:w="840" w:type="dxa"/>
            <w:vAlign w:val="bottom"/>
            <w:shd w:val="clear" w:color="auto" w:fill="E9F0F3"/>
          </w:tcPr>
          <w:p>
            <w:pPr>
              <w:spacing w:after="0"/>
              <w:rPr>
                <w:sz w:val="20"/>
                <w:szCs w:val="20"/>
                <w:color w:val="auto"/>
              </w:rPr>
            </w:pPr>
          </w:p>
        </w:tc>
        <w:tc>
          <w:tcPr>
            <w:tcW w:w="880" w:type="dxa"/>
            <w:vAlign w:val="bottom"/>
            <w:shd w:val="clear" w:color="auto" w:fill="E9F0F3"/>
          </w:tcPr>
          <w:p>
            <w:pPr>
              <w:spacing w:after="0"/>
              <w:rPr>
                <w:sz w:val="20"/>
                <w:szCs w:val="20"/>
                <w:color w:val="auto"/>
              </w:rPr>
            </w:pPr>
          </w:p>
        </w:tc>
        <w:tc>
          <w:tcPr>
            <w:tcW w:w="900" w:type="dxa"/>
            <w:vAlign w:val="bottom"/>
            <w:shd w:val="clear" w:color="auto" w:fill="E9F0F3"/>
          </w:tcPr>
          <w:p>
            <w:pPr>
              <w:jc w:val="right"/>
              <w:spacing w:after="0"/>
              <w:rPr>
                <w:sz w:val="20"/>
                <w:szCs w:val="20"/>
                <w:color w:val="auto"/>
              </w:rPr>
            </w:pPr>
            <w:r>
              <w:rPr>
                <w:rFonts w:ascii="Arial" w:cs="Arial" w:eastAsia="Arial" w:hAnsi="Arial"/>
                <w:sz w:val="14"/>
                <w:szCs w:val="14"/>
                <w:color w:val="auto"/>
              </w:rPr>
              <w:t>5,604</w:t>
            </w:r>
          </w:p>
        </w:tc>
        <w:tc>
          <w:tcPr>
            <w:tcW w:w="960" w:type="dxa"/>
            <w:vAlign w:val="bottom"/>
            <w:shd w:val="clear" w:color="auto" w:fill="E9F0F3"/>
          </w:tcPr>
          <w:p>
            <w:pPr>
              <w:jc w:val="right"/>
              <w:ind w:right="59"/>
              <w:spacing w:after="0"/>
              <w:rPr>
                <w:sz w:val="20"/>
                <w:szCs w:val="20"/>
                <w:color w:val="auto"/>
              </w:rPr>
            </w:pPr>
            <w:r>
              <w:rPr>
                <w:rFonts w:ascii="Arial" w:cs="Arial" w:eastAsia="Arial" w:hAnsi="Arial"/>
                <w:sz w:val="14"/>
                <w:szCs w:val="14"/>
                <w:color w:val="auto"/>
              </w:rPr>
              <w:t>349,465</w:t>
            </w:r>
          </w:p>
        </w:tc>
        <w:tc>
          <w:tcPr>
            <w:tcW w:w="0" w:type="dxa"/>
            <w:vAlign w:val="bottom"/>
          </w:tcPr>
          <w:p>
            <w:pPr>
              <w:spacing w:after="0"/>
              <w:rPr>
                <w:sz w:val="1"/>
                <w:szCs w:val="1"/>
                <w:color w:val="auto"/>
              </w:rPr>
            </w:pPr>
          </w:p>
        </w:tc>
      </w:tr>
      <w:tr>
        <w:trPr>
          <w:trHeight w:val="294"/>
        </w:trPr>
        <w:tc>
          <w:tcPr>
            <w:tcW w:w="2300" w:type="dxa"/>
            <w:vAlign w:val="bottom"/>
          </w:tcPr>
          <w:p>
            <w:pPr>
              <w:ind w:left="60"/>
              <w:spacing w:after="0"/>
              <w:rPr>
                <w:sz w:val="20"/>
                <w:szCs w:val="20"/>
                <w:color w:val="auto"/>
              </w:rPr>
            </w:pPr>
            <w:r>
              <w:rPr>
                <w:rFonts w:ascii="Arial" w:cs="Arial" w:eastAsia="Arial" w:hAnsi="Arial"/>
                <w:sz w:val="14"/>
                <w:szCs w:val="14"/>
                <w:b w:val="1"/>
                <w:bCs w:val="1"/>
                <w:color w:val="auto"/>
              </w:rPr>
              <w:t>Zachary J. Coughlin</w:t>
            </w:r>
            <w:r>
              <w:rPr>
                <w:rFonts w:ascii="Arial" w:cs="Arial" w:eastAsia="Arial" w:hAnsi="Arial"/>
                <w:sz w:val="16"/>
                <w:szCs w:val="16"/>
                <w:b w:val="1"/>
                <w:bCs w:val="1"/>
                <w:color w:val="auto"/>
                <w:vertAlign w:val="superscript"/>
              </w:rPr>
              <w:t>8</w:t>
            </w:r>
          </w:p>
        </w:tc>
        <w:tc>
          <w:tcPr>
            <w:tcW w:w="1080" w:type="dxa"/>
            <w:vAlign w:val="bottom"/>
          </w:tcPr>
          <w:p>
            <w:pPr>
              <w:jc w:val="right"/>
              <w:spacing w:after="0"/>
              <w:rPr>
                <w:sz w:val="20"/>
                <w:szCs w:val="20"/>
                <w:color w:val="auto"/>
              </w:rPr>
            </w:pPr>
            <w:r>
              <w:rPr>
                <w:rFonts w:ascii="Arial" w:cs="Arial" w:eastAsia="Arial" w:hAnsi="Arial"/>
                <w:sz w:val="14"/>
                <w:szCs w:val="14"/>
                <w:color w:val="auto"/>
              </w:rPr>
              <w:t>4/6/2022</w:t>
            </w:r>
          </w:p>
        </w:tc>
        <w:tc>
          <w:tcPr>
            <w:tcW w:w="1040" w:type="dxa"/>
            <w:vAlign w:val="bottom"/>
          </w:tcPr>
          <w:p>
            <w:pPr>
              <w:jc w:val="right"/>
              <w:spacing w:after="0"/>
              <w:rPr>
                <w:sz w:val="20"/>
                <w:szCs w:val="20"/>
                <w:color w:val="auto"/>
              </w:rPr>
            </w:pPr>
            <w:r>
              <w:rPr>
                <w:rFonts w:ascii="Arial" w:cs="Arial" w:eastAsia="Arial" w:hAnsi="Arial"/>
                <w:sz w:val="14"/>
                <w:szCs w:val="14"/>
                <w:color w:val="auto"/>
              </w:rPr>
              <w:t>16,425</w:t>
            </w:r>
          </w:p>
        </w:tc>
        <w:tc>
          <w:tcPr>
            <w:tcW w:w="1460" w:type="dxa"/>
            <w:vAlign w:val="bottom"/>
          </w:tcPr>
          <w:p>
            <w:pPr>
              <w:jc w:val="right"/>
              <w:ind w:right="281"/>
              <w:spacing w:after="0"/>
              <w:rPr>
                <w:sz w:val="20"/>
                <w:szCs w:val="20"/>
                <w:color w:val="auto"/>
              </w:rPr>
            </w:pPr>
            <w:r>
              <w:rPr>
                <w:rFonts w:ascii="Arial" w:cs="Arial" w:eastAsia="Arial" w:hAnsi="Arial"/>
                <w:sz w:val="14"/>
                <w:szCs w:val="14"/>
                <w:color w:val="auto"/>
              </w:rPr>
              <w:t>0</w:t>
            </w:r>
          </w:p>
        </w:tc>
        <w:tc>
          <w:tcPr>
            <w:tcW w:w="540" w:type="dxa"/>
            <w:vAlign w:val="bottom"/>
          </w:tcPr>
          <w:p>
            <w:pPr>
              <w:jc w:val="right"/>
              <w:spacing w:after="0"/>
              <w:rPr>
                <w:sz w:val="20"/>
                <w:szCs w:val="20"/>
                <w:color w:val="auto"/>
              </w:rPr>
            </w:pPr>
            <w:r>
              <w:rPr>
                <w:rFonts w:ascii="Arial" w:cs="Arial" w:eastAsia="Arial" w:hAnsi="Arial"/>
                <w:sz w:val="14"/>
                <w:szCs w:val="14"/>
                <w:color w:val="auto"/>
              </w:rPr>
              <w:t>71.51</w:t>
            </w:r>
          </w:p>
        </w:tc>
        <w:tc>
          <w:tcPr>
            <w:tcW w:w="940" w:type="dxa"/>
            <w:vAlign w:val="bottom"/>
          </w:tcPr>
          <w:p>
            <w:pPr>
              <w:jc w:val="right"/>
              <w:spacing w:after="0"/>
              <w:rPr>
                <w:sz w:val="20"/>
                <w:szCs w:val="20"/>
                <w:color w:val="auto"/>
              </w:rPr>
            </w:pPr>
            <w:r>
              <w:rPr>
                <w:rFonts w:ascii="Arial" w:cs="Arial" w:eastAsia="Arial" w:hAnsi="Arial"/>
                <w:sz w:val="14"/>
                <w:szCs w:val="14"/>
                <w:color w:val="auto"/>
              </w:rPr>
              <w:t>4/6/2032</w:t>
            </w: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4/6/2023</w:t>
            </w:r>
          </w:p>
        </w:tc>
        <w:tc>
          <w:tcPr>
            <w:tcW w:w="1040" w:type="dxa"/>
            <w:vAlign w:val="bottom"/>
          </w:tcPr>
          <w:p>
            <w:pPr>
              <w:jc w:val="right"/>
              <w:spacing w:after="0"/>
              <w:rPr>
                <w:sz w:val="20"/>
                <w:szCs w:val="20"/>
                <w:color w:val="auto"/>
              </w:rPr>
            </w:pPr>
            <w:r>
              <w:rPr>
                <w:rFonts w:ascii="Arial" w:cs="Arial" w:eastAsia="Arial" w:hAnsi="Arial"/>
                <w:sz w:val="14"/>
                <w:szCs w:val="14"/>
                <w:color w:val="auto"/>
              </w:rPr>
              <w:t>7,600</w:t>
            </w:r>
          </w:p>
        </w:tc>
        <w:tc>
          <w:tcPr>
            <w:tcW w:w="1460" w:type="dxa"/>
            <w:vAlign w:val="bottom"/>
          </w:tcPr>
          <w:p>
            <w:pPr>
              <w:jc w:val="right"/>
              <w:ind w:right="281"/>
              <w:spacing w:after="0"/>
              <w:rPr>
                <w:sz w:val="20"/>
                <w:szCs w:val="20"/>
                <w:color w:val="auto"/>
              </w:rPr>
            </w:pPr>
            <w:r>
              <w:rPr>
                <w:rFonts w:ascii="Arial" w:cs="Arial" w:eastAsia="Arial" w:hAnsi="Arial"/>
                <w:sz w:val="14"/>
                <w:szCs w:val="14"/>
                <w:color w:val="auto"/>
              </w:rPr>
              <w:t>0</w:t>
            </w:r>
          </w:p>
        </w:tc>
        <w:tc>
          <w:tcPr>
            <w:tcW w:w="540" w:type="dxa"/>
            <w:vAlign w:val="bottom"/>
          </w:tcPr>
          <w:p>
            <w:pPr>
              <w:jc w:val="right"/>
              <w:spacing w:after="0"/>
              <w:rPr>
                <w:sz w:val="20"/>
                <w:szCs w:val="20"/>
                <w:color w:val="auto"/>
              </w:rPr>
            </w:pPr>
            <w:r>
              <w:rPr>
                <w:rFonts w:ascii="Arial" w:cs="Arial" w:eastAsia="Arial" w:hAnsi="Arial"/>
                <w:sz w:val="14"/>
                <w:szCs w:val="14"/>
                <w:color w:val="auto"/>
              </w:rPr>
              <w:t>83.80</w:t>
            </w:r>
          </w:p>
        </w:tc>
        <w:tc>
          <w:tcPr>
            <w:tcW w:w="940" w:type="dxa"/>
            <w:vAlign w:val="bottom"/>
          </w:tcPr>
          <w:p>
            <w:pPr>
              <w:jc w:val="right"/>
              <w:spacing w:after="0"/>
              <w:rPr>
                <w:sz w:val="20"/>
                <w:szCs w:val="20"/>
                <w:color w:val="auto"/>
              </w:rPr>
            </w:pPr>
            <w:r>
              <w:rPr>
                <w:rFonts w:ascii="Arial" w:cs="Arial" w:eastAsia="Arial" w:hAnsi="Arial"/>
                <w:sz w:val="14"/>
                <w:szCs w:val="14"/>
                <w:color w:val="auto"/>
              </w:rPr>
              <w:t>4/6/2033</w:t>
            </w: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4/10/2024</w:t>
            </w:r>
          </w:p>
        </w:tc>
        <w:tc>
          <w:tcPr>
            <w:tcW w:w="1040" w:type="dxa"/>
            <w:vAlign w:val="bottom"/>
          </w:tcPr>
          <w:p>
            <w:pPr>
              <w:jc w:val="right"/>
              <w:spacing w:after="0"/>
              <w:rPr>
                <w:sz w:val="20"/>
                <w:szCs w:val="20"/>
                <w:color w:val="auto"/>
              </w:rPr>
            </w:pPr>
            <w:r>
              <w:rPr>
                <w:rFonts w:ascii="Arial" w:cs="Arial" w:eastAsia="Arial" w:hAnsi="Arial"/>
                <w:sz w:val="14"/>
                <w:szCs w:val="14"/>
                <w:color w:val="auto"/>
              </w:rPr>
              <w:t>2,975</w:t>
            </w:r>
          </w:p>
        </w:tc>
        <w:tc>
          <w:tcPr>
            <w:tcW w:w="1460" w:type="dxa"/>
            <w:vAlign w:val="bottom"/>
          </w:tcPr>
          <w:p>
            <w:pPr>
              <w:jc w:val="right"/>
              <w:ind w:right="281"/>
              <w:spacing w:after="0"/>
              <w:rPr>
                <w:sz w:val="20"/>
                <w:szCs w:val="20"/>
                <w:color w:val="auto"/>
              </w:rPr>
            </w:pPr>
            <w:r>
              <w:rPr>
                <w:rFonts w:ascii="Arial" w:cs="Arial" w:eastAsia="Arial" w:hAnsi="Arial"/>
                <w:sz w:val="14"/>
                <w:szCs w:val="14"/>
                <w:color w:val="auto"/>
              </w:rPr>
              <w:t>0</w:t>
            </w:r>
          </w:p>
        </w:tc>
        <w:tc>
          <w:tcPr>
            <w:tcW w:w="540" w:type="dxa"/>
            <w:vAlign w:val="bottom"/>
          </w:tcPr>
          <w:p>
            <w:pPr>
              <w:jc w:val="right"/>
              <w:spacing w:after="0"/>
              <w:rPr>
                <w:sz w:val="20"/>
                <w:szCs w:val="20"/>
                <w:color w:val="auto"/>
              </w:rPr>
            </w:pPr>
            <w:r>
              <w:rPr>
                <w:rFonts w:ascii="Arial" w:cs="Arial" w:eastAsia="Arial" w:hAnsi="Arial"/>
                <w:sz w:val="14"/>
                <w:szCs w:val="14"/>
                <w:color w:val="auto"/>
              </w:rPr>
              <w:t>109.75</w:t>
            </w:r>
          </w:p>
        </w:tc>
        <w:tc>
          <w:tcPr>
            <w:tcW w:w="940" w:type="dxa"/>
            <w:vAlign w:val="bottom"/>
          </w:tcPr>
          <w:p>
            <w:pPr>
              <w:jc w:val="right"/>
              <w:spacing w:after="0"/>
              <w:rPr>
                <w:sz w:val="20"/>
                <w:szCs w:val="20"/>
                <w:color w:val="auto"/>
              </w:rPr>
            </w:pPr>
            <w:r>
              <w:rPr>
                <w:rFonts w:ascii="Arial" w:cs="Arial" w:eastAsia="Arial" w:hAnsi="Arial"/>
                <w:sz w:val="14"/>
                <w:szCs w:val="14"/>
                <w:color w:val="auto"/>
              </w:rPr>
              <w:t>4/10/2034</w:t>
            </w: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3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Eva Serrano</w:t>
            </w: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4/6/2023</w:t>
            </w:r>
            <w:r>
              <w:rPr>
                <w:rFonts w:ascii="Arial" w:cs="Arial" w:eastAsia="Arial" w:hAnsi="Arial"/>
                <w:sz w:val="16"/>
                <w:szCs w:val="16"/>
                <w:color w:val="auto"/>
                <w:vertAlign w:val="superscript"/>
              </w:rPr>
              <w:t>5</w:t>
            </w:r>
          </w:p>
        </w:tc>
        <w:tc>
          <w:tcPr>
            <w:tcW w:w="1040" w:type="dxa"/>
            <w:vAlign w:val="bottom"/>
            <w:shd w:val="clear" w:color="auto" w:fill="E2EAEF"/>
          </w:tcPr>
          <w:p>
            <w:pPr>
              <w:spacing w:after="0"/>
              <w:rPr>
                <w:sz w:val="24"/>
                <w:szCs w:val="24"/>
                <w:color w:val="auto"/>
              </w:rPr>
            </w:pPr>
          </w:p>
        </w:tc>
        <w:tc>
          <w:tcPr>
            <w:tcW w:w="1460" w:type="dxa"/>
            <w:vAlign w:val="bottom"/>
            <w:shd w:val="clear" w:color="auto" w:fill="E2EAEF"/>
          </w:tcPr>
          <w:p>
            <w:pPr>
              <w:spacing w:after="0"/>
              <w:rPr>
                <w:sz w:val="24"/>
                <w:szCs w:val="24"/>
                <w:color w:val="auto"/>
              </w:rPr>
            </w:pPr>
          </w:p>
        </w:tc>
        <w:tc>
          <w:tcPr>
            <w:tcW w:w="540" w:type="dxa"/>
            <w:vAlign w:val="bottom"/>
            <w:shd w:val="clear" w:color="auto" w:fill="E2EAEF"/>
          </w:tcPr>
          <w:p>
            <w:pPr>
              <w:spacing w:after="0"/>
              <w:rPr>
                <w:sz w:val="24"/>
                <w:szCs w:val="24"/>
                <w:color w:val="auto"/>
              </w:rPr>
            </w:pPr>
          </w:p>
        </w:tc>
        <w:tc>
          <w:tcPr>
            <w:tcW w:w="940" w:type="dxa"/>
            <w:vAlign w:val="bottom"/>
            <w:shd w:val="clear" w:color="auto" w:fill="E2EAEF"/>
          </w:tcPr>
          <w:p>
            <w:pPr>
              <w:spacing w:after="0"/>
              <w:rPr>
                <w:sz w:val="24"/>
                <w:szCs w:val="24"/>
                <w:color w:val="auto"/>
              </w:rPr>
            </w:pPr>
          </w:p>
        </w:tc>
        <w:tc>
          <w:tcPr>
            <w:tcW w:w="840" w:type="dxa"/>
            <w:vAlign w:val="bottom"/>
            <w:shd w:val="clear" w:color="auto" w:fill="E9F0F3"/>
          </w:tcPr>
          <w:p>
            <w:pPr>
              <w:spacing w:after="0"/>
              <w:rPr>
                <w:sz w:val="24"/>
                <w:szCs w:val="24"/>
                <w:color w:val="auto"/>
              </w:rPr>
            </w:pPr>
          </w:p>
        </w:tc>
        <w:tc>
          <w:tcPr>
            <w:tcW w:w="880" w:type="dxa"/>
            <w:vAlign w:val="bottom"/>
            <w:shd w:val="clear" w:color="auto" w:fill="E9F0F3"/>
          </w:tcPr>
          <w:p>
            <w:pPr>
              <w:spacing w:after="0"/>
              <w:rPr>
                <w:sz w:val="24"/>
                <w:szCs w:val="24"/>
                <w:color w:val="auto"/>
              </w:rPr>
            </w:pPr>
          </w:p>
        </w:tc>
        <w:tc>
          <w:tcPr>
            <w:tcW w:w="900" w:type="dxa"/>
            <w:vAlign w:val="bottom"/>
            <w:shd w:val="clear" w:color="auto" w:fill="E9F0F3"/>
          </w:tcPr>
          <w:p>
            <w:pPr>
              <w:jc w:val="right"/>
              <w:spacing w:after="0"/>
              <w:rPr>
                <w:sz w:val="20"/>
                <w:szCs w:val="20"/>
                <w:color w:val="auto"/>
              </w:rPr>
            </w:pPr>
            <w:r>
              <w:rPr>
                <w:rFonts w:ascii="Arial" w:cs="Arial" w:eastAsia="Arial" w:hAnsi="Arial"/>
                <w:sz w:val="14"/>
                <w:szCs w:val="14"/>
                <w:color w:val="auto"/>
              </w:rPr>
              <w:t>9,875</w:t>
            </w:r>
          </w:p>
        </w:tc>
        <w:tc>
          <w:tcPr>
            <w:tcW w:w="960" w:type="dxa"/>
            <w:vAlign w:val="bottom"/>
            <w:shd w:val="clear" w:color="auto" w:fill="E9F0F3"/>
          </w:tcPr>
          <w:p>
            <w:pPr>
              <w:jc w:val="right"/>
              <w:ind w:right="59"/>
              <w:spacing w:after="0"/>
              <w:rPr>
                <w:sz w:val="20"/>
                <w:szCs w:val="20"/>
                <w:color w:val="auto"/>
              </w:rPr>
            </w:pPr>
            <w:r>
              <w:rPr>
                <w:rFonts w:ascii="Arial" w:cs="Arial" w:eastAsia="Arial" w:hAnsi="Arial"/>
                <w:sz w:val="14"/>
                <w:szCs w:val="14"/>
                <w:color w:val="auto"/>
              </w:rPr>
              <w:t>615,805</w:t>
            </w:r>
          </w:p>
        </w:tc>
        <w:tc>
          <w:tcPr>
            <w:tcW w:w="0" w:type="dxa"/>
            <w:vAlign w:val="bottom"/>
          </w:tcPr>
          <w:p>
            <w:pPr>
              <w:spacing w:after="0"/>
              <w:rPr>
                <w:sz w:val="1"/>
                <w:szCs w:val="1"/>
                <w:color w:val="auto"/>
              </w:rPr>
            </w:pPr>
          </w:p>
        </w:tc>
      </w:tr>
      <w:tr>
        <w:trPr>
          <w:trHeight w:val="247"/>
        </w:trPr>
        <w:tc>
          <w:tcPr>
            <w:tcW w:w="2300" w:type="dxa"/>
            <w:vAlign w:val="bottom"/>
            <w:shd w:val="clear" w:color="auto" w:fill="E9F0F3"/>
          </w:tcPr>
          <w:p>
            <w:pPr>
              <w:spacing w:after="0"/>
              <w:rPr>
                <w:sz w:val="21"/>
                <w:szCs w:val="21"/>
                <w:color w:val="auto"/>
              </w:rPr>
            </w:pPr>
          </w:p>
        </w:tc>
        <w:tc>
          <w:tcPr>
            <w:tcW w:w="10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4/10/2024</w:t>
            </w:r>
            <w:r>
              <w:rPr>
                <w:rFonts w:ascii="Arial" w:cs="Arial" w:eastAsia="Arial" w:hAnsi="Arial"/>
                <w:sz w:val="16"/>
                <w:szCs w:val="16"/>
                <w:color w:val="auto"/>
                <w:vertAlign w:val="superscript"/>
              </w:rPr>
              <w:t>6</w:t>
            </w:r>
          </w:p>
        </w:tc>
        <w:tc>
          <w:tcPr>
            <w:tcW w:w="1040" w:type="dxa"/>
            <w:vAlign w:val="bottom"/>
            <w:shd w:val="clear" w:color="auto" w:fill="E2EAEF"/>
          </w:tcPr>
          <w:p>
            <w:pPr>
              <w:spacing w:after="0"/>
              <w:rPr>
                <w:sz w:val="21"/>
                <w:szCs w:val="21"/>
                <w:color w:val="auto"/>
              </w:rPr>
            </w:pPr>
          </w:p>
        </w:tc>
        <w:tc>
          <w:tcPr>
            <w:tcW w:w="1460" w:type="dxa"/>
            <w:vAlign w:val="bottom"/>
            <w:shd w:val="clear" w:color="auto" w:fill="E2EAEF"/>
          </w:tcPr>
          <w:p>
            <w:pPr>
              <w:spacing w:after="0"/>
              <w:rPr>
                <w:sz w:val="21"/>
                <w:szCs w:val="21"/>
                <w:color w:val="auto"/>
              </w:rPr>
            </w:pPr>
          </w:p>
        </w:tc>
        <w:tc>
          <w:tcPr>
            <w:tcW w:w="540" w:type="dxa"/>
            <w:vAlign w:val="bottom"/>
            <w:shd w:val="clear" w:color="auto" w:fill="E2EAEF"/>
          </w:tcPr>
          <w:p>
            <w:pPr>
              <w:spacing w:after="0"/>
              <w:rPr>
                <w:sz w:val="21"/>
                <w:szCs w:val="21"/>
                <w:color w:val="auto"/>
              </w:rPr>
            </w:pPr>
          </w:p>
        </w:tc>
        <w:tc>
          <w:tcPr>
            <w:tcW w:w="940" w:type="dxa"/>
            <w:vAlign w:val="bottom"/>
            <w:shd w:val="clear" w:color="auto" w:fill="E2EAEF"/>
          </w:tcPr>
          <w:p>
            <w:pPr>
              <w:spacing w:after="0"/>
              <w:rPr>
                <w:sz w:val="21"/>
                <w:szCs w:val="21"/>
                <w:color w:val="auto"/>
              </w:rPr>
            </w:pPr>
          </w:p>
        </w:tc>
        <w:tc>
          <w:tcPr>
            <w:tcW w:w="840" w:type="dxa"/>
            <w:vAlign w:val="bottom"/>
            <w:shd w:val="clear" w:color="auto" w:fill="E9F0F3"/>
          </w:tcPr>
          <w:p>
            <w:pPr>
              <w:spacing w:after="0"/>
              <w:rPr>
                <w:sz w:val="21"/>
                <w:szCs w:val="21"/>
                <w:color w:val="auto"/>
              </w:rPr>
            </w:pPr>
          </w:p>
        </w:tc>
        <w:tc>
          <w:tcPr>
            <w:tcW w:w="880" w:type="dxa"/>
            <w:vAlign w:val="bottom"/>
            <w:shd w:val="clear" w:color="auto" w:fill="E9F0F3"/>
          </w:tcPr>
          <w:p>
            <w:pPr>
              <w:spacing w:after="0"/>
              <w:rPr>
                <w:sz w:val="21"/>
                <w:szCs w:val="21"/>
                <w:color w:val="auto"/>
              </w:rPr>
            </w:pPr>
          </w:p>
        </w:tc>
        <w:tc>
          <w:tcPr>
            <w:tcW w:w="900" w:type="dxa"/>
            <w:vAlign w:val="bottom"/>
            <w:shd w:val="clear" w:color="auto" w:fill="E9F0F3"/>
          </w:tcPr>
          <w:p>
            <w:pPr>
              <w:jc w:val="right"/>
              <w:spacing w:after="0"/>
              <w:rPr>
                <w:sz w:val="20"/>
                <w:szCs w:val="20"/>
                <w:color w:val="auto"/>
              </w:rPr>
            </w:pPr>
            <w:r>
              <w:rPr>
                <w:rFonts w:ascii="Arial" w:cs="Arial" w:eastAsia="Arial" w:hAnsi="Arial"/>
                <w:sz w:val="14"/>
                <w:szCs w:val="14"/>
                <w:color w:val="auto"/>
              </w:rPr>
              <w:t>3,348</w:t>
            </w:r>
          </w:p>
        </w:tc>
        <w:tc>
          <w:tcPr>
            <w:tcW w:w="960" w:type="dxa"/>
            <w:vAlign w:val="bottom"/>
            <w:shd w:val="clear" w:color="auto" w:fill="E9F0F3"/>
          </w:tcPr>
          <w:p>
            <w:pPr>
              <w:jc w:val="right"/>
              <w:ind w:right="59"/>
              <w:spacing w:after="0"/>
              <w:rPr>
                <w:sz w:val="20"/>
                <w:szCs w:val="20"/>
                <w:color w:val="auto"/>
              </w:rPr>
            </w:pPr>
            <w:r>
              <w:rPr>
                <w:rFonts w:ascii="Arial" w:cs="Arial" w:eastAsia="Arial" w:hAnsi="Arial"/>
                <w:sz w:val="14"/>
                <w:szCs w:val="14"/>
                <w:color w:val="auto"/>
              </w:rPr>
              <w:t>208,781</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1  Stock options vest in four equal installments on each of the first four anniversaries of the grant date.</w:t>
      </w:r>
    </w:p>
    <w:p>
      <w:pPr>
        <w:spacing w:after="0" w:line="16" w:lineRule="exact"/>
        <w:rPr>
          <w:sz w:val="20"/>
          <w:szCs w:val="20"/>
          <w:color w:val="auto"/>
        </w:rPr>
      </w:pPr>
    </w:p>
    <w:p>
      <w:pPr>
        <w:jc w:val="both"/>
        <w:ind w:left="160" w:right="120" w:hanging="149"/>
        <w:spacing w:after="0" w:line="239" w:lineRule="auto"/>
        <w:tabs>
          <w:tab w:leader="none" w:pos="167"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These awards consist of RSUs. Awards vest in four equal installments on each of the first four anniversaries of the grant date, except for the awards granted to (i) Ms. Stone in December 2025, of which 50% will vest on each of the first and second anniversaries of the grant date, and (ii) Mr. Olsson in January 2025, of which 50% vested on the first anniversary and 50% will vest on the second anniversary of the grant date.</w:t>
      </w:r>
    </w:p>
    <w:p>
      <w:pPr>
        <w:spacing w:after="0" w:line="1" w:lineRule="exact"/>
        <w:rPr>
          <w:sz w:val="20"/>
          <w:szCs w:val="20"/>
          <w:color w:val="auto"/>
        </w:rPr>
      </w:pPr>
    </w:p>
    <w:p>
      <w:pPr>
        <w:ind w:left="160" w:right="100" w:hanging="149"/>
        <w:spacing w:after="0" w:line="245" w:lineRule="auto"/>
        <w:tabs>
          <w:tab w:leader="none" w:pos="167"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market value of unvested RSUs and unvested PSUs was calculated by multiplying the number of units by $62.36, the closing stock price of our common stock on January 30, 2026, the last business day of 2025.</w:t>
      </w:r>
    </w:p>
    <w:p>
      <w:pPr>
        <w:spacing w:after="0" w:line="1" w:lineRule="exact"/>
        <w:rPr>
          <w:sz w:val="20"/>
          <w:szCs w:val="20"/>
          <w:color w:val="auto"/>
        </w:rPr>
      </w:pPr>
    </w:p>
    <w:p>
      <w:pPr>
        <w:ind w:left="160" w:right="20" w:hanging="149"/>
        <w:spacing w:after="0" w:line="266" w:lineRule="auto"/>
        <w:tabs>
          <w:tab w:leader="none" w:pos="167" w:val="left"/>
        </w:tabs>
        <w:numPr>
          <w:ilvl w:val="0"/>
          <w:numId w:val="119"/>
        </w:numPr>
        <w:rPr>
          <w:rFonts w:ascii="Arial" w:cs="Arial" w:eastAsia="Arial" w:hAnsi="Arial"/>
          <w:sz w:val="12"/>
          <w:szCs w:val="12"/>
          <w:color w:val="auto"/>
        </w:rPr>
      </w:pPr>
      <w:r>
        <w:rPr>
          <w:rFonts w:ascii="Arial" w:cs="Arial" w:eastAsia="Arial" w:hAnsi="Arial"/>
          <w:sz w:val="12"/>
          <w:szCs w:val="12"/>
          <w:color w:val="auto"/>
        </w:rPr>
        <w:t>All awards are PSUs. The number of shares assumes service for the entire three-year performance cycle, except with respect to Ms. Serrano. The awards generally pay out on a prorated basis if the NEO does not work the entire cycle. Ms. Serrano’s shares have been prorated to reflect the actual number of days she was employed during the applicable performance cycles.</w:t>
      </w:r>
    </w:p>
    <w:p>
      <w:pPr>
        <w:ind w:left="160" w:right="280" w:hanging="149"/>
        <w:spacing w:after="0" w:line="239" w:lineRule="auto"/>
        <w:tabs>
          <w:tab w:leader="none" w:pos="167"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table shows (1) the ROIC portion of the awards at maximum level, as the actual payout as of the end of 2025 was between target and maximum performance, and (2) the relative TSR portion of the awards at target level, as the estimated payout as of the end of 2025 was between threshold and target performance. The performance cycle for such awards ended on April 3, 2026. For performance achieved and awards earned, please see the Pay for Performance section on page 52.</w:t>
      </w:r>
    </w:p>
    <w:p>
      <w:pPr>
        <w:spacing w:after="0" w:line="1" w:lineRule="exact"/>
        <w:rPr>
          <w:sz w:val="20"/>
          <w:szCs w:val="20"/>
          <w:color w:val="auto"/>
        </w:rPr>
      </w:pPr>
    </w:p>
    <w:p>
      <w:pPr>
        <w:jc w:val="both"/>
        <w:ind w:left="160" w:right="40" w:hanging="149"/>
        <w:spacing w:after="0" w:line="239" w:lineRule="auto"/>
        <w:tabs>
          <w:tab w:leader="none" w:pos="167"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table shows (1) the ROIC portion of the awards at target level as the estimated payout as of the end of 2025 was between threshold and target levels, and (2) the relative TSR portion of the awards at threshold level, as the estimated payout as of the end of 2025 was below threshold performance. The portion of the awards tied to the three-year ROIC measure and the portion tied to the three-year TSR will vest if the ROIC and relative TSR performance criteria are satisfied, in each case in April 2027.</w:t>
      </w:r>
    </w:p>
    <w:p>
      <w:pPr>
        <w:spacing w:after="0" w:line="1" w:lineRule="exact"/>
        <w:rPr>
          <w:sz w:val="20"/>
          <w:szCs w:val="20"/>
          <w:color w:val="auto"/>
        </w:rPr>
      </w:pPr>
    </w:p>
    <w:p>
      <w:pPr>
        <w:ind w:left="160" w:right="40" w:hanging="149"/>
        <w:spacing w:after="0" w:line="239" w:lineRule="auto"/>
        <w:tabs>
          <w:tab w:leader="none" w:pos="167"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table shows (1) the ROIC portion of the awards at threshold level as the estimated payout as of the end of 2025 was below threshold performance, and (2) the relative TSR portion of the awards at threshold level, as the estimated payout as of the end of 2025 was below threshold performance. The portion of the awards tied to the three-year ROIC measure and the portion tied to the three-year TSR will vest if the ROIC and relative TSR performance criteria are satisfied, in each case in April 2028.</w:t>
      </w:r>
    </w:p>
    <w:p>
      <w:pPr>
        <w:spacing w:after="0" w:line="1" w:lineRule="exact"/>
        <w:rPr>
          <w:sz w:val="20"/>
          <w:szCs w:val="20"/>
          <w:color w:val="auto"/>
        </w:rPr>
      </w:pPr>
    </w:p>
    <w:p>
      <w:pPr>
        <w:ind w:left="160" w:right="200" w:hanging="149"/>
        <w:spacing w:after="0" w:line="251" w:lineRule="auto"/>
        <w:tabs>
          <w:tab w:leader="none" w:pos="167" w:val="left"/>
        </w:tabs>
        <w:numPr>
          <w:ilvl w:val="0"/>
          <w:numId w:val="123"/>
        </w:numPr>
        <w:rPr>
          <w:rFonts w:ascii="Arial" w:cs="Arial" w:eastAsia="Arial" w:hAnsi="Arial"/>
          <w:sz w:val="13"/>
          <w:szCs w:val="13"/>
          <w:color w:val="auto"/>
        </w:rPr>
      </w:pPr>
      <w:r>
        <w:rPr>
          <w:rFonts w:ascii="Arial" w:cs="Arial" w:eastAsia="Arial" w:hAnsi="Arial"/>
          <w:sz w:val="13"/>
          <w:szCs w:val="13"/>
          <w:color w:val="auto"/>
        </w:rPr>
        <w:t>Mr. Coughlin’s exercisable stock option awards expired three months after his termination of employment, pursuant to the terms thereof. Mr. Coughlin’s unexercisable stock option awards and unvested RSU and PSU awards were forfeited upon his termination of employment.</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 xml:space="preserve">70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695515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60" w:top="293" w:right="499" w:bottom="1440" w:gutter="0" w:footer="0" w:header="0"/>
        </w:sectPr>
      </w:pPr>
    </w:p>
    <w:bookmarkStart w:id="73" w:name="page74"/>
    <w:bookmarkEnd w:id="73"/>
    <w:p>
      <w:pPr>
        <w:ind w:left="20"/>
        <w:spacing w:after="0"/>
        <w:rPr>
          <w:sz w:val="20"/>
          <w:szCs w:val="20"/>
          <w:color w:val="auto"/>
        </w:rPr>
      </w:pPr>
      <w:r>
        <w:rPr>
          <w:rFonts w:ascii="Arial" w:cs="Arial" w:eastAsia="Arial" w:hAnsi="Arial"/>
          <w:sz w:val="28"/>
          <w:szCs w:val="28"/>
          <w:b w:val="1"/>
          <w:bCs w:val="1"/>
          <w:color w:val="6D98AD"/>
        </w:rPr>
        <w:t>Option Exercises and Stock Vested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Borders>
              <w:bottom w:val="single" w:sz="8" w:color="99B7C6"/>
            </w:tcBorders>
            <w:shd w:val="clear" w:color="auto" w:fill="99B7C6"/>
          </w:tcPr>
          <w:p>
            <w:pPr>
              <w:spacing w:after="0"/>
              <w:rPr>
                <w:sz w:val="16"/>
                <w:szCs w:val="16"/>
                <w:color w:val="auto"/>
              </w:rPr>
            </w:pPr>
          </w:p>
        </w:tc>
        <w:tc>
          <w:tcPr>
            <w:tcW w:w="2760" w:type="dxa"/>
            <w:vAlign w:val="bottom"/>
            <w:tcBorders>
              <w:bottom w:val="single" w:sz="8" w:color="6D98AD"/>
            </w:tcBorders>
            <w:shd w:val="clear" w:color="auto" w:fill="6D98AD"/>
          </w:tcPr>
          <w:p>
            <w:pPr>
              <w:jc w:val="right"/>
              <w:ind w:right="377"/>
              <w:spacing w:after="0"/>
              <w:rPr>
                <w:sz w:val="20"/>
                <w:szCs w:val="20"/>
                <w:color w:val="auto"/>
              </w:rPr>
            </w:pPr>
            <w:r>
              <w:rPr>
                <w:rFonts w:ascii="Arial" w:cs="Arial" w:eastAsia="Arial" w:hAnsi="Arial"/>
                <w:sz w:val="11"/>
                <w:szCs w:val="11"/>
                <w:b w:val="1"/>
                <w:bCs w:val="1"/>
                <w:color w:val="FFFFFF"/>
              </w:rPr>
              <w:t>Option Awards</w:t>
            </w:r>
          </w:p>
        </w:tc>
        <w:tc>
          <w:tcPr>
            <w:tcW w:w="1140" w:type="dxa"/>
            <w:vAlign w:val="bottom"/>
            <w:tcBorders>
              <w:bottom w:val="single" w:sz="8" w:color="6D98AD"/>
            </w:tcBorders>
            <w:shd w:val="clear" w:color="auto" w:fill="6D98AD"/>
          </w:tcPr>
          <w:p>
            <w:pPr>
              <w:spacing w:after="0"/>
              <w:rPr>
                <w:sz w:val="16"/>
                <w:szCs w:val="16"/>
                <w:color w:val="auto"/>
              </w:rPr>
            </w:pPr>
          </w:p>
        </w:tc>
        <w:tc>
          <w:tcPr>
            <w:tcW w:w="2700" w:type="dxa"/>
            <w:vAlign w:val="bottom"/>
            <w:tcBorders>
              <w:bottom w:val="single" w:sz="8" w:color="99B7C6"/>
            </w:tcBorders>
            <w:shd w:val="clear" w:color="auto" w:fill="99B7C6"/>
          </w:tcPr>
          <w:p>
            <w:pPr>
              <w:jc w:val="right"/>
              <w:ind w:right="357"/>
              <w:spacing w:after="0"/>
              <w:rPr>
                <w:sz w:val="20"/>
                <w:szCs w:val="20"/>
                <w:color w:val="auto"/>
              </w:rPr>
            </w:pPr>
            <w:r>
              <w:rPr>
                <w:rFonts w:ascii="Arial" w:cs="Arial" w:eastAsia="Arial" w:hAnsi="Arial"/>
                <w:sz w:val="11"/>
                <w:szCs w:val="11"/>
                <w:b w:val="1"/>
                <w:bCs w:val="1"/>
                <w:color w:val="FFFFFF"/>
              </w:rPr>
              <w:t>Stock Awards</w:t>
            </w:r>
          </w:p>
        </w:tc>
        <w:tc>
          <w:tcPr>
            <w:tcW w:w="1160" w:type="dxa"/>
            <w:vAlign w:val="bottom"/>
            <w:tcBorders>
              <w:bottom w:val="single" w:sz="8" w:color="99B7C6"/>
            </w:tcBorders>
            <w:shd w:val="clear" w:color="auto" w:fill="99B7C6"/>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180" w:type="dxa"/>
            <w:vAlign w:val="bottom"/>
            <w:shd w:val="clear" w:color="auto" w:fill="99B7C6"/>
          </w:tcPr>
          <w:p>
            <w:pPr>
              <w:spacing w:after="0"/>
              <w:rPr>
                <w:sz w:val="13"/>
                <w:szCs w:val="13"/>
                <w:color w:val="auto"/>
              </w:rPr>
            </w:pPr>
          </w:p>
        </w:tc>
        <w:tc>
          <w:tcPr>
            <w:tcW w:w="2760" w:type="dxa"/>
            <w:vAlign w:val="bottom"/>
            <w:shd w:val="clear" w:color="auto" w:fill="8AADBD"/>
          </w:tcPr>
          <w:p>
            <w:pPr>
              <w:jc w:val="right"/>
              <w:ind w:right="817"/>
              <w:spacing w:after="0"/>
              <w:rPr>
                <w:sz w:val="20"/>
                <w:szCs w:val="20"/>
                <w:color w:val="auto"/>
              </w:rPr>
            </w:pPr>
            <w:r>
              <w:rPr>
                <w:rFonts w:ascii="Arial" w:cs="Arial" w:eastAsia="Arial" w:hAnsi="Arial"/>
                <w:sz w:val="11"/>
                <w:szCs w:val="11"/>
                <w:b w:val="1"/>
                <w:bCs w:val="1"/>
                <w:color w:val="FFFFFF"/>
              </w:rPr>
              <w:t>Number of</w:t>
            </w:r>
          </w:p>
        </w:tc>
        <w:tc>
          <w:tcPr>
            <w:tcW w:w="1140" w:type="dxa"/>
            <w:vAlign w:val="bottom"/>
            <w:vMerge w:val="restart"/>
            <w:shd w:val="clear" w:color="auto" w:fill="8AADBD"/>
          </w:tcPr>
          <w:p>
            <w:pPr>
              <w:jc w:val="right"/>
              <w:ind w:right="15"/>
              <w:spacing w:after="0"/>
              <w:rPr>
                <w:sz w:val="20"/>
                <w:szCs w:val="20"/>
                <w:color w:val="auto"/>
              </w:rPr>
            </w:pPr>
            <w:r>
              <w:rPr>
                <w:rFonts w:ascii="Arial" w:cs="Arial" w:eastAsia="Arial" w:hAnsi="Arial"/>
                <w:sz w:val="11"/>
                <w:szCs w:val="11"/>
                <w:b w:val="1"/>
                <w:bCs w:val="1"/>
                <w:color w:val="FFFFFF"/>
              </w:rPr>
              <w:t>Value</w:t>
            </w:r>
          </w:p>
        </w:tc>
        <w:tc>
          <w:tcPr>
            <w:tcW w:w="2700" w:type="dxa"/>
            <w:vAlign w:val="bottom"/>
            <w:shd w:val="clear" w:color="auto" w:fill="B6CCD6"/>
          </w:tcPr>
          <w:p>
            <w:pPr>
              <w:jc w:val="right"/>
              <w:ind w:right="777"/>
              <w:spacing w:after="0"/>
              <w:rPr>
                <w:sz w:val="20"/>
                <w:szCs w:val="20"/>
                <w:color w:val="auto"/>
              </w:rPr>
            </w:pPr>
            <w:r>
              <w:rPr>
                <w:rFonts w:ascii="Arial" w:cs="Arial" w:eastAsia="Arial" w:hAnsi="Arial"/>
                <w:sz w:val="11"/>
                <w:szCs w:val="11"/>
                <w:b w:val="1"/>
                <w:bCs w:val="1"/>
                <w:color w:val="FFFFFF"/>
              </w:rPr>
              <w:t>Number of</w:t>
            </w:r>
          </w:p>
        </w:tc>
        <w:tc>
          <w:tcPr>
            <w:tcW w:w="1160" w:type="dxa"/>
            <w:vAlign w:val="bottom"/>
            <w:vMerge w:val="restart"/>
            <w:shd w:val="clear" w:color="auto" w:fill="B6CCD6"/>
          </w:tcPr>
          <w:p>
            <w:pPr>
              <w:jc w:val="right"/>
              <w:ind w:right="55"/>
              <w:spacing w:after="0"/>
              <w:rPr>
                <w:sz w:val="20"/>
                <w:szCs w:val="20"/>
                <w:color w:val="auto"/>
              </w:rPr>
            </w:pPr>
            <w:r>
              <w:rPr>
                <w:rFonts w:ascii="Arial" w:cs="Arial" w:eastAsia="Arial" w:hAnsi="Arial"/>
                <w:sz w:val="11"/>
                <w:szCs w:val="11"/>
                <w:b w:val="1"/>
                <w:bCs w:val="1"/>
                <w:color w:val="FFFFFF"/>
              </w:rPr>
              <w:t>Value</w:t>
            </w:r>
          </w:p>
        </w:tc>
        <w:tc>
          <w:tcPr>
            <w:tcW w:w="0" w:type="dxa"/>
            <w:vAlign w:val="bottom"/>
          </w:tcPr>
          <w:p>
            <w:pPr>
              <w:spacing w:after="0"/>
              <w:rPr>
                <w:sz w:val="1"/>
                <w:szCs w:val="1"/>
                <w:color w:val="auto"/>
              </w:rPr>
            </w:pPr>
          </w:p>
        </w:tc>
      </w:tr>
      <w:tr>
        <w:trPr>
          <w:trHeight w:val="109"/>
        </w:trPr>
        <w:tc>
          <w:tcPr>
            <w:tcW w:w="3180" w:type="dxa"/>
            <w:vAlign w:val="bottom"/>
            <w:shd w:val="clear" w:color="auto" w:fill="99B7C6"/>
          </w:tcPr>
          <w:p>
            <w:pPr>
              <w:spacing w:after="0"/>
              <w:rPr>
                <w:sz w:val="9"/>
                <w:szCs w:val="9"/>
                <w:color w:val="auto"/>
              </w:rPr>
            </w:pPr>
          </w:p>
        </w:tc>
        <w:tc>
          <w:tcPr>
            <w:tcW w:w="2760" w:type="dxa"/>
            <w:vAlign w:val="bottom"/>
            <w:shd w:val="clear" w:color="auto" w:fill="8AADBD"/>
          </w:tcPr>
          <w:p>
            <w:pPr>
              <w:jc w:val="right"/>
              <w:ind w:right="817"/>
              <w:spacing w:after="0" w:line="110" w:lineRule="exact"/>
              <w:rPr>
                <w:sz w:val="20"/>
                <w:szCs w:val="20"/>
                <w:color w:val="auto"/>
              </w:rPr>
            </w:pPr>
            <w:r>
              <w:rPr>
                <w:rFonts w:ascii="Arial" w:cs="Arial" w:eastAsia="Arial" w:hAnsi="Arial"/>
                <w:sz w:val="11"/>
                <w:szCs w:val="11"/>
                <w:b w:val="1"/>
                <w:bCs w:val="1"/>
                <w:color w:val="FFFFFF"/>
              </w:rPr>
              <w:t>Shares</w:t>
            </w:r>
          </w:p>
        </w:tc>
        <w:tc>
          <w:tcPr>
            <w:tcW w:w="1140" w:type="dxa"/>
            <w:vAlign w:val="bottom"/>
            <w:vMerge w:val="continue"/>
            <w:shd w:val="clear" w:color="auto" w:fill="8AADBD"/>
          </w:tcPr>
          <w:p>
            <w:pPr>
              <w:spacing w:after="0"/>
              <w:rPr>
                <w:sz w:val="9"/>
                <w:szCs w:val="9"/>
                <w:color w:val="auto"/>
              </w:rPr>
            </w:pPr>
          </w:p>
        </w:tc>
        <w:tc>
          <w:tcPr>
            <w:tcW w:w="2700" w:type="dxa"/>
            <w:vAlign w:val="bottom"/>
            <w:shd w:val="clear" w:color="auto" w:fill="B6CCD6"/>
          </w:tcPr>
          <w:p>
            <w:pPr>
              <w:jc w:val="right"/>
              <w:ind w:right="777"/>
              <w:spacing w:after="0" w:line="110" w:lineRule="exact"/>
              <w:rPr>
                <w:sz w:val="20"/>
                <w:szCs w:val="20"/>
                <w:color w:val="auto"/>
              </w:rPr>
            </w:pPr>
            <w:r>
              <w:rPr>
                <w:rFonts w:ascii="Arial" w:cs="Arial" w:eastAsia="Arial" w:hAnsi="Arial"/>
                <w:sz w:val="11"/>
                <w:szCs w:val="11"/>
                <w:b w:val="1"/>
                <w:bCs w:val="1"/>
                <w:color w:val="FFFFFF"/>
              </w:rPr>
              <w:t>Shares</w:t>
            </w:r>
          </w:p>
        </w:tc>
        <w:tc>
          <w:tcPr>
            <w:tcW w:w="1160" w:type="dxa"/>
            <w:vAlign w:val="bottom"/>
            <w:vMerge w:val="continue"/>
            <w:shd w:val="clear" w:color="auto" w:fill="B6CCD6"/>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180" w:type="dxa"/>
            <w:vAlign w:val="bottom"/>
            <w:shd w:val="clear" w:color="auto" w:fill="99B7C6"/>
          </w:tcPr>
          <w:p>
            <w:pPr>
              <w:spacing w:after="0"/>
              <w:rPr>
                <w:sz w:val="10"/>
                <w:szCs w:val="10"/>
                <w:color w:val="auto"/>
              </w:rPr>
            </w:pPr>
          </w:p>
        </w:tc>
        <w:tc>
          <w:tcPr>
            <w:tcW w:w="2760" w:type="dxa"/>
            <w:vAlign w:val="bottom"/>
            <w:shd w:val="clear" w:color="auto" w:fill="8AADBD"/>
          </w:tcPr>
          <w:p>
            <w:pPr>
              <w:jc w:val="right"/>
              <w:ind w:right="817"/>
              <w:spacing w:after="0" w:line="125" w:lineRule="exact"/>
              <w:rPr>
                <w:sz w:val="20"/>
                <w:szCs w:val="20"/>
                <w:color w:val="auto"/>
              </w:rPr>
            </w:pPr>
            <w:r>
              <w:rPr>
                <w:rFonts w:ascii="Arial" w:cs="Arial" w:eastAsia="Arial" w:hAnsi="Arial"/>
                <w:sz w:val="11"/>
                <w:szCs w:val="11"/>
                <w:b w:val="1"/>
                <w:bCs w:val="1"/>
                <w:color w:val="FFFFFF"/>
              </w:rPr>
              <w:t>Acquired</w:t>
            </w:r>
          </w:p>
        </w:tc>
        <w:tc>
          <w:tcPr>
            <w:tcW w:w="1140" w:type="dxa"/>
            <w:vAlign w:val="bottom"/>
            <w:shd w:val="clear" w:color="auto" w:fill="8AADBD"/>
          </w:tcPr>
          <w:p>
            <w:pPr>
              <w:jc w:val="right"/>
              <w:ind w:right="15"/>
              <w:spacing w:after="0" w:line="125" w:lineRule="exact"/>
              <w:rPr>
                <w:sz w:val="20"/>
                <w:szCs w:val="20"/>
                <w:color w:val="auto"/>
              </w:rPr>
            </w:pPr>
            <w:r>
              <w:rPr>
                <w:rFonts w:ascii="Arial" w:cs="Arial" w:eastAsia="Arial" w:hAnsi="Arial"/>
                <w:sz w:val="11"/>
                <w:szCs w:val="11"/>
                <w:b w:val="1"/>
                <w:bCs w:val="1"/>
                <w:color w:val="FFFFFF"/>
              </w:rPr>
              <w:t>Realized on</w:t>
            </w:r>
          </w:p>
        </w:tc>
        <w:tc>
          <w:tcPr>
            <w:tcW w:w="2700" w:type="dxa"/>
            <w:vAlign w:val="bottom"/>
            <w:shd w:val="clear" w:color="auto" w:fill="B6CCD6"/>
          </w:tcPr>
          <w:p>
            <w:pPr>
              <w:jc w:val="right"/>
              <w:ind w:right="777"/>
              <w:spacing w:after="0" w:line="125" w:lineRule="exact"/>
              <w:rPr>
                <w:sz w:val="20"/>
                <w:szCs w:val="20"/>
                <w:color w:val="auto"/>
              </w:rPr>
            </w:pPr>
            <w:r>
              <w:rPr>
                <w:rFonts w:ascii="Arial" w:cs="Arial" w:eastAsia="Arial" w:hAnsi="Arial"/>
                <w:sz w:val="11"/>
                <w:szCs w:val="11"/>
                <w:b w:val="1"/>
                <w:bCs w:val="1"/>
                <w:color w:val="FFFFFF"/>
              </w:rPr>
              <w:t>Acquired on</w:t>
            </w:r>
          </w:p>
        </w:tc>
        <w:tc>
          <w:tcPr>
            <w:tcW w:w="1160" w:type="dxa"/>
            <w:vAlign w:val="bottom"/>
            <w:shd w:val="clear" w:color="auto" w:fill="B6CCD6"/>
          </w:tcPr>
          <w:p>
            <w:pPr>
              <w:jc w:val="right"/>
              <w:ind w:right="55"/>
              <w:spacing w:after="0" w:line="125" w:lineRule="exact"/>
              <w:rPr>
                <w:sz w:val="20"/>
                <w:szCs w:val="20"/>
                <w:color w:val="auto"/>
              </w:rPr>
            </w:pPr>
            <w:r>
              <w:rPr>
                <w:rFonts w:ascii="Arial" w:cs="Arial" w:eastAsia="Arial" w:hAnsi="Arial"/>
                <w:sz w:val="11"/>
                <w:szCs w:val="11"/>
                <w:b w:val="1"/>
                <w:bCs w:val="1"/>
                <w:color w:val="FFFFFF"/>
              </w:rPr>
              <w:t>Realized on</w:t>
            </w:r>
          </w:p>
        </w:tc>
        <w:tc>
          <w:tcPr>
            <w:tcW w:w="0" w:type="dxa"/>
            <w:vAlign w:val="bottom"/>
          </w:tcPr>
          <w:p>
            <w:pPr>
              <w:spacing w:after="0"/>
              <w:rPr>
                <w:sz w:val="1"/>
                <w:szCs w:val="1"/>
                <w:color w:val="auto"/>
              </w:rPr>
            </w:pPr>
          </w:p>
        </w:tc>
      </w:tr>
      <w:tr>
        <w:trPr>
          <w:trHeight w:val="119"/>
        </w:trPr>
        <w:tc>
          <w:tcPr>
            <w:tcW w:w="3180" w:type="dxa"/>
            <w:vAlign w:val="bottom"/>
            <w:vMerge w:val="restart"/>
            <w:shd w:val="clear" w:color="auto" w:fill="99B7C6"/>
          </w:tcPr>
          <w:p>
            <w:pPr>
              <w:ind w:left="60"/>
              <w:spacing w:after="0"/>
              <w:rPr>
                <w:sz w:val="20"/>
                <w:szCs w:val="20"/>
                <w:color w:val="auto"/>
              </w:rPr>
            </w:pPr>
            <w:r>
              <w:rPr>
                <w:rFonts w:ascii="Arial" w:cs="Arial" w:eastAsia="Arial" w:hAnsi="Arial"/>
                <w:sz w:val="11"/>
                <w:szCs w:val="11"/>
                <w:b w:val="1"/>
                <w:bCs w:val="1"/>
                <w:color w:val="FFFFFF"/>
              </w:rPr>
              <w:t>Name</w:t>
            </w:r>
          </w:p>
        </w:tc>
        <w:tc>
          <w:tcPr>
            <w:tcW w:w="2760" w:type="dxa"/>
            <w:vAlign w:val="bottom"/>
            <w:shd w:val="clear" w:color="auto" w:fill="8AADBD"/>
          </w:tcPr>
          <w:p>
            <w:pPr>
              <w:jc w:val="right"/>
              <w:ind w:right="817"/>
              <w:spacing w:after="0" w:line="120" w:lineRule="exact"/>
              <w:rPr>
                <w:sz w:val="20"/>
                <w:szCs w:val="20"/>
                <w:color w:val="auto"/>
              </w:rPr>
            </w:pPr>
            <w:r>
              <w:rPr>
                <w:rFonts w:ascii="Arial" w:cs="Arial" w:eastAsia="Arial" w:hAnsi="Arial"/>
                <w:sz w:val="11"/>
                <w:szCs w:val="11"/>
                <w:b w:val="1"/>
                <w:bCs w:val="1"/>
                <w:color w:val="FFFFFF"/>
              </w:rPr>
              <w:t>on Exercise</w:t>
            </w:r>
          </w:p>
        </w:tc>
        <w:tc>
          <w:tcPr>
            <w:tcW w:w="1140" w:type="dxa"/>
            <w:vAlign w:val="bottom"/>
            <w:shd w:val="clear" w:color="auto" w:fill="8AADBD"/>
          </w:tcPr>
          <w:p>
            <w:pPr>
              <w:jc w:val="right"/>
              <w:ind w:right="15"/>
              <w:spacing w:after="0" w:line="120" w:lineRule="exact"/>
              <w:rPr>
                <w:sz w:val="20"/>
                <w:szCs w:val="20"/>
                <w:color w:val="auto"/>
              </w:rPr>
            </w:pPr>
            <w:r>
              <w:rPr>
                <w:rFonts w:ascii="Arial" w:cs="Arial" w:eastAsia="Arial" w:hAnsi="Arial"/>
                <w:sz w:val="11"/>
                <w:szCs w:val="11"/>
                <w:b w:val="1"/>
                <w:bCs w:val="1"/>
                <w:color w:val="FFFFFF"/>
              </w:rPr>
              <w:t>Exercise</w:t>
            </w:r>
            <w:r>
              <w:rPr>
                <w:rFonts w:ascii="Arial" w:cs="Arial" w:eastAsia="Arial" w:hAnsi="Arial"/>
                <w:sz w:val="12"/>
                <w:szCs w:val="12"/>
                <w:color w:val="FFFFFF"/>
                <w:vertAlign w:val="superscript"/>
              </w:rPr>
              <w:t>1</w:t>
            </w:r>
          </w:p>
        </w:tc>
        <w:tc>
          <w:tcPr>
            <w:tcW w:w="2700" w:type="dxa"/>
            <w:vAlign w:val="bottom"/>
            <w:shd w:val="clear" w:color="auto" w:fill="B6CCD6"/>
          </w:tcPr>
          <w:p>
            <w:pPr>
              <w:jc w:val="right"/>
              <w:ind w:right="777"/>
              <w:spacing w:after="0" w:line="120" w:lineRule="exact"/>
              <w:rPr>
                <w:sz w:val="20"/>
                <w:szCs w:val="20"/>
                <w:color w:val="auto"/>
              </w:rPr>
            </w:pPr>
            <w:r>
              <w:rPr>
                <w:rFonts w:ascii="Arial" w:cs="Arial" w:eastAsia="Arial" w:hAnsi="Arial"/>
                <w:sz w:val="11"/>
                <w:szCs w:val="11"/>
                <w:b w:val="1"/>
                <w:bCs w:val="1"/>
                <w:color w:val="FFFFFF"/>
              </w:rPr>
              <w:t>Vesting</w:t>
            </w:r>
          </w:p>
        </w:tc>
        <w:tc>
          <w:tcPr>
            <w:tcW w:w="1160" w:type="dxa"/>
            <w:vAlign w:val="bottom"/>
            <w:shd w:val="clear" w:color="auto" w:fill="B6CCD6"/>
          </w:tcPr>
          <w:p>
            <w:pPr>
              <w:jc w:val="right"/>
              <w:ind w:right="55"/>
              <w:spacing w:after="0" w:line="120" w:lineRule="exact"/>
              <w:rPr>
                <w:sz w:val="20"/>
                <w:szCs w:val="20"/>
                <w:color w:val="auto"/>
              </w:rPr>
            </w:pPr>
            <w:r>
              <w:rPr>
                <w:rFonts w:ascii="Arial" w:cs="Arial" w:eastAsia="Arial" w:hAnsi="Arial"/>
                <w:sz w:val="11"/>
                <w:szCs w:val="11"/>
                <w:b w:val="1"/>
                <w:bCs w:val="1"/>
                <w:color w:val="FFFFFF"/>
              </w:rPr>
              <w:t>Vesting</w:t>
            </w:r>
            <w:r>
              <w:rPr>
                <w:rFonts w:ascii="Arial" w:cs="Arial" w:eastAsia="Arial" w:hAnsi="Arial"/>
                <w:sz w:val="12"/>
                <w:szCs w:val="12"/>
                <w:color w:val="FFFFFF"/>
                <w:vertAlign w:val="superscript"/>
              </w:rPr>
              <w:t>2</w:t>
            </w:r>
          </w:p>
        </w:tc>
        <w:tc>
          <w:tcPr>
            <w:tcW w:w="0" w:type="dxa"/>
            <w:vAlign w:val="bottom"/>
          </w:tcPr>
          <w:p>
            <w:pPr>
              <w:spacing w:after="0"/>
              <w:rPr>
                <w:sz w:val="1"/>
                <w:szCs w:val="1"/>
                <w:color w:val="auto"/>
              </w:rPr>
            </w:pPr>
          </w:p>
        </w:tc>
      </w:tr>
      <w:tr>
        <w:trPr>
          <w:trHeight w:val="168"/>
        </w:trPr>
        <w:tc>
          <w:tcPr>
            <w:tcW w:w="3180" w:type="dxa"/>
            <w:vAlign w:val="bottom"/>
            <w:vMerge w:val="continue"/>
            <w:shd w:val="clear" w:color="auto" w:fill="99B7C6"/>
          </w:tcPr>
          <w:p>
            <w:pPr>
              <w:spacing w:after="0"/>
              <w:rPr>
                <w:sz w:val="14"/>
                <w:szCs w:val="14"/>
                <w:color w:val="auto"/>
              </w:rPr>
            </w:pPr>
          </w:p>
        </w:tc>
        <w:tc>
          <w:tcPr>
            <w:tcW w:w="2760" w:type="dxa"/>
            <w:vAlign w:val="bottom"/>
            <w:shd w:val="clear" w:color="auto" w:fill="8AADBD"/>
          </w:tcPr>
          <w:p>
            <w:pPr>
              <w:jc w:val="right"/>
              <w:ind w:right="797"/>
              <w:spacing w:after="0"/>
              <w:rPr>
                <w:sz w:val="20"/>
                <w:szCs w:val="20"/>
                <w:color w:val="auto"/>
              </w:rPr>
            </w:pPr>
            <w:r>
              <w:rPr>
                <w:rFonts w:ascii="Arial" w:cs="Arial" w:eastAsia="Arial" w:hAnsi="Arial"/>
                <w:sz w:val="11"/>
                <w:szCs w:val="11"/>
                <w:b w:val="1"/>
                <w:bCs w:val="1"/>
                <w:color w:val="FFFFFF"/>
              </w:rPr>
              <w:t>(#)</w:t>
            </w:r>
          </w:p>
        </w:tc>
        <w:tc>
          <w:tcPr>
            <w:tcW w:w="1140" w:type="dxa"/>
            <w:vAlign w:val="bottom"/>
            <w:shd w:val="clear" w:color="auto" w:fill="8AADBD"/>
          </w:tcPr>
          <w:p>
            <w:pPr>
              <w:jc w:val="right"/>
              <w:spacing w:after="0"/>
              <w:rPr>
                <w:sz w:val="20"/>
                <w:szCs w:val="20"/>
                <w:color w:val="auto"/>
              </w:rPr>
            </w:pPr>
            <w:r>
              <w:rPr>
                <w:rFonts w:ascii="Arial" w:cs="Arial" w:eastAsia="Arial" w:hAnsi="Arial"/>
                <w:sz w:val="11"/>
                <w:szCs w:val="11"/>
                <w:b w:val="1"/>
                <w:bCs w:val="1"/>
                <w:color w:val="FFFFFF"/>
              </w:rPr>
              <w:t>($)</w:t>
            </w:r>
          </w:p>
        </w:tc>
        <w:tc>
          <w:tcPr>
            <w:tcW w:w="2700" w:type="dxa"/>
            <w:vAlign w:val="bottom"/>
            <w:shd w:val="clear" w:color="auto" w:fill="B6CCD6"/>
          </w:tcPr>
          <w:p>
            <w:pPr>
              <w:jc w:val="right"/>
              <w:ind w:right="737"/>
              <w:spacing w:after="0"/>
              <w:rPr>
                <w:sz w:val="20"/>
                <w:szCs w:val="20"/>
                <w:color w:val="auto"/>
              </w:rPr>
            </w:pPr>
            <w:r>
              <w:rPr>
                <w:rFonts w:ascii="Arial" w:cs="Arial" w:eastAsia="Arial" w:hAnsi="Arial"/>
                <w:sz w:val="11"/>
                <w:szCs w:val="11"/>
                <w:b w:val="1"/>
                <w:bCs w:val="1"/>
                <w:color w:val="FFFFFF"/>
              </w:rPr>
              <w:t>(#)</w:t>
            </w:r>
          </w:p>
        </w:tc>
        <w:tc>
          <w:tcPr>
            <w:tcW w:w="1160" w:type="dxa"/>
            <w:vAlign w:val="bottom"/>
            <w:shd w:val="clear" w:color="auto" w:fill="B6CCD6"/>
          </w:tcPr>
          <w:p>
            <w:pPr>
              <w:jc w:val="right"/>
              <w:ind w:right="55"/>
              <w:spacing w:after="0"/>
              <w:rPr>
                <w:sz w:val="20"/>
                <w:szCs w:val="20"/>
                <w:color w:val="auto"/>
              </w:rPr>
            </w:pPr>
            <w:r>
              <w:rPr>
                <w:rFonts w:ascii="Arial" w:cs="Arial" w:eastAsia="Arial" w:hAnsi="Arial"/>
                <w:sz w:val="11"/>
                <w:szCs w:val="11"/>
                <w:b w:val="1"/>
                <w:bCs w:val="1"/>
                <w:color w:val="FFFFFF"/>
              </w:rPr>
              <w:t>($)</w:t>
            </w:r>
          </w:p>
        </w:tc>
        <w:tc>
          <w:tcPr>
            <w:tcW w:w="0" w:type="dxa"/>
            <w:vAlign w:val="bottom"/>
          </w:tcPr>
          <w:p>
            <w:pPr>
              <w:spacing w:after="0"/>
              <w:rPr>
                <w:sz w:val="1"/>
                <w:szCs w:val="1"/>
                <w:color w:val="auto"/>
              </w:rPr>
            </w:pPr>
          </w:p>
        </w:tc>
      </w:tr>
      <w:tr>
        <w:trPr>
          <w:trHeight w:val="264"/>
        </w:trPr>
        <w:tc>
          <w:tcPr>
            <w:tcW w:w="318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Stefan Larsson</w:t>
            </w:r>
          </w:p>
        </w:tc>
        <w:tc>
          <w:tcPr>
            <w:tcW w:w="2760" w:type="dxa"/>
            <w:vAlign w:val="bottom"/>
            <w:shd w:val="clear" w:color="auto" w:fill="E2EAEF"/>
          </w:tcPr>
          <w:p>
            <w:pPr>
              <w:jc w:val="right"/>
              <w:ind w:right="797"/>
              <w:spacing w:after="0"/>
              <w:rPr>
                <w:sz w:val="20"/>
                <w:szCs w:val="20"/>
                <w:color w:val="auto"/>
              </w:rPr>
            </w:pPr>
            <w:r>
              <w:rPr>
                <w:rFonts w:ascii="Arial" w:cs="Arial" w:eastAsia="Arial" w:hAnsi="Arial"/>
                <w:sz w:val="14"/>
                <w:szCs w:val="14"/>
                <w:color w:val="auto"/>
              </w:rPr>
              <w:t>0</w:t>
            </w:r>
          </w:p>
        </w:tc>
        <w:tc>
          <w:tcPr>
            <w:tcW w:w="11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0</w:t>
            </w:r>
          </w:p>
        </w:tc>
        <w:tc>
          <w:tcPr>
            <w:tcW w:w="2700" w:type="dxa"/>
            <w:vAlign w:val="bottom"/>
            <w:shd w:val="clear" w:color="auto" w:fill="E9F0F3"/>
          </w:tcPr>
          <w:p>
            <w:pPr>
              <w:jc w:val="right"/>
              <w:ind w:right="737"/>
              <w:spacing w:after="0"/>
              <w:rPr>
                <w:sz w:val="20"/>
                <w:szCs w:val="20"/>
                <w:color w:val="auto"/>
              </w:rPr>
            </w:pPr>
            <w:r>
              <w:rPr>
                <w:rFonts w:ascii="Arial" w:cs="Arial" w:eastAsia="Arial" w:hAnsi="Arial"/>
                <w:sz w:val="14"/>
                <w:szCs w:val="14"/>
                <w:color w:val="auto"/>
              </w:rPr>
              <w:t>62,001</w:t>
            </w:r>
          </w:p>
        </w:tc>
        <w:tc>
          <w:tcPr>
            <w:tcW w:w="1160" w:type="dxa"/>
            <w:vAlign w:val="bottom"/>
            <w:shd w:val="clear" w:color="auto" w:fill="E9F0F3"/>
          </w:tcPr>
          <w:p>
            <w:pPr>
              <w:jc w:val="right"/>
              <w:ind w:right="55"/>
              <w:spacing w:after="0"/>
              <w:rPr>
                <w:sz w:val="20"/>
                <w:szCs w:val="20"/>
                <w:color w:val="auto"/>
              </w:rPr>
            </w:pPr>
            <w:r>
              <w:rPr>
                <w:rFonts w:ascii="Arial" w:cs="Arial" w:eastAsia="Arial" w:hAnsi="Arial"/>
                <w:sz w:val="14"/>
                <w:szCs w:val="14"/>
                <w:color w:val="auto"/>
              </w:rPr>
              <w:t>4,286,002</w:t>
            </w:r>
          </w:p>
        </w:tc>
        <w:tc>
          <w:tcPr>
            <w:tcW w:w="0" w:type="dxa"/>
            <w:vAlign w:val="bottom"/>
          </w:tcPr>
          <w:p>
            <w:pPr>
              <w:spacing w:after="0"/>
              <w:rPr>
                <w:sz w:val="1"/>
                <w:szCs w:val="1"/>
                <w:color w:val="auto"/>
              </w:rPr>
            </w:pPr>
          </w:p>
        </w:tc>
      </w:tr>
      <w:tr>
        <w:trPr>
          <w:trHeight w:val="66"/>
        </w:trPr>
        <w:tc>
          <w:tcPr>
            <w:tcW w:w="3180" w:type="dxa"/>
            <w:vAlign w:val="bottom"/>
            <w:shd w:val="clear" w:color="auto" w:fill="E9F0F3"/>
          </w:tcPr>
          <w:p>
            <w:pPr>
              <w:spacing w:after="0"/>
              <w:rPr>
                <w:sz w:val="5"/>
                <w:szCs w:val="5"/>
                <w:color w:val="auto"/>
              </w:rPr>
            </w:pPr>
          </w:p>
        </w:tc>
        <w:tc>
          <w:tcPr>
            <w:tcW w:w="2760" w:type="dxa"/>
            <w:vAlign w:val="bottom"/>
            <w:shd w:val="clear" w:color="auto" w:fill="E2EAEF"/>
          </w:tcPr>
          <w:p>
            <w:pPr>
              <w:spacing w:after="0"/>
              <w:rPr>
                <w:sz w:val="5"/>
                <w:szCs w:val="5"/>
                <w:color w:val="auto"/>
              </w:rPr>
            </w:pPr>
          </w:p>
        </w:tc>
        <w:tc>
          <w:tcPr>
            <w:tcW w:w="1140" w:type="dxa"/>
            <w:vAlign w:val="bottom"/>
            <w:shd w:val="clear" w:color="auto" w:fill="E2EAEF"/>
          </w:tcPr>
          <w:p>
            <w:pPr>
              <w:spacing w:after="0"/>
              <w:rPr>
                <w:sz w:val="5"/>
                <w:szCs w:val="5"/>
                <w:color w:val="auto"/>
              </w:rPr>
            </w:pPr>
          </w:p>
        </w:tc>
        <w:tc>
          <w:tcPr>
            <w:tcW w:w="2700" w:type="dxa"/>
            <w:vAlign w:val="bottom"/>
            <w:shd w:val="clear" w:color="auto" w:fill="E9F0F3"/>
          </w:tcPr>
          <w:p>
            <w:pPr>
              <w:spacing w:after="0"/>
              <w:rPr>
                <w:sz w:val="5"/>
                <w:szCs w:val="5"/>
                <w:color w:val="auto"/>
              </w:rPr>
            </w:pPr>
          </w:p>
        </w:tc>
        <w:tc>
          <w:tcPr>
            <w:tcW w:w="116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180" w:type="dxa"/>
            <w:vAlign w:val="bottom"/>
          </w:tcPr>
          <w:p>
            <w:pPr>
              <w:ind w:left="60"/>
              <w:spacing w:after="0"/>
              <w:rPr>
                <w:sz w:val="20"/>
                <w:szCs w:val="20"/>
                <w:color w:val="auto"/>
              </w:rPr>
            </w:pPr>
            <w:r>
              <w:rPr>
                <w:rFonts w:ascii="Arial" w:cs="Arial" w:eastAsia="Arial" w:hAnsi="Arial"/>
                <w:sz w:val="14"/>
                <w:szCs w:val="14"/>
                <w:b w:val="1"/>
                <w:bCs w:val="1"/>
                <w:color w:val="auto"/>
              </w:rPr>
              <w:t>Melissa Stone</w:t>
            </w:r>
          </w:p>
        </w:tc>
        <w:tc>
          <w:tcPr>
            <w:tcW w:w="2760" w:type="dxa"/>
            <w:vAlign w:val="bottom"/>
          </w:tcPr>
          <w:p>
            <w:pPr>
              <w:jc w:val="right"/>
              <w:ind w:right="797"/>
              <w:spacing w:after="0"/>
              <w:rPr>
                <w:sz w:val="20"/>
                <w:szCs w:val="20"/>
                <w:color w:val="auto"/>
              </w:rPr>
            </w:pPr>
            <w:r>
              <w:rPr>
                <w:rFonts w:ascii="Arial" w:cs="Arial" w:eastAsia="Arial" w:hAnsi="Arial"/>
                <w:sz w:val="14"/>
                <w:szCs w:val="14"/>
                <w:color w:val="auto"/>
              </w:rPr>
              <w:t>N/A</w:t>
            </w:r>
          </w:p>
        </w:tc>
        <w:tc>
          <w:tcPr>
            <w:tcW w:w="1140" w:type="dxa"/>
            <w:vAlign w:val="bottom"/>
          </w:tcPr>
          <w:p>
            <w:pPr>
              <w:jc w:val="right"/>
              <w:spacing w:after="0"/>
              <w:rPr>
                <w:sz w:val="20"/>
                <w:szCs w:val="20"/>
                <w:color w:val="auto"/>
              </w:rPr>
            </w:pPr>
            <w:r>
              <w:rPr>
                <w:rFonts w:ascii="Arial" w:cs="Arial" w:eastAsia="Arial" w:hAnsi="Arial"/>
                <w:sz w:val="14"/>
                <w:szCs w:val="14"/>
                <w:color w:val="auto"/>
              </w:rPr>
              <w:t>N/A</w:t>
            </w:r>
          </w:p>
        </w:tc>
        <w:tc>
          <w:tcPr>
            <w:tcW w:w="2700" w:type="dxa"/>
            <w:vAlign w:val="bottom"/>
          </w:tcPr>
          <w:p>
            <w:pPr>
              <w:jc w:val="right"/>
              <w:ind w:right="737"/>
              <w:spacing w:after="0"/>
              <w:rPr>
                <w:sz w:val="20"/>
                <w:szCs w:val="20"/>
                <w:color w:val="auto"/>
              </w:rPr>
            </w:pPr>
            <w:r>
              <w:rPr>
                <w:rFonts w:ascii="Arial" w:cs="Arial" w:eastAsia="Arial" w:hAnsi="Arial"/>
                <w:sz w:val="14"/>
                <w:szCs w:val="14"/>
                <w:color w:val="auto"/>
              </w:rPr>
              <w:t>2,089</w:t>
            </w:r>
          </w:p>
        </w:tc>
        <w:tc>
          <w:tcPr>
            <w:tcW w:w="1160" w:type="dxa"/>
            <w:vAlign w:val="bottom"/>
          </w:tcPr>
          <w:p>
            <w:pPr>
              <w:jc w:val="right"/>
              <w:ind w:right="55"/>
              <w:spacing w:after="0"/>
              <w:rPr>
                <w:sz w:val="20"/>
                <w:szCs w:val="20"/>
                <w:color w:val="auto"/>
              </w:rPr>
            </w:pPr>
            <w:r>
              <w:rPr>
                <w:rFonts w:ascii="Arial" w:cs="Arial" w:eastAsia="Arial" w:hAnsi="Arial"/>
                <w:sz w:val="14"/>
                <w:szCs w:val="14"/>
                <w:color w:val="auto"/>
              </w:rPr>
              <w:t>142,119</w:t>
            </w:r>
          </w:p>
        </w:tc>
        <w:tc>
          <w:tcPr>
            <w:tcW w:w="0" w:type="dxa"/>
            <w:vAlign w:val="bottom"/>
          </w:tcPr>
          <w:p>
            <w:pPr>
              <w:spacing w:after="0"/>
              <w:rPr>
                <w:sz w:val="1"/>
                <w:szCs w:val="1"/>
                <w:color w:val="auto"/>
              </w:rPr>
            </w:pPr>
          </w:p>
        </w:tc>
      </w:tr>
      <w:tr>
        <w:trPr>
          <w:trHeight w:val="66"/>
        </w:trPr>
        <w:tc>
          <w:tcPr>
            <w:tcW w:w="31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18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Lea Rytz Goldman</w:t>
            </w:r>
          </w:p>
        </w:tc>
        <w:tc>
          <w:tcPr>
            <w:tcW w:w="2760" w:type="dxa"/>
            <w:vAlign w:val="bottom"/>
            <w:shd w:val="clear" w:color="auto" w:fill="E2EAEF"/>
          </w:tcPr>
          <w:p>
            <w:pPr>
              <w:jc w:val="right"/>
              <w:ind w:right="797"/>
              <w:spacing w:after="0"/>
              <w:rPr>
                <w:sz w:val="20"/>
                <w:szCs w:val="20"/>
                <w:color w:val="auto"/>
              </w:rPr>
            </w:pPr>
            <w:r>
              <w:rPr>
                <w:rFonts w:ascii="Arial" w:cs="Arial" w:eastAsia="Arial" w:hAnsi="Arial"/>
                <w:sz w:val="14"/>
                <w:szCs w:val="14"/>
                <w:color w:val="auto"/>
              </w:rPr>
              <w:t>N/A</w:t>
            </w:r>
          </w:p>
        </w:tc>
        <w:tc>
          <w:tcPr>
            <w:tcW w:w="11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N/A</w:t>
            </w:r>
          </w:p>
        </w:tc>
        <w:tc>
          <w:tcPr>
            <w:tcW w:w="2700" w:type="dxa"/>
            <w:vAlign w:val="bottom"/>
            <w:shd w:val="clear" w:color="auto" w:fill="E9F0F3"/>
          </w:tcPr>
          <w:p>
            <w:pPr>
              <w:jc w:val="right"/>
              <w:ind w:right="737"/>
              <w:spacing w:after="0"/>
              <w:rPr>
                <w:sz w:val="20"/>
                <w:szCs w:val="20"/>
                <w:color w:val="auto"/>
              </w:rPr>
            </w:pPr>
            <w:r>
              <w:rPr>
                <w:rFonts w:ascii="Arial" w:cs="Arial" w:eastAsia="Arial" w:hAnsi="Arial"/>
                <w:sz w:val="14"/>
                <w:szCs w:val="14"/>
                <w:color w:val="auto"/>
              </w:rPr>
              <w:t>1,709</w:t>
            </w:r>
          </w:p>
        </w:tc>
        <w:tc>
          <w:tcPr>
            <w:tcW w:w="1160" w:type="dxa"/>
            <w:vAlign w:val="bottom"/>
            <w:shd w:val="clear" w:color="auto" w:fill="E9F0F3"/>
          </w:tcPr>
          <w:p>
            <w:pPr>
              <w:jc w:val="right"/>
              <w:ind w:right="55"/>
              <w:spacing w:after="0"/>
              <w:rPr>
                <w:sz w:val="20"/>
                <w:szCs w:val="20"/>
                <w:color w:val="auto"/>
              </w:rPr>
            </w:pPr>
            <w:r>
              <w:rPr>
                <w:rFonts w:ascii="Arial" w:cs="Arial" w:eastAsia="Arial" w:hAnsi="Arial"/>
                <w:sz w:val="14"/>
                <w:szCs w:val="14"/>
                <w:color w:val="auto"/>
              </w:rPr>
              <w:t>118,177</w:t>
            </w:r>
          </w:p>
        </w:tc>
        <w:tc>
          <w:tcPr>
            <w:tcW w:w="0" w:type="dxa"/>
            <w:vAlign w:val="bottom"/>
          </w:tcPr>
          <w:p>
            <w:pPr>
              <w:spacing w:after="0"/>
              <w:rPr>
                <w:sz w:val="1"/>
                <w:szCs w:val="1"/>
                <w:color w:val="auto"/>
              </w:rPr>
            </w:pPr>
          </w:p>
        </w:tc>
      </w:tr>
      <w:tr>
        <w:trPr>
          <w:trHeight w:val="66"/>
        </w:trPr>
        <w:tc>
          <w:tcPr>
            <w:tcW w:w="3180" w:type="dxa"/>
            <w:vAlign w:val="bottom"/>
            <w:shd w:val="clear" w:color="auto" w:fill="E9F0F3"/>
          </w:tcPr>
          <w:p>
            <w:pPr>
              <w:spacing w:after="0"/>
              <w:rPr>
                <w:sz w:val="5"/>
                <w:szCs w:val="5"/>
                <w:color w:val="auto"/>
              </w:rPr>
            </w:pPr>
          </w:p>
        </w:tc>
        <w:tc>
          <w:tcPr>
            <w:tcW w:w="2760" w:type="dxa"/>
            <w:vAlign w:val="bottom"/>
            <w:shd w:val="clear" w:color="auto" w:fill="E2EAEF"/>
          </w:tcPr>
          <w:p>
            <w:pPr>
              <w:spacing w:after="0"/>
              <w:rPr>
                <w:sz w:val="5"/>
                <w:szCs w:val="5"/>
                <w:color w:val="auto"/>
              </w:rPr>
            </w:pPr>
          </w:p>
        </w:tc>
        <w:tc>
          <w:tcPr>
            <w:tcW w:w="1140" w:type="dxa"/>
            <w:vAlign w:val="bottom"/>
            <w:shd w:val="clear" w:color="auto" w:fill="E2EAEF"/>
          </w:tcPr>
          <w:p>
            <w:pPr>
              <w:spacing w:after="0"/>
              <w:rPr>
                <w:sz w:val="5"/>
                <w:szCs w:val="5"/>
                <w:color w:val="auto"/>
              </w:rPr>
            </w:pPr>
          </w:p>
        </w:tc>
        <w:tc>
          <w:tcPr>
            <w:tcW w:w="2700" w:type="dxa"/>
            <w:vAlign w:val="bottom"/>
            <w:shd w:val="clear" w:color="auto" w:fill="E9F0F3"/>
          </w:tcPr>
          <w:p>
            <w:pPr>
              <w:spacing w:after="0"/>
              <w:rPr>
                <w:sz w:val="5"/>
                <w:szCs w:val="5"/>
                <w:color w:val="auto"/>
              </w:rPr>
            </w:pPr>
          </w:p>
        </w:tc>
        <w:tc>
          <w:tcPr>
            <w:tcW w:w="116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180" w:type="dxa"/>
            <w:vAlign w:val="bottom"/>
          </w:tcPr>
          <w:p>
            <w:pPr>
              <w:ind w:left="60"/>
              <w:spacing w:after="0"/>
              <w:rPr>
                <w:sz w:val="20"/>
                <w:szCs w:val="20"/>
                <w:color w:val="auto"/>
              </w:rPr>
            </w:pPr>
            <w:r>
              <w:rPr>
                <w:rFonts w:ascii="Arial" w:cs="Arial" w:eastAsia="Arial" w:hAnsi="Arial"/>
                <w:sz w:val="14"/>
                <w:szCs w:val="14"/>
                <w:b w:val="1"/>
                <w:bCs w:val="1"/>
                <w:color w:val="auto"/>
              </w:rPr>
              <w:t>Fredrik Olsson</w:t>
            </w:r>
          </w:p>
        </w:tc>
        <w:tc>
          <w:tcPr>
            <w:tcW w:w="2760" w:type="dxa"/>
            <w:vAlign w:val="bottom"/>
          </w:tcPr>
          <w:p>
            <w:pPr>
              <w:jc w:val="right"/>
              <w:ind w:right="797"/>
              <w:spacing w:after="0"/>
              <w:rPr>
                <w:sz w:val="20"/>
                <w:szCs w:val="20"/>
                <w:color w:val="auto"/>
              </w:rPr>
            </w:pPr>
            <w:r>
              <w:rPr>
                <w:rFonts w:ascii="Arial" w:cs="Arial" w:eastAsia="Arial" w:hAnsi="Arial"/>
                <w:sz w:val="14"/>
                <w:szCs w:val="14"/>
                <w:color w:val="auto"/>
              </w:rPr>
              <w:t>N/A</w:t>
            </w:r>
          </w:p>
        </w:tc>
        <w:tc>
          <w:tcPr>
            <w:tcW w:w="1140" w:type="dxa"/>
            <w:vAlign w:val="bottom"/>
          </w:tcPr>
          <w:p>
            <w:pPr>
              <w:jc w:val="right"/>
              <w:spacing w:after="0"/>
              <w:rPr>
                <w:sz w:val="20"/>
                <w:szCs w:val="20"/>
                <w:color w:val="auto"/>
              </w:rPr>
            </w:pPr>
            <w:r>
              <w:rPr>
                <w:rFonts w:ascii="Arial" w:cs="Arial" w:eastAsia="Arial" w:hAnsi="Arial"/>
                <w:sz w:val="14"/>
                <w:szCs w:val="14"/>
                <w:color w:val="auto"/>
              </w:rPr>
              <w:t>N/A</w:t>
            </w:r>
          </w:p>
        </w:tc>
        <w:tc>
          <w:tcPr>
            <w:tcW w:w="2700" w:type="dxa"/>
            <w:vAlign w:val="bottom"/>
          </w:tcPr>
          <w:p>
            <w:pPr>
              <w:jc w:val="right"/>
              <w:ind w:right="737"/>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55"/>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66"/>
        </w:trPr>
        <w:tc>
          <w:tcPr>
            <w:tcW w:w="31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18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David Savman</w:t>
            </w:r>
          </w:p>
        </w:tc>
        <w:tc>
          <w:tcPr>
            <w:tcW w:w="2760" w:type="dxa"/>
            <w:vAlign w:val="bottom"/>
            <w:shd w:val="clear" w:color="auto" w:fill="E2EAEF"/>
          </w:tcPr>
          <w:p>
            <w:pPr>
              <w:jc w:val="right"/>
              <w:ind w:right="797"/>
              <w:spacing w:after="0"/>
              <w:rPr>
                <w:sz w:val="20"/>
                <w:szCs w:val="20"/>
                <w:color w:val="auto"/>
              </w:rPr>
            </w:pPr>
            <w:r>
              <w:rPr>
                <w:rFonts w:ascii="Arial" w:cs="Arial" w:eastAsia="Arial" w:hAnsi="Arial"/>
                <w:sz w:val="14"/>
                <w:szCs w:val="14"/>
                <w:color w:val="auto"/>
              </w:rPr>
              <w:t>N/A</w:t>
            </w:r>
          </w:p>
        </w:tc>
        <w:tc>
          <w:tcPr>
            <w:tcW w:w="11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N/A</w:t>
            </w:r>
          </w:p>
        </w:tc>
        <w:tc>
          <w:tcPr>
            <w:tcW w:w="2700" w:type="dxa"/>
            <w:vAlign w:val="bottom"/>
            <w:shd w:val="clear" w:color="auto" w:fill="E9F0F3"/>
          </w:tcPr>
          <w:p>
            <w:pPr>
              <w:jc w:val="right"/>
              <w:ind w:right="737"/>
              <w:spacing w:after="0"/>
              <w:rPr>
                <w:sz w:val="20"/>
                <w:szCs w:val="20"/>
                <w:color w:val="auto"/>
              </w:rPr>
            </w:pPr>
            <w:r>
              <w:rPr>
                <w:rFonts w:ascii="Arial" w:cs="Arial" w:eastAsia="Arial" w:hAnsi="Arial"/>
                <w:sz w:val="14"/>
                <w:szCs w:val="14"/>
                <w:color w:val="auto"/>
              </w:rPr>
              <w:t>3,236</w:t>
            </w:r>
          </w:p>
        </w:tc>
        <w:tc>
          <w:tcPr>
            <w:tcW w:w="1160" w:type="dxa"/>
            <w:vAlign w:val="bottom"/>
            <w:shd w:val="clear" w:color="auto" w:fill="E9F0F3"/>
          </w:tcPr>
          <w:p>
            <w:pPr>
              <w:jc w:val="right"/>
              <w:ind w:right="55"/>
              <w:spacing w:after="0"/>
              <w:rPr>
                <w:sz w:val="20"/>
                <w:szCs w:val="20"/>
                <w:color w:val="auto"/>
              </w:rPr>
            </w:pPr>
            <w:r>
              <w:rPr>
                <w:rFonts w:ascii="Arial" w:cs="Arial" w:eastAsia="Arial" w:hAnsi="Arial"/>
                <w:sz w:val="14"/>
                <w:szCs w:val="14"/>
                <w:color w:val="auto"/>
              </w:rPr>
              <w:t>220,876</w:t>
            </w:r>
          </w:p>
        </w:tc>
        <w:tc>
          <w:tcPr>
            <w:tcW w:w="0" w:type="dxa"/>
            <w:vAlign w:val="bottom"/>
          </w:tcPr>
          <w:p>
            <w:pPr>
              <w:spacing w:after="0"/>
              <w:rPr>
                <w:sz w:val="1"/>
                <w:szCs w:val="1"/>
                <w:color w:val="auto"/>
              </w:rPr>
            </w:pPr>
          </w:p>
        </w:tc>
      </w:tr>
      <w:tr>
        <w:trPr>
          <w:trHeight w:val="66"/>
        </w:trPr>
        <w:tc>
          <w:tcPr>
            <w:tcW w:w="3180" w:type="dxa"/>
            <w:vAlign w:val="bottom"/>
            <w:shd w:val="clear" w:color="auto" w:fill="E9F0F3"/>
          </w:tcPr>
          <w:p>
            <w:pPr>
              <w:spacing w:after="0"/>
              <w:rPr>
                <w:sz w:val="5"/>
                <w:szCs w:val="5"/>
                <w:color w:val="auto"/>
              </w:rPr>
            </w:pPr>
          </w:p>
        </w:tc>
        <w:tc>
          <w:tcPr>
            <w:tcW w:w="2760" w:type="dxa"/>
            <w:vAlign w:val="bottom"/>
            <w:shd w:val="clear" w:color="auto" w:fill="E2EAEF"/>
          </w:tcPr>
          <w:p>
            <w:pPr>
              <w:spacing w:after="0"/>
              <w:rPr>
                <w:sz w:val="5"/>
                <w:szCs w:val="5"/>
                <w:color w:val="auto"/>
              </w:rPr>
            </w:pPr>
          </w:p>
        </w:tc>
        <w:tc>
          <w:tcPr>
            <w:tcW w:w="1140" w:type="dxa"/>
            <w:vAlign w:val="bottom"/>
            <w:shd w:val="clear" w:color="auto" w:fill="E2EAEF"/>
          </w:tcPr>
          <w:p>
            <w:pPr>
              <w:spacing w:after="0"/>
              <w:rPr>
                <w:sz w:val="5"/>
                <w:szCs w:val="5"/>
                <w:color w:val="auto"/>
              </w:rPr>
            </w:pPr>
          </w:p>
        </w:tc>
        <w:tc>
          <w:tcPr>
            <w:tcW w:w="2700" w:type="dxa"/>
            <w:vAlign w:val="bottom"/>
            <w:shd w:val="clear" w:color="auto" w:fill="E9F0F3"/>
          </w:tcPr>
          <w:p>
            <w:pPr>
              <w:spacing w:after="0"/>
              <w:rPr>
                <w:sz w:val="5"/>
                <w:szCs w:val="5"/>
                <w:color w:val="auto"/>
              </w:rPr>
            </w:pPr>
          </w:p>
        </w:tc>
        <w:tc>
          <w:tcPr>
            <w:tcW w:w="116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180" w:type="dxa"/>
            <w:vAlign w:val="bottom"/>
          </w:tcPr>
          <w:p>
            <w:pPr>
              <w:ind w:left="60"/>
              <w:spacing w:after="0"/>
              <w:rPr>
                <w:sz w:val="20"/>
                <w:szCs w:val="20"/>
                <w:color w:val="auto"/>
              </w:rPr>
            </w:pPr>
            <w:r>
              <w:rPr>
                <w:rFonts w:ascii="Arial" w:cs="Arial" w:eastAsia="Arial" w:hAnsi="Arial"/>
                <w:sz w:val="14"/>
                <w:szCs w:val="14"/>
                <w:b w:val="1"/>
                <w:bCs w:val="1"/>
                <w:color w:val="auto"/>
              </w:rPr>
              <w:t>Zachary J. Coughlin</w:t>
            </w:r>
          </w:p>
        </w:tc>
        <w:tc>
          <w:tcPr>
            <w:tcW w:w="2760" w:type="dxa"/>
            <w:vAlign w:val="bottom"/>
          </w:tcPr>
          <w:p>
            <w:pPr>
              <w:jc w:val="right"/>
              <w:ind w:right="797"/>
              <w:spacing w:after="0"/>
              <w:rPr>
                <w:sz w:val="20"/>
                <w:szCs w:val="20"/>
                <w:color w:val="auto"/>
              </w:rPr>
            </w:pPr>
            <w:r>
              <w:rPr>
                <w:rFonts w:ascii="Arial" w:cs="Arial" w:eastAsia="Arial" w:hAnsi="Arial"/>
                <w:sz w:val="14"/>
                <w:szCs w:val="14"/>
                <w:color w:val="auto"/>
              </w:rPr>
              <w:t>0</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2700" w:type="dxa"/>
            <w:vAlign w:val="bottom"/>
          </w:tcPr>
          <w:p>
            <w:pPr>
              <w:jc w:val="right"/>
              <w:ind w:right="737"/>
              <w:spacing w:after="0"/>
              <w:rPr>
                <w:sz w:val="20"/>
                <w:szCs w:val="20"/>
                <w:color w:val="auto"/>
              </w:rPr>
            </w:pPr>
            <w:r>
              <w:rPr>
                <w:rFonts w:ascii="Arial" w:cs="Arial" w:eastAsia="Arial" w:hAnsi="Arial"/>
                <w:sz w:val="14"/>
                <w:szCs w:val="14"/>
                <w:color w:val="auto"/>
              </w:rPr>
              <w:t>12,274</w:t>
            </w:r>
          </w:p>
        </w:tc>
        <w:tc>
          <w:tcPr>
            <w:tcW w:w="1160" w:type="dxa"/>
            <w:vAlign w:val="bottom"/>
          </w:tcPr>
          <w:p>
            <w:pPr>
              <w:jc w:val="right"/>
              <w:ind w:right="55"/>
              <w:spacing w:after="0"/>
              <w:rPr>
                <w:sz w:val="20"/>
                <w:szCs w:val="20"/>
                <w:color w:val="auto"/>
              </w:rPr>
            </w:pPr>
            <w:r>
              <w:rPr>
                <w:rFonts w:ascii="Arial" w:cs="Arial" w:eastAsia="Arial" w:hAnsi="Arial"/>
                <w:sz w:val="14"/>
                <w:szCs w:val="14"/>
                <w:color w:val="auto"/>
              </w:rPr>
              <w:t>845,389</w:t>
            </w:r>
          </w:p>
        </w:tc>
        <w:tc>
          <w:tcPr>
            <w:tcW w:w="0" w:type="dxa"/>
            <w:vAlign w:val="bottom"/>
          </w:tcPr>
          <w:p>
            <w:pPr>
              <w:spacing w:after="0"/>
              <w:rPr>
                <w:sz w:val="1"/>
                <w:szCs w:val="1"/>
                <w:color w:val="auto"/>
              </w:rPr>
            </w:pPr>
          </w:p>
        </w:tc>
      </w:tr>
      <w:tr>
        <w:trPr>
          <w:trHeight w:val="66"/>
        </w:trPr>
        <w:tc>
          <w:tcPr>
            <w:tcW w:w="31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318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Eva Serrano</w:t>
            </w:r>
          </w:p>
        </w:tc>
        <w:tc>
          <w:tcPr>
            <w:tcW w:w="2760" w:type="dxa"/>
            <w:vAlign w:val="bottom"/>
            <w:shd w:val="clear" w:color="auto" w:fill="E2EAEF"/>
          </w:tcPr>
          <w:p>
            <w:pPr>
              <w:jc w:val="right"/>
              <w:ind w:right="797"/>
              <w:spacing w:after="0"/>
              <w:rPr>
                <w:sz w:val="20"/>
                <w:szCs w:val="20"/>
                <w:color w:val="auto"/>
              </w:rPr>
            </w:pPr>
            <w:r>
              <w:rPr>
                <w:rFonts w:ascii="Arial" w:cs="Arial" w:eastAsia="Arial" w:hAnsi="Arial"/>
                <w:sz w:val="14"/>
                <w:szCs w:val="14"/>
                <w:color w:val="auto"/>
              </w:rPr>
              <w:t>N/A</w:t>
            </w:r>
          </w:p>
        </w:tc>
        <w:tc>
          <w:tcPr>
            <w:tcW w:w="1140" w:type="dxa"/>
            <w:vAlign w:val="bottom"/>
            <w:shd w:val="clear" w:color="auto" w:fill="E2EAEF"/>
          </w:tcPr>
          <w:p>
            <w:pPr>
              <w:jc w:val="right"/>
              <w:spacing w:after="0"/>
              <w:rPr>
                <w:sz w:val="20"/>
                <w:szCs w:val="20"/>
                <w:color w:val="auto"/>
              </w:rPr>
            </w:pPr>
            <w:r>
              <w:rPr>
                <w:rFonts w:ascii="Arial" w:cs="Arial" w:eastAsia="Arial" w:hAnsi="Arial"/>
                <w:sz w:val="14"/>
                <w:szCs w:val="14"/>
                <w:color w:val="auto"/>
              </w:rPr>
              <w:t>N/A</w:t>
            </w:r>
          </w:p>
        </w:tc>
        <w:tc>
          <w:tcPr>
            <w:tcW w:w="2700" w:type="dxa"/>
            <w:vAlign w:val="bottom"/>
            <w:shd w:val="clear" w:color="auto" w:fill="E9F0F3"/>
          </w:tcPr>
          <w:p>
            <w:pPr>
              <w:jc w:val="right"/>
              <w:ind w:right="737"/>
              <w:spacing w:after="0"/>
              <w:rPr>
                <w:sz w:val="20"/>
                <w:szCs w:val="20"/>
                <w:color w:val="auto"/>
              </w:rPr>
            </w:pPr>
            <w:r>
              <w:rPr>
                <w:rFonts w:ascii="Arial" w:cs="Arial" w:eastAsia="Arial" w:hAnsi="Arial"/>
                <w:sz w:val="14"/>
                <w:szCs w:val="14"/>
                <w:color w:val="auto"/>
              </w:rPr>
              <w:t>7,159</w:t>
            </w:r>
          </w:p>
        </w:tc>
        <w:tc>
          <w:tcPr>
            <w:tcW w:w="1160" w:type="dxa"/>
            <w:vAlign w:val="bottom"/>
            <w:shd w:val="clear" w:color="auto" w:fill="E9F0F3"/>
          </w:tcPr>
          <w:p>
            <w:pPr>
              <w:jc w:val="right"/>
              <w:ind w:right="55"/>
              <w:spacing w:after="0"/>
              <w:rPr>
                <w:sz w:val="20"/>
                <w:szCs w:val="20"/>
                <w:color w:val="auto"/>
              </w:rPr>
            </w:pPr>
            <w:r>
              <w:rPr>
                <w:rFonts w:ascii="Arial" w:cs="Arial" w:eastAsia="Arial" w:hAnsi="Arial"/>
                <w:sz w:val="14"/>
                <w:szCs w:val="14"/>
                <w:color w:val="auto"/>
              </w:rPr>
              <w:t>487,577</w:t>
            </w:r>
          </w:p>
        </w:tc>
        <w:tc>
          <w:tcPr>
            <w:tcW w:w="0" w:type="dxa"/>
            <w:vAlign w:val="bottom"/>
          </w:tcPr>
          <w:p>
            <w:pPr>
              <w:spacing w:after="0"/>
              <w:rPr>
                <w:sz w:val="1"/>
                <w:szCs w:val="1"/>
                <w:color w:val="auto"/>
              </w:rPr>
            </w:pPr>
          </w:p>
        </w:tc>
      </w:tr>
      <w:tr>
        <w:trPr>
          <w:trHeight w:val="66"/>
        </w:trPr>
        <w:tc>
          <w:tcPr>
            <w:tcW w:w="3180" w:type="dxa"/>
            <w:vAlign w:val="bottom"/>
            <w:shd w:val="clear" w:color="auto" w:fill="E9F0F3"/>
          </w:tcPr>
          <w:p>
            <w:pPr>
              <w:spacing w:after="0"/>
              <w:rPr>
                <w:sz w:val="5"/>
                <w:szCs w:val="5"/>
                <w:color w:val="auto"/>
              </w:rPr>
            </w:pPr>
          </w:p>
        </w:tc>
        <w:tc>
          <w:tcPr>
            <w:tcW w:w="2760" w:type="dxa"/>
            <w:vAlign w:val="bottom"/>
            <w:shd w:val="clear" w:color="auto" w:fill="E2EAEF"/>
          </w:tcPr>
          <w:p>
            <w:pPr>
              <w:spacing w:after="0"/>
              <w:rPr>
                <w:sz w:val="5"/>
                <w:szCs w:val="5"/>
                <w:color w:val="auto"/>
              </w:rPr>
            </w:pPr>
          </w:p>
        </w:tc>
        <w:tc>
          <w:tcPr>
            <w:tcW w:w="1140" w:type="dxa"/>
            <w:vAlign w:val="bottom"/>
            <w:shd w:val="clear" w:color="auto" w:fill="E2EAEF"/>
          </w:tcPr>
          <w:p>
            <w:pPr>
              <w:spacing w:after="0"/>
              <w:rPr>
                <w:sz w:val="5"/>
                <w:szCs w:val="5"/>
                <w:color w:val="auto"/>
              </w:rPr>
            </w:pPr>
          </w:p>
        </w:tc>
        <w:tc>
          <w:tcPr>
            <w:tcW w:w="2700" w:type="dxa"/>
            <w:vAlign w:val="bottom"/>
            <w:shd w:val="clear" w:color="auto" w:fill="E9F0F3"/>
          </w:tcPr>
          <w:p>
            <w:pPr>
              <w:spacing w:after="0"/>
              <w:rPr>
                <w:sz w:val="5"/>
                <w:szCs w:val="5"/>
                <w:color w:val="auto"/>
              </w:rPr>
            </w:pPr>
          </w:p>
        </w:tc>
        <w:tc>
          <w:tcPr>
            <w:tcW w:w="116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80" w:hanging="169"/>
        <w:spacing w:after="0"/>
        <w:tabs>
          <w:tab w:leader="none" w:pos="18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The value realized on exercise equals the price of our common stock on the date of exercise less the exercise price, multiplied by the number of shares acquired upon exercise.</w:t>
      </w:r>
    </w:p>
    <w:p>
      <w:pPr>
        <w:spacing w:after="0" w:line="38"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color w:val="auto"/>
        </w:rPr>
        <w:t>2  The value realized on vesting equals the price of our common stock on the date of vesting multiplied by the number of shares vested.</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6D98AD"/>
        </w:rPr>
        <w:t>Pension Benefits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00" w:type="dxa"/>
            <w:vAlign w:val="bottom"/>
            <w:shd w:val="clear" w:color="auto" w:fill="99B7C6"/>
          </w:tcPr>
          <w:p>
            <w:pPr>
              <w:spacing w:after="0"/>
              <w:rPr>
                <w:sz w:val="13"/>
                <w:szCs w:val="13"/>
                <w:color w:val="auto"/>
              </w:rPr>
            </w:pPr>
          </w:p>
        </w:tc>
        <w:tc>
          <w:tcPr>
            <w:tcW w:w="2660" w:type="dxa"/>
            <w:vAlign w:val="bottom"/>
            <w:shd w:val="clear" w:color="auto" w:fill="99B7C6"/>
          </w:tcPr>
          <w:p>
            <w:pPr>
              <w:spacing w:after="0"/>
              <w:rPr>
                <w:sz w:val="13"/>
                <w:szCs w:val="13"/>
                <w:color w:val="auto"/>
              </w:rPr>
            </w:pPr>
          </w:p>
        </w:tc>
        <w:tc>
          <w:tcPr>
            <w:tcW w:w="2120" w:type="dxa"/>
            <w:vAlign w:val="bottom"/>
            <w:shd w:val="clear" w:color="auto" w:fill="99B7C6"/>
          </w:tcPr>
          <w:p>
            <w:pPr>
              <w:jc w:val="right"/>
              <w:ind w:right="332"/>
              <w:spacing w:after="0"/>
              <w:rPr>
                <w:sz w:val="20"/>
                <w:szCs w:val="20"/>
                <w:color w:val="auto"/>
              </w:rPr>
            </w:pPr>
            <w:r>
              <w:rPr>
                <w:rFonts w:ascii="Arial" w:cs="Arial" w:eastAsia="Arial" w:hAnsi="Arial"/>
                <w:sz w:val="11"/>
                <w:szCs w:val="11"/>
                <w:b w:val="1"/>
                <w:bCs w:val="1"/>
                <w:color w:val="FFFFFF"/>
              </w:rPr>
              <w:t>Number of Years</w:t>
            </w:r>
          </w:p>
        </w:tc>
        <w:tc>
          <w:tcPr>
            <w:tcW w:w="1980" w:type="dxa"/>
            <w:vAlign w:val="bottom"/>
            <w:shd w:val="clear" w:color="auto" w:fill="99B7C6"/>
          </w:tcPr>
          <w:p>
            <w:pPr>
              <w:jc w:val="right"/>
              <w:ind w:right="392"/>
              <w:spacing w:after="0"/>
              <w:rPr>
                <w:sz w:val="20"/>
                <w:szCs w:val="20"/>
                <w:color w:val="auto"/>
              </w:rPr>
            </w:pPr>
            <w:r>
              <w:rPr>
                <w:rFonts w:ascii="Arial" w:cs="Arial" w:eastAsia="Arial" w:hAnsi="Arial"/>
                <w:sz w:val="11"/>
                <w:szCs w:val="11"/>
                <w:b w:val="1"/>
                <w:bCs w:val="1"/>
                <w:color w:val="FFFFFF"/>
              </w:rPr>
              <w:t>Present Value of</w:t>
            </w:r>
          </w:p>
        </w:tc>
        <w:tc>
          <w:tcPr>
            <w:tcW w:w="1480" w:type="dxa"/>
            <w:vAlign w:val="bottom"/>
            <w:shd w:val="clear" w:color="auto" w:fill="99B7C6"/>
          </w:tcPr>
          <w:p>
            <w:pPr>
              <w:jc w:val="right"/>
              <w:ind w:right="52"/>
              <w:spacing w:after="0"/>
              <w:rPr>
                <w:sz w:val="20"/>
                <w:szCs w:val="20"/>
                <w:color w:val="auto"/>
              </w:rPr>
            </w:pPr>
            <w:r>
              <w:rPr>
                <w:rFonts w:ascii="Arial" w:cs="Arial" w:eastAsia="Arial" w:hAnsi="Arial"/>
                <w:sz w:val="11"/>
                <w:szCs w:val="11"/>
                <w:b w:val="1"/>
                <w:bCs w:val="1"/>
                <w:color w:val="FFFFFF"/>
              </w:rPr>
              <w:t>Payments During</w:t>
            </w:r>
          </w:p>
        </w:tc>
        <w:tc>
          <w:tcPr>
            <w:tcW w:w="0" w:type="dxa"/>
            <w:vAlign w:val="bottom"/>
          </w:tcPr>
          <w:p>
            <w:pPr>
              <w:spacing w:after="0"/>
              <w:rPr>
                <w:sz w:val="1"/>
                <w:szCs w:val="1"/>
                <w:color w:val="auto"/>
              </w:rPr>
            </w:pPr>
          </w:p>
        </w:tc>
      </w:tr>
      <w:tr>
        <w:trPr>
          <w:trHeight w:val="119"/>
        </w:trPr>
        <w:tc>
          <w:tcPr>
            <w:tcW w:w="2700" w:type="dxa"/>
            <w:vAlign w:val="bottom"/>
            <w:vMerge w:val="restart"/>
            <w:shd w:val="clear" w:color="auto" w:fill="99B7C6"/>
          </w:tcPr>
          <w:p>
            <w:pPr>
              <w:ind w:left="60"/>
              <w:spacing w:after="0"/>
              <w:rPr>
                <w:sz w:val="20"/>
                <w:szCs w:val="20"/>
                <w:color w:val="auto"/>
              </w:rPr>
            </w:pPr>
            <w:r>
              <w:rPr>
                <w:rFonts w:ascii="Arial" w:cs="Arial" w:eastAsia="Arial" w:hAnsi="Arial"/>
                <w:sz w:val="11"/>
                <w:szCs w:val="11"/>
                <w:b w:val="1"/>
                <w:bCs w:val="1"/>
                <w:color w:val="FFFFFF"/>
              </w:rPr>
              <w:t>Name</w:t>
            </w:r>
          </w:p>
        </w:tc>
        <w:tc>
          <w:tcPr>
            <w:tcW w:w="2660" w:type="dxa"/>
            <w:vAlign w:val="bottom"/>
            <w:vMerge w:val="restart"/>
            <w:shd w:val="clear" w:color="auto" w:fill="99B7C6"/>
          </w:tcPr>
          <w:p>
            <w:pPr>
              <w:spacing w:after="0"/>
              <w:rPr>
                <w:sz w:val="20"/>
                <w:szCs w:val="20"/>
                <w:color w:val="auto"/>
              </w:rPr>
            </w:pPr>
            <w:r>
              <w:rPr>
                <w:rFonts w:ascii="Arial" w:cs="Arial" w:eastAsia="Arial" w:hAnsi="Arial"/>
                <w:sz w:val="11"/>
                <w:szCs w:val="11"/>
                <w:b w:val="1"/>
                <w:bCs w:val="1"/>
                <w:color w:val="FFFFFF"/>
              </w:rPr>
              <w:t>Plan name</w:t>
            </w:r>
          </w:p>
        </w:tc>
        <w:tc>
          <w:tcPr>
            <w:tcW w:w="2120" w:type="dxa"/>
            <w:vAlign w:val="bottom"/>
            <w:shd w:val="clear" w:color="auto" w:fill="99B7C6"/>
          </w:tcPr>
          <w:p>
            <w:pPr>
              <w:jc w:val="right"/>
              <w:ind w:right="332"/>
              <w:spacing w:after="0" w:line="120" w:lineRule="exact"/>
              <w:rPr>
                <w:sz w:val="20"/>
                <w:szCs w:val="20"/>
                <w:color w:val="auto"/>
              </w:rPr>
            </w:pPr>
            <w:r>
              <w:rPr>
                <w:rFonts w:ascii="Arial" w:cs="Arial" w:eastAsia="Arial" w:hAnsi="Arial"/>
                <w:sz w:val="11"/>
                <w:szCs w:val="11"/>
                <w:b w:val="1"/>
                <w:bCs w:val="1"/>
                <w:color w:val="FFFFFF"/>
              </w:rPr>
              <w:t>Credited Service</w:t>
            </w:r>
          </w:p>
        </w:tc>
        <w:tc>
          <w:tcPr>
            <w:tcW w:w="1980" w:type="dxa"/>
            <w:vAlign w:val="bottom"/>
            <w:shd w:val="clear" w:color="auto" w:fill="99B7C6"/>
          </w:tcPr>
          <w:p>
            <w:pPr>
              <w:jc w:val="right"/>
              <w:ind w:right="392"/>
              <w:spacing w:after="0" w:line="120" w:lineRule="exact"/>
              <w:rPr>
                <w:sz w:val="20"/>
                <w:szCs w:val="20"/>
                <w:color w:val="auto"/>
              </w:rPr>
            </w:pPr>
            <w:r>
              <w:rPr>
                <w:rFonts w:ascii="Arial" w:cs="Arial" w:eastAsia="Arial" w:hAnsi="Arial"/>
                <w:sz w:val="11"/>
                <w:szCs w:val="11"/>
                <w:b w:val="1"/>
                <w:bCs w:val="1"/>
                <w:color w:val="FFFFFF"/>
              </w:rPr>
              <w:t>Accumulated Benefit</w:t>
            </w:r>
            <w:r>
              <w:rPr>
                <w:rFonts w:ascii="Arial" w:cs="Arial" w:eastAsia="Arial" w:hAnsi="Arial"/>
                <w:sz w:val="12"/>
                <w:szCs w:val="12"/>
                <w:color w:val="FFFFFF"/>
                <w:vertAlign w:val="superscript"/>
              </w:rPr>
              <w:t>1</w:t>
            </w:r>
          </w:p>
        </w:tc>
        <w:tc>
          <w:tcPr>
            <w:tcW w:w="1480" w:type="dxa"/>
            <w:vAlign w:val="bottom"/>
            <w:shd w:val="clear" w:color="auto" w:fill="99B7C6"/>
          </w:tcPr>
          <w:p>
            <w:pPr>
              <w:jc w:val="right"/>
              <w:ind w:right="52"/>
              <w:spacing w:after="0" w:line="120" w:lineRule="exact"/>
              <w:rPr>
                <w:sz w:val="20"/>
                <w:szCs w:val="20"/>
                <w:color w:val="auto"/>
              </w:rPr>
            </w:pPr>
            <w:r>
              <w:rPr>
                <w:rFonts w:ascii="Arial" w:cs="Arial" w:eastAsia="Arial" w:hAnsi="Arial"/>
                <w:sz w:val="11"/>
                <w:szCs w:val="11"/>
                <w:b w:val="1"/>
                <w:bCs w:val="1"/>
                <w:color w:val="FFFFFF"/>
              </w:rPr>
              <w:t>Last Fiscal Year</w:t>
            </w:r>
          </w:p>
        </w:tc>
        <w:tc>
          <w:tcPr>
            <w:tcW w:w="0" w:type="dxa"/>
            <w:vAlign w:val="bottom"/>
          </w:tcPr>
          <w:p>
            <w:pPr>
              <w:spacing w:after="0"/>
              <w:rPr>
                <w:sz w:val="1"/>
                <w:szCs w:val="1"/>
                <w:color w:val="auto"/>
              </w:rPr>
            </w:pPr>
          </w:p>
        </w:tc>
      </w:tr>
      <w:tr>
        <w:trPr>
          <w:trHeight w:val="168"/>
        </w:trPr>
        <w:tc>
          <w:tcPr>
            <w:tcW w:w="2700" w:type="dxa"/>
            <w:vAlign w:val="bottom"/>
            <w:vMerge w:val="continue"/>
            <w:shd w:val="clear" w:color="auto" w:fill="99B7C6"/>
          </w:tcPr>
          <w:p>
            <w:pPr>
              <w:spacing w:after="0"/>
              <w:rPr>
                <w:sz w:val="14"/>
                <w:szCs w:val="14"/>
                <w:color w:val="auto"/>
              </w:rPr>
            </w:pPr>
          </w:p>
        </w:tc>
        <w:tc>
          <w:tcPr>
            <w:tcW w:w="2660" w:type="dxa"/>
            <w:vAlign w:val="bottom"/>
            <w:vMerge w:val="continue"/>
            <w:shd w:val="clear" w:color="auto" w:fill="99B7C6"/>
          </w:tcPr>
          <w:p>
            <w:pPr>
              <w:spacing w:after="0"/>
              <w:rPr>
                <w:sz w:val="14"/>
                <w:szCs w:val="14"/>
                <w:color w:val="auto"/>
              </w:rPr>
            </w:pPr>
          </w:p>
        </w:tc>
        <w:tc>
          <w:tcPr>
            <w:tcW w:w="2120" w:type="dxa"/>
            <w:vAlign w:val="bottom"/>
            <w:shd w:val="clear" w:color="auto" w:fill="99B7C6"/>
          </w:tcPr>
          <w:p>
            <w:pPr>
              <w:jc w:val="right"/>
              <w:ind w:right="332"/>
              <w:spacing w:after="0"/>
              <w:rPr>
                <w:sz w:val="20"/>
                <w:szCs w:val="20"/>
                <w:color w:val="auto"/>
              </w:rPr>
            </w:pPr>
            <w:r>
              <w:rPr>
                <w:rFonts w:ascii="Arial" w:cs="Arial" w:eastAsia="Arial" w:hAnsi="Arial"/>
                <w:sz w:val="11"/>
                <w:szCs w:val="11"/>
                <w:b w:val="1"/>
                <w:bCs w:val="1"/>
                <w:color w:val="FFFFFF"/>
              </w:rPr>
              <w:t>(#)</w:t>
            </w:r>
          </w:p>
        </w:tc>
        <w:tc>
          <w:tcPr>
            <w:tcW w:w="1980" w:type="dxa"/>
            <w:vAlign w:val="bottom"/>
            <w:shd w:val="clear" w:color="auto" w:fill="99B7C6"/>
          </w:tcPr>
          <w:p>
            <w:pPr>
              <w:jc w:val="right"/>
              <w:ind w:right="392"/>
              <w:spacing w:after="0"/>
              <w:rPr>
                <w:sz w:val="20"/>
                <w:szCs w:val="20"/>
                <w:color w:val="auto"/>
              </w:rPr>
            </w:pPr>
            <w:r>
              <w:rPr>
                <w:rFonts w:ascii="Arial" w:cs="Arial" w:eastAsia="Arial" w:hAnsi="Arial"/>
                <w:sz w:val="11"/>
                <w:szCs w:val="11"/>
                <w:b w:val="1"/>
                <w:bCs w:val="1"/>
                <w:color w:val="FFFFFF"/>
              </w:rPr>
              <w:t>($)</w:t>
            </w:r>
          </w:p>
        </w:tc>
        <w:tc>
          <w:tcPr>
            <w:tcW w:w="1480" w:type="dxa"/>
            <w:vAlign w:val="bottom"/>
            <w:shd w:val="clear" w:color="auto" w:fill="99B7C6"/>
          </w:tcPr>
          <w:p>
            <w:pPr>
              <w:jc w:val="right"/>
              <w:ind w:right="52"/>
              <w:spacing w:after="0"/>
              <w:rPr>
                <w:sz w:val="20"/>
                <w:szCs w:val="20"/>
                <w:color w:val="auto"/>
              </w:rPr>
            </w:pPr>
            <w:r>
              <w:rPr>
                <w:rFonts w:ascii="Arial" w:cs="Arial" w:eastAsia="Arial" w:hAnsi="Arial"/>
                <w:sz w:val="11"/>
                <w:szCs w:val="11"/>
                <w:b w:val="1"/>
                <w:bCs w:val="1"/>
                <w:color w:val="FFFFFF"/>
              </w:rPr>
              <w:t>($)</w:t>
            </w:r>
          </w:p>
        </w:tc>
        <w:tc>
          <w:tcPr>
            <w:tcW w:w="0" w:type="dxa"/>
            <w:vAlign w:val="bottom"/>
          </w:tcPr>
          <w:p>
            <w:pPr>
              <w:spacing w:after="0"/>
              <w:rPr>
                <w:sz w:val="1"/>
                <w:szCs w:val="1"/>
                <w:color w:val="auto"/>
              </w:rPr>
            </w:pPr>
          </w:p>
        </w:tc>
      </w:tr>
      <w:tr>
        <w:trPr>
          <w:trHeight w:val="290"/>
        </w:trPr>
        <w:tc>
          <w:tcPr>
            <w:tcW w:w="27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Stefan Larsson</w:t>
            </w:r>
          </w:p>
        </w:tc>
        <w:tc>
          <w:tcPr>
            <w:tcW w:w="2660" w:type="dxa"/>
            <w:vAlign w:val="bottom"/>
            <w:shd w:val="clear" w:color="auto" w:fill="E9F0F3"/>
          </w:tcPr>
          <w:p>
            <w:pPr>
              <w:spacing w:after="0"/>
              <w:rPr>
                <w:sz w:val="20"/>
                <w:szCs w:val="20"/>
                <w:color w:val="auto"/>
              </w:rPr>
            </w:pPr>
            <w:r>
              <w:rPr>
                <w:rFonts w:ascii="Arial" w:cs="Arial" w:eastAsia="Arial" w:hAnsi="Arial"/>
                <w:sz w:val="14"/>
                <w:szCs w:val="14"/>
                <w:color w:val="auto"/>
              </w:rPr>
              <w:t>Pension Plan</w:t>
            </w:r>
            <w:r>
              <w:rPr>
                <w:rFonts w:ascii="Arial" w:cs="Arial" w:eastAsia="Arial" w:hAnsi="Arial"/>
                <w:sz w:val="16"/>
                <w:szCs w:val="16"/>
                <w:color w:val="auto"/>
                <w:vertAlign w:val="superscript"/>
              </w:rPr>
              <w:t>2</w:t>
            </w:r>
          </w:p>
        </w:tc>
        <w:tc>
          <w:tcPr>
            <w:tcW w:w="2120" w:type="dxa"/>
            <w:vAlign w:val="bottom"/>
            <w:shd w:val="clear" w:color="auto" w:fill="E9F0F3"/>
          </w:tcPr>
          <w:p>
            <w:pPr>
              <w:jc w:val="right"/>
              <w:ind w:right="332"/>
              <w:spacing w:after="0"/>
              <w:rPr>
                <w:sz w:val="20"/>
                <w:szCs w:val="20"/>
                <w:color w:val="auto"/>
              </w:rPr>
            </w:pPr>
            <w:r>
              <w:rPr>
                <w:rFonts w:ascii="Arial" w:cs="Arial" w:eastAsia="Arial" w:hAnsi="Arial"/>
                <w:sz w:val="14"/>
                <w:szCs w:val="14"/>
                <w:color w:val="auto"/>
              </w:rPr>
              <w:t>4.00</w:t>
            </w:r>
          </w:p>
        </w:tc>
        <w:tc>
          <w:tcPr>
            <w:tcW w:w="1980" w:type="dxa"/>
            <w:vAlign w:val="bottom"/>
            <w:shd w:val="clear" w:color="auto" w:fill="E9F0F3"/>
          </w:tcPr>
          <w:p>
            <w:pPr>
              <w:jc w:val="right"/>
              <w:ind w:right="392"/>
              <w:spacing w:after="0"/>
              <w:rPr>
                <w:sz w:val="20"/>
                <w:szCs w:val="20"/>
                <w:color w:val="auto"/>
              </w:rPr>
            </w:pPr>
            <w:r>
              <w:rPr>
                <w:rFonts w:ascii="Arial" w:cs="Arial" w:eastAsia="Arial" w:hAnsi="Arial"/>
                <w:sz w:val="14"/>
                <w:szCs w:val="14"/>
                <w:color w:val="auto"/>
              </w:rPr>
              <w:t>99,966</w:t>
            </w:r>
          </w:p>
        </w:tc>
        <w:tc>
          <w:tcPr>
            <w:tcW w:w="1480" w:type="dxa"/>
            <w:vAlign w:val="bottom"/>
            <w:shd w:val="clear" w:color="auto" w:fill="E9F0F3"/>
          </w:tcPr>
          <w:p>
            <w:pPr>
              <w:ind w:left="128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349"/>
        </w:trPr>
        <w:tc>
          <w:tcPr>
            <w:tcW w:w="2700" w:type="dxa"/>
            <w:vAlign w:val="bottom"/>
            <w:tcBorders>
              <w:bottom w:val="single" w:sz="8" w:color="E9F0F3"/>
            </w:tcBorders>
            <w:shd w:val="clear" w:color="auto" w:fill="E9F0F3"/>
          </w:tcPr>
          <w:p>
            <w:pPr>
              <w:spacing w:after="0"/>
              <w:rPr>
                <w:sz w:val="24"/>
                <w:szCs w:val="24"/>
                <w:color w:val="auto"/>
              </w:rPr>
            </w:pPr>
          </w:p>
        </w:tc>
        <w:tc>
          <w:tcPr>
            <w:tcW w:w="2660" w:type="dxa"/>
            <w:vAlign w:val="bottom"/>
            <w:tcBorders>
              <w:bottom w:val="single" w:sz="8" w:color="E9F0F3"/>
            </w:tcBorders>
            <w:shd w:val="clear" w:color="auto" w:fill="E9F0F3"/>
          </w:tcPr>
          <w:p>
            <w:pPr>
              <w:spacing w:after="0"/>
              <w:rPr>
                <w:sz w:val="20"/>
                <w:szCs w:val="20"/>
                <w:color w:val="auto"/>
              </w:rPr>
            </w:pPr>
            <w:r>
              <w:rPr>
                <w:rFonts w:ascii="Arial" w:cs="Arial" w:eastAsia="Arial" w:hAnsi="Arial"/>
                <w:sz w:val="14"/>
                <w:szCs w:val="14"/>
                <w:color w:val="auto"/>
              </w:rPr>
              <w:t>Supplemental Pension Plan</w:t>
            </w:r>
            <w:r>
              <w:rPr>
                <w:rFonts w:ascii="Arial" w:cs="Arial" w:eastAsia="Arial" w:hAnsi="Arial"/>
                <w:sz w:val="16"/>
                <w:szCs w:val="16"/>
                <w:color w:val="auto"/>
                <w:vertAlign w:val="superscript"/>
              </w:rPr>
              <w:t>2</w:t>
            </w:r>
          </w:p>
        </w:tc>
        <w:tc>
          <w:tcPr>
            <w:tcW w:w="2120" w:type="dxa"/>
            <w:vAlign w:val="bottom"/>
            <w:tcBorders>
              <w:bottom w:val="single" w:sz="8" w:color="E9F0F3"/>
            </w:tcBorders>
            <w:shd w:val="clear" w:color="auto" w:fill="E9F0F3"/>
          </w:tcPr>
          <w:p>
            <w:pPr>
              <w:jc w:val="right"/>
              <w:ind w:right="332"/>
              <w:spacing w:after="0"/>
              <w:rPr>
                <w:sz w:val="20"/>
                <w:szCs w:val="20"/>
                <w:color w:val="auto"/>
              </w:rPr>
            </w:pPr>
            <w:r>
              <w:rPr>
                <w:rFonts w:ascii="Arial" w:cs="Arial" w:eastAsia="Arial" w:hAnsi="Arial"/>
                <w:sz w:val="14"/>
                <w:szCs w:val="14"/>
                <w:color w:val="auto"/>
              </w:rPr>
              <w:t>4.00</w:t>
            </w:r>
          </w:p>
        </w:tc>
        <w:tc>
          <w:tcPr>
            <w:tcW w:w="1980" w:type="dxa"/>
            <w:vAlign w:val="bottom"/>
            <w:tcBorders>
              <w:bottom w:val="single" w:sz="8" w:color="E9F0F3"/>
            </w:tcBorders>
            <w:shd w:val="clear" w:color="auto" w:fill="E9F0F3"/>
          </w:tcPr>
          <w:p>
            <w:pPr>
              <w:jc w:val="right"/>
              <w:ind w:right="392"/>
              <w:spacing w:after="0"/>
              <w:rPr>
                <w:sz w:val="20"/>
                <w:szCs w:val="20"/>
                <w:color w:val="auto"/>
              </w:rPr>
            </w:pPr>
            <w:r>
              <w:rPr>
                <w:rFonts w:ascii="Arial" w:cs="Arial" w:eastAsia="Arial" w:hAnsi="Arial"/>
                <w:sz w:val="14"/>
                <w:szCs w:val="14"/>
                <w:color w:val="auto"/>
              </w:rPr>
              <w:t>1,294,227</w:t>
            </w:r>
          </w:p>
        </w:tc>
        <w:tc>
          <w:tcPr>
            <w:tcW w:w="1480" w:type="dxa"/>
            <w:vAlign w:val="bottom"/>
            <w:tcBorders>
              <w:bottom w:val="single" w:sz="8" w:color="E9F0F3"/>
            </w:tcBorders>
            <w:shd w:val="clear" w:color="auto" w:fill="E9F0F3"/>
          </w:tcPr>
          <w:p>
            <w:pPr>
              <w:ind w:left="128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90"/>
        </w:trPr>
        <w:tc>
          <w:tcPr>
            <w:tcW w:w="2700" w:type="dxa"/>
            <w:vAlign w:val="bottom"/>
          </w:tcPr>
          <w:p>
            <w:pPr>
              <w:ind w:left="60"/>
              <w:spacing w:after="0"/>
              <w:rPr>
                <w:sz w:val="20"/>
                <w:szCs w:val="20"/>
                <w:color w:val="auto"/>
              </w:rPr>
            </w:pPr>
            <w:r>
              <w:rPr>
                <w:rFonts w:ascii="Arial" w:cs="Arial" w:eastAsia="Arial" w:hAnsi="Arial"/>
                <w:sz w:val="14"/>
                <w:szCs w:val="14"/>
                <w:b w:val="1"/>
                <w:bCs w:val="1"/>
                <w:color w:val="auto"/>
              </w:rPr>
              <w:t>Melissa Stone</w:t>
            </w:r>
          </w:p>
        </w:tc>
        <w:tc>
          <w:tcPr>
            <w:tcW w:w="2660" w:type="dxa"/>
            <w:vAlign w:val="bottom"/>
          </w:tcPr>
          <w:p>
            <w:pPr>
              <w:spacing w:after="0"/>
              <w:rPr>
                <w:sz w:val="20"/>
                <w:szCs w:val="20"/>
                <w:color w:val="auto"/>
              </w:rPr>
            </w:pPr>
            <w:r>
              <w:rPr>
                <w:rFonts w:ascii="Arial" w:cs="Arial" w:eastAsia="Arial" w:hAnsi="Arial"/>
                <w:sz w:val="14"/>
                <w:szCs w:val="14"/>
                <w:color w:val="auto"/>
              </w:rPr>
              <w:t>Pension Plan</w:t>
            </w:r>
            <w:r>
              <w:rPr>
                <w:rFonts w:ascii="Arial" w:cs="Arial" w:eastAsia="Arial" w:hAnsi="Arial"/>
                <w:sz w:val="16"/>
                <w:szCs w:val="16"/>
                <w:color w:val="auto"/>
                <w:vertAlign w:val="superscript"/>
              </w:rPr>
              <w:t>2</w:t>
            </w:r>
          </w:p>
        </w:tc>
        <w:tc>
          <w:tcPr>
            <w:tcW w:w="2120" w:type="dxa"/>
            <w:vAlign w:val="bottom"/>
          </w:tcPr>
          <w:p>
            <w:pPr>
              <w:jc w:val="right"/>
              <w:ind w:right="332"/>
              <w:spacing w:after="0"/>
              <w:rPr>
                <w:sz w:val="20"/>
                <w:szCs w:val="20"/>
                <w:color w:val="auto"/>
              </w:rPr>
            </w:pPr>
            <w:r>
              <w:rPr>
                <w:rFonts w:ascii="Arial" w:cs="Arial" w:eastAsia="Arial" w:hAnsi="Arial"/>
                <w:sz w:val="14"/>
                <w:szCs w:val="14"/>
                <w:color w:val="auto"/>
              </w:rPr>
              <w:t>18.50</w:t>
            </w:r>
          </w:p>
        </w:tc>
        <w:tc>
          <w:tcPr>
            <w:tcW w:w="1980" w:type="dxa"/>
            <w:vAlign w:val="bottom"/>
          </w:tcPr>
          <w:p>
            <w:pPr>
              <w:jc w:val="right"/>
              <w:ind w:right="392"/>
              <w:spacing w:after="0"/>
              <w:rPr>
                <w:sz w:val="20"/>
                <w:szCs w:val="20"/>
                <w:color w:val="auto"/>
              </w:rPr>
            </w:pPr>
            <w:r>
              <w:rPr>
                <w:rFonts w:ascii="Arial" w:cs="Arial" w:eastAsia="Arial" w:hAnsi="Arial"/>
                <w:sz w:val="14"/>
                <w:szCs w:val="14"/>
                <w:color w:val="auto"/>
              </w:rPr>
              <w:t>294,963</w:t>
            </w:r>
          </w:p>
        </w:tc>
        <w:tc>
          <w:tcPr>
            <w:tcW w:w="1480" w:type="dxa"/>
            <w:vAlign w:val="bottom"/>
          </w:tcPr>
          <w:p>
            <w:pPr>
              <w:ind w:left="128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330"/>
        </w:trPr>
        <w:tc>
          <w:tcPr>
            <w:tcW w:w="27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Supplemental Pension Plan</w:t>
            </w:r>
            <w:r>
              <w:rPr>
                <w:rFonts w:ascii="Arial" w:cs="Arial" w:eastAsia="Arial" w:hAnsi="Arial"/>
                <w:sz w:val="16"/>
                <w:szCs w:val="16"/>
                <w:color w:val="auto"/>
                <w:vertAlign w:val="superscript"/>
              </w:rPr>
              <w:t>2</w:t>
            </w:r>
          </w:p>
        </w:tc>
        <w:tc>
          <w:tcPr>
            <w:tcW w:w="2120" w:type="dxa"/>
            <w:vAlign w:val="bottom"/>
          </w:tcPr>
          <w:p>
            <w:pPr>
              <w:jc w:val="right"/>
              <w:ind w:right="332"/>
              <w:spacing w:after="0"/>
              <w:rPr>
                <w:sz w:val="20"/>
                <w:szCs w:val="20"/>
                <w:color w:val="auto"/>
              </w:rPr>
            </w:pPr>
            <w:r>
              <w:rPr>
                <w:rFonts w:ascii="Arial" w:cs="Arial" w:eastAsia="Arial" w:hAnsi="Arial"/>
                <w:sz w:val="14"/>
                <w:szCs w:val="14"/>
                <w:color w:val="auto"/>
              </w:rPr>
              <w:t>18.50</w:t>
            </w:r>
          </w:p>
        </w:tc>
        <w:tc>
          <w:tcPr>
            <w:tcW w:w="1980" w:type="dxa"/>
            <w:vAlign w:val="bottom"/>
          </w:tcPr>
          <w:p>
            <w:pPr>
              <w:jc w:val="right"/>
              <w:ind w:right="392"/>
              <w:spacing w:after="0"/>
              <w:rPr>
                <w:sz w:val="20"/>
                <w:szCs w:val="20"/>
                <w:color w:val="auto"/>
              </w:rPr>
            </w:pPr>
            <w:r>
              <w:rPr>
                <w:rFonts w:ascii="Arial" w:cs="Arial" w:eastAsia="Arial" w:hAnsi="Arial"/>
                <w:sz w:val="14"/>
                <w:szCs w:val="14"/>
                <w:color w:val="auto"/>
              </w:rPr>
              <w:t>346,333</w:t>
            </w:r>
          </w:p>
        </w:tc>
        <w:tc>
          <w:tcPr>
            <w:tcW w:w="1480" w:type="dxa"/>
            <w:vAlign w:val="bottom"/>
          </w:tcPr>
          <w:p>
            <w:pPr>
              <w:ind w:left="128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39"/>
        </w:trPr>
        <w:tc>
          <w:tcPr>
            <w:tcW w:w="270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27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Lea Rytz Goldman</w:t>
            </w:r>
          </w:p>
        </w:tc>
        <w:tc>
          <w:tcPr>
            <w:tcW w:w="2660" w:type="dxa"/>
            <w:vAlign w:val="bottom"/>
            <w:shd w:val="clear" w:color="auto" w:fill="E9F0F3"/>
          </w:tcPr>
          <w:p>
            <w:pPr>
              <w:spacing w:after="0"/>
              <w:rPr>
                <w:sz w:val="20"/>
                <w:szCs w:val="20"/>
                <w:color w:val="auto"/>
              </w:rPr>
            </w:pPr>
            <w:r>
              <w:rPr>
                <w:rFonts w:ascii="Arial" w:cs="Arial" w:eastAsia="Arial" w:hAnsi="Arial"/>
                <w:sz w:val="14"/>
                <w:szCs w:val="14"/>
                <w:color w:val="auto"/>
              </w:rPr>
              <w:t>Pension Plan</w:t>
            </w:r>
          </w:p>
        </w:tc>
        <w:tc>
          <w:tcPr>
            <w:tcW w:w="2120" w:type="dxa"/>
            <w:vAlign w:val="bottom"/>
            <w:shd w:val="clear" w:color="auto" w:fill="E9F0F3"/>
          </w:tcPr>
          <w:p>
            <w:pPr>
              <w:jc w:val="right"/>
              <w:ind w:right="332"/>
              <w:spacing w:after="0"/>
              <w:rPr>
                <w:sz w:val="20"/>
                <w:szCs w:val="20"/>
                <w:color w:val="auto"/>
              </w:rPr>
            </w:pPr>
            <w:r>
              <w:rPr>
                <w:rFonts w:ascii="Arial" w:cs="Arial" w:eastAsia="Arial" w:hAnsi="Arial"/>
                <w:sz w:val="14"/>
                <w:szCs w:val="14"/>
                <w:color w:val="auto"/>
              </w:rPr>
              <w:t>N/A</w:t>
            </w:r>
          </w:p>
        </w:tc>
        <w:tc>
          <w:tcPr>
            <w:tcW w:w="1980" w:type="dxa"/>
            <w:vAlign w:val="bottom"/>
            <w:shd w:val="clear" w:color="auto" w:fill="E9F0F3"/>
          </w:tcPr>
          <w:p>
            <w:pPr>
              <w:jc w:val="right"/>
              <w:ind w:right="392"/>
              <w:spacing w:after="0"/>
              <w:rPr>
                <w:sz w:val="20"/>
                <w:szCs w:val="20"/>
                <w:color w:val="auto"/>
              </w:rPr>
            </w:pPr>
            <w:r>
              <w:rPr>
                <w:rFonts w:ascii="Arial" w:cs="Arial" w:eastAsia="Arial" w:hAnsi="Arial"/>
                <w:sz w:val="14"/>
                <w:szCs w:val="14"/>
                <w:color w:val="auto"/>
              </w:rPr>
              <w:t>N/A</w:t>
            </w:r>
          </w:p>
        </w:tc>
        <w:tc>
          <w:tcPr>
            <w:tcW w:w="1480" w:type="dxa"/>
            <w:vAlign w:val="bottom"/>
            <w:shd w:val="clear" w:color="auto" w:fill="E9F0F3"/>
          </w:tcPr>
          <w:p>
            <w:pPr>
              <w:ind w:left="1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322"/>
        </w:trPr>
        <w:tc>
          <w:tcPr>
            <w:tcW w:w="2700" w:type="dxa"/>
            <w:vAlign w:val="bottom"/>
            <w:shd w:val="clear" w:color="auto" w:fill="E9F0F3"/>
          </w:tcPr>
          <w:p>
            <w:pPr>
              <w:spacing w:after="0"/>
              <w:rPr>
                <w:sz w:val="24"/>
                <w:szCs w:val="24"/>
                <w:color w:val="auto"/>
              </w:rPr>
            </w:pPr>
          </w:p>
        </w:tc>
        <w:tc>
          <w:tcPr>
            <w:tcW w:w="2660" w:type="dxa"/>
            <w:vAlign w:val="bottom"/>
            <w:shd w:val="clear" w:color="auto" w:fill="E9F0F3"/>
          </w:tcPr>
          <w:p>
            <w:pPr>
              <w:spacing w:after="0"/>
              <w:rPr>
                <w:sz w:val="20"/>
                <w:szCs w:val="20"/>
                <w:color w:val="auto"/>
              </w:rPr>
            </w:pPr>
            <w:r>
              <w:rPr>
                <w:rFonts w:ascii="Arial" w:cs="Arial" w:eastAsia="Arial" w:hAnsi="Arial"/>
                <w:sz w:val="14"/>
                <w:szCs w:val="14"/>
                <w:color w:val="auto"/>
              </w:rPr>
              <w:t>Supplemental Pension Plan</w:t>
            </w:r>
          </w:p>
        </w:tc>
        <w:tc>
          <w:tcPr>
            <w:tcW w:w="2120" w:type="dxa"/>
            <w:vAlign w:val="bottom"/>
            <w:shd w:val="clear" w:color="auto" w:fill="E9F0F3"/>
          </w:tcPr>
          <w:p>
            <w:pPr>
              <w:jc w:val="right"/>
              <w:ind w:right="332"/>
              <w:spacing w:after="0"/>
              <w:rPr>
                <w:sz w:val="20"/>
                <w:szCs w:val="20"/>
                <w:color w:val="auto"/>
              </w:rPr>
            </w:pPr>
            <w:r>
              <w:rPr>
                <w:rFonts w:ascii="Arial" w:cs="Arial" w:eastAsia="Arial" w:hAnsi="Arial"/>
                <w:sz w:val="14"/>
                <w:szCs w:val="14"/>
                <w:color w:val="auto"/>
              </w:rPr>
              <w:t>N/A</w:t>
            </w:r>
          </w:p>
        </w:tc>
        <w:tc>
          <w:tcPr>
            <w:tcW w:w="1980" w:type="dxa"/>
            <w:vAlign w:val="bottom"/>
            <w:shd w:val="clear" w:color="auto" w:fill="E9F0F3"/>
          </w:tcPr>
          <w:p>
            <w:pPr>
              <w:jc w:val="right"/>
              <w:ind w:right="392"/>
              <w:spacing w:after="0"/>
              <w:rPr>
                <w:sz w:val="20"/>
                <w:szCs w:val="20"/>
                <w:color w:val="auto"/>
              </w:rPr>
            </w:pPr>
            <w:r>
              <w:rPr>
                <w:rFonts w:ascii="Arial" w:cs="Arial" w:eastAsia="Arial" w:hAnsi="Arial"/>
                <w:sz w:val="14"/>
                <w:szCs w:val="14"/>
                <w:color w:val="auto"/>
              </w:rPr>
              <w:t>N/A</w:t>
            </w:r>
          </w:p>
        </w:tc>
        <w:tc>
          <w:tcPr>
            <w:tcW w:w="1480" w:type="dxa"/>
            <w:vAlign w:val="bottom"/>
            <w:shd w:val="clear" w:color="auto" w:fill="E9F0F3"/>
          </w:tcPr>
          <w:p>
            <w:pPr>
              <w:ind w:left="1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74"/>
        </w:trPr>
        <w:tc>
          <w:tcPr>
            <w:tcW w:w="2700" w:type="dxa"/>
            <w:vAlign w:val="bottom"/>
            <w:shd w:val="clear" w:color="auto" w:fill="E9F0F3"/>
          </w:tcPr>
          <w:p>
            <w:pPr>
              <w:spacing w:after="0"/>
              <w:rPr>
                <w:sz w:val="6"/>
                <w:szCs w:val="6"/>
                <w:color w:val="auto"/>
              </w:rPr>
            </w:pPr>
          </w:p>
        </w:tc>
        <w:tc>
          <w:tcPr>
            <w:tcW w:w="2660" w:type="dxa"/>
            <w:vAlign w:val="bottom"/>
            <w:shd w:val="clear" w:color="auto" w:fill="E9F0F3"/>
          </w:tcPr>
          <w:p>
            <w:pPr>
              <w:spacing w:after="0"/>
              <w:rPr>
                <w:sz w:val="6"/>
                <w:szCs w:val="6"/>
                <w:color w:val="auto"/>
              </w:rPr>
            </w:pPr>
          </w:p>
        </w:tc>
        <w:tc>
          <w:tcPr>
            <w:tcW w:w="2120" w:type="dxa"/>
            <w:vAlign w:val="bottom"/>
            <w:shd w:val="clear" w:color="auto" w:fill="E9F0F3"/>
          </w:tcPr>
          <w:p>
            <w:pPr>
              <w:spacing w:after="0"/>
              <w:rPr>
                <w:sz w:val="6"/>
                <w:szCs w:val="6"/>
                <w:color w:val="auto"/>
              </w:rPr>
            </w:pPr>
          </w:p>
        </w:tc>
        <w:tc>
          <w:tcPr>
            <w:tcW w:w="1980" w:type="dxa"/>
            <w:vAlign w:val="bottom"/>
            <w:shd w:val="clear" w:color="auto" w:fill="E9F0F3"/>
          </w:tcPr>
          <w:p>
            <w:pPr>
              <w:spacing w:after="0"/>
              <w:rPr>
                <w:sz w:val="6"/>
                <w:szCs w:val="6"/>
                <w:color w:val="auto"/>
              </w:rPr>
            </w:pPr>
          </w:p>
        </w:tc>
        <w:tc>
          <w:tcPr>
            <w:tcW w:w="148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700" w:type="dxa"/>
            <w:vAlign w:val="bottom"/>
          </w:tcPr>
          <w:p>
            <w:pPr>
              <w:ind w:left="60"/>
              <w:spacing w:after="0"/>
              <w:rPr>
                <w:sz w:val="20"/>
                <w:szCs w:val="20"/>
                <w:color w:val="auto"/>
              </w:rPr>
            </w:pPr>
            <w:r>
              <w:rPr>
                <w:rFonts w:ascii="Arial" w:cs="Arial" w:eastAsia="Arial" w:hAnsi="Arial"/>
                <w:sz w:val="14"/>
                <w:szCs w:val="14"/>
                <w:b w:val="1"/>
                <w:bCs w:val="1"/>
                <w:color w:val="auto"/>
              </w:rPr>
              <w:t>Fredrik Olsson</w:t>
            </w:r>
          </w:p>
        </w:tc>
        <w:tc>
          <w:tcPr>
            <w:tcW w:w="2660" w:type="dxa"/>
            <w:vAlign w:val="bottom"/>
          </w:tcPr>
          <w:p>
            <w:pPr>
              <w:spacing w:after="0"/>
              <w:rPr>
                <w:sz w:val="20"/>
                <w:szCs w:val="20"/>
                <w:color w:val="auto"/>
              </w:rPr>
            </w:pPr>
            <w:r>
              <w:rPr>
                <w:rFonts w:ascii="Arial" w:cs="Arial" w:eastAsia="Arial" w:hAnsi="Arial"/>
                <w:sz w:val="14"/>
                <w:szCs w:val="14"/>
                <w:color w:val="auto"/>
              </w:rPr>
              <w:t>Pension Plan</w:t>
            </w:r>
          </w:p>
        </w:tc>
        <w:tc>
          <w:tcPr>
            <w:tcW w:w="2120" w:type="dxa"/>
            <w:vAlign w:val="bottom"/>
          </w:tcPr>
          <w:p>
            <w:pPr>
              <w:jc w:val="right"/>
              <w:ind w:right="332"/>
              <w:spacing w:after="0"/>
              <w:rPr>
                <w:sz w:val="20"/>
                <w:szCs w:val="20"/>
                <w:color w:val="auto"/>
              </w:rPr>
            </w:pPr>
            <w:r>
              <w:rPr>
                <w:rFonts w:ascii="Arial" w:cs="Arial" w:eastAsia="Arial" w:hAnsi="Arial"/>
                <w:sz w:val="14"/>
                <w:szCs w:val="14"/>
                <w:color w:val="auto"/>
              </w:rPr>
              <w:t>N/A</w:t>
            </w:r>
          </w:p>
        </w:tc>
        <w:tc>
          <w:tcPr>
            <w:tcW w:w="1980" w:type="dxa"/>
            <w:vAlign w:val="bottom"/>
          </w:tcPr>
          <w:p>
            <w:pPr>
              <w:jc w:val="right"/>
              <w:ind w:right="392"/>
              <w:spacing w:after="0"/>
              <w:rPr>
                <w:sz w:val="20"/>
                <w:szCs w:val="20"/>
                <w:color w:val="auto"/>
              </w:rPr>
            </w:pPr>
            <w:r>
              <w:rPr>
                <w:rFonts w:ascii="Arial" w:cs="Arial" w:eastAsia="Arial" w:hAnsi="Arial"/>
                <w:sz w:val="14"/>
                <w:szCs w:val="14"/>
                <w:color w:val="auto"/>
              </w:rPr>
              <w:t>N/A</w:t>
            </w:r>
          </w:p>
        </w:tc>
        <w:tc>
          <w:tcPr>
            <w:tcW w:w="1480" w:type="dxa"/>
            <w:vAlign w:val="bottom"/>
          </w:tcPr>
          <w:p>
            <w:pPr>
              <w:ind w:left="1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322"/>
        </w:trPr>
        <w:tc>
          <w:tcPr>
            <w:tcW w:w="27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Supplemental Pension Plan</w:t>
            </w:r>
          </w:p>
        </w:tc>
        <w:tc>
          <w:tcPr>
            <w:tcW w:w="2120" w:type="dxa"/>
            <w:vAlign w:val="bottom"/>
          </w:tcPr>
          <w:p>
            <w:pPr>
              <w:jc w:val="right"/>
              <w:ind w:right="332"/>
              <w:spacing w:after="0"/>
              <w:rPr>
                <w:sz w:val="20"/>
                <w:szCs w:val="20"/>
                <w:color w:val="auto"/>
              </w:rPr>
            </w:pPr>
            <w:r>
              <w:rPr>
                <w:rFonts w:ascii="Arial" w:cs="Arial" w:eastAsia="Arial" w:hAnsi="Arial"/>
                <w:sz w:val="14"/>
                <w:szCs w:val="14"/>
                <w:color w:val="auto"/>
              </w:rPr>
              <w:t>N/A</w:t>
            </w:r>
          </w:p>
        </w:tc>
        <w:tc>
          <w:tcPr>
            <w:tcW w:w="1980" w:type="dxa"/>
            <w:vAlign w:val="bottom"/>
          </w:tcPr>
          <w:p>
            <w:pPr>
              <w:jc w:val="right"/>
              <w:ind w:right="392"/>
              <w:spacing w:after="0"/>
              <w:rPr>
                <w:sz w:val="20"/>
                <w:szCs w:val="20"/>
                <w:color w:val="auto"/>
              </w:rPr>
            </w:pPr>
            <w:r>
              <w:rPr>
                <w:rFonts w:ascii="Arial" w:cs="Arial" w:eastAsia="Arial" w:hAnsi="Arial"/>
                <w:sz w:val="14"/>
                <w:szCs w:val="14"/>
                <w:color w:val="auto"/>
              </w:rPr>
              <w:t>N/A</w:t>
            </w:r>
          </w:p>
        </w:tc>
        <w:tc>
          <w:tcPr>
            <w:tcW w:w="1480" w:type="dxa"/>
            <w:vAlign w:val="bottom"/>
          </w:tcPr>
          <w:p>
            <w:pPr>
              <w:ind w:left="1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7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David Savman</w:t>
            </w:r>
          </w:p>
        </w:tc>
        <w:tc>
          <w:tcPr>
            <w:tcW w:w="2660" w:type="dxa"/>
            <w:vAlign w:val="bottom"/>
            <w:shd w:val="clear" w:color="auto" w:fill="E9F0F3"/>
          </w:tcPr>
          <w:p>
            <w:pPr>
              <w:spacing w:after="0"/>
              <w:rPr>
                <w:sz w:val="20"/>
                <w:szCs w:val="20"/>
                <w:color w:val="auto"/>
              </w:rPr>
            </w:pPr>
            <w:r>
              <w:rPr>
                <w:rFonts w:ascii="Arial" w:cs="Arial" w:eastAsia="Arial" w:hAnsi="Arial"/>
                <w:sz w:val="14"/>
                <w:szCs w:val="14"/>
                <w:color w:val="auto"/>
              </w:rPr>
              <w:t>Pension Plan</w:t>
            </w:r>
          </w:p>
        </w:tc>
        <w:tc>
          <w:tcPr>
            <w:tcW w:w="2120" w:type="dxa"/>
            <w:vAlign w:val="bottom"/>
            <w:shd w:val="clear" w:color="auto" w:fill="E9F0F3"/>
          </w:tcPr>
          <w:p>
            <w:pPr>
              <w:jc w:val="right"/>
              <w:ind w:right="332"/>
              <w:spacing w:after="0"/>
              <w:rPr>
                <w:sz w:val="20"/>
                <w:szCs w:val="20"/>
                <w:color w:val="auto"/>
              </w:rPr>
            </w:pPr>
            <w:r>
              <w:rPr>
                <w:rFonts w:ascii="Arial" w:cs="Arial" w:eastAsia="Arial" w:hAnsi="Arial"/>
                <w:sz w:val="14"/>
                <w:szCs w:val="14"/>
                <w:color w:val="auto"/>
              </w:rPr>
              <w:t>N/A</w:t>
            </w:r>
          </w:p>
        </w:tc>
        <w:tc>
          <w:tcPr>
            <w:tcW w:w="1980" w:type="dxa"/>
            <w:vAlign w:val="bottom"/>
            <w:shd w:val="clear" w:color="auto" w:fill="E9F0F3"/>
          </w:tcPr>
          <w:p>
            <w:pPr>
              <w:jc w:val="right"/>
              <w:ind w:right="392"/>
              <w:spacing w:after="0"/>
              <w:rPr>
                <w:sz w:val="20"/>
                <w:szCs w:val="20"/>
                <w:color w:val="auto"/>
              </w:rPr>
            </w:pPr>
            <w:r>
              <w:rPr>
                <w:rFonts w:ascii="Arial" w:cs="Arial" w:eastAsia="Arial" w:hAnsi="Arial"/>
                <w:sz w:val="14"/>
                <w:szCs w:val="14"/>
                <w:color w:val="auto"/>
              </w:rPr>
              <w:t>N/A</w:t>
            </w:r>
          </w:p>
        </w:tc>
        <w:tc>
          <w:tcPr>
            <w:tcW w:w="1480" w:type="dxa"/>
            <w:vAlign w:val="bottom"/>
            <w:shd w:val="clear" w:color="auto" w:fill="E9F0F3"/>
          </w:tcPr>
          <w:p>
            <w:pPr>
              <w:ind w:left="1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322"/>
        </w:trPr>
        <w:tc>
          <w:tcPr>
            <w:tcW w:w="2700" w:type="dxa"/>
            <w:vAlign w:val="bottom"/>
            <w:shd w:val="clear" w:color="auto" w:fill="E9F0F3"/>
          </w:tcPr>
          <w:p>
            <w:pPr>
              <w:spacing w:after="0"/>
              <w:rPr>
                <w:sz w:val="24"/>
                <w:szCs w:val="24"/>
                <w:color w:val="auto"/>
              </w:rPr>
            </w:pPr>
          </w:p>
        </w:tc>
        <w:tc>
          <w:tcPr>
            <w:tcW w:w="2660" w:type="dxa"/>
            <w:vAlign w:val="bottom"/>
            <w:shd w:val="clear" w:color="auto" w:fill="E9F0F3"/>
          </w:tcPr>
          <w:p>
            <w:pPr>
              <w:spacing w:after="0"/>
              <w:rPr>
                <w:sz w:val="20"/>
                <w:szCs w:val="20"/>
                <w:color w:val="auto"/>
              </w:rPr>
            </w:pPr>
            <w:r>
              <w:rPr>
                <w:rFonts w:ascii="Arial" w:cs="Arial" w:eastAsia="Arial" w:hAnsi="Arial"/>
                <w:sz w:val="14"/>
                <w:szCs w:val="14"/>
                <w:color w:val="auto"/>
              </w:rPr>
              <w:t>Supplemental Pension Plan</w:t>
            </w:r>
          </w:p>
        </w:tc>
        <w:tc>
          <w:tcPr>
            <w:tcW w:w="2120" w:type="dxa"/>
            <w:vAlign w:val="bottom"/>
            <w:shd w:val="clear" w:color="auto" w:fill="E9F0F3"/>
          </w:tcPr>
          <w:p>
            <w:pPr>
              <w:jc w:val="right"/>
              <w:ind w:right="332"/>
              <w:spacing w:after="0"/>
              <w:rPr>
                <w:sz w:val="20"/>
                <w:szCs w:val="20"/>
                <w:color w:val="auto"/>
              </w:rPr>
            </w:pPr>
            <w:r>
              <w:rPr>
                <w:rFonts w:ascii="Arial" w:cs="Arial" w:eastAsia="Arial" w:hAnsi="Arial"/>
                <w:sz w:val="14"/>
                <w:szCs w:val="14"/>
                <w:color w:val="auto"/>
              </w:rPr>
              <w:t>N/A</w:t>
            </w:r>
          </w:p>
        </w:tc>
        <w:tc>
          <w:tcPr>
            <w:tcW w:w="1980" w:type="dxa"/>
            <w:vAlign w:val="bottom"/>
            <w:shd w:val="clear" w:color="auto" w:fill="E9F0F3"/>
          </w:tcPr>
          <w:p>
            <w:pPr>
              <w:jc w:val="right"/>
              <w:ind w:right="392"/>
              <w:spacing w:after="0"/>
              <w:rPr>
                <w:sz w:val="20"/>
                <w:szCs w:val="20"/>
                <w:color w:val="auto"/>
              </w:rPr>
            </w:pPr>
            <w:r>
              <w:rPr>
                <w:rFonts w:ascii="Arial" w:cs="Arial" w:eastAsia="Arial" w:hAnsi="Arial"/>
                <w:sz w:val="14"/>
                <w:szCs w:val="14"/>
                <w:color w:val="auto"/>
              </w:rPr>
              <w:t>N/A</w:t>
            </w:r>
          </w:p>
        </w:tc>
        <w:tc>
          <w:tcPr>
            <w:tcW w:w="1480" w:type="dxa"/>
            <w:vAlign w:val="bottom"/>
            <w:shd w:val="clear" w:color="auto" w:fill="E9F0F3"/>
          </w:tcPr>
          <w:p>
            <w:pPr>
              <w:ind w:left="1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74"/>
        </w:trPr>
        <w:tc>
          <w:tcPr>
            <w:tcW w:w="2700" w:type="dxa"/>
            <w:vAlign w:val="bottom"/>
            <w:shd w:val="clear" w:color="auto" w:fill="E9F0F3"/>
          </w:tcPr>
          <w:p>
            <w:pPr>
              <w:spacing w:after="0"/>
              <w:rPr>
                <w:sz w:val="6"/>
                <w:szCs w:val="6"/>
                <w:color w:val="auto"/>
              </w:rPr>
            </w:pPr>
          </w:p>
        </w:tc>
        <w:tc>
          <w:tcPr>
            <w:tcW w:w="2660" w:type="dxa"/>
            <w:vAlign w:val="bottom"/>
            <w:shd w:val="clear" w:color="auto" w:fill="E9F0F3"/>
          </w:tcPr>
          <w:p>
            <w:pPr>
              <w:spacing w:after="0"/>
              <w:rPr>
                <w:sz w:val="6"/>
                <w:szCs w:val="6"/>
                <w:color w:val="auto"/>
              </w:rPr>
            </w:pPr>
          </w:p>
        </w:tc>
        <w:tc>
          <w:tcPr>
            <w:tcW w:w="2120" w:type="dxa"/>
            <w:vAlign w:val="bottom"/>
            <w:shd w:val="clear" w:color="auto" w:fill="E9F0F3"/>
          </w:tcPr>
          <w:p>
            <w:pPr>
              <w:spacing w:after="0"/>
              <w:rPr>
                <w:sz w:val="6"/>
                <w:szCs w:val="6"/>
                <w:color w:val="auto"/>
              </w:rPr>
            </w:pPr>
          </w:p>
        </w:tc>
        <w:tc>
          <w:tcPr>
            <w:tcW w:w="1980" w:type="dxa"/>
            <w:vAlign w:val="bottom"/>
            <w:shd w:val="clear" w:color="auto" w:fill="E9F0F3"/>
          </w:tcPr>
          <w:p>
            <w:pPr>
              <w:spacing w:after="0"/>
              <w:rPr>
                <w:sz w:val="6"/>
                <w:szCs w:val="6"/>
                <w:color w:val="auto"/>
              </w:rPr>
            </w:pPr>
          </w:p>
        </w:tc>
        <w:tc>
          <w:tcPr>
            <w:tcW w:w="148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700" w:type="dxa"/>
            <w:vAlign w:val="bottom"/>
          </w:tcPr>
          <w:p>
            <w:pPr>
              <w:ind w:left="60"/>
              <w:spacing w:after="0"/>
              <w:rPr>
                <w:sz w:val="20"/>
                <w:szCs w:val="20"/>
                <w:color w:val="auto"/>
              </w:rPr>
            </w:pPr>
            <w:r>
              <w:rPr>
                <w:rFonts w:ascii="Arial" w:cs="Arial" w:eastAsia="Arial" w:hAnsi="Arial"/>
                <w:sz w:val="14"/>
                <w:szCs w:val="14"/>
                <w:b w:val="1"/>
                <w:bCs w:val="1"/>
                <w:color w:val="auto"/>
              </w:rPr>
              <w:t>Zachary J. Coughlin</w:t>
            </w:r>
          </w:p>
        </w:tc>
        <w:tc>
          <w:tcPr>
            <w:tcW w:w="2660" w:type="dxa"/>
            <w:vAlign w:val="bottom"/>
          </w:tcPr>
          <w:p>
            <w:pPr>
              <w:spacing w:after="0"/>
              <w:rPr>
                <w:sz w:val="20"/>
                <w:szCs w:val="20"/>
                <w:color w:val="auto"/>
              </w:rPr>
            </w:pPr>
            <w:r>
              <w:rPr>
                <w:rFonts w:ascii="Arial" w:cs="Arial" w:eastAsia="Arial" w:hAnsi="Arial"/>
                <w:sz w:val="14"/>
                <w:szCs w:val="14"/>
                <w:color w:val="auto"/>
              </w:rPr>
              <w:t>Pension Plan</w:t>
            </w:r>
          </w:p>
        </w:tc>
        <w:tc>
          <w:tcPr>
            <w:tcW w:w="2120" w:type="dxa"/>
            <w:vAlign w:val="bottom"/>
          </w:tcPr>
          <w:p>
            <w:pPr>
              <w:jc w:val="right"/>
              <w:ind w:right="332"/>
              <w:spacing w:after="0"/>
              <w:rPr>
                <w:sz w:val="20"/>
                <w:szCs w:val="20"/>
                <w:color w:val="auto"/>
              </w:rPr>
            </w:pPr>
            <w:r>
              <w:rPr>
                <w:rFonts w:ascii="Arial" w:cs="Arial" w:eastAsia="Arial" w:hAnsi="Arial"/>
                <w:sz w:val="14"/>
                <w:szCs w:val="14"/>
                <w:color w:val="auto"/>
              </w:rPr>
              <w:t>N/A</w:t>
            </w:r>
          </w:p>
        </w:tc>
        <w:tc>
          <w:tcPr>
            <w:tcW w:w="1980" w:type="dxa"/>
            <w:vAlign w:val="bottom"/>
          </w:tcPr>
          <w:p>
            <w:pPr>
              <w:jc w:val="right"/>
              <w:ind w:right="392"/>
              <w:spacing w:after="0"/>
              <w:rPr>
                <w:sz w:val="20"/>
                <w:szCs w:val="20"/>
                <w:color w:val="auto"/>
              </w:rPr>
            </w:pPr>
            <w:r>
              <w:rPr>
                <w:rFonts w:ascii="Arial" w:cs="Arial" w:eastAsia="Arial" w:hAnsi="Arial"/>
                <w:sz w:val="14"/>
                <w:szCs w:val="14"/>
                <w:color w:val="auto"/>
              </w:rPr>
              <w:t>N/A</w:t>
            </w:r>
          </w:p>
        </w:tc>
        <w:tc>
          <w:tcPr>
            <w:tcW w:w="1480" w:type="dxa"/>
            <w:vAlign w:val="bottom"/>
          </w:tcPr>
          <w:p>
            <w:pPr>
              <w:ind w:left="1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322"/>
        </w:trPr>
        <w:tc>
          <w:tcPr>
            <w:tcW w:w="27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Supplemental Pension Plan</w:t>
            </w:r>
          </w:p>
        </w:tc>
        <w:tc>
          <w:tcPr>
            <w:tcW w:w="2120" w:type="dxa"/>
            <w:vAlign w:val="bottom"/>
          </w:tcPr>
          <w:p>
            <w:pPr>
              <w:jc w:val="right"/>
              <w:ind w:right="332"/>
              <w:spacing w:after="0"/>
              <w:rPr>
                <w:sz w:val="20"/>
                <w:szCs w:val="20"/>
                <w:color w:val="auto"/>
              </w:rPr>
            </w:pPr>
            <w:r>
              <w:rPr>
                <w:rFonts w:ascii="Arial" w:cs="Arial" w:eastAsia="Arial" w:hAnsi="Arial"/>
                <w:sz w:val="14"/>
                <w:szCs w:val="14"/>
                <w:color w:val="auto"/>
              </w:rPr>
              <w:t>N/A</w:t>
            </w:r>
          </w:p>
        </w:tc>
        <w:tc>
          <w:tcPr>
            <w:tcW w:w="1980" w:type="dxa"/>
            <w:vAlign w:val="bottom"/>
          </w:tcPr>
          <w:p>
            <w:pPr>
              <w:jc w:val="right"/>
              <w:ind w:right="392"/>
              <w:spacing w:after="0"/>
              <w:rPr>
                <w:sz w:val="20"/>
                <w:szCs w:val="20"/>
                <w:color w:val="auto"/>
              </w:rPr>
            </w:pPr>
            <w:r>
              <w:rPr>
                <w:rFonts w:ascii="Arial" w:cs="Arial" w:eastAsia="Arial" w:hAnsi="Arial"/>
                <w:sz w:val="14"/>
                <w:szCs w:val="14"/>
                <w:color w:val="auto"/>
              </w:rPr>
              <w:t>N/A</w:t>
            </w:r>
          </w:p>
        </w:tc>
        <w:tc>
          <w:tcPr>
            <w:tcW w:w="1480" w:type="dxa"/>
            <w:vAlign w:val="bottom"/>
          </w:tcPr>
          <w:p>
            <w:pPr>
              <w:ind w:left="1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74"/>
        </w:trPr>
        <w:tc>
          <w:tcPr>
            <w:tcW w:w="27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7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Eva Serrano</w:t>
            </w:r>
          </w:p>
        </w:tc>
        <w:tc>
          <w:tcPr>
            <w:tcW w:w="2660" w:type="dxa"/>
            <w:vAlign w:val="bottom"/>
            <w:shd w:val="clear" w:color="auto" w:fill="E9F0F3"/>
          </w:tcPr>
          <w:p>
            <w:pPr>
              <w:spacing w:after="0"/>
              <w:rPr>
                <w:sz w:val="20"/>
                <w:szCs w:val="20"/>
                <w:color w:val="auto"/>
              </w:rPr>
            </w:pPr>
            <w:r>
              <w:rPr>
                <w:rFonts w:ascii="Arial" w:cs="Arial" w:eastAsia="Arial" w:hAnsi="Arial"/>
                <w:sz w:val="14"/>
                <w:szCs w:val="14"/>
                <w:color w:val="auto"/>
              </w:rPr>
              <w:t>Pension Plan</w:t>
            </w:r>
          </w:p>
        </w:tc>
        <w:tc>
          <w:tcPr>
            <w:tcW w:w="2120" w:type="dxa"/>
            <w:vAlign w:val="bottom"/>
            <w:shd w:val="clear" w:color="auto" w:fill="E9F0F3"/>
          </w:tcPr>
          <w:p>
            <w:pPr>
              <w:jc w:val="right"/>
              <w:ind w:right="332"/>
              <w:spacing w:after="0"/>
              <w:rPr>
                <w:sz w:val="20"/>
                <w:szCs w:val="20"/>
                <w:color w:val="auto"/>
              </w:rPr>
            </w:pPr>
            <w:r>
              <w:rPr>
                <w:rFonts w:ascii="Arial" w:cs="Arial" w:eastAsia="Arial" w:hAnsi="Arial"/>
                <w:sz w:val="14"/>
                <w:szCs w:val="14"/>
                <w:color w:val="auto"/>
              </w:rPr>
              <w:t>N/A</w:t>
            </w:r>
          </w:p>
        </w:tc>
        <w:tc>
          <w:tcPr>
            <w:tcW w:w="1980" w:type="dxa"/>
            <w:vAlign w:val="bottom"/>
            <w:shd w:val="clear" w:color="auto" w:fill="E9F0F3"/>
          </w:tcPr>
          <w:p>
            <w:pPr>
              <w:jc w:val="right"/>
              <w:ind w:right="392"/>
              <w:spacing w:after="0"/>
              <w:rPr>
                <w:sz w:val="20"/>
                <w:szCs w:val="20"/>
                <w:color w:val="auto"/>
              </w:rPr>
            </w:pPr>
            <w:r>
              <w:rPr>
                <w:rFonts w:ascii="Arial" w:cs="Arial" w:eastAsia="Arial" w:hAnsi="Arial"/>
                <w:sz w:val="14"/>
                <w:szCs w:val="14"/>
                <w:color w:val="auto"/>
              </w:rPr>
              <w:t>N/A</w:t>
            </w:r>
          </w:p>
        </w:tc>
        <w:tc>
          <w:tcPr>
            <w:tcW w:w="1480" w:type="dxa"/>
            <w:vAlign w:val="bottom"/>
            <w:shd w:val="clear" w:color="auto" w:fill="E9F0F3"/>
          </w:tcPr>
          <w:p>
            <w:pPr>
              <w:ind w:left="1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322"/>
        </w:trPr>
        <w:tc>
          <w:tcPr>
            <w:tcW w:w="2700" w:type="dxa"/>
            <w:vAlign w:val="bottom"/>
            <w:shd w:val="clear" w:color="auto" w:fill="E9F0F3"/>
          </w:tcPr>
          <w:p>
            <w:pPr>
              <w:spacing w:after="0"/>
              <w:rPr>
                <w:sz w:val="24"/>
                <w:szCs w:val="24"/>
                <w:color w:val="auto"/>
              </w:rPr>
            </w:pPr>
          </w:p>
        </w:tc>
        <w:tc>
          <w:tcPr>
            <w:tcW w:w="2660" w:type="dxa"/>
            <w:vAlign w:val="bottom"/>
            <w:shd w:val="clear" w:color="auto" w:fill="E9F0F3"/>
          </w:tcPr>
          <w:p>
            <w:pPr>
              <w:spacing w:after="0"/>
              <w:rPr>
                <w:sz w:val="20"/>
                <w:szCs w:val="20"/>
                <w:color w:val="auto"/>
              </w:rPr>
            </w:pPr>
            <w:r>
              <w:rPr>
                <w:rFonts w:ascii="Arial" w:cs="Arial" w:eastAsia="Arial" w:hAnsi="Arial"/>
                <w:sz w:val="14"/>
                <w:szCs w:val="14"/>
                <w:color w:val="auto"/>
              </w:rPr>
              <w:t>Supplemental Pension Plan</w:t>
            </w:r>
          </w:p>
        </w:tc>
        <w:tc>
          <w:tcPr>
            <w:tcW w:w="2120" w:type="dxa"/>
            <w:vAlign w:val="bottom"/>
            <w:shd w:val="clear" w:color="auto" w:fill="E9F0F3"/>
          </w:tcPr>
          <w:p>
            <w:pPr>
              <w:jc w:val="right"/>
              <w:ind w:right="332"/>
              <w:spacing w:after="0"/>
              <w:rPr>
                <w:sz w:val="20"/>
                <w:szCs w:val="20"/>
                <w:color w:val="auto"/>
              </w:rPr>
            </w:pPr>
            <w:r>
              <w:rPr>
                <w:rFonts w:ascii="Arial" w:cs="Arial" w:eastAsia="Arial" w:hAnsi="Arial"/>
                <w:sz w:val="14"/>
                <w:szCs w:val="14"/>
                <w:color w:val="auto"/>
              </w:rPr>
              <w:t>N/A</w:t>
            </w:r>
          </w:p>
        </w:tc>
        <w:tc>
          <w:tcPr>
            <w:tcW w:w="1980" w:type="dxa"/>
            <w:vAlign w:val="bottom"/>
            <w:shd w:val="clear" w:color="auto" w:fill="E9F0F3"/>
          </w:tcPr>
          <w:p>
            <w:pPr>
              <w:jc w:val="right"/>
              <w:ind w:right="392"/>
              <w:spacing w:after="0"/>
              <w:rPr>
                <w:sz w:val="20"/>
                <w:szCs w:val="20"/>
                <w:color w:val="auto"/>
              </w:rPr>
            </w:pPr>
            <w:r>
              <w:rPr>
                <w:rFonts w:ascii="Arial" w:cs="Arial" w:eastAsia="Arial" w:hAnsi="Arial"/>
                <w:sz w:val="14"/>
                <w:szCs w:val="14"/>
                <w:color w:val="auto"/>
              </w:rPr>
              <w:t>N/A</w:t>
            </w:r>
          </w:p>
        </w:tc>
        <w:tc>
          <w:tcPr>
            <w:tcW w:w="1480" w:type="dxa"/>
            <w:vAlign w:val="bottom"/>
            <w:shd w:val="clear" w:color="auto" w:fill="E9F0F3"/>
          </w:tcPr>
          <w:p>
            <w:pPr>
              <w:ind w:left="1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74"/>
        </w:trPr>
        <w:tc>
          <w:tcPr>
            <w:tcW w:w="2700" w:type="dxa"/>
            <w:vAlign w:val="bottom"/>
            <w:shd w:val="clear" w:color="auto" w:fill="E9F0F3"/>
          </w:tcPr>
          <w:p>
            <w:pPr>
              <w:spacing w:after="0"/>
              <w:rPr>
                <w:sz w:val="6"/>
                <w:szCs w:val="6"/>
                <w:color w:val="auto"/>
              </w:rPr>
            </w:pPr>
          </w:p>
        </w:tc>
        <w:tc>
          <w:tcPr>
            <w:tcW w:w="2660" w:type="dxa"/>
            <w:vAlign w:val="bottom"/>
            <w:shd w:val="clear" w:color="auto" w:fill="E9F0F3"/>
          </w:tcPr>
          <w:p>
            <w:pPr>
              <w:spacing w:after="0"/>
              <w:rPr>
                <w:sz w:val="6"/>
                <w:szCs w:val="6"/>
                <w:color w:val="auto"/>
              </w:rPr>
            </w:pPr>
          </w:p>
        </w:tc>
        <w:tc>
          <w:tcPr>
            <w:tcW w:w="2120" w:type="dxa"/>
            <w:vAlign w:val="bottom"/>
            <w:shd w:val="clear" w:color="auto" w:fill="E9F0F3"/>
          </w:tcPr>
          <w:p>
            <w:pPr>
              <w:spacing w:after="0"/>
              <w:rPr>
                <w:sz w:val="6"/>
                <w:szCs w:val="6"/>
                <w:color w:val="auto"/>
              </w:rPr>
            </w:pPr>
          </w:p>
        </w:tc>
        <w:tc>
          <w:tcPr>
            <w:tcW w:w="1980" w:type="dxa"/>
            <w:vAlign w:val="bottom"/>
            <w:shd w:val="clear" w:color="auto" w:fill="E9F0F3"/>
          </w:tcPr>
          <w:p>
            <w:pPr>
              <w:spacing w:after="0"/>
              <w:rPr>
                <w:sz w:val="6"/>
                <w:szCs w:val="6"/>
                <w:color w:val="auto"/>
              </w:rPr>
            </w:pPr>
          </w:p>
        </w:tc>
        <w:tc>
          <w:tcPr>
            <w:tcW w:w="148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60" w:right="40" w:hanging="149"/>
        <w:spacing w:after="0" w:line="252" w:lineRule="auto"/>
        <w:tabs>
          <w:tab w:leader="none" w:pos="167" w:val="left"/>
        </w:tabs>
        <w:numPr>
          <w:ilvl w:val="0"/>
          <w:numId w:val="125"/>
        </w:numPr>
        <w:rPr>
          <w:rFonts w:ascii="Arial" w:cs="Arial" w:eastAsia="Arial" w:hAnsi="Arial"/>
          <w:sz w:val="13"/>
          <w:szCs w:val="13"/>
          <w:color w:val="auto"/>
        </w:rPr>
      </w:pPr>
      <w:r>
        <w:rPr>
          <w:rFonts w:ascii="Arial" w:cs="Arial" w:eastAsia="Arial" w:hAnsi="Arial"/>
          <w:sz w:val="13"/>
          <w:szCs w:val="13"/>
          <w:i w:val="1"/>
          <w:iCs w:val="1"/>
          <w:color w:val="auto"/>
        </w:rPr>
        <w:t xml:space="preserve">See Note 12, </w:t>
      </w:r>
      <w:r>
        <w:rPr>
          <w:rFonts w:ascii="Arial" w:cs="Arial" w:eastAsia="Arial" w:hAnsi="Arial"/>
          <w:sz w:val="13"/>
          <w:szCs w:val="13"/>
          <w:color w:val="auto"/>
        </w:rPr>
        <w:t>“</w:t>
      </w:r>
      <w:r>
        <w:rPr>
          <w:rFonts w:ascii="Arial" w:cs="Arial" w:eastAsia="Arial" w:hAnsi="Arial"/>
          <w:sz w:val="13"/>
          <w:szCs w:val="13"/>
          <w:i w:val="1"/>
          <w:iCs w:val="1"/>
          <w:color w:val="auto"/>
        </w:rPr>
        <w:t>Retirement and Benefit Plans,</w:t>
      </w:r>
      <w:r>
        <w:rPr>
          <w:rFonts w:ascii="Arial" w:cs="Arial" w:eastAsia="Arial" w:hAnsi="Arial"/>
          <w:sz w:val="13"/>
          <w:szCs w:val="13"/>
          <w:color w:val="auto"/>
        </w:rPr>
        <w:t>” in the Notes to Consolidated Financial Statements included in Item 8 of our Annual Report on Form 10-K for the fiscal year ended February 1, 2026,</w:t>
      </w:r>
      <w:r>
        <w:rPr>
          <w:rFonts w:ascii="Arial" w:cs="Arial" w:eastAsia="Arial" w:hAnsi="Arial"/>
          <w:sz w:val="13"/>
          <w:szCs w:val="13"/>
          <w:i w:val="1"/>
          <w:iCs w:val="1"/>
          <w:color w:val="auto"/>
        </w:rPr>
        <w:t xml:space="preserve"> </w:t>
      </w:r>
      <w:r>
        <w:rPr>
          <w:rFonts w:ascii="Arial" w:cs="Arial" w:eastAsia="Arial" w:hAnsi="Arial"/>
          <w:sz w:val="13"/>
          <w:szCs w:val="13"/>
          <w:color w:val="auto"/>
        </w:rPr>
        <w:t>for the assumptions used in calculating the present value of the accumulated benefit.</w:t>
      </w:r>
    </w:p>
    <w:p>
      <w:pPr>
        <w:spacing w:after="0" w:line="16" w:lineRule="exact"/>
        <w:rPr>
          <w:sz w:val="20"/>
          <w:szCs w:val="20"/>
          <w:color w:val="auto"/>
        </w:rPr>
      </w:pPr>
    </w:p>
    <w:p>
      <w:pPr>
        <w:ind w:left="160" w:right="240" w:hanging="149"/>
        <w:spacing w:after="0" w:line="239" w:lineRule="auto"/>
        <w:tabs>
          <w:tab w:leader="none" w:pos="167" w:val="left"/>
        </w:tabs>
        <w:numPr>
          <w:ilvl w:val="0"/>
          <w:numId w:val="126"/>
        </w:numPr>
        <w:rPr>
          <w:rFonts w:ascii="Arial" w:cs="Arial" w:eastAsia="Arial" w:hAnsi="Arial"/>
          <w:sz w:val="13"/>
          <w:szCs w:val="13"/>
          <w:color w:val="auto"/>
        </w:rPr>
      </w:pPr>
      <w:r>
        <w:rPr>
          <w:rFonts w:ascii="Arial" w:cs="Arial" w:eastAsia="Arial" w:hAnsi="Arial"/>
          <w:sz w:val="13"/>
          <w:szCs w:val="13"/>
          <w:color w:val="auto"/>
        </w:rPr>
        <w:t>Pension and Supplemental Pension Plan credited service and actuarial values are calculated as of February 1, 2026, which is the pension plan measurement date that we use for financial statement reporting purposes. Retirement age is the plan’s “normal” retirement age or the earliest time when a participant may retire without an age-based reduction. The present values as of February 1, 2026 are calculated based on the following assumptions:</w:t>
      </w:r>
    </w:p>
    <w:p>
      <w:pPr>
        <w:spacing w:after="0" w:line="24" w:lineRule="exact"/>
        <w:rPr>
          <w:rFonts w:ascii="Arial" w:cs="Arial" w:eastAsia="Arial" w:hAnsi="Arial"/>
          <w:sz w:val="13"/>
          <w:szCs w:val="13"/>
          <w:color w:val="auto"/>
        </w:rPr>
      </w:pPr>
    </w:p>
    <w:p>
      <w:pPr>
        <w:ind w:left="620" w:hanging="138"/>
        <w:spacing w:after="0"/>
        <w:tabs>
          <w:tab w:leader="none" w:pos="620" w:val="left"/>
        </w:tabs>
        <w:numPr>
          <w:ilvl w:val="1"/>
          <w:numId w:val="126"/>
        </w:numPr>
        <w:rPr>
          <w:rFonts w:ascii="Arial" w:cs="Arial" w:eastAsia="Arial" w:hAnsi="Arial"/>
          <w:sz w:val="13"/>
          <w:szCs w:val="13"/>
          <w:color w:val="auto"/>
        </w:rPr>
      </w:pPr>
      <w:r>
        <w:rPr>
          <w:rFonts w:ascii="Arial" w:cs="Arial" w:eastAsia="Arial" w:hAnsi="Arial"/>
          <w:sz w:val="13"/>
          <w:szCs w:val="13"/>
          <w:color w:val="auto"/>
        </w:rPr>
        <w:t>for annuity payments in the qualified Pension Plan, the PRI-2012 mortality table, and the MP-2021 mortality improvement projection scale, as published by the Society of Actuaries;</w:t>
      </w:r>
    </w:p>
    <w:p>
      <w:pPr>
        <w:spacing w:after="0" w:line="38" w:lineRule="exact"/>
        <w:rPr>
          <w:rFonts w:ascii="Arial" w:cs="Arial" w:eastAsia="Arial" w:hAnsi="Arial"/>
          <w:sz w:val="13"/>
          <w:szCs w:val="13"/>
          <w:color w:val="auto"/>
        </w:rPr>
      </w:pPr>
    </w:p>
    <w:p>
      <w:pPr>
        <w:ind w:left="660" w:hanging="178"/>
        <w:spacing w:after="0"/>
        <w:tabs>
          <w:tab w:leader="none" w:pos="660" w:val="left"/>
        </w:tabs>
        <w:numPr>
          <w:ilvl w:val="1"/>
          <w:numId w:val="126"/>
        </w:numPr>
        <w:rPr>
          <w:rFonts w:ascii="Arial" w:cs="Arial" w:eastAsia="Arial" w:hAnsi="Arial"/>
          <w:sz w:val="13"/>
          <w:szCs w:val="13"/>
          <w:color w:val="auto"/>
        </w:rPr>
      </w:pPr>
      <w:r>
        <w:rPr>
          <w:rFonts w:ascii="Arial" w:cs="Arial" w:eastAsia="Arial" w:hAnsi="Arial"/>
          <w:sz w:val="13"/>
          <w:szCs w:val="13"/>
          <w:color w:val="auto"/>
        </w:rPr>
        <w:t>a 5.50% discount rate;</w:t>
      </w:r>
    </w:p>
    <w:p>
      <w:pPr>
        <w:spacing w:after="0" w:line="38" w:lineRule="exact"/>
        <w:rPr>
          <w:rFonts w:ascii="Arial" w:cs="Arial" w:eastAsia="Arial" w:hAnsi="Arial"/>
          <w:sz w:val="13"/>
          <w:szCs w:val="13"/>
          <w:color w:val="auto"/>
        </w:rPr>
      </w:pPr>
    </w:p>
    <w:p>
      <w:pPr>
        <w:ind w:left="480" w:right="120" w:firstLine="2"/>
        <w:spacing w:after="0" w:line="252" w:lineRule="auto"/>
        <w:tabs>
          <w:tab w:leader="none" w:pos="682" w:val="left"/>
        </w:tabs>
        <w:numPr>
          <w:ilvl w:val="1"/>
          <w:numId w:val="126"/>
        </w:numPr>
        <w:rPr>
          <w:rFonts w:ascii="Arial" w:cs="Arial" w:eastAsia="Arial" w:hAnsi="Arial"/>
          <w:sz w:val="13"/>
          <w:szCs w:val="13"/>
          <w:color w:val="auto"/>
        </w:rPr>
      </w:pPr>
      <w:r>
        <w:rPr>
          <w:rFonts w:ascii="Arial" w:cs="Arial" w:eastAsia="Arial" w:hAnsi="Arial"/>
          <w:sz w:val="13"/>
          <w:szCs w:val="13"/>
          <w:color w:val="auto"/>
        </w:rPr>
        <w:t>a form of payment in the qualified Pension Plan as follows: 90% assumed to elect a lump sum, 5% assumed to elect a life annuity, 2.5% assumed to elect a 50% joint and survivor, and 2.5% assumed to elect a 100% joint and survivor;</w:t>
      </w:r>
    </w:p>
    <w:p>
      <w:pPr>
        <w:spacing w:after="0" w:line="15" w:lineRule="exact"/>
        <w:rPr>
          <w:rFonts w:ascii="Arial" w:cs="Arial" w:eastAsia="Arial" w:hAnsi="Arial"/>
          <w:sz w:val="13"/>
          <w:szCs w:val="13"/>
          <w:color w:val="auto"/>
        </w:rPr>
      </w:pPr>
    </w:p>
    <w:p>
      <w:pPr>
        <w:ind w:left="700" w:hanging="218"/>
        <w:spacing w:after="0"/>
        <w:tabs>
          <w:tab w:leader="none" w:pos="700" w:val="left"/>
        </w:tabs>
        <w:numPr>
          <w:ilvl w:val="1"/>
          <w:numId w:val="126"/>
        </w:numPr>
        <w:rPr>
          <w:rFonts w:ascii="Arial" w:cs="Arial" w:eastAsia="Arial" w:hAnsi="Arial"/>
          <w:sz w:val="13"/>
          <w:szCs w:val="13"/>
          <w:color w:val="auto"/>
        </w:rPr>
      </w:pPr>
      <w:r>
        <w:rPr>
          <w:rFonts w:ascii="Arial" w:cs="Arial" w:eastAsia="Arial" w:hAnsi="Arial"/>
          <w:sz w:val="13"/>
          <w:szCs w:val="13"/>
          <w:color w:val="auto"/>
        </w:rPr>
        <w:t>a form of payment in the non-qualified Supplemental Pension Plan of 100% assumed to elect a lump sum; and</w:t>
      </w:r>
    </w:p>
    <w:p>
      <w:pPr>
        <w:spacing w:after="0" w:line="38" w:lineRule="exact"/>
        <w:rPr>
          <w:rFonts w:ascii="Arial" w:cs="Arial" w:eastAsia="Arial" w:hAnsi="Arial"/>
          <w:sz w:val="13"/>
          <w:szCs w:val="13"/>
          <w:color w:val="auto"/>
        </w:rPr>
      </w:pPr>
    </w:p>
    <w:p>
      <w:pPr>
        <w:jc w:val="both"/>
        <w:ind w:left="480" w:right="20" w:firstLine="2"/>
        <w:spacing w:after="0" w:line="293" w:lineRule="auto"/>
        <w:tabs>
          <w:tab w:leader="none" w:pos="661" w:val="left"/>
        </w:tabs>
        <w:numPr>
          <w:ilvl w:val="1"/>
          <w:numId w:val="126"/>
        </w:numPr>
        <w:rPr>
          <w:rFonts w:ascii="Arial" w:cs="Arial" w:eastAsia="Arial" w:hAnsi="Arial"/>
          <w:sz w:val="12"/>
          <w:szCs w:val="12"/>
          <w:color w:val="auto"/>
        </w:rPr>
      </w:pPr>
      <w:r>
        <w:rPr>
          <w:rFonts w:ascii="Arial" w:cs="Arial" w:eastAsia="Arial" w:hAnsi="Arial"/>
          <w:sz w:val="12"/>
          <w:szCs w:val="12"/>
          <w:color w:val="auto"/>
        </w:rPr>
        <w:t>lump sum values based on the assumptions prescribed under the Pension Protection Act of 2006 (these include the mortality table PRI-2012, with projected mortality improvements, and segment rates of 4.20% for payments expected to be made for the first 5 years, 4.55% for payments between 5 and 20 years, and 4.85% for payments projected to be made after 20 years).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EXECUTIVE COMPENSATION TABLES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256" w:right="479" w:bottom="1440" w:gutter="0" w:footer="0" w:header="0"/>
        </w:sectPr>
      </w:pPr>
    </w:p>
    <w:bookmarkStart w:id="74" w:name="page75"/>
    <w:bookmarkEnd w:id="74"/>
    <w:p>
      <w:pPr>
        <w:spacing w:after="0"/>
        <w:rPr>
          <w:sz w:val="20"/>
          <w:szCs w:val="20"/>
          <w:color w:val="auto"/>
        </w:rPr>
      </w:pPr>
      <w:r>
        <w:rPr>
          <w:rFonts w:ascii="Arial" w:cs="Arial" w:eastAsia="Arial" w:hAnsi="Arial"/>
          <w:sz w:val="28"/>
          <w:szCs w:val="28"/>
          <w:b w:val="1"/>
          <w:bCs w:val="1"/>
          <w:color w:val="6D98AD"/>
        </w:rPr>
        <w:t>Defined Benefit Plans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Plan</w:t>
      </w:r>
    </w:p>
    <w:p>
      <w:pPr>
        <w:spacing w:after="0" w:line="62"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We maintain a pension plan for certain of our U.S.-based associates, which we refer to in this section as the “Pension Plan” or “Plan.” The Pension Plan is a qualified defined benefit plan. Our U.S.-based associates hired on or before December 31, 2021, are eligible to participate in the Plan unless they are:</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members of a collective bargaining unit,</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independent contractors or consultants,</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non-resident aliens, or</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covered by another company-provided pension plan.</w:t>
      </w:r>
    </w:p>
    <w:p>
      <w:pPr>
        <w:spacing w:after="0" w:line="110"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The Pension Plan is closed to U.S.-based associates hired or rehired after December 31, 2021, including Mr. Savman who is not eligible to participate in the Plan, and Mr. Coughlin and Ms. Serrano who were not eligible to participate in the Plan, as they were hired after this date. In 2023 the Board approved changes to the plan to freeze future service benefits for most participants after June 30, 2024, and after June 30, 2026, for eligible “Transition Participants” who may continue to accrue benefits until that date. None of the NEOs are Transition Participants.</w:t>
      </w:r>
    </w:p>
    <w:p>
      <w:pPr>
        <w:spacing w:after="0" w:line="73" w:lineRule="exact"/>
        <w:rPr>
          <w:sz w:val="20"/>
          <w:szCs w:val="20"/>
          <w:color w:val="auto"/>
        </w:rPr>
      </w:pPr>
    </w:p>
    <w:p>
      <w:pPr>
        <w:jc w:val="both"/>
        <w:ind w:right="200"/>
        <w:spacing w:after="0" w:line="264" w:lineRule="auto"/>
        <w:rPr>
          <w:sz w:val="20"/>
          <w:szCs w:val="20"/>
          <w:color w:val="auto"/>
        </w:rPr>
      </w:pPr>
      <w:r>
        <w:rPr>
          <w:rFonts w:ascii="Arial" w:cs="Arial" w:eastAsia="Arial" w:hAnsi="Arial"/>
          <w:sz w:val="14"/>
          <w:szCs w:val="14"/>
          <w:color w:val="auto"/>
        </w:rPr>
        <w:t>Eligible salaried associates began participation in the Pension Plan on the first day of the calendar quarter after they completed one year of service in which they worked at least 1,000 hours. Eligible hourly production associates began participation in the Plan on the first day of the calendar quarter after they completed three months of service, provided it was anticipated they would work at least 1,000 hours in the year.</w:t>
      </w:r>
    </w:p>
    <w:p>
      <w:pPr>
        <w:spacing w:after="0" w:line="81" w:lineRule="exact"/>
        <w:rPr>
          <w:sz w:val="20"/>
          <w:szCs w:val="20"/>
          <w:color w:val="auto"/>
        </w:rPr>
      </w:pPr>
    </w:p>
    <w:p>
      <w:pPr>
        <w:ind w:right="280"/>
        <w:spacing w:after="0" w:line="282" w:lineRule="auto"/>
        <w:rPr>
          <w:sz w:val="20"/>
          <w:szCs w:val="20"/>
          <w:color w:val="auto"/>
        </w:rPr>
      </w:pPr>
      <w:r>
        <w:rPr>
          <w:rFonts w:ascii="Arial" w:cs="Arial" w:eastAsia="Arial" w:hAnsi="Arial"/>
          <w:sz w:val="14"/>
          <w:szCs w:val="14"/>
          <w:color w:val="auto"/>
        </w:rPr>
        <w:t>The benefits under the Pension Plan generally are based on a participant’s career average compensation up to the freeze effective date, excluding relocation pay, sign-on bonus, stay bonus, clothing allowance, and awards under the LTI Plan.</w:t>
      </w:r>
    </w:p>
    <w:p>
      <w:pPr>
        <w:spacing w:after="0" w:line="57"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The participant’s prior service benefit and future service benefit are added together to determine the total retirement benefit. The prior service benefit for salaried associates is calculated by taking 1.00% of the past service compensation, plus 0.50% of the past service compensation over the Social Security average breakpoint (dollar amount determined by the year in which the participant reaches Social Security Normal Retirement Age), multiplied by the prior service benefit at December 31, 1999. The future service benefit is calculated by taking 1.00% of each year’s future service compensation (or, if the employee date of hire is on or after October 1, 2019, 0.75% for their first five years of service compensation), plus 0.50% of each year’s future service compensation over the Social Security-covered compensation breakpoint for each year of benefit service, assuming that the total benefit service (including prior service) does not exceed 35 years. Benefits under the Pension Plan are vested after five years of service or, if earlier, when the participant becomes totally and permanently disabled or reaches age 65. Both Mr. Larsson and Ms. Stone are vested in the Pension Plan.</w:t>
      </w:r>
    </w:p>
    <w:p>
      <w:pPr>
        <w:spacing w:after="0" w:line="82"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The Pension Plan has provisions to prevent a break in service under certain circumstances. Any participant who would be credited with fewer than 501 hours in a plan year due to a leave associated with the birth or adoption of a child or related childcare will be credited with service for the number of hours the participant would have worked that, together with credited hours actually worked during the plan year, totals 501 hours of service. In addition, participants will not incur a break in service due to any leave of absence in accordance with the provisions of the Family and Medical Leave Act of 1993 or on account of military duty, provided they return to work within the re-employment period under federal law.</w:t>
      </w:r>
    </w:p>
    <w:p>
      <w:pPr>
        <w:spacing w:after="0" w:line="15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72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695515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880"/>
          </w:cols>
          <w:pgMar w:left="480" w:top="256" w:right="539" w:bottom="1440" w:gutter="0" w:footer="0" w:header="0"/>
        </w:sectPr>
      </w:pPr>
    </w:p>
    <w:bookmarkStart w:id="75" w:name="page76"/>
    <w:bookmarkEnd w:id="75"/>
    <w:p>
      <w:pPr>
        <w:ind w:left="20" w:right="560"/>
        <w:spacing w:after="0" w:line="264" w:lineRule="auto"/>
        <w:rPr>
          <w:sz w:val="20"/>
          <w:szCs w:val="20"/>
          <w:color w:val="auto"/>
        </w:rPr>
      </w:pPr>
      <w:r>
        <w:rPr>
          <w:rFonts w:ascii="Arial" w:cs="Arial" w:eastAsia="Arial" w:hAnsi="Arial"/>
          <w:sz w:val="14"/>
          <w:szCs w:val="14"/>
          <w:color w:val="auto"/>
        </w:rPr>
        <w:t>Normal retirement age under the Pension Plan is age 65. Vested participants are eligible for a lump sum distribution (or an immediate annuity form of distribution) at termination, regardless of age. Vested participants who terminate employment prior to age 55 or have worked less than ten years are eligible for an unsubsidized early retirement benefit based on the factors in the following table: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480" w:type="dxa"/>
            <w:vAlign w:val="bottom"/>
            <w:shd w:val="clear" w:color="auto" w:fill="99B7C6"/>
          </w:tcPr>
          <w:p>
            <w:pPr>
              <w:ind w:left="60"/>
              <w:spacing w:after="0"/>
              <w:rPr>
                <w:sz w:val="20"/>
                <w:szCs w:val="20"/>
                <w:color w:val="auto"/>
              </w:rPr>
            </w:pPr>
            <w:r>
              <w:rPr>
                <w:rFonts w:ascii="Arial" w:cs="Arial" w:eastAsia="Arial" w:hAnsi="Arial"/>
                <w:sz w:val="14"/>
                <w:szCs w:val="14"/>
                <w:b w:val="1"/>
                <w:bCs w:val="1"/>
                <w:color w:val="FFFFFF"/>
              </w:rPr>
              <w:t>Age at Commencement</w:t>
            </w:r>
          </w:p>
        </w:tc>
        <w:tc>
          <w:tcPr>
            <w:tcW w:w="5460" w:type="dxa"/>
            <w:vAlign w:val="bottom"/>
            <w:shd w:val="clear" w:color="auto" w:fill="99B7C6"/>
          </w:tcPr>
          <w:p>
            <w:pPr>
              <w:jc w:val="right"/>
              <w:spacing w:after="0"/>
              <w:rPr>
                <w:sz w:val="20"/>
                <w:szCs w:val="20"/>
                <w:color w:val="auto"/>
              </w:rPr>
            </w:pPr>
            <w:r>
              <w:rPr>
                <w:rFonts w:ascii="Arial" w:cs="Arial" w:eastAsia="Arial" w:hAnsi="Arial"/>
                <w:sz w:val="14"/>
                <w:szCs w:val="14"/>
                <w:b w:val="1"/>
                <w:bCs w:val="1"/>
                <w:color w:val="FFFFFF"/>
              </w:rPr>
              <w:t>Early Retirement Factor</w:t>
            </w:r>
          </w:p>
        </w:tc>
      </w:tr>
      <w:tr>
        <w:trPr>
          <w:trHeight w:val="256"/>
        </w:trPr>
        <w:tc>
          <w:tcPr>
            <w:tcW w:w="5480" w:type="dxa"/>
            <w:vAlign w:val="bottom"/>
            <w:shd w:val="clear" w:color="auto" w:fill="E9F0F3"/>
          </w:tcPr>
          <w:p>
            <w:pPr>
              <w:ind w:left="60"/>
              <w:spacing w:after="0"/>
              <w:rPr>
                <w:sz w:val="20"/>
                <w:szCs w:val="20"/>
                <w:color w:val="auto"/>
              </w:rPr>
            </w:pPr>
            <w:r>
              <w:rPr>
                <w:rFonts w:ascii="Arial" w:cs="Arial" w:eastAsia="Arial" w:hAnsi="Arial"/>
                <w:sz w:val="14"/>
                <w:szCs w:val="14"/>
                <w:color w:val="auto"/>
              </w:rPr>
              <w:t>55</w:t>
            </w:r>
          </w:p>
        </w:tc>
        <w:tc>
          <w:tcPr>
            <w:tcW w:w="54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40.00%</w:t>
            </w:r>
          </w:p>
        </w:tc>
      </w:tr>
      <w:tr>
        <w:trPr>
          <w:trHeight w:val="74"/>
        </w:trPr>
        <w:tc>
          <w:tcPr>
            <w:tcW w:w="5480" w:type="dxa"/>
            <w:vAlign w:val="bottom"/>
            <w:shd w:val="clear" w:color="auto" w:fill="E9F0F3"/>
          </w:tcPr>
          <w:p>
            <w:pPr>
              <w:spacing w:after="0"/>
              <w:rPr>
                <w:sz w:val="6"/>
                <w:szCs w:val="6"/>
                <w:color w:val="auto"/>
              </w:rPr>
            </w:pPr>
          </w:p>
        </w:tc>
        <w:tc>
          <w:tcPr>
            <w:tcW w:w="5460" w:type="dxa"/>
            <w:vAlign w:val="bottom"/>
            <w:shd w:val="clear" w:color="auto" w:fill="E9F0F3"/>
          </w:tcPr>
          <w:p>
            <w:pPr>
              <w:spacing w:after="0"/>
              <w:rPr>
                <w:sz w:val="6"/>
                <w:szCs w:val="6"/>
                <w:color w:val="auto"/>
              </w:rPr>
            </w:pPr>
          </w:p>
        </w:tc>
      </w:tr>
      <w:tr>
        <w:trPr>
          <w:trHeight w:val="256"/>
        </w:trPr>
        <w:tc>
          <w:tcPr>
            <w:tcW w:w="5480" w:type="dxa"/>
            <w:vAlign w:val="bottom"/>
          </w:tcPr>
          <w:p>
            <w:pPr>
              <w:ind w:left="60"/>
              <w:spacing w:after="0"/>
              <w:rPr>
                <w:sz w:val="20"/>
                <w:szCs w:val="20"/>
                <w:color w:val="auto"/>
              </w:rPr>
            </w:pPr>
            <w:r>
              <w:rPr>
                <w:rFonts w:ascii="Arial" w:cs="Arial" w:eastAsia="Arial" w:hAnsi="Arial"/>
                <w:sz w:val="14"/>
                <w:szCs w:val="14"/>
                <w:color w:val="auto"/>
              </w:rPr>
              <w:t>56</w:t>
            </w:r>
          </w:p>
        </w:tc>
        <w:tc>
          <w:tcPr>
            <w:tcW w:w="5460" w:type="dxa"/>
            <w:vAlign w:val="bottom"/>
          </w:tcPr>
          <w:p>
            <w:pPr>
              <w:jc w:val="right"/>
              <w:spacing w:after="0"/>
              <w:rPr>
                <w:sz w:val="20"/>
                <w:szCs w:val="20"/>
                <w:color w:val="auto"/>
              </w:rPr>
            </w:pPr>
            <w:r>
              <w:rPr>
                <w:rFonts w:ascii="Arial" w:cs="Arial" w:eastAsia="Arial" w:hAnsi="Arial"/>
                <w:sz w:val="14"/>
                <w:szCs w:val="14"/>
                <w:color w:val="auto"/>
              </w:rPr>
              <w:t>43.00%</w:t>
            </w:r>
          </w:p>
        </w:tc>
      </w:tr>
      <w:tr>
        <w:trPr>
          <w:trHeight w:val="74"/>
        </w:trPr>
        <w:tc>
          <w:tcPr>
            <w:tcW w:w="5480" w:type="dxa"/>
            <w:vAlign w:val="bottom"/>
          </w:tcPr>
          <w:p>
            <w:pPr>
              <w:spacing w:after="0"/>
              <w:rPr>
                <w:sz w:val="6"/>
                <w:szCs w:val="6"/>
                <w:color w:val="auto"/>
              </w:rPr>
            </w:pPr>
          </w:p>
        </w:tc>
        <w:tc>
          <w:tcPr>
            <w:tcW w:w="5460" w:type="dxa"/>
            <w:vAlign w:val="bottom"/>
          </w:tcPr>
          <w:p>
            <w:pPr>
              <w:spacing w:after="0"/>
              <w:rPr>
                <w:sz w:val="6"/>
                <w:szCs w:val="6"/>
                <w:color w:val="auto"/>
              </w:rPr>
            </w:pPr>
          </w:p>
        </w:tc>
      </w:tr>
      <w:tr>
        <w:trPr>
          <w:trHeight w:val="256"/>
        </w:trPr>
        <w:tc>
          <w:tcPr>
            <w:tcW w:w="5480" w:type="dxa"/>
            <w:vAlign w:val="bottom"/>
            <w:shd w:val="clear" w:color="auto" w:fill="E9F0F3"/>
          </w:tcPr>
          <w:p>
            <w:pPr>
              <w:ind w:left="60"/>
              <w:spacing w:after="0"/>
              <w:rPr>
                <w:sz w:val="20"/>
                <w:szCs w:val="20"/>
                <w:color w:val="auto"/>
              </w:rPr>
            </w:pPr>
            <w:r>
              <w:rPr>
                <w:rFonts w:ascii="Arial" w:cs="Arial" w:eastAsia="Arial" w:hAnsi="Arial"/>
                <w:sz w:val="14"/>
                <w:szCs w:val="14"/>
                <w:color w:val="auto"/>
              </w:rPr>
              <w:t>57</w:t>
            </w:r>
          </w:p>
        </w:tc>
        <w:tc>
          <w:tcPr>
            <w:tcW w:w="54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46.00%</w:t>
            </w:r>
          </w:p>
        </w:tc>
      </w:tr>
      <w:tr>
        <w:trPr>
          <w:trHeight w:val="74"/>
        </w:trPr>
        <w:tc>
          <w:tcPr>
            <w:tcW w:w="5480" w:type="dxa"/>
            <w:vAlign w:val="bottom"/>
            <w:shd w:val="clear" w:color="auto" w:fill="E9F0F3"/>
          </w:tcPr>
          <w:p>
            <w:pPr>
              <w:spacing w:after="0"/>
              <w:rPr>
                <w:sz w:val="6"/>
                <w:szCs w:val="6"/>
                <w:color w:val="auto"/>
              </w:rPr>
            </w:pPr>
          </w:p>
        </w:tc>
        <w:tc>
          <w:tcPr>
            <w:tcW w:w="5460" w:type="dxa"/>
            <w:vAlign w:val="bottom"/>
            <w:shd w:val="clear" w:color="auto" w:fill="E9F0F3"/>
          </w:tcPr>
          <w:p>
            <w:pPr>
              <w:spacing w:after="0"/>
              <w:rPr>
                <w:sz w:val="6"/>
                <w:szCs w:val="6"/>
                <w:color w:val="auto"/>
              </w:rPr>
            </w:pPr>
          </w:p>
        </w:tc>
      </w:tr>
      <w:tr>
        <w:trPr>
          <w:trHeight w:val="256"/>
        </w:trPr>
        <w:tc>
          <w:tcPr>
            <w:tcW w:w="5480" w:type="dxa"/>
            <w:vAlign w:val="bottom"/>
          </w:tcPr>
          <w:p>
            <w:pPr>
              <w:ind w:left="60"/>
              <w:spacing w:after="0"/>
              <w:rPr>
                <w:sz w:val="20"/>
                <w:szCs w:val="20"/>
                <w:color w:val="auto"/>
              </w:rPr>
            </w:pPr>
            <w:r>
              <w:rPr>
                <w:rFonts w:ascii="Arial" w:cs="Arial" w:eastAsia="Arial" w:hAnsi="Arial"/>
                <w:sz w:val="14"/>
                <w:szCs w:val="14"/>
                <w:color w:val="auto"/>
              </w:rPr>
              <w:t>58</w:t>
            </w:r>
          </w:p>
        </w:tc>
        <w:tc>
          <w:tcPr>
            <w:tcW w:w="546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74"/>
        </w:trPr>
        <w:tc>
          <w:tcPr>
            <w:tcW w:w="5480" w:type="dxa"/>
            <w:vAlign w:val="bottom"/>
          </w:tcPr>
          <w:p>
            <w:pPr>
              <w:spacing w:after="0"/>
              <w:rPr>
                <w:sz w:val="6"/>
                <w:szCs w:val="6"/>
                <w:color w:val="auto"/>
              </w:rPr>
            </w:pPr>
          </w:p>
        </w:tc>
        <w:tc>
          <w:tcPr>
            <w:tcW w:w="5460" w:type="dxa"/>
            <w:vAlign w:val="bottom"/>
          </w:tcPr>
          <w:p>
            <w:pPr>
              <w:spacing w:after="0"/>
              <w:rPr>
                <w:sz w:val="6"/>
                <w:szCs w:val="6"/>
                <w:color w:val="auto"/>
              </w:rPr>
            </w:pPr>
          </w:p>
        </w:tc>
      </w:tr>
      <w:tr>
        <w:trPr>
          <w:trHeight w:val="256"/>
        </w:trPr>
        <w:tc>
          <w:tcPr>
            <w:tcW w:w="5480" w:type="dxa"/>
            <w:vAlign w:val="bottom"/>
            <w:shd w:val="clear" w:color="auto" w:fill="E9F0F3"/>
          </w:tcPr>
          <w:p>
            <w:pPr>
              <w:ind w:left="60"/>
              <w:spacing w:after="0"/>
              <w:rPr>
                <w:sz w:val="20"/>
                <w:szCs w:val="20"/>
                <w:color w:val="auto"/>
              </w:rPr>
            </w:pPr>
            <w:r>
              <w:rPr>
                <w:rFonts w:ascii="Arial" w:cs="Arial" w:eastAsia="Arial" w:hAnsi="Arial"/>
                <w:sz w:val="14"/>
                <w:szCs w:val="14"/>
                <w:color w:val="auto"/>
              </w:rPr>
              <w:t>59</w:t>
            </w:r>
          </w:p>
        </w:tc>
        <w:tc>
          <w:tcPr>
            <w:tcW w:w="54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55.00%</w:t>
            </w:r>
          </w:p>
        </w:tc>
      </w:tr>
      <w:tr>
        <w:trPr>
          <w:trHeight w:val="74"/>
        </w:trPr>
        <w:tc>
          <w:tcPr>
            <w:tcW w:w="5480" w:type="dxa"/>
            <w:vAlign w:val="bottom"/>
            <w:shd w:val="clear" w:color="auto" w:fill="E9F0F3"/>
          </w:tcPr>
          <w:p>
            <w:pPr>
              <w:spacing w:after="0"/>
              <w:rPr>
                <w:sz w:val="6"/>
                <w:szCs w:val="6"/>
                <w:color w:val="auto"/>
              </w:rPr>
            </w:pPr>
          </w:p>
        </w:tc>
        <w:tc>
          <w:tcPr>
            <w:tcW w:w="5460" w:type="dxa"/>
            <w:vAlign w:val="bottom"/>
            <w:shd w:val="clear" w:color="auto" w:fill="E9F0F3"/>
          </w:tcPr>
          <w:p>
            <w:pPr>
              <w:spacing w:after="0"/>
              <w:rPr>
                <w:sz w:val="6"/>
                <w:szCs w:val="6"/>
                <w:color w:val="auto"/>
              </w:rPr>
            </w:pPr>
          </w:p>
        </w:tc>
      </w:tr>
      <w:tr>
        <w:trPr>
          <w:trHeight w:val="256"/>
        </w:trPr>
        <w:tc>
          <w:tcPr>
            <w:tcW w:w="5480" w:type="dxa"/>
            <w:vAlign w:val="bottom"/>
          </w:tcPr>
          <w:p>
            <w:pPr>
              <w:ind w:left="60"/>
              <w:spacing w:after="0"/>
              <w:rPr>
                <w:sz w:val="20"/>
                <w:szCs w:val="20"/>
                <w:color w:val="auto"/>
              </w:rPr>
            </w:pPr>
            <w:r>
              <w:rPr>
                <w:rFonts w:ascii="Arial" w:cs="Arial" w:eastAsia="Arial" w:hAnsi="Arial"/>
                <w:sz w:val="14"/>
                <w:szCs w:val="14"/>
                <w:color w:val="auto"/>
              </w:rPr>
              <w:t>60</w:t>
            </w:r>
          </w:p>
        </w:tc>
        <w:tc>
          <w:tcPr>
            <w:tcW w:w="5460" w:type="dxa"/>
            <w:vAlign w:val="bottom"/>
          </w:tcPr>
          <w:p>
            <w:pPr>
              <w:jc w:val="right"/>
              <w:spacing w:after="0"/>
              <w:rPr>
                <w:sz w:val="20"/>
                <w:szCs w:val="20"/>
                <w:color w:val="auto"/>
              </w:rPr>
            </w:pPr>
            <w:r>
              <w:rPr>
                <w:rFonts w:ascii="Arial" w:cs="Arial" w:eastAsia="Arial" w:hAnsi="Arial"/>
                <w:sz w:val="14"/>
                <w:szCs w:val="14"/>
                <w:color w:val="auto"/>
              </w:rPr>
              <w:t>60.00%</w:t>
            </w:r>
          </w:p>
        </w:tc>
      </w:tr>
      <w:tr>
        <w:trPr>
          <w:trHeight w:val="74"/>
        </w:trPr>
        <w:tc>
          <w:tcPr>
            <w:tcW w:w="5480" w:type="dxa"/>
            <w:vAlign w:val="bottom"/>
          </w:tcPr>
          <w:p>
            <w:pPr>
              <w:spacing w:after="0"/>
              <w:rPr>
                <w:sz w:val="6"/>
                <w:szCs w:val="6"/>
                <w:color w:val="auto"/>
              </w:rPr>
            </w:pPr>
          </w:p>
        </w:tc>
        <w:tc>
          <w:tcPr>
            <w:tcW w:w="5460" w:type="dxa"/>
            <w:vAlign w:val="bottom"/>
          </w:tcPr>
          <w:p>
            <w:pPr>
              <w:spacing w:after="0"/>
              <w:rPr>
                <w:sz w:val="6"/>
                <w:szCs w:val="6"/>
                <w:color w:val="auto"/>
              </w:rPr>
            </w:pPr>
          </w:p>
        </w:tc>
      </w:tr>
      <w:tr>
        <w:trPr>
          <w:trHeight w:val="256"/>
        </w:trPr>
        <w:tc>
          <w:tcPr>
            <w:tcW w:w="5480" w:type="dxa"/>
            <w:vAlign w:val="bottom"/>
            <w:shd w:val="clear" w:color="auto" w:fill="E9F0F3"/>
          </w:tcPr>
          <w:p>
            <w:pPr>
              <w:ind w:left="60"/>
              <w:spacing w:after="0"/>
              <w:rPr>
                <w:sz w:val="20"/>
                <w:szCs w:val="20"/>
                <w:color w:val="auto"/>
              </w:rPr>
            </w:pPr>
            <w:r>
              <w:rPr>
                <w:rFonts w:ascii="Arial" w:cs="Arial" w:eastAsia="Arial" w:hAnsi="Arial"/>
                <w:sz w:val="14"/>
                <w:szCs w:val="14"/>
                <w:color w:val="auto"/>
              </w:rPr>
              <w:t>61</w:t>
            </w:r>
          </w:p>
        </w:tc>
        <w:tc>
          <w:tcPr>
            <w:tcW w:w="54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66.00%</w:t>
            </w:r>
          </w:p>
        </w:tc>
      </w:tr>
      <w:tr>
        <w:trPr>
          <w:trHeight w:val="74"/>
        </w:trPr>
        <w:tc>
          <w:tcPr>
            <w:tcW w:w="5480" w:type="dxa"/>
            <w:vAlign w:val="bottom"/>
            <w:shd w:val="clear" w:color="auto" w:fill="E9F0F3"/>
          </w:tcPr>
          <w:p>
            <w:pPr>
              <w:spacing w:after="0"/>
              <w:rPr>
                <w:sz w:val="6"/>
                <w:szCs w:val="6"/>
                <w:color w:val="auto"/>
              </w:rPr>
            </w:pPr>
          </w:p>
        </w:tc>
        <w:tc>
          <w:tcPr>
            <w:tcW w:w="5460" w:type="dxa"/>
            <w:vAlign w:val="bottom"/>
            <w:shd w:val="clear" w:color="auto" w:fill="E9F0F3"/>
          </w:tcPr>
          <w:p>
            <w:pPr>
              <w:spacing w:after="0"/>
              <w:rPr>
                <w:sz w:val="6"/>
                <w:szCs w:val="6"/>
                <w:color w:val="auto"/>
              </w:rPr>
            </w:pPr>
          </w:p>
        </w:tc>
      </w:tr>
      <w:tr>
        <w:trPr>
          <w:trHeight w:val="256"/>
        </w:trPr>
        <w:tc>
          <w:tcPr>
            <w:tcW w:w="5480" w:type="dxa"/>
            <w:vAlign w:val="bottom"/>
          </w:tcPr>
          <w:p>
            <w:pPr>
              <w:ind w:left="60"/>
              <w:spacing w:after="0"/>
              <w:rPr>
                <w:sz w:val="20"/>
                <w:szCs w:val="20"/>
                <w:color w:val="auto"/>
              </w:rPr>
            </w:pPr>
            <w:r>
              <w:rPr>
                <w:rFonts w:ascii="Arial" w:cs="Arial" w:eastAsia="Arial" w:hAnsi="Arial"/>
                <w:sz w:val="14"/>
                <w:szCs w:val="14"/>
                <w:color w:val="auto"/>
              </w:rPr>
              <w:t>62</w:t>
            </w:r>
          </w:p>
        </w:tc>
        <w:tc>
          <w:tcPr>
            <w:tcW w:w="5460" w:type="dxa"/>
            <w:vAlign w:val="bottom"/>
          </w:tcPr>
          <w:p>
            <w:pPr>
              <w:jc w:val="right"/>
              <w:spacing w:after="0"/>
              <w:rPr>
                <w:sz w:val="20"/>
                <w:szCs w:val="20"/>
                <w:color w:val="auto"/>
              </w:rPr>
            </w:pPr>
            <w:r>
              <w:rPr>
                <w:rFonts w:ascii="Arial" w:cs="Arial" w:eastAsia="Arial" w:hAnsi="Arial"/>
                <w:sz w:val="14"/>
                <w:szCs w:val="14"/>
                <w:color w:val="auto"/>
              </w:rPr>
              <w:t>73.00%</w:t>
            </w:r>
          </w:p>
        </w:tc>
      </w:tr>
      <w:tr>
        <w:trPr>
          <w:trHeight w:val="74"/>
        </w:trPr>
        <w:tc>
          <w:tcPr>
            <w:tcW w:w="5480" w:type="dxa"/>
            <w:vAlign w:val="bottom"/>
          </w:tcPr>
          <w:p>
            <w:pPr>
              <w:spacing w:after="0"/>
              <w:rPr>
                <w:sz w:val="6"/>
                <w:szCs w:val="6"/>
                <w:color w:val="auto"/>
              </w:rPr>
            </w:pPr>
          </w:p>
        </w:tc>
        <w:tc>
          <w:tcPr>
            <w:tcW w:w="5460" w:type="dxa"/>
            <w:vAlign w:val="bottom"/>
          </w:tcPr>
          <w:p>
            <w:pPr>
              <w:spacing w:after="0"/>
              <w:rPr>
                <w:sz w:val="6"/>
                <w:szCs w:val="6"/>
                <w:color w:val="auto"/>
              </w:rPr>
            </w:pPr>
          </w:p>
        </w:tc>
      </w:tr>
      <w:tr>
        <w:trPr>
          <w:trHeight w:val="256"/>
        </w:trPr>
        <w:tc>
          <w:tcPr>
            <w:tcW w:w="5480" w:type="dxa"/>
            <w:vAlign w:val="bottom"/>
            <w:shd w:val="clear" w:color="auto" w:fill="E9F0F3"/>
          </w:tcPr>
          <w:p>
            <w:pPr>
              <w:ind w:left="60"/>
              <w:spacing w:after="0"/>
              <w:rPr>
                <w:sz w:val="20"/>
                <w:szCs w:val="20"/>
                <w:color w:val="auto"/>
              </w:rPr>
            </w:pPr>
            <w:r>
              <w:rPr>
                <w:rFonts w:ascii="Arial" w:cs="Arial" w:eastAsia="Arial" w:hAnsi="Arial"/>
                <w:sz w:val="14"/>
                <w:szCs w:val="14"/>
                <w:color w:val="auto"/>
              </w:rPr>
              <w:t>63</w:t>
            </w:r>
          </w:p>
        </w:tc>
        <w:tc>
          <w:tcPr>
            <w:tcW w:w="54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81.00%</w:t>
            </w:r>
          </w:p>
        </w:tc>
      </w:tr>
      <w:tr>
        <w:trPr>
          <w:trHeight w:val="74"/>
        </w:trPr>
        <w:tc>
          <w:tcPr>
            <w:tcW w:w="5480" w:type="dxa"/>
            <w:vAlign w:val="bottom"/>
            <w:shd w:val="clear" w:color="auto" w:fill="E9F0F3"/>
          </w:tcPr>
          <w:p>
            <w:pPr>
              <w:spacing w:after="0"/>
              <w:rPr>
                <w:sz w:val="6"/>
                <w:szCs w:val="6"/>
                <w:color w:val="auto"/>
              </w:rPr>
            </w:pPr>
          </w:p>
        </w:tc>
        <w:tc>
          <w:tcPr>
            <w:tcW w:w="5460" w:type="dxa"/>
            <w:vAlign w:val="bottom"/>
            <w:shd w:val="clear" w:color="auto" w:fill="E9F0F3"/>
          </w:tcPr>
          <w:p>
            <w:pPr>
              <w:spacing w:after="0"/>
              <w:rPr>
                <w:sz w:val="6"/>
                <w:szCs w:val="6"/>
                <w:color w:val="auto"/>
              </w:rPr>
            </w:pPr>
          </w:p>
        </w:tc>
      </w:tr>
      <w:tr>
        <w:trPr>
          <w:trHeight w:val="256"/>
        </w:trPr>
        <w:tc>
          <w:tcPr>
            <w:tcW w:w="5480" w:type="dxa"/>
            <w:vAlign w:val="bottom"/>
          </w:tcPr>
          <w:p>
            <w:pPr>
              <w:ind w:left="60"/>
              <w:spacing w:after="0"/>
              <w:rPr>
                <w:sz w:val="20"/>
                <w:szCs w:val="20"/>
                <w:color w:val="auto"/>
              </w:rPr>
            </w:pPr>
            <w:r>
              <w:rPr>
                <w:rFonts w:ascii="Arial" w:cs="Arial" w:eastAsia="Arial" w:hAnsi="Arial"/>
                <w:sz w:val="14"/>
                <w:szCs w:val="14"/>
                <w:color w:val="auto"/>
              </w:rPr>
              <w:t>64</w:t>
            </w:r>
          </w:p>
        </w:tc>
        <w:tc>
          <w:tcPr>
            <w:tcW w:w="5460" w:type="dxa"/>
            <w:vAlign w:val="bottom"/>
          </w:tcPr>
          <w:p>
            <w:pPr>
              <w:jc w:val="right"/>
              <w:spacing w:after="0"/>
              <w:rPr>
                <w:sz w:val="20"/>
                <w:szCs w:val="20"/>
                <w:color w:val="auto"/>
              </w:rPr>
            </w:pPr>
            <w:r>
              <w:rPr>
                <w:rFonts w:ascii="Arial" w:cs="Arial" w:eastAsia="Arial" w:hAnsi="Arial"/>
                <w:sz w:val="14"/>
                <w:szCs w:val="14"/>
                <w:color w:val="auto"/>
              </w:rPr>
              <w:t>90.00%</w:t>
            </w:r>
          </w:p>
        </w:tc>
      </w:tr>
      <w:tr>
        <w:trPr>
          <w:trHeight w:val="74"/>
        </w:trPr>
        <w:tc>
          <w:tcPr>
            <w:tcW w:w="5480" w:type="dxa"/>
            <w:vAlign w:val="bottom"/>
          </w:tcPr>
          <w:p>
            <w:pPr>
              <w:spacing w:after="0"/>
              <w:rPr>
                <w:sz w:val="6"/>
                <w:szCs w:val="6"/>
                <w:color w:val="auto"/>
              </w:rPr>
            </w:pPr>
          </w:p>
        </w:tc>
        <w:tc>
          <w:tcPr>
            <w:tcW w:w="5460" w:type="dxa"/>
            <w:vAlign w:val="bottom"/>
          </w:tcPr>
          <w:p>
            <w:pPr>
              <w:spacing w:after="0"/>
              <w:rPr>
                <w:sz w:val="6"/>
                <w:szCs w:val="6"/>
                <w:color w:val="auto"/>
              </w:rPr>
            </w:pPr>
          </w:p>
        </w:tc>
      </w:tr>
      <w:tr>
        <w:trPr>
          <w:trHeight w:val="256"/>
        </w:trPr>
        <w:tc>
          <w:tcPr>
            <w:tcW w:w="5480" w:type="dxa"/>
            <w:vAlign w:val="bottom"/>
            <w:shd w:val="clear" w:color="auto" w:fill="E9F0F3"/>
          </w:tcPr>
          <w:p>
            <w:pPr>
              <w:ind w:left="60"/>
              <w:spacing w:after="0"/>
              <w:rPr>
                <w:sz w:val="20"/>
                <w:szCs w:val="20"/>
                <w:color w:val="auto"/>
              </w:rPr>
            </w:pPr>
            <w:r>
              <w:rPr>
                <w:rFonts w:ascii="Arial" w:cs="Arial" w:eastAsia="Arial" w:hAnsi="Arial"/>
                <w:sz w:val="14"/>
                <w:szCs w:val="14"/>
                <w:color w:val="auto"/>
              </w:rPr>
              <w:t>65</w:t>
            </w:r>
          </w:p>
        </w:tc>
        <w:tc>
          <w:tcPr>
            <w:tcW w:w="54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100.00%</w:t>
            </w:r>
          </w:p>
        </w:tc>
      </w:tr>
      <w:tr>
        <w:trPr>
          <w:trHeight w:val="74"/>
        </w:trPr>
        <w:tc>
          <w:tcPr>
            <w:tcW w:w="5480" w:type="dxa"/>
            <w:vAlign w:val="bottom"/>
            <w:shd w:val="clear" w:color="auto" w:fill="E9F0F3"/>
          </w:tcPr>
          <w:p>
            <w:pPr>
              <w:spacing w:after="0"/>
              <w:rPr>
                <w:sz w:val="6"/>
                <w:szCs w:val="6"/>
                <w:color w:val="auto"/>
              </w:rPr>
            </w:pPr>
          </w:p>
        </w:tc>
        <w:tc>
          <w:tcPr>
            <w:tcW w:w="5460" w:type="dxa"/>
            <w:vAlign w:val="bottom"/>
            <w:shd w:val="clear" w:color="auto" w:fill="E9F0F3"/>
          </w:tcPr>
          <w:p>
            <w:pPr>
              <w:spacing w:after="0"/>
              <w:rPr>
                <w:sz w:val="6"/>
                <w:szCs w:val="6"/>
                <w:color w:val="auto"/>
              </w:rPr>
            </w:pPr>
          </w:p>
        </w:tc>
      </w:tr>
    </w:tbl>
    <w:p>
      <w:pPr>
        <w:spacing w:after="0" w:line="153" w:lineRule="exact"/>
        <w:rPr>
          <w:sz w:val="20"/>
          <w:szCs w:val="20"/>
          <w:color w:val="auto"/>
        </w:rPr>
      </w:pPr>
    </w:p>
    <w:p>
      <w:pPr>
        <w:ind w:left="20" w:right="440"/>
        <w:spacing w:after="0" w:line="282" w:lineRule="auto"/>
        <w:rPr>
          <w:sz w:val="20"/>
          <w:szCs w:val="20"/>
          <w:color w:val="auto"/>
        </w:rPr>
      </w:pPr>
      <w:r>
        <w:rPr>
          <w:rFonts w:ascii="Arial" w:cs="Arial" w:eastAsia="Arial" w:hAnsi="Arial"/>
          <w:sz w:val="14"/>
          <w:szCs w:val="14"/>
          <w:color w:val="auto"/>
        </w:rPr>
        <w:t>We subsidize the early retirement benefit for participants who retire when they are age 55 or over and have worked ten or more years by making benefit payments in the applicable percentage shown below based on actual age and years of service.</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6D98AD"/>
        </w:rPr>
        <w:t>Years of Service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240" w:type="dxa"/>
            <w:vAlign w:val="bottom"/>
            <w:shd w:val="clear" w:color="auto" w:fill="99B7C6"/>
          </w:tcPr>
          <w:p>
            <w:pPr>
              <w:ind w:left="60"/>
              <w:spacing w:after="0"/>
              <w:rPr>
                <w:sz w:val="20"/>
                <w:szCs w:val="20"/>
                <w:color w:val="auto"/>
              </w:rPr>
            </w:pPr>
            <w:r>
              <w:rPr>
                <w:rFonts w:ascii="Arial" w:cs="Arial" w:eastAsia="Arial" w:hAnsi="Arial"/>
                <w:sz w:val="14"/>
                <w:szCs w:val="14"/>
                <w:b w:val="1"/>
                <w:bCs w:val="1"/>
                <w:color w:val="FFFFFF"/>
              </w:rPr>
              <w:t>Age at Commencement</w:t>
            </w:r>
          </w:p>
        </w:tc>
        <w:tc>
          <w:tcPr>
            <w:tcW w:w="1240" w:type="dxa"/>
            <w:vAlign w:val="bottom"/>
            <w:shd w:val="clear" w:color="auto" w:fill="99B7C6"/>
          </w:tcPr>
          <w:p>
            <w:pPr>
              <w:jc w:val="right"/>
              <w:ind w:right="69"/>
              <w:spacing w:after="0"/>
              <w:rPr>
                <w:sz w:val="20"/>
                <w:szCs w:val="20"/>
                <w:color w:val="auto"/>
              </w:rPr>
            </w:pPr>
            <w:r>
              <w:rPr>
                <w:rFonts w:ascii="Arial" w:cs="Arial" w:eastAsia="Arial" w:hAnsi="Arial"/>
                <w:sz w:val="14"/>
                <w:szCs w:val="14"/>
                <w:b w:val="1"/>
                <w:bCs w:val="1"/>
                <w:color w:val="FFFFFF"/>
              </w:rPr>
              <w:t>10</w:t>
            </w:r>
          </w:p>
        </w:tc>
        <w:tc>
          <w:tcPr>
            <w:tcW w:w="780" w:type="dxa"/>
            <w:vAlign w:val="bottom"/>
            <w:shd w:val="clear" w:color="auto" w:fill="99B7C6"/>
          </w:tcPr>
          <w:p>
            <w:pPr>
              <w:jc w:val="right"/>
              <w:ind w:right="69"/>
              <w:spacing w:after="0"/>
              <w:rPr>
                <w:sz w:val="20"/>
                <w:szCs w:val="20"/>
                <w:color w:val="auto"/>
              </w:rPr>
            </w:pPr>
            <w:r>
              <w:rPr>
                <w:rFonts w:ascii="Arial" w:cs="Arial" w:eastAsia="Arial" w:hAnsi="Arial"/>
                <w:sz w:val="14"/>
                <w:szCs w:val="14"/>
                <w:b w:val="1"/>
                <w:bCs w:val="1"/>
                <w:color w:val="FFFFFF"/>
              </w:rPr>
              <w:t>11</w:t>
            </w:r>
          </w:p>
        </w:tc>
        <w:tc>
          <w:tcPr>
            <w:tcW w:w="760" w:type="dxa"/>
            <w:vAlign w:val="bottom"/>
            <w:shd w:val="clear" w:color="auto" w:fill="99B7C6"/>
          </w:tcPr>
          <w:p>
            <w:pPr>
              <w:jc w:val="right"/>
              <w:ind w:right="69"/>
              <w:spacing w:after="0"/>
              <w:rPr>
                <w:sz w:val="20"/>
                <w:szCs w:val="20"/>
                <w:color w:val="auto"/>
              </w:rPr>
            </w:pPr>
            <w:r>
              <w:rPr>
                <w:rFonts w:ascii="Arial" w:cs="Arial" w:eastAsia="Arial" w:hAnsi="Arial"/>
                <w:sz w:val="14"/>
                <w:szCs w:val="14"/>
                <w:b w:val="1"/>
                <w:bCs w:val="1"/>
                <w:color w:val="FFFFFF"/>
              </w:rPr>
              <w:t>12</w:t>
            </w:r>
          </w:p>
        </w:tc>
        <w:tc>
          <w:tcPr>
            <w:tcW w:w="740" w:type="dxa"/>
            <w:vAlign w:val="bottom"/>
            <w:shd w:val="clear" w:color="auto" w:fill="99B7C6"/>
          </w:tcPr>
          <w:p>
            <w:pPr>
              <w:jc w:val="right"/>
              <w:ind w:right="69"/>
              <w:spacing w:after="0"/>
              <w:rPr>
                <w:sz w:val="20"/>
                <w:szCs w:val="20"/>
                <w:color w:val="auto"/>
              </w:rPr>
            </w:pPr>
            <w:r>
              <w:rPr>
                <w:rFonts w:ascii="Arial" w:cs="Arial" w:eastAsia="Arial" w:hAnsi="Arial"/>
                <w:sz w:val="14"/>
                <w:szCs w:val="14"/>
                <w:b w:val="1"/>
                <w:bCs w:val="1"/>
                <w:color w:val="FFFFFF"/>
              </w:rPr>
              <w:t>13</w:t>
            </w:r>
          </w:p>
        </w:tc>
        <w:tc>
          <w:tcPr>
            <w:tcW w:w="760" w:type="dxa"/>
            <w:vAlign w:val="bottom"/>
            <w:shd w:val="clear" w:color="auto" w:fill="99B7C6"/>
          </w:tcPr>
          <w:p>
            <w:pPr>
              <w:jc w:val="right"/>
              <w:ind w:right="69"/>
              <w:spacing w:after="0"/>
              <w:rPr>
                <w:sz w:val="20"/>
                <w:szCs w:val="20"/>
                <w:color w:val="auto"/>
              </w:rPr>
            </w:pPr>
            <w:r>
              <w:rPr>
                <w:rFonts w:ascii="Arial" w:cs="Arial" w:eastAsia="Arial" w:hAnsi="Arial"/>
                <w:sz w:val="14"/>
                <w:szCs w:val="14"/>
                <w:b w:val="1"/>
                <w:bCs w:val="1"/>
                <w:color w:val="FFFFFF"/>
              </w:rPr>
              <w:t>14</w:t>
            </w:r>
          </w:p>
        </w:tc>
        <w:tc>
          <w:tcPr>
            <w:tcW w:w="760" w:type="dxa"/>
            <w:vAlign w:val="bottom"/>
            <w:shd w:val="clear" w:color="auto" w:fill="99B7C6"/>
          </w:tcPr>
          <w:p>
            <w:pPr>
              <w:jc w:val="right"/>
              <w:ind w:right="69"/>
              <w:spacing w:after="0"/>
              <w:rPr>
                <w:sz w:val="20"/>
                <w:szCs w:val="20"/>
                <w:color w:val="auto"/>
              </w:rPr>
            </w:pPr>
            <w:r>
              <w:rPr>
                <w:rFonts w:ascii="Arial" w:cs="Arial" w:eastAsia="Arial" w:hAnsi="Arial"/>
                <w:sz w:val="14"/>
                <w:szCs w:val="14"/>
                <w:b w:val="1"/>
                <w:bCs w:val="1"/>
                <w:color w:val="FFFFFF"/>
              </w:rPr>
              <w:t>15</w:t>
            </w:r>
          </w:p>
        </w:tc>
        <w:tc>
          <w:tcPr>
            <w:tcW w:w="740" w:type="dxa"/>
            <w:vAlign w:val="bottom"/>
            <w:shd w:val="clear" w:color="auto" w:fill="99B7C6"/>
          </w:tcPr>
          <w:p>
            <w:pPr>
              <w:jc w:val="right"/>
              <w:ind w:right="49"/>
              <w:spacing w:after="0"/>
              <w:rPr>
                <w:sz w:val="20"/>
                <w:szCs w:val="20"/>
                <w:color w:val="auto"/>
              </w:rPr>
            </w:pPr>
            <w:r>
              <w:rPr>
                <w:rFonts w:ascii="Arial" w:cs="Arial" w:eastAsia="Arial" w:hAnsi="Arial"/>
                <w:sz w:val="14"/>
                <w:szCs w:val="14"/>
                <w:b w:val="1"/>
                <w:bCs w:val="1"/>
                <w:color w:val="FFFFFF"/>
              </w:rPr>
              <w:t>16</w:t>
            </w:r>
          </w:p>
        </w:tc>
        <w:tc>
          <w:tcPr>
            <w:tcW w:w="760" w:type="dxa"/>
            <w:vAlign w:val="bottom"/>
            <w:shd w:val="clear" w:color="auto" w:fill="99B7C6"/>
          </w:tcPr>
          <w:p>
            <w:pPr>
              <w:jc w:val="right"/>
              <w:ind w:right="69"/>
              <w:spacing w:after="0"/>
              <w:rPr>
                <w:sz w:val="20"/>
                <w:szCs w:val="20"/>
                <w:color w:val="auto"/>
              </w:rPr>
            </w:pPr>
            <w:r>
              <w:rPr>
                <w:rFonts w:ascii="Arial" w:cs="Arial" w:eastAsia="Arial" w:hAnsi="Arial"/>
                <w:sz w:val="14"/>
                <w:szCs w:val="14"/>
                <w:b w:val="1"/>
                <w:bCs w:val="1"/>
                <w:color w:val="FFFFFF"/>
              </w:rPr>
              <w:t>17</w:t>
            </w:r>
          </w:p>
        </w:tc>
        <w:tc>
          <w:tcPr>
            <w:tcW w:w="760" w:type="dxa"/>
            <w:vAlign w:val="bottom"/>
            <w:shd w:val="clear" w:color="auto" w:fill="99B7C6"/>
          </w:tcPr>
          <w:p>
            <w:pPr>
              <w:jc w:val="right"/>
              <w:ind w:right="69"/>
              <w:spacing w:after="0"/>
              <w:rPr>
                <w:sz w:val="20"/>
                <w:szCs w:val="20"/>
                <w:color w:val="auto"/>
              </w:rPr>
            </w:pPr>
            <w:r>
              <w:rPr>
                <w:rFonts w:ascii="Arial" w:cs="Arial" w:eastAsia="Arial" w:hAnsi="Arial"/>
                <w:sz w:val="14"/>
                <w:szCs w:val="14"/>
                <w:b w:val="1"/>
                <w:bCs w:val="1"/>
                <w:color w:val="FFFFFF"/>
              </w:rPr>
              <w:t>18</w:t>
            </w:r>
          </w:p>
        </w:tc>
        <w:tc>
          <w:tcPr>
            <w:tcW w:w="740" w:type="dxa"/>
            <w:vAlign w:val="bottom"/>
            <w:shd w:val="clear" w:color="auto" w:fill="99B7C6"/>
          </w:tcPr>
          <w:p>
            <w:pPr>
              <w:jc w:val="right"/>
              <w:ind w:right="49"/>
              <w:spacing w:after="0"/>
              <w:rPr>
                <w:sz w:val="20"/>
                <w:szCs w:val="20"/>
                <w:color w:val="auto"/>
              </w:rPr>
            </w:pPr>
            <w:r>
              <w:rPr>
                <w:rFonts w:ascii="Arial" w:cs="Arial" w:eastAsia="Arial" w:hAnsi="Arial"/>
                <w:sz w:val="14"/>
                <w:szCs w:val="14"/>
                <w:b w:val="1"/>
                <w:bCs w:val="1"/>
                <w:color w:val="FFFFFF"/>
              </w:rPr>
              <w:t>19</w:t>
            </w:r>
          </w:p>
        </w:tc>
        <w:tc>
          <w:tcPr>
            <w:tcW w:w="660" w:type="dxa"/>
            <w:vAlign w:val="bottom"/>
            <w:shd w:val="clear" w:color="auto" w:fill="99B7C6"/>
          </w:tcPr>
          <w:p>
            <w:pPr>
              <w:jc w:val="right"/>
              <w:spacing w:after="0"/>
              <w:rPr>
                <w:sz w:val="20"/>
                <w:szCs w:val="20"/>
                <w:color w:val="auto"/>
              </w:rPr>
            </w:pPr>
            <w:r>
              <w:rPr>
                <w:rFonts w:ascii="Arial" w:cs="Arial" w:eastAsia="Arial" w:hAnsi="Arial"/>
                <w:sz w:val="14"/>
                <w:szCs w:val="14"/>
                <w:b w:val="1"/>
                <w:bCs w:val="1"/>
                <w:color w:val="FFFFFF"/>
              </w:rPr>
              <w:t>20</w:t>
            </w:r>
          </w:p>
        </w:tc>
      </w:tr>
      <w:tr>
        <w:trPr>
          <w:trHeight w:val="244"/>
        </w:trPr>
        <w:tc>
          <w:tcPr>
            <w:tcW w:w="2240" w:type="dxa"/>
            <w:vAlign w:val="bottom"/>
            <w:shd w:val="clear" w:color="auto" w:fill="E9F0F3"/>
          </w:tcPr>
          <w:p>
            <w:pPr>
              <w:ind w:left="60"/>
              <w:spacing w:after="0"/>
              <w:rPr>
                <w:sz w:val="20"/>
                <w:szCs w:val="20"/>
                <w:color w:val="auto"/>
              </w:rPr>
            </w:pPr>
            <w:r>
              <w:rPr>
                <w:rFonts w:ascii="Arial" w:cs="Arial" w:eastAsia="Arial" w:hAnsi="Arial"/>
                <w:sz w:val="14"/>
                <w:szCs w:val="14"/>
                <w:color w:val="auto"/>
              </w:rPr>
              <w:t>64</w:t>
            </w:r>
          </w:p>
        </w:tc>
        <w:tc>
          <w:tcPr>
            <w:tcW w:w="124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95.00%</w:t>
            </w:r>
          </w:p>
        </w:tc>
        <w:tc>
          <w:tcPr>
            <w:tcW w:w="78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95.15%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95.30%</w:t>
            </w:r>
          </w:p>
        </w:tc>
        <w:tc>
          <w:tcPr>
            <w:tcW w:w="74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95.45%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95.60%</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95.75%</w:t>
            </w:r>
          </w:p>
        </w:tc>
        <w:tc>
          <w:tcPr>
            <w:tcW w:w="7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95.90%</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96.05%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96.20%</w:t>
            </w:r>
          </w:p>
        </w:tc>
        <w:tc>
          <w:tcPr>
            <w:tcW w:w="7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96.35%</w:t>
            </w:r>
          </w:p>
        </w:tc>
        <w:tc>
          <w:tcPr>
            <w:tcW w:w="6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96.50%</w:t>
            </w:r>
          </w:p>
        </w:tc>
      </w:tr>
      <w:tr>
        <w:trPr>
          <w:trHeight w:val="86"/>
        </w:trPr>
        <w:tc>
          <w:tcPr>
            <w:tcW w:w="2240" w:type="dxa"/>
            <w:vAlign w:val="bottom"/>
            <w:shd w:val="clear" w:color="auto" w:fill="E9F0F3"/>
          </w:tcPr>
          <w:p>
            <w:pPr>
              <w:spacing w:after="0"/>
              <w:rPr>
                <w:sz w:val="7"/>
                <w:szCs w:val="7"/>
                <w:color w:val="auto"/>
              </w:rPr>
            </w:pPr>
          </w:p>
        </w:tc>
        <w:tc>
          <w:tcPr>
            <w:tcW w:w="1240" w:type="dxa"/>
            <w:vAlign w:val="bottom"/>
            <w:shd w:val="clear" w:color="auto" w:fill="E9F0F3"/>
          </w:tcPr>
          <w:p>
            <w:pPr>
              <w:spacing w:after="0"/>
              <w:rPr>
                <w:sz w:val="7"/>
                <w:szCs w:val="7"/>
                <w:color w:val="auto"/>
              </w:rPr>
            </w:pPr>
          </w:p>
        </w:tc>
        <w:tc>
          <w:tcPr>
            <w:tcW w:w="78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4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4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40" w:type="dxa"/>
            <w:vAlign w:val="bottom"/>
            <w:shd w:val="clear" w:color="auto" w:fill="E9F0F3"/>
          </w:tcPr>
          <w:p>
            <w:pPr>
              <w:spacing w:after="0"/>
              <w:rPr>
                <w:sz w:val="7"/>
                <w:szCs w:val="7"/>
                <w:color w:val="auto"/>
              </w:rPr>
            </w:pPr>
          </w:p>
        </w:tc>
        <w:tc>
          <w:tcPr>
            <w:tcW w:w="660" w:type="dxa"/>
            <w:vAlign w:val="bottom"/>
            <w:shd w:val="clear" w:color="auto" w:fill="E9F0F3"/>
          </w:tcPr>
          <w:p>
            <w:pPr>
              <w:spacing w:after="0"/>
              <w:rPr>
                <w:sz w:val="7"/>
                <w:szCs w:val="7"/>
                <w:color w:val="auto"/>
              </w:rPr>
            </w:pPr>
          </w:p>
        </w:tc>
      </w:tr>
      <w:tr>
        <w:trPr>
          <w:trHeight w:val="244"/>
        </w:trPr>
        <w:tc>
          <w:tcPr>
            <w:tcW w:w="2240" w:type="dxa"/>
            <w:vAlign w:val="bottom"/>
          </w:tcPr>
          <w:p>
            <w:pPr>
              <w:ind w:left="60"/>
              <w:spacing w:after="0"/>
              <w:rPr>
                <w:sz w:val="20"/>
                <w:szCs w:val="20"/>
                <w:color w:val="auto"/>
              </w:rPr>
            </w:pPr>
            <w:r>
              <w:rPr>
                <w:rFonts w:ascii="Arial" w:cs="Arial" w:eastAsia="Arial" w:hAnsi="Arial"/>
                <w:sz w:val="14"/>
                <w:szCs w:val="14"/>
                <w:color w:val="auto"/>
              </w:rPr>
              <w:t>63</w:t>
            </w: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90.00%</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90.30%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90.60%</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90.90%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91.20%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91.50%</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91.80%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92.10%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92.40%</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92.70%</w:t>
            </w:r>
          </w:p>
        </w:tc>
        <w:tc>
          <w:tcPr>
            <w:tcW w:w="660" w:type="dxa"/>
            <w:vAlign w:val="bottom"/>
          </w:tcPr>
          <w:p>
            <w:pPr>
              <w:jc w:val="right"/>
              <w:spacing w:after="0"/>
              <w:rPr>
                <w:sz w:val="20"/>
                <w:szCs w:val="20"/>
                <w:color w:val="auto"/>
              </w:rPr>
            </w:pPr>
            <w:r>
              <w:rPr>
                <w:rFonts w:ascii="Arial" w:cs="Arial" w:eastAsia="Arial" w:hAnsi="Arial"/>
                <w:sz w:val="14"/>
                <w:szCs w:val="14"/>
                <w:color w:val="auto"/>
              </w:rPr>
              <w:t>93.00%</w:t>
            </w:r>
          </w:p>
        </w:tc>
      </w:tr>
      <w:tr>
        <w:trPr>
          <w:trHeight w:val="86"/>
        </w:trPr>
        <w:tc>
          <w:tcPr>
            <w:tcW w:w="2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r>
      <w:tr>
        <w:trPr>
          <w:trHeight w:val="244"/>
        </w:trPr>
        <w:tc>
          <w:tcPr>
            <w:tcW w:w="2240" w:type="dxa"/>
            <w:vAlign w:val="bottom"/>
            <w:shd w:val="clear" w:color="auto" w:fill="E9F0F3"/>
          </w:tcPr>
          <w:p>
            <w:pPr>
              <w:ind w:left="60"/>
              <w:spacing w:after="0"/>
              <w:rPr>
                <w:sz w:val="20"/>
                <w:szCs w:val="20"/>
                <w:color w:val="auto"/>
              </w:rPr>
            </w:pPr>
            <w:r>
              <w:rPr>
                <w:rFonts w:ascii="Arial" w:cs="Arial" w:eastAsia="Arial" w:hAnsi="Arial"/>
                <w:sz w:val="14"/>
                <w:szCs w:val="14"/>
                <w:color w:val="auto"/>
              </w:rPr>
              <w:t>62</w:t>
            </w:r>
          </w:p>
        </w:tc>
        <w:tc>
          <w:tcPr>
            <w:tcW w:w="124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85.00%</w:t>
            </w:r>
          </w:p>
        </w:tc>
        <w:tc>
          <w:tcPr>
            <w:tcW w:w="78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85.45%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85.90%</w:t>
            </w:r>
          </w:p>
        </w:tc>
        <w:tc>
          <w:tcPr>
            <w:tcW w:w="74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86.35%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86.80%</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87.25%</w:t>
            </w:r>
          </w:p>
        </w:tc>
        <w:tc>
          <w:tcPr>
            <w:tcW w:w="7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87.70%</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88.15%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88.60%</w:t>
            </w:r>
          </w:p>
        </w:tc>
        <w:tc>
          <w:tcPr>
            <w:tcW w:w="7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89.05%</w:t>
            </w:r>
          </w:p>
        </w:tc>
        <w:tc>
          <w:tcPr>
            <w:tcW w:w="6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89.50%</w:t>
            </w:r>
          </w:p>
        </w:tc>
      </w:tr>
      <w:tr>
        <w:trPr>
          <w:trHeight w:val="86"/>
        </w:trPr>
        <w:tc>
          <w:tcPr>
            <w:tcW w:w="2240" w:type="dxa"/>
            <w:vAlign w:val="bottom"/>
            <w:shd w:val="clear" w:color="auto" w:fill="E9F0F3"/>
          </w:tcPr>
          <w:p>
            <w:pPr>
              <w:spacing w:after="0"/>
              <w:rPr>
                <w:sz w:val="7"/>
                <w:szCs w:val="7"/>
                <w:color w:val="auto"/>
              </w:rPr>
            </w:pPr>
          </w:p>
        </w:tc>
        <w:tc>
          <w:tcPr>
            <w:tcW w:w="1240" w:type="dxa"/>
            <w:vAlign w:val="bottom"/>
            <w:shd w:val="clear" w:color="auto" w:fill="E9F0F3"/>
          </w:tcPr>
          <w:p>
            <w:pPr>
              <w:spacing w:after="0"/>
              <w:rPr>
                <w:sz w:val="7"/>
                <w:szCs w:val="7"/>
                <w:color w:val="auto"/>
              </w:rPr>
            </w:pPr>
          </w:p>
        </w:tc>
        <w:tc>
          <w:tcPr>
            <w:tcW w:w="78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4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4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40" w:type="dxa"/>
            <w:vAlign w:val="bottom"/>
            <w:shd w:val="clear" w:color="auto" w:fill="E9F0F3"/>
          </w:tcPr>
          <w:p>
            <w:pPr>
              <w:spacing w:after="0"/>
              <w:rPr>
                <w:sz w:val="7"/>
                <w:szCs w:val="7"/>
                <w:color w:val="auto"/>
              </w:rPr>
            </w:pPr>
          </w:p>
        </w:tc>
        <w:tc>
          <w:tcPr>
            <w:tcW w:w="660" w:type="dxa"/>
            <w:vAlign w:val="bottom"/>
            <w:shd w:val="clear" w:color="auto" w:fill="E9F0F3"/>
          </w:tcPr>
          <w:p>
            <w:pPr>
              <w:spacing w:after="0"/>
              <w:rPr>
                <w:sz w:val="7"/>
                <w:szCs w:val="7"/>
                <w:color w:val="auto"/>
              </w:rPr>
            </w:pPr>
          </w:p>
        </w:tc>
      </w:tr>
      <w:tr>
        <w:trPr>
          <w:trHeight w:val="244"/>
        </w:trPr>
        <w:tc>
          <w:tcPr>
            <w:tcW w:w="2240" w:type="dxa"/>
            <w:vAlign w:val="bottom"/>
          </w:tcPr>
          <w:p>
            <w:pPr>
              <w:ind w:left="60"/>
              <w:spacing w:after="0"/>
              <w:rPr>
                <w:sz w:val="20"/>
                <w:szCs w:val="20"/>
                <w:color w:val="auto"/>
              </w:rPr>
            </w:pPr>
            <w:r>
              <w:rPr>
                <w:rFonts w:ascii="Arial" w:cs="Arial" w:eastAsia="Arial" w:hAnsi="Arial"/>
                <w:sz w:val="14"/>
                <w:szCs w:val="14"/>
                <w:color w:val="auto"/>
              </w:rPr>
              <w:t>61</w:t>
            </w: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80.00%</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80.60%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81.20%</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81.80%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82.40%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83.00%</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83.60%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84.20%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84.80%</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85.40%</w:t>
            </w:r>
          </w:p>
        </w:tc>
        <w:tc>
          <w:tcPr>
            <w:tcW w:w="660" w:type="dxa"/>
            <w:vAlign w:val="bottom"/>
          </w:tcPr>
          <w:p>
            <w:pPr>
              <w:jc w:val="right"/>
              <w:spacing w:after="0"/>
              <w:rPr>
                <w:sz w:val="20"/>
                <w:szCs w:val="20"/>
                <w:color w:val="auto"/>
              </w:rPr>
            </w:pPr>
            <w:r>
              <w:rPr>
                <w:rFonts w:ascii="Arial" w:cs="Arial" w:eastAsia="Arial" w:hAnsi="Arial"/>
                <w:sz w:val="14"/>
                <w:szCs w:val="14"/>
                <w:color w:val="auto"/>
              </w:rPr>
              <w:t>86.00%</w:t>
            </w:r>
          </w:p>
        </w:tc>
      </w:tr>
      <w:tr>
        <w:trPr>
          <w:trHeight w:val="86"/>
        </w:trPr>
        <w:tc>
          <w:tcPr>
            <w:tcW w:w="2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r>
      <w:tr>
        <w:trPr>
          <w:trHeight w:val="244"/>
        </w:trPr>
        <w:tc>
          <w:tcPr>
            <w:tcW w:w="2240" w:type="dxa"/>
            <w:vAlign w:val="bottom"/>
            <w:shd w:val="clear" w:color="auto" w:fill="E9F0F3"/>
          </w:tcPr>
          <w:p>
            <w:pPr>
              <w:ind w:left="60"/>
              <w:spacing w:after="0"/>
              <w:rPr>
                <w:sz w:val="20"/>
                <w:szCs w:val="20"/>
                <w:color w:val="auto"/>
              </w:rPr>
            </w:pPr>
            <w:r>
              <w:rPr>
                <w:rFonts w:ascii="Arial" w:cs="Arial" w:eastAsia="Arial" w:hAnsi="Arial"/>
                <w:sz w:val="14"/>
                <w:szCs w:val="14"/>
                <w:color w:val="auto"/>
              </w:rPr>
              <w:t>60</w:t>
            </w:r>
          </w:p>
        </w:tc>
        <w:tc>
          <w:tcPr>
            <w:tcW w:w="124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75.00%</w:t>
            </w:r>
          </w:p>
        </w:tc>
        <w:tc>
          <w:tcPr>
            <w:tcW w:w="78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75.75%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76.50%</w:t>
            </w:r>
          </w:p>
        </w:tc>
        <w:tc>
          <w:tcPr>
            <w:tcW w:w="74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77.25%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78.00%</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78.75%</w:t>
            </w:r>
          </w:p>
        </w:tc>
        <w:tc>
          <w:tcPr>
            <w:tcW w:w="7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79.50%</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80.25%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81.00%</w:t>
            </w:r>
          </w:p>
        </w:tc>
        <w:tc>
          <w:tcPr>
            <w:tcW w:w="7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81.75%</w:t>
            </w:r>
          </w:p>
        </w:tc>
        <w:tc>
          <w:tcPr>
            <w:tcW w:w="6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82.50%</w:t>
            </w:r>
          </w:p>
        </w:tc>
      </w:tr>
      <w:tr>
        <w:trPr>
          <w:trHeight w:val="86"/>
        </w:trPr>
        <w:tc>
          <w:tcPr>
            <w:tcW w:w="2240" w:type="dxa"/>
            <w:vAlign w:val="bottom"/>
            <w:shd w:val="clear" w:color="auto" w:fill="E9F0F3"/>
          </w:tcPr>
          <w:p>
            <w:pPr>
              <w:spacing w:after="0"/>
              <w:rPr>
                <w:sz w:val="7"/>
                <w:szCs w:val="7"/>
                <w:color w:val="auto"/>
              </w:rPr>
            </w:pPr>
          </w:p>
        </w:tc>
        <w:tc>
          <w:tcPr>
            <w:tcW w:w="1240" w:type="dxa"/>
            <w:vAlign w:val="bottom"/>
            <w:shd w:val="clear" w:color="auto" w:fill="E9F0F3"/>
          </w:tcPr>
          <w:p>
            <w:pPr>
              <w:spacing w:after="0"/>
              <w:rPr>
                <w:sz w:val="7"/>
                <w:szCs w:val="7"/>
                <w:color w:val="auto"/>
              </w:rPr>
            </w:pPr>
          </w:p>
        </w:tc>
        <w:tc>
          <w:tcPr>
            <w:tcW w:w="78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4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4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40" w:type="dxa"/>
            <w:vAlign w:val="bottom"/>
            <w:shd w:val="clear" w:color="auto" w:fill="E9F0F3"/>
          </w:tcPr>
          <w:p>
            <w:pPr>
              <w:spacing w:after="0"/>
              <w:rPr>
                <w:sz w:val="7"/>
                <w:szCs w:val="7"/>
                <w:color w:val="auto"/>
              </w:rPr>
            </w:pPr>
          </w:p>
        </w:tc>
        <w:tc>
          <w:tcPr>
            <w:tcW w:w="660" w:type="dxa"/>
            <w:vAlign w:val="bottom"/>
            <w:shd w:val="clear" w:color="auto" w:fill="E9F0F3"/>
          </w:tcPr>
          <w:p>
            <w:pPr>
              <w:spacing w:after="0"/>
              <w:rPr>
                <w:sz w:val="7"/>
                <w:szCs w:val="7"/>
                <w:color w:val="auto"/>
              </w:rPr>
            </w:pPr>
          </w:p>
        </w:tc>
      </w:tr>
      <w:tr>
        <w:trPr>
          <w:trHeight w:val="244"/>
        </w:trPr>
        <w:tc>
          <w:tcPr>
            <w:tcW w:w="2240" w:type="dxa"/>
            <w:vAlign w:val="bottom"/>
          </w:tcPr>
          <w:p>
            <w:pPr>
              <w:ind w:left="60"/>
              <w:spacing w:after="0"/>
              <w:rPr>
                <w:sz w:val="20"/>
                <w:szCs w:val="20"/>
                <w:color w:val="auto"/>
              </w:rPr>
            </w:pPr>
            <w:r>
              <w:rPr>
                <w:rFonts w:ascii="Arial" w:cs="Arial" w:eastAsia="Arial" w:hAnsi="Arial"/>
                <w:sz w:val="14"/>
                <w:szCs w:val="14"/>
                <w:color w:val="auto"/>
              </w:rPr>
              <w:t>59</w:t>
            </w: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70.00%</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70.90%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71.80%</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72.70%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73.60%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74.50%</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75.40%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76.30%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77.20%</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78.10%</w:t>
            </w:r>
          </w:p>
        </w:tc>
        <w:tc>
          <w:tcPr>
            <w:tcW w:w="660" w:type="dxa"/>
            <w:vAlign w:val="bottom"/>
          </w:tcPr>
          <w:p>
            <w:pPr>
              <w:jc w:val="right"/>
              <w:spacing w:after="0"/>
              <w:rPr>
                <w:sz w:val="20"/>
                <w:szCs w:val="20"/>
                <w:color w:val="auto"/>
              </w:rPr>
            </w:pPr>
            <w:r>
              <w:rPr>
                <w:rFonts w:ascii="Arial" w:cs="Arial" w:eastAsia="Arial" w:hAnsi="Arial"/>
                <w:sz w:val="14"/>
                <w:szCs w:val="14"/>
                <w:color w:val="auto"/>
              </w:rPr>
              <w:t>79.00%</w:t>
            </w:r>
          </w:p>
        </w:tc>
      </w:tr>
      <w:tr>
        <w:trPr>
          <w:trHeight w:val="86"/>
        </w:trPr>
        <w:tc>
          <w:tcPr>
            <w:tcW w:w="2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r>
      <w:tr>
        <w:trPr>
          <w:trHeight w:val="244"/>
        </w:trPr>
        <w:tc>
          <w:tcPr>
            <w:tcW w:w="2240" w:type="dxa"/>
            <w:vAlign w:val="bottom"/>
            <w:shd w:val="clear" w:color="auto" w:fill="E9F0F3"/>
          </w:tcPr>
          <w:p>
            <w:pPr>
              <w:ind w:left="60"/>
              <w:spacing w:after="0"/>
              <w:rPr>
                <w:sz w:val="20"/>
                <w:szCs w:val="20"/>
                <w:color w:val="auto"/>
              </w:rPr>
            </w:pPr>
            <w:r>
              <w:rPr>
                <w:rFonts w:ascii="Arial" w:cs="Arial" w:eastAsia="Arial" w:hAnsi="Arial"/>
                <w:sz w:val="14"/>
                <w:szCs w:val="14"/>
                <w:color w:val="auto"/>
              </w:rPr>
              <w:t>58</w:t>
            </w:r>
          </w:p>
        </w:tc>
        <w:tc>
          <w:tcPr>
            <w:tcW w:w="124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65.00%</w:t>
            </w:r>
          </w:p>
        </w:tc>
        <w:tc>
          <w:tcPr>
            <w:tcW w:w="78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66.05%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67.10%</w:t>
            </w:r>
          </w:p>
        </w:tc>
        <w:tc>
          <w:tcPr>
            <w:tcW w:w="74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68.15%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69.20%</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70.25%</w:t>
            </w:r>
          </w:p>
        </w:tc>
        <w:tc>
          <w:tcPr>
            <w:tcW w:w="7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71.30%</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72.35%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73.40%</w:t>
            </w:r>
          </w:p>
        </w:tc>
        <w:tc>
          <w:tcPr>
            <w:tcW w:w="7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74.45%</w:t>
            </w:r>
          </w:p>
        </w:tc>
        <w:tc>
          <w:tcPr>
            <w:tcW w:w="6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75.50%</w:t>
            </w:r>
          </w:p>
        </w:tc>
      </w:tr>
      <w:tr>
        <w:trPr>
          <w:trHeight w:val="86"/>
        </w:trPr>
        <w:tc>
          <w:tcPr>
            <w:tcW w:w="2240" w:type="dxa"/>
            <w:vAlign w:val="bottom"/>
            <w:shd w:val="clear" w:color="auto" w:fill="E9F0F3"/>
          </w:tcPr>
          <w:p>
            <w:pPr>
              <w:spacing w:after="0"/>
              <w:rPr>
                <w:sz w:val="7"/>
                <w:szCs w:val="7"/>
                <w:color w:val="auto"/>
              </w:rPr>
            </w:pPr>
          </w:p>
        </w:tc>
        <w:tc>
          <w:tcPr>
            <w:tcW w:w="1240" w:type="dxa"/>
            <w:vAlign w:val="bottom"/>
            <w:shd w:val="clear" w:color="auto" w:fill="E9F0F3"/>
          </w:tcPr>
          <w:p>
            <w:pPr>
              <w:spacing w:after="0"/>
              <w:rPr>
                <w:sz w:val="7"/>
                <w:szCs w:val="7"/>
                <w:color w:val="auto"/>
              </w:rPr>
            </w:pPr>
          </w:p>
        </w:tc>
        <w:tc>
          <w:tcPr>
            <w:tcW w:w="78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4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4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40" w:type="dxa"/>
            <w:vAlign w:val="bottom"/>
            <w:shd w:val="clear" w:color="auto" w:fill="E9F0F3"/>
          </w:tcPr>
          <w:p>
            <w:pPr>
              <w:spacing w:after="0"/>
              <w:rPr>
                <w:sz w:val="7"/>
                <w:szCs w:val="7"/>
                <w:color w:val="auto"/>
              </w:rPr>
            </w:pPr>
          </w:p>
        </w:tc>
        <w:tc>
          <w:tcPr>
            <w:tcW w:w="660" w:type="dxa"/>
            <w:vAlign w:val="bottom"/>
            <w:shd w:val="clear" w:color="auto" w:fill="E9F0F3"/>
          </w:tcPr>
          <w:p>
            <w:pPr>
              <w:spacing w:after="0"/>
              <w:rPr>
                <w:sz w:val="7"/>
                <w:szCs w:val="7"/>
                <w:color w:val="auto"/>
              </w:rPr>
            </w:pPr>
          </w:p>
        </w:tc>
      </w:tr>
      <w:tr>
        <w:trPr>
          <w:trHeight w:val="244"/>
        </w:trPr>
        <w:tc>
          <w:tcPr>
            <w:tcW w:w="2240" w:type="dxa"/>
            <w:vAlign w:val="bottom"/>
          </w:tcPr>
          <w:p>
            <w:pPr>
              <w:ind w:left="60"/>
              <w:spacing w:after="0"/>
              <w:rPr>
                <w:sz w:val="20"/>
                <w:szCs w:val="20"/>
                <w:color w:val="auto"/>
              </w:rPr>
            </w:pPr>
            <w:r>
              <w:rPr>
                <w:rFonts w:ascii="Arial" w:cs="Arial" w:eastAsia="Arial" w:hAnsi="Arial"/>
                <w:sz w:val="14"/>
                <w:szCs w:val="14"/>
                <w:color w:val="auto"/>
              </w:rPr>
              <w:t>57</w:t>
            </w: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60.00%</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61.20%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62.40%</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63.60%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64.80%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66.00%</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67.20%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68.40%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69.60%</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70.80%</w:t>
            </w:r>
          </w:p>
        </w:tc>
        <w:tc>
          <w:tcPr>
            <w:tcW w:w="660" w:type="dxa"/>
            <w:vAlign w:val="bottom"/>
          </w:tcPr>
          <w:p>
            <w:pPr>
              <w:jc w:val="right"/>
              <w:spacing w:after="0"/>
              <w:rPr>
                <w:sz w:val="20"/>
                <w:szCs w:val="20"/>
                <w:color w:val="auto"/>
              </w:rPr>
            </w:pPr>
            <w:r>
              <w:rPr>
                <w:rFonts w:ascii="Arial" w:cs="Arial" w:eastAsia="Arial" w:hAnsi="Arial"/>
                <w:sz w:val="14"/>
                <w:szCs w:val="14"/>
                <w:color w:val="auto"/>
              </w:rPr>
              <w:t>72.00%</w:t>
            </w:r>
          </w:p>
        </w:tc>
      </w:tr>
      <w:tr>
        <w:trPr>
          <w:trHeight w:val="86"/>
        </w:trPr>
        <w:tc>
          <w:tcPr>
            <w:tcW w:w="2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r>
      <w:tr>
        <w:trPr>
          <w:trHeight w:val="244"/>
        </w:trPr>
        <w:tc>
          <w:tcPr>
            <w:tcW w:w="2240" w:type="dxa"/>
            <w:vAlign w:val="bottom"/>
            <w:shd w:val="clear" w:color="auto" w:fill="E9F0F3"/>
          </w:tcPr>
          <w:p>
            <w:pPr>
              <w:ind w:left="60"/>
              <w:spacing w:after="0"/>
              <w:rPr>
                <w:sz w:val="20"/>
                <w:szCs w:val="20"/>
                <w:color w:val="auto"/>
              </w:rPr>
            </w:pPr>
            <w:r>
              <w:rPr>
                <w:rFonts w:ascii="Arial" w:cs="Arial" w:eastAsia="Arial" w:hAnsi="Arial"/>
                <w:sz w:val="14"/>
                <w:szCs w:val="14"/>
                <w:color w:val="auto"/>
              </w:rPr>
              <w:t>56</w:t>
            </w:r>
          </w:p>
        </w:tc>
        <w:tc>
          <w:tcPr>
            <w:tcW w:w="124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55.00%</w:t>
            </w:r>
          </w:p>
        </w:tc>
        <w:tc>
          <w:tcPr>
            <w:tcW w:w="78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56.35%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57.70%</w:t>
            </w:r>
          </w:p>
        </w:tc>
        <w:tc>
          <w:tcPr>
            <w:tcW w:w="74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59.05%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60.40%</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61.75%</w:t>
            </w:r>
          </w:p>
        </w:tc>
        <w:tc>
          <w:tcPr>
            <w:tcW w:w="7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63.10%</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64.45%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65.80%</w:t>
            </w:r>
          </w:p>
        </w:tc>
        <w:tc>
          <w:tcPr>
            <w:tcW w:w="7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67.15%</w:t>
            </w:r>
          </w:p>
        </w:tc>
        <w:tc>
          <w:tcPr>
            <w:tcW w:w="6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68.50%</w:t>
            </w:r>
          </w:p>
        </w:tc>
      </w:tr>
      <w:tr>
        <w:trPr>
          <w:trHeight w:val="86"/>
        </w:trPr>
        <w:tc>
          <w:tcPr>
            <w:tcW w:w="2240" w:type="dxa"/>
            <w:vAlign w:val="bottom"/>
            <w:shd w:val="clear" w:color="auto" w:fill="E9F0F3"/>
          </w:tcPr>
          <w:p>
            <w:pPr>
              <w:spacing w:after="0"/>
              <w:rPr>
                <w:sz w:val="7"/>
                <w:szCs w:val="7"/>
                <w:color w:val="auto"/>
              </w:rPr>
            </w:pPr>
          </w:p>
        </w:tc>
        <w:tc>
          <w:tcPr>
            <w:tcW w:w="1240" w:type="dxa"/>
            <w:vAlign w:val="bottom"/>
            <w:shd w:val="clear" w:color="auto" w:fill="E9F0F3"/>
          </w:tcPr>
          <w:p>
            <w:pPr>
              <w:spacing w:after="0"/>
              <w:rPr>
                <w:sz w:val="7"/>
                <w:szCs w:val="7"/>
                <w:color w:val="auto"/>
              </w:rPr>
            </w:pPr>
          </w:p>
        </w:tc>
        <w:tc>
          <w:tcPr>
            <w:tcW w:w="78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4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4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60" w:type="dxa"/>
            <w:vAlign w:val="bottom"/>
            <w:shd w:val="clear" w:color="auto" w:fill="E9F0F3"/>
          </w:tcPr>
          <w:p>
            <w:pPr>
              <w:spacing w:after="0"/>
              <w:rPr>
                <w:sz w:val="7"/>
                <w:szCs w:val="7"/>
                <w:color w:val="auto"/>
              </w:rPr>
            </w:pPr>
          </w:p>
        </w:tc>
        <w:tc>
          <w:tcPr>
            <w:tcW w:w="740" w:type="dxa"/>
            <w:vAlign w:val="bottom"/>
            <w:shd w:val="clear" w:color="auto" w:fill="E9F0F3"/>
          </w:tcPr>
          <w:p>
            <w:pPr>
              <w:spacing w:after="0"/>
              <w:rPr>
                <w:sz w:val="7"/>
                <w:szCs w:val="7"/>
                <w:color w:val="auto"/>
              </w:rPr>
            </w:pPr>
          </w:p>
        </w:tc>
        <w:tc>
          <w:tcPr>
            <w:tcW w:w="660" w:type="dxa"/>
            <w:vAlign w:val="bottom"/>
            <w:shd w:val="clear" w:color="auto" w:fill="E9F0F3"/>
          </w:tcPr>
          <w:p>
            <w:pPr>
              <w:spacing w:after="0"/>
              <w:rPr>
                <w:sz w:val="7"/>
                <w:szCs w:val="7"/>
                <w:color w:val="auto"/>
              </w:rPr>
            </w:pPr>
          </w:p>
        </w:tc>
      </w:tr>
      <w:tr>
        <w:trPr>
          <w:trHeight w:val="244"/>
        </w:trPr>
        <w:tc>
          <w:tcPr>
            <w:tcW w:w="2240" w:type="dxa"/>
            <w:vAlign w:val="bottom"/>
          </w:tcPr>
          <w:p>
            <w:pPr>
              <w:ind w:left="60"/>
              <w:spacing w:after="0"/>
              <w:rPr>
                <w:sz w:val="20"/>
                <w:szCs w:val="20"/>
                <w:color w:val="auto"/>
              </w:rPr>
            </w:pPr>
            <w:r>
              <w:rPr>
                <w:rFonts w:ascii="Arial" w:cs="Arial" w:eastAsia="Arial" w:hAnsi="Arial"/>
                <w:sz w:val="14"/>
                <w:szCs w:val="14"/>
                <w:color w:val="auto"/>
              </w:rPr>
              <w:t>55</w:t>
            </w:r>
          </w:p>
        </w:tc>
        <w:tc>
          <w:tcPr>
            <w:tcW w:w="1240" w:type="dxa"/>
            <w:vAlign w:val="bottom"/>
          </w:tcPr>
          <w:p>
            <w:pPr>
              <w:jc w:val="right"/>
              <w:ind w:right="69"/>
              <w:spacing w:after="0"/>
              <w:rPr>
                <w:sz w:val="20"/>
                <w:szCs w:val="20"/>
                <w:color w:val="auto"/>
              </w:rPr>
            </w:pPr>
            <w:r>
              <w:rPr>
                <w:rFonts w:ascii="Arial" w:cs="Arial" w:eastAsia="Arial" w:hAnsi="Arial"/>
                <w:sz w:val="14"/>
                <w:szCs w:val="14"/>
                <w:color w:val="auto"/>
              </w:rPr>
              <w:t>50.00%</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51.50%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53.00%</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54.50%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56.00%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57.50%</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59.00%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60.50%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62.00%</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63.50%</w:t>
            </w:r>
          </w:p>
        </w:tc>
        <w:tc>
          <w:tcPr>
            <w:tcW w:w="660" w:type="dxa"/>
            <w:vAlign w:val="bottom"/>
          </w:tcPr>
          <w:p>
            <w:pPr>
              <w:jc w:val="right"/>
              <w:spacing w:after="0"/>
              <w:rPr>
                <w:sz w:val="20"/>
                <w:szCs w:val="20"/>
                <w:color w:val="auto"/>
              </w:rPr>
            </w:pPr>
            <w:r>
              <w:rPr>
                <w:rFonts w:ascii="Arial" w:cs="Arial" w:eastAsia="Arial" w:hAnsi="Arial"/>
                <w:sz w:val="14"/>
                <w:szCs w:val="14"/>
                <w:color w:val="auto"/>
              </w:rPr>
              <w:t>65.00%</w:t>
            </w:r>
          </w:p>
        </w:tc>
      </w:tr>
    </w:tbl>
    <w:p>
      <w:pPr>
        <w:spacing w:after="0" w:line="2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6D98AD"/>
        </w:rPr>
        <w:t>Years of Service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620" w:type="dxa"/>
            <w:vAlign w:val="bottom"/>
            <w:shd w:val="clear" w:color="auto" w:fill="99B7C6"/>
          </w:tcPr>
          <w:p>
            <w:pPr>
              <w:ind w:left="60"/>
              <w:spacing w:after="0"/>
              <w:rPr>
                <w:sz w:val="20"/>
                <w:szCs w:val="20"/>
                <w:color w:val="auto"/>
              </w:rPr>
            </w:pPr>
            <w:r>
              <w:rPr>
                <w:rFonts w:ascii="Arial" w:cs="Arial" w:eastAsia="Arial" w:hAnsi="Arial"/>
                <w:sz w:val="14"/>
                <w:szCs w:val="14"/>
                <w:b w:val="1"/>
                <w:bCs w:val="1"/>
                <w:color w:val="FFFFFF"/>
              </w:rPr>
              <w:t>Age at Commencement</w:t>
            </w:r>
          </w:p>
        </w:tc>
        <w:tc>
          <w:tcPr>
            <w:tcW w:w="1760" w:type="dxa"/>
            <w:vAlign w:val="bottom"/>
            <w:shd w:val="clear" w:color="auto" w:fill="99B7C6"/>
          </w:tcPr>
          <w:p>
            <w:pPr>
              <w:jc w:val="right"/>
              <w:ind w:right="209"/>
              <w:spacing w:after="0"/>
              <w:rPr>
                <w:sz w:val="20"/>
                <w:szCs w:val="20"/>
                <w:color w:val="auto"/>
              </w:rPr>
            </w:pPr>
            <w:r>
              <w:rPr>
                <w:rFonts w:ascii="Arial" w:cs="Arial" w:eastAsia="Arial" w:hAnsi="Arial"/>
                <w:sz w:val="14"/>
                <w:szCs w:val="14"/>
                <w:b w:val="1"/>
                <w:bCs w:val="1"/>
                <w:color w:val="FFFFFF"/>
              </w:rPr>
              <w:t>21</w:t>
            </w:r>
          </w:p>
        </w:tc>
        <w:tc>
          <w:tcPr>
            <w:tcW w:w="620" w:type="dxa"/>
            <w:vAlign w:val="bottom"/>
            <w:shd w:val="clear" w:color="auto" w:fill="99B7C6"/>
          </w:tcPr>
          <w:p>
            <w:pPr>
              <w:jc w:val="right"/>
              <w:ind w:right="69"/>
              <w:spacing w:after="0"/>
              <w:rPr>
                <w:sz w:val="20"/>
                <w:szCs w:val="20"/>
                <w:color w:val="auto"/>
              </w:rPr>
            </w:pPr>
            <w:r>
              <w:rPr>
                <w:rFonts w:ascii="Arial" w:cs="Arial" w:eastAsia="Arial" w:hAnsi="Arial"/>
                <w:sz w:val="14"/>
                <w:szCs w:val="14"/>
                <w:b w:val="1"/>
                <w:bCs w:val="1"/>
                <w:color w:val="FFFFFF"/>
              </w:rPr>
              <w:t>22</w:t>
            </w:r>
          </w:p>
        </w:tc>
        <w:tc>
          <w:tcPr>
            <w:tcW w:w="760" w:type="dxa"/>
            <w:vAlign w:val="bottom"/>
            <w:shd w:val="clear" w:color="auto" w:fill="99B7C6"/>
          </w:tcPr>
          <w:p>
            <w:pPr>
              <w:jc w:val="right"/>
              <w:ind w:right="69"/>
              <w:spacing w:after="0"/>
              <w:rPr>
                <w:sz w:val="20"/>
                <w:szCs w:val="20"/>
                <w:color w:val="auto"/>
              </w:rPr>
            </w:pPr>
            <w:r>
              <w:rPr>
                <w:rFonts w:ascii="Arial" w:cs="Arial" w:eastAsia="Arial" w:hAnsi="Arial"/>
                <w:sz w:val="14"/>
                <w:szCs w:val="14"/>
                <w:b w:val="1"/>
                <w:bCs w:val="1"/>
                <w:color w:val="FFFFFF"/>
              </w:rPr>
              <w:t>23</w:t>
            </w:r>
          </w:p>
        </w:tc>
        <w:tc>
          <w:tcPr>
            <w:tcW w:w="760" w:type="dxa"/>
            <w:vAlign w:val="bottom"/>
            <w:shd w:val="clear" w:color="auto" w:fill="99B7C6"/>
          </w:tcPr>
          <w:p>
            <w:pPr>
              <w:jc w:val="right"/>
              <w:ind w:right="69"/>
              <w:spacing w:after="0"/>
              <w:rPr>
                <w:sz w:val="20"/>
                <w:szCs w:val="20"/>
                <w:color w:val="auto"/>
              </w:rPr>
            </w:pPr>
            <w:r>
              <w:rPr>
                <w:rFonts w:ascii="Arial" w:cs="Arial" w:eastAsia="Arial" w:hAnsi="Arial"/>
                <w:sz w:val="14"/>
                <w:szCs w:val="14"/>
                <w:b w:val="1"/>
                <w:bCs w:val="1"/>
                <w:color w:val="FFFFFF"/>
              </w:rPr>
              <w:t>24</w:t>
            </w:r>
          </w:p>
        </w:tc>
        <w:tc>
          <w:tcPr>
            <w:tcW w:w="760" w:type="dxa"/>
            <w:vAlign w:val="bottom"/>
            <w:shd w:val="clear" w:color="auto" w:fill="99B7C6"/>
          </w:tcPr>
          <w:p>
            <w:pPr>
              <w:jc w:val="right"/>
              <w:ind w:right="71"/>
              <w:spacing w:after="0"/>
              <w:rPr>
                <w:sz w:val="20"/>
                <w:szCs w:val="20"/>
                <w:color w:val="auto"/>
              </w:rPr>
            </w:pPr>
            <w:r>
              <w:rPr>
                <w:rFonts w:ascii="Arial" w:cs="Arial" w:eastAsia="Arial" w:hAnsi="Arial"/>
                <w:sz w:val="14"/>
                <w:szCs w:val="14"/>
                <w:b w:val="1"/>
                <w:bCs w:val="1"/>
                <w:color w:val="FFFFFF"/>
              </w:rPr>
              <w:t>25</w:t>
            </w:r>
          </w:p>
        </w:tc>
        <w:tc>
          <w:tcPr>
            <w:tcW w:w="740" w:type="dxa"/>
            <w:vAlign w:val="bottom"/>
            <w:shd w:val="clear" w:color="auto" w:fill="99B7C6"/>
          </w:tcPr>
          <w:p>
            <w:pPr>
              <w:jc w:val="right"/>
              <w:ind w:right="49"/>
              <w:spacing w:after="0"/>
              <w:rPr>
                <w:sz w:val="20"/>
                <w:szCs w:val="20"/>
                <w:color w:val="auto"/>
              </w:rPr>
            </w:pPr>
            <w:r>
              <w:rPr>
                <w:rFonts w:ascii="Arial" w:cs="Arial" w:eastAsia="Arial" w:hAnsi="Arial"/>
                <w:sz w:val="14"/>
                <w:szCs w:val="14"/>
                <w:b w:val="1"/>
                <w:bCs w:val="1"/>
                <w:color w:val="FFFFFF"/>
              </w:rPr>
              <w:t>26</w:t>
            </w:r>
          </w:p>
        </w:tc>
        <w:tc>
          <w:tcPr>
            <w:tcW w:w="760" w:type="dxa"/>
            <w:vAlign w:val="bottom"/>
            <w:shd w:val="clear" w:color="auto" w:fill="99B7C6"/>
          </w:tcPr>
          <w:p>
            <w:pPr>
              <w:jc w:val="right"/>
              <w:ind w:right="69"/>
              <w:spacing w:after="0"/>
              <w:rPr>
                <w:sz w:val="20"/>
                <w:szCs w:val="20"/>
                <w:color w:val="auto"/>
              </w:rPr>
            </w:pPr>
            <w:r>
              <w:rPr>
                <w:rFonts w:ascii="Arial" w:cs="Arial" w:eastAsia="Arial" w:hAnsi="Arial"/>
                <w:sz w:val="14"/>
                <w:szCs w:val="14"/>
                <w:b w:val="1"/>
                <w:bCs w:val="1"/>
                <w:color w:val="FFFFFF"/>
              </w:rPr>
              <w:t>27</w:t>
            </w:r>
          </w:p>
        </w:tc>
        <w:tc>
          <w:tcPr>
            <w:tcW w:w="760" w:type="dxa"/>
            <w:vAlign w:val="bottom"/>
            <w:shd w:val="clear" w:color="auto" w:fill="99B7C6"/>
          </w:tcPr>
          <w:p>
            <w:pPr>
              <w:jc w:val="right"/>
              <w:ind w:right="69"/>
              <w:spacing w:after="0"/>
              <w:rPr>
                <w:sz w:val="20"/>
                <w:szCs w:val="20"/>
                <w:color w:val="auto"/>
              </w:rPr>
            </w:pPr>
            <w:r>
              <w:rPr>
                <w:rFonts w:ascii="Arial" w:cs="Arial" w:eastAsia="Arial" w:hAnsi="Arial"/>
                <w:sz w:val="14"/>
                <w:szCs w:val="14"/>
                <w:b w:val="1"/>
                <w:bCs w:val="1"/>
                <w:color w:val="FFFFFF"/>
              </w:rPr>
              <w:t>28</w:t>
            </w:r>
          </w:p>
        </w:tc>
        <w:tc>
          <w:tcPr>
            <w:tcW w:w="740" w:type="dxa"/>
            <w:vAlign w:val="bottom"/>
            <w:shd w:val="clear" w:color="auto" w:fill="99B7C6"/>
          </w:tcPr>
          <w:p>
            <w:pPr>
              <w:jc w:val="right"/>
              <w:ind w:right="49"/>
              <w:spacing w:after="0"/>
              <w:rPr>
                <w:sz w:val="20"/>
                <w:szCs w:val="20"/>
                <w:color w:val="auto"/>
              </w:rPr>
            </w:pPr>
            <w:r>
              <w:rPr>
                <w:rFonts w:ascii="Arial" w:cs="Arial" w:eastAsia="Arial" w:hAnsi="Arial"/>
                <w:sz w:val="14"/>
                <w:szCs w:val="14"/>
                <w:b w:val="1"/>
                <w:bCs w:val="1"/>
                <w:color w:val="FFFFFF"/>
              </w:rPr>
              <w:t>29</w:t>
            </w:r>
          </w:p>
        </w:tc>
        <w:tc>
          <w:tcPr>
            <w:tcW w:w="660" w:type="dxa"/>
            <w:vAlign w:val="bottom"/>
            <w:shd w:val="clear" w:color="auto" w:fill="99B7C6"/>
          </w:tcPr>
          <w:p>
            <w:pPr>
              <w:jc w:val="right"/>
              <w:spacing w:after="0"/>
              <w:rPr>
                <w:sz w:val="20"/>
                <w:szCs w:val="20"/>
                <w:color w:val="auto"/>
              </w:rPr>
            </w:pPr>
            <w:r>
              <w:rPr>
                <w:rFonts w:ascii="Arial" w:cs="Arial" w:eastAsia="Arial" w:hAnsi="Arial"/>
                <w:sz w:val="14"/>
                <w:szCs w:val="14"/>
                <w:b w:val="1"/>
                <w:bCs w:val="1"/>
                <w:color w:val="FFFFFF"/>
              </w:rPr>
              <w:t>30</w:t>
            </w:r>
          </w:p>
        </w:tc>
        <w:tc>
          <w:tcPr>
            <w:tcW w:w="20" w:type="dxa"/>
            <w:vAlign w:val="bottom"/>
          </w:tcPr>
          <w:p>
            <w:pPr>
              <w:spacing w:after="0"/>
              <w:rPr>
                <w:sz w:val="21"/>
                <w:szCs w:val="21"/>
                <w:color w:val="auto"/>
              </w:rPr>
            </w:pPr>
          </w:p>
        </w:tc>
      </w:tr>
      <w:tr>
        <w:trPr>
          <w:trHeight w:val="256"/>
        </w:trPr>
        <w:tc>
          <w:tcPr>
            <w:tcW w:w="2620" w:type="dxa"/>
            <w:vAlign w:val="bottom"/>
            <w:shd w:val="clear" w:color="auto" w:fill="E9F0F3"/>
          </w:tcPr>
          <w:p>
            <w:pPr>
              <w:ind w:left="60"/>
              <w:spacing w:after="0"/>
              <w:rPr>
                <w:sz w:val="20"/>
                <w:szCs w:val="20"/>
                <w:color w:val="auto"/>
              </w:rPr>
            </w:pPr>
            <w:r>
              <w:rPr>
                <w:rFonts w:ascii="Arial" w:cs="Arial" w:eastAsia="Arial" w:hAnsi="Arial"/>
                <w:sz w:val="14"/>
                <w:szCs w:val="14"/>
                <w:color w:val="auto"/>
              </w:rPr>
              <w:t>64</w:t>
            </w:r>
          </w:p>
        </w:tc>
        <w:tc>
          <w:tcPr>
            <w:tcW w:w="1760" w:type="dxa"/>
            <w:vAlign w:val="bottom"/>
            <w:shd w:val="clear" w:color="auto" w:fill="E9F0F3"/>
          </w:tcPr>
          <w:p>
            <w:pPr>
              <w:jc w:val="right"/>
              <w:ind w:right="209"/>
              <w:spacing w:after="0"/>
              <w:rPr>
                <w:sz w:val="20"/>
                <w:szCs w:val="20"/>
                <w:color w:val="auto"/>
              </w:rPr>
            </w:pPr>
            <w:r>
              <w:rPr>
                <w:rFonts w:ascii="Arial" w:cs="Arial" w:eastAsia="Arial" w:hAnsi="Arial"/>
                <w:sz w:val="14"/>
                <w:szCs w:val="14"/>
                <w:color w:val="auto"/>
              </w:rPr>
              <w:t>96.65%</w:t>
            </w:r>
          </w:p>
        </w:tc>
        <w:tc>
          <w:tcPr>
            <w:tcW w:w="62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w w:val="96"/>
              </w:rPr>
              <w:t>96.80%</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96.95%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97.10%</w:t>
            </w:r>
          </w:p>
        </w:tc>
        <w:tc>
          <w:tcPr>
            <w:tcW w:w="760" w:type="dxa"/>
            <w:vAlign w:val="bottom"/>
            <w:shd w:val="clear" w:color="auto" w:fill="E9F0F3"/>
          </w:tcPr>
          <w:p>
            <w:pPr>
              <w:jc w:val="right"/>
              <w:ind w:right="71"/>
              <w:spacing w:after="0"/>
              <w:rPr>
                <w:sz w:val="20"/>
                <w:szCs w:val="20"/>
                <w:color w:val="auto"/>
              </w:rPr>
            </w:pPr>
            <w:r>
              <w:rPr>
                <w:rFonts w:ascii="Arial" w:cs="Arial" w:eastAsia="Arial" w:hAnsi="Arial"/>
                <w:sz w:val="14"/>
                <w:szCs w:val="14"/>
                <w:color w:val="auto"/>
              </w:rPr>
              <w:t>97.25%</w:t>
            </w:r>
          </w:p>
        </w:tc>
        <w:tc>
          <w:tcPr>
            <w:tcW w:w="7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97.40%</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97.55%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97.70%</w:t>
            </w:r>
          </w:p>
        </w:tc>
        <w:tc>
          <w:tcPr>
            <w:tcW w:w="7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97.85%</w:t>
            </w:r>
          </w:p>
        </w:tc>
        <w:tc>
          <w:tcPr>
            <w:tcW w:w="6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98.00%</w:t>
            </w:r>
          </w:p>
        </w:tc>
        <w:tc>
          <w:tcPr>
            <w:tcW w:w="20" w:type="dxa"/>
            <w:vAlign w:val="bottom"/>
          </w:tcPr>
          <w:p>
            <w:pPr>
              <w:spacing w:after="0"/>
              <w:rPr>
                <w:sz w:val="22"/>
                <w:szCs w:val="22"/>
                <w:color w:val="auto"/>
              </w:rPr>
            </w:pPr>
          </w:p>
        </w:tc>
      </w:tr>
      <w:tr>
        <w:trPr>
          <w:trHeight w:val="74"/>
        </w:trPr>
        <w:tc>
          <w:tcPr>
            <w:tcW w:w="2620" w:type="dxa"/>
            <w:vAlign w:val="bottom"/>
            <w:shd w:val="clear" w:color="auto" w:fill="E9F0F3"/>
          </w:tcPr>
          <w:p>
            <w:pPr>
              <w:spacing w:after="0"/>
              <w:rPr>
                <w:sz w:val="6"/>
                <w:szCs w:val="6"/>
                <w:color w:val="auto"/>
              </w:rPr>
            </w:pPr>
          </w:p>
        </w:tc>
        <w:tc>
          <w:tcPr>
            <w:tcW w:w="1760" w:type="dxa"/>
            <w:vAlign w:val="bottom"/>
            <w:shd w:val="clear" w:color="auto" w:fill="E9F0F3"/>
          </w:tcPr>
          <w:p>
            <w:pPr>
              <w:spacing w:after="0"/>
              <w:rPr>
                <w:sz w:val="6"/>
                <w:szCs w:val="6"/>
                <w:color w:val="auto"/>
              </w:rPr>
            </w:pPr>
          </w:p>
        </w:tc>
        <w:tc>
          <w:tcPr>
            <w:tcW w:w="62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4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40" w:type="dxa"/>
            <w:vAlign w:val="bottom"/>
            <w:shd w:val="clear" w:color="auto" w:fill="E9F0F3"/>
          </w:tcPr>
          <w:p>
            <w:pPr>
              <w:spacing w:after="0"/>
              <w:rPr>
                <w:sz w:val="6"/>
                <w:szCs w:val="6"/>
                <w:color w:val="auto"/>
              </w:rPr>
            </w:pPr>
          </w:p>
        </w:tc>
        <w:tc>
          <w:tcPr>
            <w:tcW w:w="660" w:type="dxa"/>
            <w:vAlign w:val="bottom"/>
            <w:shd w:val="clear" w:color="auto" w:fill="E9F0F3"/>
          </w:tcPr>
          <w:p>
            <w:pPr>
              <w:spacing w:after="0"/>
              <w:rPr>
                <w:sz w:val="6"/>
                <w:szCs w:val="6"/>
                <w:color w:val="auto"/>
              </w:rPr>
            </w:pPr>
          </w:p>
        </w:tc>
        <w:tc>
          <w:tcPr>
            <w:tcW w:w="20" w:type="dxa"/>
            <w:vAlign w:val="bottom"/>
          </w:tcPr>
          <w:p>
            <w:pPr>
              <w:spacing w:after="0"/>
              <w:rPr>
                <w:sz w:val="6"/>
                <w:szCs w:val="6"/>
                <w:color w:val="auto"/>
              </w:rPr>
            </w:pPr>
          </w:p>
        </w:tc>
      </w:tr>
      <w:tr>
        <w:trPr>
          <w:trHeight w:val="256"/>
        </w:trPr>
        <w:tc>
          <w:tcPr>
            <w:tcW w:w="2620" w:type="dxa"/>
            <w:vAlign w:val="bottom"/>
          </w:tcPr>
          <w:p>
            <w:pPr>
              <w:ind w:left="60"/>
              <w:spacing w:after="0"/>
              <w:rPr>
                <w:sz w:val="20"/>
                <w:szCs w:val="20"/>
                <w:color w:val="auto"/>
              </w:rPr>
            </w:pPr>
            <w:r>
              <w:rPr>
                <w:rFonts w:ascii="Arial" w:cs="Arial" w:eastAsia="Arial" w:hAnsi="Arial"/>
                <w:sz w:val="14"/>
                <w:szCs w:val="14"/>
                <w:color w:val="auto"/>
              </w:rPr>
              <w:t>63</w:t>
            </w:r>
          </w:p>
        </w:tc>
        <w:tc>
          <w:tcPr>
            <w:tcW w:w="1760" w:type="dxa"/>
            <w:vAlign w:val="bottom"/>
          </w:tcPr>
          <w:p>
            <w:pPr>
              <w:jc w:val="right"/>
              <w:ind w:right="209"/>
              <w:spacing w:after="0"/>
              <w:rPr>
                <w:sz w:val="20"/>
                <w:szCs w:val="20"/>
                <w:color w:val="auto"/>
              </w:rPr>
            </w:pPr>
            <w:r>
              <w:rPr>
                <w:rFonts w:ascii="Arial" w:cs="Arial" w:eastAsia="Arial" w:hAnsi="Arial"/>
                <w:sz w:val="14"/>
                <w:szCs w:val="14"/>
                <w:color w:val="auto"/>
              </w:rPr>
              <w:t>93.30%</w:t>
            </w:r>
          </w:p>
        </w:tc>
        <w:tc>
          <w:tcPr>
            <w:tcW w:w="620" w:type="dxa"/>
            <w:vAlign w:val="bottom"/>
          </w:tcPr>
          <w:p>
            <w:pPr>
              <w:jc w:val="right"/>
              <w:ind w:right="69"/>
              <w:spacing w:after="0"/>
              <w:rPr>
                <w:sz w:val="20"/>
                <w:szCs w:val="20"/>
                <w:color w:val="auto"/>
              </w:rPr>
            </w:pPr>
            <w:r>
              <w:rPr>
                <w:rFonts w:ascii="Arial" w:cs="Arial" w:eastAsia="Arial" w:hAnsi="Arial"/>
                <w:sz w:val="14"/>
                <w:szCs w:val="14"/>
                <w:color w:val="auto"/>
                <w:w w:val="96"/>
              </w:rPr>
              <w:t>93.60%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93.90%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94.20%</w:t>
            </w:r>
          </w:p>
        </w:tc>
        <w:tc>
          <w:tcPr>
            <w:tcW w:w="760" w:type="dxa"/>
            <w:vAlign w:val="bottom"/>
          </w:tcPr>
          <w:p>
            <w:pPr>
              <w:jc w:val="right"/>
              <w:ind w:right="71"/>
              <w:spacing w:after="0"/>
              <w:rPr>
                <w:sz w:val="20"/>
                <w:szCs w:val="20"/>
                <w:color w:val="auto"/>
              </w:rPr>
            </w:pPr>
            <w:r>
              <w:rPr>
                <w:rFonts w:ascii="Arial" w:cs="Arial" w:eastAsia="Arial" w:hAnsi="Arial"/>
                <w:sz w:val="14"/>
                <w:szCs w:val="14"/>
                <w:color w:val="auto"/>
              </w:rPr>
              <w:t>94.50%</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94.80%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95.10%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95.40%</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95.70%</w:t>
            </w:r>
          </w:p>
        </w:tc>
        <w:tc>
          <w:tcPr>
            <w:tcW w:w="660" w:type="dxa"/>
            <w:vAlign w:val="bottom"/>
          </w:tcPr>
          <w:p>
            <w:pPr>
              <w:jc w:val="right"/>
              <w:spacing w:after="0"/>
              <w:rPr>
                <w:sz w:val="20"/>
                <w:szCs w:val="20"/>
                <w:color w:val="auto"/>
              </w:rPr>
            </w:pPr>
            <w:r>
              <w:rPr>
                <w:rFonts w:ascii="Arial" w:cs="Arial" w:eastAsia="Arial" w:hAnsi="Arial"/>
                <w:sz w:val="14"/>
                <w:szCs w:val="14"/>
                <w:color w:val="auto"/>
              </w:rPr>
              <w:t>96.00%</w:t>
            </w:r>
          </w:p>
        </w:tc>
        <w:tc>
          <w:tcPr>
            <w:tcW w:w="20" w:type="dxa"/>
            <w:vAlign w:val="bottom"/>
          </w:tcPr>
          <w:p>
            <w:pPr>
              <w:spacing w:after="0"/>
              <w:rPr>
                <w:sz w:val="22"/>
                <w:szCs w:val="22"/>
                <w:color w:val="auto"/>
              </w:rPr>
            </w:pPr>
          </w:p>
        </w:tc>
      </w:tr>
      <w:tr>
        <w:trPr>
          <w:trHeight w:val="74"/>
        </w:trPr>
        <w:tc>
          <w:tcPr>
            <w:tcW w:w="26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56"/>
        </w:trPr>
        <w:tc>
          <w:tcPr>
            <w:tcW w:w="2620" w:type="dxa"/>
            <w:vAlign w:val="bottom"/>
            <w:shd w:val="clear" w:color="auto" w:fill="E9F0F3"/>
          </w:tcPr>
          <w:p>
            <w:pPr>
              <w:ind w:left="60"/>
              <w:spacing w:after="0"/>
              <w:rPr>
                <w:sz w:val="20"/>
                <w:szCs w:val="20"/>
                <w:color w:val="auto"/>
              </w:rPr>
            </w:pPr>
            <w:r>
              <w:rPr>
                <w:rFonts w:ascii="Arial" w:cs="Arial" w:eastAsia="Arial" w:hAnsi="Arial"/>
                <w:sz w:val="14"/>
                <w:szCs w:val="14"/>
                <w:color w:val="auto"/>
              </w:rPr>
              <w:t>62</w:t>
            </w:r>
          </w:p>
        </w:tc>
        <w:tc>
          <w:tcPr>
            <w:tcW w:w="1760" w:type="dxa"/>
            <w:vAlign w:val="bottom"/>
            <w:shd w:val="clear" w:color="auto" w:fill="E9F0F3"/>
          </w:tcPr>
          <w:p>
            <w:pPr>
              <w:jc w:val="right"/>
              <w:ind w:right="209"/>
              <w:spacing w:after="0"/>
              <w:rPr>
                <w:sz w:val="20"/>
                <w:szCs w:val="20"/>
                <w:color w:val="auto"/>
              </w:rPr>
            </w:pPr>
            <w:r>
              <w:rPr>
                <w:rFonts w:ascii="Arial" w:cs="Arial" w:eastAsia="Arial" w:hAnsi="Arial"/>
                <w:sz w:val="14"/>
                <w:szCs w:val="14"/>
                <w:color w:val="auto"/>
              </w:rPr>
              <w:t>89.95%</w:t>
            </w:r>
          </w:p>
        </w:tc>
        <w:tc>
          <w:tcPr>
            <w:tcW w:w="62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w w:val="96"/>
              </w:rPr>
              <w:t>90.40%</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90.85%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91.30%</w:t>
            </w:r>
          </w:p>
        </w:tc>
        <w:tc>
          <w:tcPr>
            <w:tcW w:w="760" w:type="dxa"/>
            <w:vAlign w:val="bottom"/>
            <w:shd w:val="clear" w:color="auto" w:fill="E9F0F3"/>
          </w:tcPr>
          <w:p>
            <w:pPr>
              <w:jc w:val="right"/>
              <w:ind w:right="71"/>
              <w:spacing w:after="0"/>
              <w:rPr>
                <w:sz w:val="20"/>
                <w:szCs w:val="20"/>
                <w:color w:val="auto"/>
              </w:rPr>
            </w:pPr>
            <w:r>
              <w:rPr>
                <w:rFonts w:ascii="Arial" w:cs="Arial" w:eastAsia="Arial" w:hAnsi="Arial"/>
                <w:sz w:val="14"/>
                <w:szCs w:val="14"/>
                <w:color w:val="auto"/>
              </w:rPr>
              <w:t>91.75%</w:t>
            </w:r>
          </w:p>
        </w:tc>
        <w:tc>
          <w:tcPr>
            <w:tcW w:w="7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92.20%</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92.65%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93.10%</w:t>
            </w:r>
          </w:p>
        </w:tc>
        <w:tc>
          <w:tcPr>
            <w:tcW w:w="7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93.55%</w:t>
            </w:r>
          </w:p>
        </w:tc>
        <w:tc>
          <w:tcPr>
            <w:tcW w:w="6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94.00%</w:t>
            </w:r>
          </w:p>
        </w:tc>
        <w:tc>
          <w:tcPr>
            <w:tcW w:w="20" w:type="dxa"/>
            <w:vAlign w:val="bottom"/>
          </w:tcPr>
          <w:p>
            <w:pPr>
              <w:spacing w:after="0"/>
              <w:rPr>
                <w:sz w:val="22"/>
                <w:szCs w:val="22"/>
                <w:color w:val="auto"/>
              </w:rPr>
            </w:pPr>
          </w:p>
        </w:tc>
      </w:tr>
      <w:tr>
        <w:trPr>
          <w:trHeight w:val="74"/>
        </w:trPr>
        <w:tc>
          <w:tcPr>
            <w:tcW w:w="2620" w:type="dxa"/>
            <w:vAlign w:val="bottom"/>
            <w:shd w:val="clear" w:color="auto" w:fill="E9F0F3"/>
          </w:tcPr>
          <w:p>
            <w:pPr>
              <w:spacing w:after="0"/>
              <w:rPr>
                <w:sz w:val="6"/>
                <w:szCs w:val="6"/>
                <w:color w:val="auto"/>
              </w:rPr>
            </w:pPr>
          </w:p>
        </w:tc>
        <w:tc>
          <w:tcPr>
            <w:tcW w:w="1760" w:type="dxa"/>
            <w:vAlign w:val="bottom"/>
            <w:shd w:val="clear" w:color="auto" w:fill="E9F0F3"/>
          </w:tcPr>
          <w:p>
            <w:pPr>
              <w:spacing w:after="0"/>
              <w:rPr>
                <w:sz w:val="6"/>
                <w:szCs w:val="6"/>
                <w:color w:val="auto"/>
              </w:rPr>
            </w:pPr>
          </w:p>
        </w:tc>
        <w:tc>
          <w:tcPr>
            <w:tcW w:w="62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4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40" w:type="dxa"/>
            <w:vAlign w:val="bottom"/>
            <w:shd w:val="clear" w:color="auto" w:fill="E9F0F3"/>
          </w:tcPr>
          <w:p>
            <w:pPr>
              <w:spacing w:after="0"/>
              <w:rPr>
                <w:sz w:val="6"/>
                <w:szCs w:val="6"/>
                <w:color w:val="auto"/>
              </w:rPr>
            </w:pPr>
          </w:p>
        </w:tc>
        <w:tc>
          <w:tcPr>
            <w:tcW w:w="660" w:type="dxa"/>
            <w:vAlign w:val="bottom"/>
            <w:shd w:val="clear" w:color="auto" w:fill="E9F0F3"/>
          </w:tcPr>
          <w:p>
            <w:pPr>
              <w:spacing w:after="0"/>
              <w:rPr>
                <w:sz w:val="6"/>
                <w:szCs w:val="6"/>
                <w:color w:val="auto"/>
              </w:rPr>
            </w:pPr>
          </w:p>
        </w:tc>
        <w:tc>
          <w:tcPr>
            <w:tcW w:w="20" w:type="dxa"/>
            <w:vAlign w:val="bottom"/>
          </w:tcPr>
          <w:p>
            <w:pPr>
              <w:spacing w:after="0"/>
              <w:rPr>
                <w:sz w:val="6"/>
                <w:szCs w:val="6"/>
                <w:color w:val="auto"/>
              </w:rPr>
            </w:pPr>
          </w:p>
        </w:tc>
      </w:tr>
      <w:tr>
        <w:trPr>
          <w:trHeight w:val="256"/>
        </w:trPr>
        <w:tc>
          <w:tcPr>
            <w:tcW w:w="2620" w:type="dxa"/>
            <w:vAlign w:val="bottom"/>
          </w:tcPr>
          <w:p>
            <w:pPr>
              <w:ind w:left="60"/>
              <w:spacing w:after="0"/>
              <w:rPr>
                <w:sz w:val="20"/>
                <w:szCs w:val="20"/>
                <w:color w:val="auto"/>
              </w:rPr>
            </w:pPr>
            <w:r>
              <w:rPr>
                <w:rFonts w:ascii="Arial" w:cs="Arial" w:eastAsia="Arial" w:hAnsi="Arial"/>
                <w:sz w:val="14"/>
                <w:szCs w:val="14"/>
                <w:color w:val="auto"/>
              </w:rPr>
              <w:t>61</w:t>
            </w:r>
          </w:p>
        </w:tc>
        <w:tc>
          <w:tcPr>
            <w:tcW w:w="1760" w:type="dxa"/>
            <w:vAlign w:val="bottom"/>
          </w:tcPr>
          <w:p>
            <w:pPr>
              <w:jc w:val="right"/>
              <w:ind w:right="209"/>
              <w:spacing w:after="0"/>
              <w:rPr>
                <w:sz w:val="20"/>
                <w:szCs w:val="20"/>
                <w:color w:val="auto"/>
              </w:rPr>
            </w:pPr>
            <w:r>
              <w:rPr>
                <w:rFonts w:ascii="Arial" w:cs="Arial" w:eastAsia="Arial" w:hAnsi="Arial"/>
                <w:sz w:val="14"/>
                <w:szCs w:val="14"/>
                <w:color w:val="auto"/>
              </w:rPr>
              <w:t>86.60%</w:t>
            </w:r>
          </w:p>
        </w:tc>
        <w:tc>
          <w:tcPr>
            <w:tcW w:w="620" w:type="dxa"/>
            <w:vAlign w:val="bottom"/>
          </w:tcPr>
          <w:p>
            <w:pPr>
              <w:jc w:val="right"/>
              <w:ind w:right="69"/>
              <w:spacing w:after="0"/>
              <w:rPr>
                <w:sz w:val="20"/>
                <w:szCs w:val="20"/>
                <w:color w:val="auto"/>
              </w:rPr>
            </w:pPr>
            <w:r>
              <w:rPr>
                <w:rFonts w:ascii="Arial" w:cs="Arial" w:eastAsia="Arial" w:hAnsi="Arial"/>
                <w:sz w:val="14"/>
                <w:szCs w:val="14"/>
                <w:color w:val="auto"/>
                <w:w w:val="96"/>
              </w:rPr>
              <w:t>87.20%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87.80%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88.40%</w:t>
            </w:r>
          </w:p>
        </w:tc>
        <w:tc>
          <w:tcPr>
            <w:tcW w:w="760" w:type="dxa"/>
            <w:vAlign w:val="bottom"/>
          </w:tcPr>
          <w:p>
            <w:pPr>
              <w:jc w:val="right"/>
              <w:ind w:right="71"/>
              <w:spacing w:after="0"/>
              <w:rPr>
                <w:sz w:val="20"/>
                <w:szCs w:val="20"/>
                <w:color w:val="auto"/>
              </w:rPr>
            </w:pPr>
            <w:r>
              <w:rPr>
                <w:rFonts w:ascii="Arial" w:cs="Arial" w:eastAsia="Arial" w:hAnsi="Arial"/>
                <w:sz w:val="14"/>
                <w:szCs w:val="14"/>
                <w:color w:val="auto"/>
              </w:rPr>
              <w:t>89.00%</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89.60%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90.20%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90.80%</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91.40%</w:t>
            </w:r>
          </w:p>
        </w:tc>
        <w:tc>
          <w:tcPr>
            <w:tcW w:w="660" w:type="dxa"/>
            <w:vAlign w:val="bottom"/>
          </w:tcPr>
          <w:p>
            <w:pPr>
              <w:jc w:val="right"/>
              <w:spacing w:after="0"/>
              <w:rPr>
                <w:sz w:val="20"/>
                <w:szCs w:val="20"/>
                <w:color w:val="auto"/>
              </w:rPr>
            </w:pPr>
            <w:r>
              <w:rPr>
                <w:rFonts w:ascii="Arial" w:cs="Arial" w:eastAsia="Arial" w:hAnsi="Arial"/>
                <w:sz w:val="14"/>
                <w:szCs w:val="14"/>
                <w:color w:val="auto"/>
              </w:rPr>
              <w:t>92.00%</w:t>
            </w:r>
          </w:p>
        </w:tc>
        <w:tc>
          <w:tcPr>
            <w:tcW w:w="20" w:type="dxa"/>
            <w:vAlign w:val="bottom"/>
          </w:tcPr>
          <w:p>
            <w:pPr>
              <w:spacing w:after="0"/>
              <w:rPr>
                <w:sz w:val="22"/>
                <w:szCs w:val="22"/>
                <w:color w:val="auto"/>
              </w:rPr>
            </w:pPr>
          </w:p>
        </w:tc>
      </w:tr>
      <w:tr>
        <w:trPr>
          <w:trHeight w:val="74"/>
        </w:trPr>
        <w:tc>
          <w:tcPr>
            <w:tcW w:w="26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56"/>
        </w:trPr>
        <w:tc>
          <w:tcPr>
            <w:tcW w:w="2620" w:type="dxa"/>
            <w:vAlign w:val="bottom"/>
            <w:shd w:val="clear" w:color="auto" w:fill="E9F0F3"/>
          </w:tcPr>
          <w:p>
            <w:pPr>
              <w:ind w:left="60"/>
              <w:spacing w:after="0"/>
              <w:rPr>
                <w:sz w:val="20"/>
                <w:szCs w:val="20"/>
                <w:color w:val="auto"/>
              </w:rPr>
            </w:pPr>
            <w:r>
              <w:rPr>
                <w:rFonts w:ascii="Arial" w:cs="Arial" w:eastAsia="Arial" w:hAnsi="Arial"/>
                <w:sz w:val="14"/>
                <w:szCs w:val="14"/>
                <w:color w:val="auto"/>
              </w:rPr>
              <w:t>60</w:t>
            </w:r>
          </w:p>
        </w:tc>
        <w:tc>
          <w:tcPr>
            <w:tcW w:w="1760" w:type="dxa"/>
            <w:vAlign w:val="bottom"/>
            <w:shd w:val="clear" w:color="auto" w:fill="E9F0F3"/>
          </w:tcPr>
          <w:p>
            <w:pPr>
              <w:jc w:val="right"/>
              <w:ind w:right="209"/>
              <w:spacing w:after="0"/>
              <w:rPr>
                <w:sz w:val="20"/>
                <w:szCs w:val="20"/>
                <w:color w:val="auto"/>
              </w:rPr>
            </w:pPr>
            <w:r>
              <w:rPr>
                <w:rFonts w:ascii="Arial" w:cs="Arial" w:eastAsia="Arial" w:hAnsi="Arial"/>
                <w:sz w:val="14"/>
                <w:szCs w:val="14"/>
                <w:color w:val="auto"/>
              </w:rPr>
              <w:t>83.25%</w:t>
            </w:r>
          </w:p>
        </w:tc>
        <w:tc>
          <w:tcPr>
            <w:tcW w:w="62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w w:val="96"/>
              </w:rPr>
              <w:t>84.00%</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84.75%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85.50%</w:t>
            </w:r>
          </w:p>
        </w:tc>
        <w:tc>
          <w:tcPr>
            <w:tcW w:w="760" w:type="dxa"/>
            <w:vAlign w:val="bottom"/>
            <w:shd w:val="clear" w:color="auto" w:fill="E9F0F3"/>
          </w:tcPr>
          <w:p>
            <w:pPr>
              <w:jc w:val="right"/>
              <w:ind w:right="71"/>
              <w:spacing w:after="0"/>
              <w:rPr>
                <w:sz w:val="20"/>
                <w:szCs w:val="20"/>
                <w:color w:val="auto"/>
              </w:rPr>
            </w:pPr>
            <w:r>
              <w:rPr>
                <w:rFonts w:ascii="Arial" w:cs="Arial" w:eastAsia="Arial" w:hAnsi="Arial"/>
                <w:sz w:val="14"/>
                <w:szCs w:val="14"/>
                <w:color w:val="auto"/>
              </w:rPr>
              <w:t>86.25%</w:t>
            </w:r>
          </w:p>
        </w:tc>
        <w:tc>
          <w:tcPr>
            <w:tcW w:w="7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87.00%</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87.75%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88.50%</w:t>
            </w:r>
          </w:p>
        </w:tc>
        <w:tc>
          <w:tcPr>
            <w:tcW w:w="7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89.25%</w:t>
            </w:r>
          </w:p>
        </w:tc>
        <w:tc>
          <w:tcPr>
            <w:tcW w:w="6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90.00%</w:t>
            </w:r>
          </w:p>
        </w:tc>
        <w:tc>
          <w:tcPr>
            <w:tcW w:w="20" w:type="dxa"/>
            <w:vAlign w:val="bottom"/>
          </w:tcPr>
          <w:p>
            <w:pPr>
              <w:spacing w:after="0"/>
              <w:rPr>
                <w:sz w:val="22"/>
                <w:szCs w:val="22"/>
                <w:color w:val="auto"/>
              </w:rPr>
            </w:pPr>
          </w:p>
        </w:tc>
      </w:tr>
      <w:tr>
        <w:trPr>
          <w:trHeight w:val="74"/>
        </w:trPr>
        <w:tc>
          <w:tcPr>
            <w:tcW w:w="2620" w:type="dxa"/>
            <w:vAlign w:val="bottom"/>
            <w:shd w:val="clear" w:color="auto" w:fill="E9F0F3"/>
          </w:tcPr>
          <w:p>
            <w:pPr>
              <w:spacing w:after="0"/>
              <w:rPr>
                <w:sz w:val="6"/>
                <w:szCs w:val="6"/>
                <w:color w:val="auto"/>
              </w:rPr>
            </w:pPr>
          </w:p>
        </w:tc>
        <w:tc>
          <w:tcPr>
            <w:tcW w:w="1760" w:type="dxa"/>
            <w:vAlign w:val="bottom"/>
            <w:shd w:val="clear" w:color="auto" w:fill="E9F0F3"/>
          </w:tcPr>
          <w:p>
            <w:pPr>
              <w:spacing w:after="0"/>
              <w:rPr>
                <w:sz w:val="6"/>
                <w:szCs w:val="6"/>
                <w:color w:val="auto"/>
              </w:rPr>
            </w:pPr>
          </w:p>
        </w:tc>
        <w:tc>
          <w:tcPr>
            <w:tcW w:w="62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4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40" w:type="dxa"/>
            <w:vAlign w:val="bottom"/>
            <w:shd w:val="clear" w:color="auto" w:fill="E9F0F3"/>
          </w:tcPr>
          <w:p>
            <w:pPr>
              <w:spacing w:after="0"/>
              <w:rPr>
                <w:sz w:val="6"/>
                <w:szCs w:val="6"/>
                <w:color w:val="auto"/>
              </w:rPr>
            </w:pPr>
          </w:p>
        </w:tc>
        <w:tc>
          <w:tcPr>
            <w:tcW w:w="660" w:type="dxa"/>
            <w:vAlign w:val="bottom"/>
            <w:shd w:val="clear" w:color="auto" w:fill="E9F0F3"/>
          </w:tcPr>
          <w:p>
            <w:pPr>
              <w:spacing w:after="0"/>
              <w:rPr>
                <w:sz w:val="6"/>
                <w:szCs w:val="6"/>
                <w:color w:val="auto"/>
              </w:rPr>
            </w:pPr>
          </w:p>
        </w:tc>
        <w:tc>
          <w:tcPr>
            <w:tcW w:w="20" w:type="dxa"/>
            <w:vAlign w:val="bottom"/>
          </w:tcPr>
          <w:p>
            <w:pPr>
              <w:spacing w:after="0"/>
              <w:rPr>
                <w:sz w:val="6"/>
                <w:szCs w:val="6"/>
                <w:color w:val="auto"/>
              </w:rPr>
            </w:pPr>
          </w:p>
        </w:tc>
      </w:tr>
      <w:tr>
        <w:trPr>
          <w:trHeight w:val="256"/>
        </w:trPr>
        <w:tc>
          <w:tcPr>
            <w:tcW w:w="2620" w:type="dxa"/>
            <w:vAlign w:val="bottom"/>
          </w:tcPr>
          <w:p>
            <w:pPr>
              <w:ind w:left="60"/>
              <w:spacing w:after="0"/>
              <w:rPr>
                <w:sz w:val="20"/>
                <w:szCs w:val="20"/>
                <w:color w:val="auto"/>
              </w:rPr>
            </w:pPr>
            <w:r>
              <w:rPr>
                <w:rFonts w:ascii="Arial" w:cs="Arial" w:eastAsia="Arial" w:hAnsi="Arial"/>
                <w:sz w:val="14"/>
                <w:szCs w:val="14"/>
                <w:color w:val="auto"/>
              </w:rPr>
              <w:t>59</w:t>
            </w:r>
          </w:p>
        </w:tc>
        <w:tc>
          <w:tcPr>
            <w:tcW w:w="1760" w:type="dxa"/>
            <w:vAlign w:val="bottom"/>
          </w:tcPr>
          <w:p>
            <w:pPr>
              <w:jc w:val="right"/>
              <w:ind w:right="209"/>
              <w:spacing w:after="0"/>
              <w:rPr>
                <w:sz w:val="20"/>
                <w:szCs w:val="20"/>
                <w:color w:val="auto"/>
              </w:rPr>
            </w:pPr>
            <w:r>
              <w:rPr>
                <w:rFonts w:ascii="Arial" w:cs="Arial" w:eastAsia="Arial" w:hAnsi="Arial"/>
                <w:sz w:val="14"/>
                <w:szCs w:val="14"/>
                <w:color w:val="auto"/>
              </w:rPr>
              <w:t>79.90%</w:t>
            </w:r>
          </w:p>
        </w:tc>
        <w:tc>
          <w:tcPr>
            <w:tcW w:w="620" w:type="dxa"/>
            <w:vAlign w:val="bottom"/>
          </w:tcPr>
          <w:p>
            <w:pPr>
              <w:jc w:val="right"/>
              <w:ind w:right="69"/>
              <w:spacing w:after="0"/>
              <w:rPr>
                <w:sz w:val="20"/>
                <w:szCs w:val="20"/>
                <w:color w:val="auto"/>
              </w:rPr>
            </w:pPr>
            <w:r>
              <w:rPr>
                <w:rFonts w:ascii="Arial" w:cs="Arial" w:eastAsia="Arial" w:hAnsi="Arial"/>
                <w:sz w:val="14"/>
                <w:szCs w:val="14"/>
                <w:color w:val="auto"/>
                <w:w w:val="96"/>
              </w:rPr>
              <w:t>80.80%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81.70%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82.60%</w:t>
            </w:r>
          </w:p>
        </w:tc>
        <w:tc>
          <w:tcPr>
            <w:tcW w:w="760" w:type="dxa"/>
            <w:vAlign w:val="bottom"/>
          </w:tcPr>
          <w:p>
            <w:pPr>
              <w:jc w:val="right"/>
              <w:ind w:right="71"/>
              <w:spacing w:after="0"/>
              <w:rPr>
                <w:sz w:val="20"/>
                <w:szCs w:val="20"/>
                <w:color w:val="auto"/>
              </w:rPr>
            </w:pPr>
            <w:r>
              <w:rPr>
                <w:rFonts w:ascii="Arial" w:cs="Arial" w:eastAsia="Arial" w:hAnsi="Arial"/>
                <w:sz w:val="14"/>
                <w:szCs w:val="14"/>
                <w:color w:val="auto"/>
              </w:rPr>
              <w:t>83.50%</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84.40%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85.30%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86.20%</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87.10%</w:t>
            </w:r>
          </w:p>
        </w:tc>
        <w:tc>
          <w:tcPr>
            <w:tcW w:w="660" w:type="dxa"/>
            <w:vAlign w:val="bottom"/>
          </w:tcPr>
          <w:p>
            <w:pPr>
              <w:jc w:val="right"/>
              <w:spacing w:after="0"/>
              <w:rPr>
                <w:sz w:val="20"/>
                <w:szCs w:val="20"/>
                <w:color w:val="auto"/>
              </w:rPr>
            </w:pPr>
            <w:r>
              <w:rPr>
                <w:rFonts w:ascii="Arial" w:cs="Arial" w:eastAsia="Arial" w:hAnsi="Arial"/>
                <w:sz w:val="14"/>
                <w:szCs w:val="14"/>
                <w:color w:val="auto"/>
              </w:rPr>
              <w:t>88.00%</w:t>
            </w:r>
          </w:p>
        </w:tc>
        <w:tc>
          <w:tcPr>
            <w:tcW w:w="20" w:type="dxa"/>
            <w:vAlign w:val="bottom"/>
          </w:tcPr>
          <w:p>
            <w:pPr>
              <w:spacing w:after="0"/>
              <w:rPr>
                <w:sz w:val="22"/>
                <w:szCs w:val="22"/>
                <w:color w:val="auto"/>
              </w:rPr>
            </w:pPr>
          </w:p>
        </w:tc>
      </w:tr>
      <w:tr>
        <w:trPr>
          <w:trHeight w:val="74"/>
        </w:trPr>
        <w:tc>
          <w:tcPr>
            <w:tcW w:w="26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56"/>
        </w:trPr>
        <w:tc>
          <w:tcPr>
            <w:tcW w:w="2620" w:type="dxa"/>
            <w:vAlign w:val="bottom"/>
            <w:shd w:val="clear" w:color="auto" w:fill="E9F0F3"/>
          </w:tcPr>
          <w:p>
            <w:pPr>
              <w:ind w:left="60"/>
              <w:spacing w:after="0"/>
              <w:rPr>
                <w:sz w:val="20"/>
                <w:szCs w:val="20"/>
                <w:color w:val="auto"/>
              </w:rPr>
            </w:pPr>
            <w:r>
              <w:rPr>
                <w:rFonts w:ascii="Arial" w:cs="Arial" w:eastAsia="Arial" w:hAnsi="Arial"/>
                <w:sz w:val="14"/>
                <w:szCs w:val="14"/>
                <w:color w:val="auto"/>
              </w:rPr>
              <w:t>58</w:t>
            </w:r>
          </w:p>
        </w:tc>
        <w:tc>
          <w:tcPr>
            <w:tcW w:w="1760" w:type="dxa"/>
            <w:vAlign w:val="bottom"/>
            <w:shd w:val="clear" w:color="auto" w:fill="E9F0F3"/>
          </w:tcPr>
          <w:p>
            <w:pPr>
              <w:jc w:val="right"/>
              <w:ind w:right="209"/>
              <w:spacing w:after="0"/>
              <w:rPr>
                <w:sz w:val="20"/>
                <w:szCs w:val="20"/>
                <w:color w:val="auto"/>
              </w:rPr>
            </w:pPr>
            <w:r>
              <w:rPr>
                <w:rFonts w:ascii="Arial" w:cs="Arial" w:eastAsia="Arial" w:hAnsi="Arial"/>
                <w:sz w:val="14"/>
                <w:szCs w:val="14"/>
                <w:color w:val="auto"/>
              </w:rPr>
              <w:t>76.55%</w:t>
            </w:r>
          </w:p>
        </w:tc>
        <w:tc>
          <w:tcPr>
            <w:tcW w:w="62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w w:val="96"/>
              </w:rPr>
              <w:t>77.60%</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78.65%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79.70%</w:t>
            </w:r>
          </w:p>
        </w:tc>
        <w:tc>
          <w:tcPr>
            <w:tcW w:w="760" w:type="dxa"/>
            <w:vAlign w:val="bottom"/>
            <w:shd w:val="clear" w:color="auto" w:fill="E9F0F3"/>
          </w:tcPr>
          <w:p>
            <w:pPr>
              <w:jc w:val="right"/>
              <w:ind w:right="71"/>
              <w:spacing w:after="0"/>
              <w:rPr>
                <w:sz w:val="20"/>
                <w:szCs w:val="20"/>
                <w:color w:val="auto"/>
              </w:rPr>
            </w:pPr>
            <w:r>
              <w:rPr>
                <w:rFonts w:ascii="Arial" w:cs="Arial" w:eastAsia="Arial" w:hAnsi="Arial"/>
                <w:sz w:val="14"/>
                <w:szCs w:val="14"/>
                <w:color w:val="auto"/>
              </w:rPr>
              <w:t>80.75%</w:t>
            </w:r>
          </w:p>
        </w:tc>
        <w:tc>
          <w:tcPr>
            <w:tcW w:w="7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81.80%</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82.85%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83.90%</w:t>
            </w:r>
          </w:p>
        </w:tc>
        <w:tc>
          <w:tcPr>
            <w:tcW w:w="7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84.95%</w:t>
            </w:r>
          </w:p>
        </w:tc>
        <w:tc>
          <w:tcPr>
            <w:tcW w:w="6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86.00%</w:t>
            </w:r>
          </w:p>
        </w:tc>
        <w:tc>
          <w:tcPr>
            <w:tcW w:w="20" w:type="dxa"/>
            <w:vAlign w:val="bottom"/>
          </w:tcPr>
          <w:p>
            <w:pPr>
              <w:spacing w:after="0"/>
              <w:rPr>
                <w:sz w:val="22"/>
                <w:szCs w:val="22"/>
                <w:color w:val="auto"/>
              </w:rPr>
            </w:pPr>
          </w:p>
        </w:tc>
      </w:tr>
      <w:tr>
        <w:trPr>
          <w:trHeight w:val="74"/>
        </w:trPr>
        <w:tc>
          <w:tcPr>
            <w:tcW w:w="2620" w:type="dxa"/>
            <w:vAlign w:val="bottom"/>
            <w:shd w:val="clear" w:color="auto" w:fill="E9F0F3"/>
          </w:tcPr>
          <w:p>
            <w:pPr>
              <w:spacing w:after="0"/>
              <w:rPr>
                <w:sz w:val="6"/>
                <w:szCs w:val="6"/>
                <w:color w:val="auto"/>
              </w:rPr>
            </w:pPr>
          </w:p>
        </w:tc>
        <w:tc>
          <w:tcPr>
            <w:tcW w:w="1760" w:type="dxa"/>
            <w:vAlign w:val="bottom"/>
            <w:shd w:val="clear" w:color="auto" w:fill="E9F0F3"/>
          </w:tcPr>
          <w:p>
            <w:pPr>
              <w:spacing w:after="0"/>
              <w:rPr>
                <w:sz w:val="6"/>
                <w:szCs w:val="6"/>
                <w:color w:val="auto"/>
              </w:rPr>
            </w:pPr>
          </w:p>
        </w:tc>
        <w:tc>
          <w:tcPr>
            <w:tcW w:w="62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4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40" w:type="dxa"/>
            <w:vAlign w:val="bottom"/>
            <w:shd w:val="clear" w:color="auto" w:fill="E9F0F3"/>
          </w:tcPr>
          <w:p>
            <w:pPr>
              <w:spacing w:after="0"/>
              <w:rPr>
                <w:sz w:val="6"/>
                <w:szCs w:val="6"/>
                <w:color w:val="auto"/>
              </w:rPr>
            </w:pPr>
          </w:p>
        </w:tc>
        <w:tc>
          <w:tcPr>
            <w:tcW w:w="660" w:type="dxa"/>
            <w:vAlign w:val="bottom"/>
            <w:shd w:val="clear" w:color="auto" w:fill="E9F0F3"/>
          </w:tcPr>
          <w:p>
            <w:pPr>
              <w:spacing w:after="0"/>
              <w:rPr>
                <w:sz w:val="6"/>
                <w:szCs w:val="6"/>
                <w:color w:val="auto"/>
              </w:rPr>
            </w:pPr>
          </w:p>
        </w:tc>
        <w:tc>
          <w:tcPr>
            <w:tcW w:w="20" w:type="dxa"/>
            <w:vAlign w:val="bottom"/>
          </w:tcPr>
          <w:p>
            <w:pPr>
              <w:spacing w:after="0"/>
              <w:rPr>
                <w:sz w:val="6"/>
                <w:szCs w:val="6"/>
                <w:color w:val="auto"/>
              </w:rPr>
            </w:pPr>
          </w:p>
        </w:tc>
      </w:tr>
      <w:tr>
        <w:trPr>
          <w:trHeight w:val="256"/>
        </w:trPr>
        <w:tc>
          <w:tcPr>
            <w:tcW w:w="2620" w:type="dxa"/>
            <w:vAlign w:val="bottom"/>
          </w:tcPr>
          <w:p>
            <w:pPr>
              <w:ind w:left="60"/>
              <w:spacing w:after="0"/>
              <w:rPr>
                <w:sz w:val="20"/>
                <w:szCs w:val="20"/>
                <w:color w:val="auto"/>
              </w:rPr>
            </w:pPr>
            <w:r>
              <w:rPr>
                <w:rFonts w:ascii="Arial" w:cs="Arial" w:eastAsia="Arial" w:hAnsi="Arial"/>
                <w:sz w:val="14"/>
                <w:szCs w:val="14"/>
                <w:color w:val="auto"/>
              </w:rPr>
              <w:t>57</w:t>
            </w:r>
          </w:p>
        </w:tc>
        <w:tc>
          <w:tcPr>
            <w:tcW w:w="1760" w:type="dxa"/>
            <w:vAlign w:val="bottom"/>
          </w:tcPr>
          <w:p>
            <w:pPr>
              <w:jc w:val="right"/>
              <w:ind w:right="209"/>
              <w:spacing w:after="0"/>
              <w:rPr>
                <w:sz w:val="20"/>
                <w:szCs w:val="20"/>
                <w:color w:val="auto"/>
              </w:rPr>
            </w:pPr>
            <w:r>
              <w:rPr>
                <w:rFonts w:ascii="Arial" w:cs="Arial" w:eastAsia="Arial" w:hAnsi="Arial"/>
                <w:sz w:val="14"/>
                <w:szCs w:val="14"/>
                <w:color w:val="auto"/>
              </w:rPr>
              <w:t>73.20%</w:t>
            </w:r>
          </w:p>
        </w:tc>
        <w:tc>
          <w:tcPr>
            <w:tcW w:w="620" w:type="dxa"/>
            <w:vAlign w:val="bottom"/>
          </w:tcPr>
          <w:p>
            <w:pPr>
              <w:jc w:val="right"/>
              <w:ind w:right="69"/>
              <w:spacing w:after="0"/>
              <w:rPr>
                <w:sz w:val="20"/>
                <w:szCs w:val="20"/>
                <w:color w:val="auto"/>
              </w:rPr>
            </w:pPr>
            <w:r>
              <w:rPr>
                <w:rFonts w:ascii="Arial" w:cs="Arial" w:eastAsia="Arial" w:hAnsi="Arial"/>
                <w:sz w:val="14"/>
                <w:szCs w:val="14"/>
                <w:color w:val="auto"/>
                <w:w w:val="96"/>
              </w:rPr>
              <w:t>74.40%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75.60%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76.80%</w:t>
            </w:r>
          </w:p>
        </w:tc>
        <w:tc>
          <w:tcPr>
            <w:tcW w:w="760" w:type="dxa"/>
            <w:vAlign w:val="bottom"/>
          </w:tcPr>
          <w:p>
            <w:pPr>
              <w:jc w:val="right"/>
              <w:ind w:right="71"/>
              <w:spacing w:after="0"/>
              <w:rPr>
                <w:sz w:val="20"/>
                <w:szCs w:val="20"/>
                <w:color w:val="auto"/>
              </w:rPr>
            </w:pPr>
            <w:r>
              <w:rPr>
                <w:rFonts w:ascii="Arial" w:cs="Arial" w:eastAsia="Arial" w:hAnsi="Arial"/>
                <w:sz w:val="14"/>
                <w:szCs w:val="14"/>
                <w:color w:val="auto"/>
              </w:rPr>
              <w:t>78.00%</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79.20%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80.40%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81.60%</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82.80%</w:t>
            </w:r>
          </w:p>
        </w:tc>
        <w:tc>
          <w:tcPr>
            <w:tcW w:w="660" w:type="dxa"/>
            <w:vAlign w:val="bottom"/>
          </w:tcPr>
          <w:p>
            <w:pPr>
              <w:jc w:val="right"/>
              <w:spacing w:after="0"/>
              <w:rPr>
                <w:sz w:val="20"/>
                <w:szCs w:val="20"/>
                <w:color w:val="auto"/>
              </w:rPr>
            </w:pPr>
            <w:r>
              <w:rPr>
                <w:rFonts w:ascii="Arial" w:cs="Arial" w:eastAsia="Arial" w:hAnsi="Arial"/>
                <w:sz w:val="14"/>
                <w:szCs w:val="14"/>
                <w:color w:val="auto"/>
              </w:rPr>
              <w:t>84.00%</w:t>
            </w:r>
          </w:p>
        </w:tc>
        <w:tc>
          <w:tcPr>
            <w:tcW w:w="20" w:type="dxa"/>
            <w:vAlign w:val="bottom"/>
          </w:tcPr>
          <w:p>
            <w:pPr>
              <w:spacing w:after="0"/>
              <w:rPr>
                <w:sz w:val="22"/>
                <w:szCs w:val="22"/>
                <w:color w:val="auto"/>
              </w:rPr>
            </w:pPr>
          </w:p>
        </w:tc>
      </w:tr>
      <w:tr>
        <w:trPr>
          <w:trHeight w:val="74"/>
        </w:trPr>
        <w:tc>
          <w:tcPr>
            <w:tcW w:w="26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56"/>
        </w:trPr>
        <w:tc>
          <w:tcPr>
            <w:tcW w:w="2620" w:type="dxa"/>
            <w:vAlign w:val="bottom"/>
            <w:shd w:val="clear" w:color="auto" w:fill="E9F0F3"/>
          </w:tcPr>
          <w:p>
            <w:pPr>
              <w:ind w:left="60"/>
              <w:spacing w:after="0"/>
              <w:rPr>
                <w:sz w:val="20"/>
                <w:szCs w:val="20"/>
                <w:color w:val="auto"/>
              </w:rPr>
            </w:pPr>
            <w:r>
              <w:rPr>
                <w:rFonts w:ascii="Arial" w:cs="Arial" w:eastAsia="Arial" w:hAnsi="Arial"/>
                <w:sz w:val="14"/>
                <w:szCs w:val="14"/>
                <w:color w:val="auto"/>
              </w:rPr>
              <w:t>56</w:t>
            </w:r>
          </w:p>
        </w:tc>
        <w:tc>
          <w:tcPr>
            <w:tcW w:w="1760" w:type="dxa"/>
            <w:vAlign w:val="bottom"/>
            <w:shd w:val="clear" w:color="auto" w:fill="E9F0F3"/>
          </w:tcPr>
          <w:p>
            <w:pPr>
              <w:jc w:val="right"/>
              <w:ind w:right="209"/>
              <w:spacing w:after="0"/>
              <w:rPr>
                <w:sz w:val="20"/>
                <w:szCs w:val="20"/>
                <w:color w:val="auto"/>
              </w:rPr>
            </w:pPr>
            <w:r>
              <w:rPr>
                <w:rFonts w:ascii="Arial" w:cs="Arial" w:eastAsia="Arial" w:hAnsi="Arial"/>
                <w:sz w:val="14"/>
                <w:szCs w:val="14"/>
                <w:color w:val="auto"/>
              </w:rPr>
              <w:t>69.85%</w:t>
            </w:r>
          </w:p>
        </w:tc>
        <w:tc>
          <w:tcPr>
            <w:tcW w:w="62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w w:val="96"/>
              </w:rPr>
              <w:t>71.20%</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72.55%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73.90%</w:t>
            </w:r>
          </w:p>
        </w:tc>
        <w:tc>
          <w:tcPr>
            <w:tcW w:w="760" w:type="dxa"/>
            <w:vAlign w:val="bottom"/>
            <w:shd w:val="clear" w:color="auto" w:fill="E9F0F3"/>
          </w:tcPr>
          <w:p>
            <w:pPr>
              <w:jc w:val="right"/>
              <w:ind w:right="71"/>
              <w:spacing w:after="0"/>
              <w:rPr>
                <w:sz w:val="20"/>
                <w:szCs w:val="20"/>
                <w:color w:val="auto"/>
              </w:rPr>
            </w:pPr>
            <w:r>
              <w:rPr>
                <w:rFonts w:ascii="Arial" w:cs="Arial" w:eastAsia="Arial" w:hAnsi="Arial"/>
                <w:sz w:val="14"/>
                <w:szCs w:val="14"/>
                <w:color w:val="auto"/>
              </w:rPr>
              <w:t>75.25%</w:t>
            </w:r>
          </w:p>
        </w:tc>
        <w:tc>
          <w:tcPr>
            <w:tcW w:w="7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76.60%</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77.95%</w:t>
            </w:r>
          </w:p>
        </w:tc>
        <w:tc>
          <w:tcPr>
            <w:tcW w:w="760" w:type="dxa"/>
            <w:vAlign w:val="bottom"/>
            <w:shd w:val="clear" w:color="auto" w:fill="E9F0F3"/>
          </w:tcPr>
          <w:p>
            <w:pPr>
              <w:jc w:val="right"/>
              <w:ind w:right="69"/>
              <w:spacing w:after="0"/>
              <w:rPr>
                <w:sz w:val="20"/>
                <w:szCs w:val="20"/>
                <w:color w:val="auto"/>
              </w:rPr>
            </w:pPr>
            <w:r>
              <w:rPr>
                <w:rFonts w:ascii="Arial" w:cs="Arial" w:eastAsia="Arial" w:hAnsi="Arial"/>
                <w:sz w:val="14"/>
                <w:szCs w:val="14"/>
                <w:color w:val="auto"/>
              </w:rPr>
              <w:t>79.30%</w:t>
            </w:r>
          </w:p>
        </w:tc>
        <w:tc>
          <w:tcPr>
            <w:tcW w:w="740" w:type="dxa"/>
            <w:vAlign w:val="bottom"/>
            <w:shd w:val="clear" w:color="auto" w:fill="E9F0F3"/>
          </w:tcPr>
          <w:p>
            <w:pPr>
              <w:jc w:val="right"/>
              <w:ind w:right="49"/>
              <w:spacing w:after="0"/>
              <w:rPr>
                <w:sz w:val="20"/>
                <w:szCs w:val="20"/>
                <w:color w:val="auto"/>
              </w:rPr>
            </w:pPr>
            <w:r>
              <w:rPr>
                <w:rFonts w:ascii="Arial" w:cs="Arial" w:eastAsia="Arial" w:hAnsi="Arial"/>
                <w:sz w:val="14"/>
                <w:szCs w:val="14"/>
                <w:color w:val="auto"/>
              </w:rPr>
              <w:t>80.65%</w:t>
            </w:r>
          </w:p>
        </w:tc>
        <w:tc>
          <w:tcPr>
            <w:tcW w:w="6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82.00%</w:t>
            </w:r>
          </w:p>
        </w:tc>
        <w:tc>
          <w:tcPr>
            <w:tcW w:w="20" w:type="dxa"/>
            <w:vAlign w:val="bottom"/>
          </w:tcPr>
          <w:p>
            <w:pPr>
              <w:spacing w:after="0"/>
              <w:rPr>
                <w:sz w:val="22"/>
                <w:szCs w:val="22"/>
                <w:color w:val="auto"/>
              </w:rPr>
            </w:pPr>
          </w:p>
        </w:tc>
      </w:tr>
      <w:tr>
        <w:trPr>
          <w:trHeight w:val="74"/>
        </w:trPr>
        <w:tc>
          <w:tcPr>
            <w:tcW w:w="2620" w:type="dxa"/>
            <w:vAlign w:val="bottom"/>
            <w:shd w:val="clear" w:color="auto" w:fill="E9F0F3"/>
          </w:tcPr>
          <w:p>
            <w:pPr>
              <w:spacing w:after="0"/>
              <w:rPr>
                <w:sz w:val="6"/>
                <w:szCs w:val="6"/>
                <w:color w:val="auto"/>
              </w:rPr>
            </w:pPr>
          </w:p>
        </w:tc>
        <w:tc>
          <w:tcPr>
            <w:tcW w:w="1760" w:type="dxa"/>
            <w:vAlign w:val="bottom"/>
            <w:shd w:val="clear" w:color="auto" w:fill="E9F0F3"/>
          </w:tcPr>
          <w:p>
            <w:pPr>
              <w:spacing w:after="0"/>
              <w:rPr>
                <w:sz w:val="6"/>
                <w:szCs w:val="6"/>
                <w:color w:val="auto"/>
              </w:rPr>
            </w:pPr>
          </w:p>
        </w:tc>
        <w:tc>
          <w:tcPr>
            <w:tcW w:w="62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4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60" w:type="dxa"/>
            <w:vAlign w:val="bottom"/>
            <w:shd w:val="clear" w:color="auto" w:fill="E9F0F3"/>
          </w:tcPr>
          <w:p>
            <w:pPr>
              <w:spacing w:after="0"/>
              <w:rPr>
                <w:sz w:val="6"/>
                <w:szCs w:val="6"/>
                <w:color w:val="auto"/>
              </w:rPr>
            </w:pPr>
          </w:p>
        </w:tc>
        <w:tc>
          <w:tcPr>
            <w:tcW w:w="740" w:type="dxa"/>
            <w:vAlign w:val="bottom"/>
            <w:shd w:val="clear" w:color="auto" w:fill="E9F0F3"/>
          </w:tcPr>
          <w:p>
            <w:pPr>
              <w:spacing w:after="0"/>
              <w:rPr>
                <w:sz w:val="6"/>
                <w:szCs w:val="6"/>
                <w:color w:val="auto"/>
              </w:rPr>
            </w:pPr>
          </w:p>
        </w:tc>
        <w:tc>
          <w:tcPr>
            <w:tcW w:w="660" w:type="dxa"/>
            <w:vAlign w:val="bottom"/>
            <w:shd w:val="clear" w:color="auto" w:fill="E9F0F3"/>
          </w:tcPr>
          <w:p>
            <w:pPr>
              <w:spacing w:after="0"/>
              <w:rPr>
                <w:sz w:val="6"/>
                <w:szCs w:val="6"/>
                <w:color w:val="auto"/>
              </w:rPr>
            </w:pPr>
          </w:p>
        </w:tc>
        <w:tc>
          <w:tcPr>
            <w:tcW w:w="20" w:type="dxa"/>
            <w:vAlign w:val="bottom"/>
          </w:tcPr>
          <w:p>
            <w:pPr>
              <w:spacing w:after="0"/>
              <w:rPr>
                <w:sz w:val="6"/>
                <w:szCs w:val="6"/>
                <w:color w:val="auto"/>
              </w:rPr>
            </w:pPr>
          </w:p>
        </w:tc>
      </w:tr>
      <w:tr>
        <w:trPr>
          <w:trHeight w:val="256"/>
        </w:trPr>
        <w:tc>
          <w:tcPr>
            <w:tcW w:w="2620" w:type="dxa"/>
            <w:vAlign w:val="bottom"/>
          </w:tcPr>
          <w:p>
            <w:pPr>
              <w:ind w:left="60"/>
              <w:spacing w:after="0"/>
              <w:rPr>
                <w:sz w:val="20"/>
                <w:szCs w:val="20"/>
                <w:color w:val="auto"/>
              </w:rPr>
            </w:pPr>
            <w:r>
              <w:rPr>
                <w:rFonts w:ascii="Arial" w:cs="Arial" w:eastAsia="Arial" w:hAnsi="Arial"/>
                <w:sz w:val="14"/>
                <w:szCs w:val="14"/>
                <w:color w:val="auto"/>
              </w:rPr>
              <w:t>55</w:t>
            </w:r>
          </w:p>
        </w:tc>
        <w:tc>
          <w:tcPr>
            <w:tcW w:w="1760" w:type="dxa"/>
            <w:vAlign w:val="bottom"/>
          </w:tcPr>
          <w:p>
            <w:pPr>
              <w:jc w:val="right"/>
              <w:ind w:right="209"/>
              <w:spacing w:after="0"/>
              <w:rPr>
                <w:sz w:val="20"/>
                <w:szCs w:val="20"/>
                <w:color w:val="auto"/>
              </w:rPr>
            </w:pPr>
            <w:r>
              <w:rPr>
                <w:rFonts w:ascii="Arial" w:cs="Arial" w:eastAsia="Arial" w:hAnsi="Arial"/>
                <w:sz w:val="14"/>
                <w:szCs w:val="14"/>
                <w:color w:val="auto"/>
              </w:rPr>
              <w:t>66.50%</w:t>
            </w:r>
          </w:p>
        </w:tc>
        <w:tc>
          <w:tcPr>
            <w:tcW w:w="620" w:type="dxa"/>
            <w:vAlign w:val="bottom"/>
          </w:tcPr>
          <w:p>
            <w:pPr>
              <w:jc w:val="right"/>
              <w:ind w:right="69"/>
              <w:spacing w:after="0"/>
              <w:rPr>
                <w:sz w:val="20"/>
                <w:szCs w:val="20"/>
                <w:color w:val="auto"/>
              </w:rPr>
            </w:pPr>
            <w:r>
              <w:rPr>
                <w:rFonts w:ascii="Arial" w:cs="Arial" w:eastAsia="Arial" w:hAnsi="Arial"/>
                <w:sz w:val="14"/>
                <w:szCs w:val="14"/>
                <w:color w:val="auto"/>
                <w:w w:val="96"/>
              </w:rPr>
              <w:t>68.00%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69.50%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71.00%</w:t>
            </w:r>
          </w:p>
        </w:tc>
        <w:tc>
          <w:tcPr>
            <w:tcW w:w="760" w:type="dxa"/>
            <w:vAlign w:val="bottom"/>
          </w:tcPr>
          <w:p>
            <w:pPr>
              <w:jc w:val="right"/>
              <w:ind w:right="71"/>
              <w:spacing w:after="0"/>
              <w:rPr>
                <w:sz w:val="20"/>
                <w:szCs w:val="20"/>
                <w:color w:val="auto"/>
              </w:rPr>
            </w:pPr>
            <w:r>
              <w:rPr>
                <w:rFonts w:ascii="Arial" w:cs="Arial" w:eastAsia="Arial" w:hAnsi="Arial"/>
                <w:sz w:val="14"/>
                <w:szCs w:val="14"/>
                <w:color w:val="auto"/>
              </w:rPr>
              <w:t>72.50%</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74.00%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75.50%</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77.00%</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78.50%</w:t>
            </w:r>
          </w:p>
        </w:tc>
        <w:tc>
          <w:tcPr>
            <w:tcW w:w="660" w:type="dxa"/>
            <w:vAlign w:val="bottom"/>
          </w:tcPr>
          <w:p>
            <w:pPr>
              <w:jc w:val="right"/>
              <w:spacing w:after="0"/>
              <w:rPr>
                <w:sz w:val="20"/>
                <w:szCs w:val="20"/>
                <w:color w:val="auto"/>
              </w:rPr>
            </w:pPr>
            <w:r>
              <w:rPr>
                <w:rFonts w:ascii="Arial" w:cs="Arial" w:eastAsia="Arial" w:hAnsi="Arial"/>
                <w:sz w:val="14"/>
                <w:szCs w:val="14"/>
                <w:color w:val="auto"/>
              </w:rPr>
              <w:t>80.00%</w:t>
            </w:r>
          </w:p>
        </w:tc>
        <w:tc>
          <w:tcPr>
            <w:tcW w:w="20" w:type="dxa"/>
            <w:vAlign w:val="bottom"/>
          </w:tcPr>
          <w:p>
            <w:pPr>
              <w:spacing w:after="0"/>
              <w:rPr>
                <w:sz w:val="22"/>
                <w:szCs w:val="22"/>
                <w:color w:val="auto"/>
              </w:rPr>
            </w:pPr>
          </w:p>
        </w:tc>
      </w:tr>
      <w:tr>
        <w:trPr>
          <w:trHeight w:val="412"/>
        </w:trPr>
        <w:tc>
          <w:tcPr>
            <w:tcW w:w="4380" w:type="dxa"/>
            <w:vAlign w:val="bottom"/>
            <w:gridSpan w:val="2"/>
          </w:tcPr>
          <w:p>
            <w:pPr>
              <w:ind w:left="20"/>
              <w:spacing w:after="0"/>
              <w:rPr>
                <w:sz w:val="20"/>
                <w:szCs w:val="20"/>
                <w:color w:val="auto"/>
              </w:rPr>
            </w:pPr>
            <w:r>
              <w:rPr>
                <w:rFonts w:ascii="Arial" w:cs="Arial" w:eastAsia="Arial" w:hAnsi="Arial"/>
                <w:sz w:val="14"/>
                <w:szCs w:val="14"/>
                <w:color w:val="auto"/>
              </w:rPr>
              <w:t>None of the NEOs are eligible for subsidized early retirement benefits.</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4"/>
        </w:trPr>
        <w:tc>
          <w:tcPr>
            <w:tcW w:w="2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40" w:type="dxa"/>
            <w:vAlign w:val="bottom"/>
            <w:gridSpan w:val="7"/>
          </w:tcPr>
          <w:p>
            <w:pPr>
              <w:ind w:left="160"/>
              <w:spacing w:after="0"/>
              <w:rPr>
                <w:sz w:val="20"/>
                <w:szCs w:val="20"/>
                <w:color w:val="auto"/>
              </w:rPr>
            </w:pPr>
            <w:r>
              <w:rPr>
                <w:rFonts w:ascii="Arial" w:cs="Arial" w:eastAsia="Arial" w:hAnsi="Arial"/>
                <w:sz w:val="11"/>
                <w:szCs w:val="11"/>
                <w:b w:val="1"/>
                <w:bCs w:val="1"/>
                <w:color w:val="6D98AD"/>
                <w:w w:val="98"/>
              </w:rPr>
              <w:t xml:space="preserve">EXECUTIVE COMPENSATION TABLES </w:t>
            </w:r>
            <w:r>
              <w:rPr>
                <w:rFonts w:ascii="Arial" w:cs="Arial" w:eastAsia="Arial" w:hAnsi="Arial"/>
                <w:sz w:val="11"/>
                <w:szCs w:val="11"/>
                <w:color w:val="000000"/>
                <w:w w:val="98"/>
              </w:rPr>
              <w:t>/ PVH CORP. 2026 PROXY STATEMENT /</w:t>
            </w:r>
            <w:r>
              <w:rPr>
                <w:rFonts w:ascii="Arial" w:cs="Arial" w:eastAsia="Arial" w:hAnsi="Arial"/>
                <w:sz w:val="11"/>
                <w:szCs w:val="11"/>
                <w:b w:val="1"/>
                <w:bCs w:val="1"/>
                <w:color w:val="6D98AD"/>
                <w:w w:val="98"/>
              </w:rPr>
              <w:t xml:space="preserve"> </w:t>
            </w:r>
            <w:r>
              <w:rPr>
                <w:rFonts w:ascii="Arial" w:cs="Arial" w:eastAsia="Arial" w:hAnsi="Arial"/>
                <w:sz w:val="11"/>
                <w:szCs w:val="11"/>
                <w:b w:val="1"/>
                <w:bCs w:val="1"/>
                <w:color w:val="000000"/>
                <w:w w:val="98"/>
              </w:rPr>
              <w:t>73</w:t>
            </w:r>
          </w:p>
        </w:tc>
      </w:tr>
      <w:tr>
        <w:trPr>
          <w:trHeight w:val="313"/>
        </w:trPr>
        <w:tc>
          <w:tcPr>
            <w:tcW w:w="26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960"/>
          </w:cols>
          <w:pgMar w:left="460" w:top="127" w:right="479" w:bottom="1440" w:gutter="0" w:footer="0" w:header="0"/>
        </w:sectPr>
      </w:pPr>
    </w:p>
    <w:bookmarkStart w:id="76" w:name="page77"/>
    <w:bookmarkEnd w:id="76"/>
    <w:p>
      <w:pPr>
        <w:spacing w:after="0"/>
        <w:rPr>
          <w:sz w:val="20"/>
          <w:szCs w:val="20"/>
          <w:color w:val="auto"/>
        </w:rPr>
      </w:pPr>
      <w:r>
        <w:rPr>
          <w:rFonts w:ascii="Arial" w:cs="Arial" w:eastAsia="Arial" w:hAnsi="Arial"/>
          <w:sz w:val="14"/>
          <w:szCs w:val="14"/>
          <w:color w:val="auto"/>
        </w:rPr>
        <w:t>Benefits are payable on one of the bases described below.</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Life-only annuity</w:t>
      </w:r>
    </w:p>
    <w:p>
      <w:pPr>
        <w:spacing w:after="0" w:line="39"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A participant who is not married or married less than 12 months when payments begin and who does not elect an optional payment method will receive the full amount of the benefit in equal monthly installments for life. Payments begin on the first of the month following the retirement date. After death, no additional payments are made.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50% joint &amp; survivor annuity</w:t>
      </w:r>
    </w:p>
    <w:p>
      <w:pPr>
        <w:spacing w:after="0" w:line="39"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A participant who is married for at least 12 months when payments begin will receive the benefit as a 50% Joint &amp; Survivor Annuity absent an election by the participant (and spousal consent) for an optional payment form. Under this option, a participant will receive a reduced monthly benefit for life. Thereafter, the participant’s spouse receives a benefit equal to 50% of the monthly benefit the participant was receiving. If the spouse dies before the participant but after the participant begins receiving payments, the participant will continue to receive the same benefit amount for life and no additional payments are made after death. The participant’s age at the date benefits commence, the beneficiary’s age, and the percentage elected to continue after death affect the amount of the benefit received during the participant’s lifetime.</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100% (or 75% or 66</w:t>
      </w:r>
      <w:r>
        <w:rPr>
          <w:rFonts w:ascii="Arial" w:cs="Arial" w:eastAsia="Arial" w:hAnsi="Arial"/>
          <w:sz w:val="16"/>
          <w:szCs w:val="16"/>
          <w:b w:val="1"/>
          <w:bCs w:val="1"/>
          <w:color w:val="auto"/>
          <w:vertAlign w:val="superscript"/>
        </w:rPr>
        <w:t>2</w:t>
      </w:r>
      <w:r>
        <w:rPr>
          <w:rFonts w:ascii="Arial" w:cs="Arial" w:eastAsia="Arial" w:hAnsi="Arial"/>
          <w:sz w:val="14"/>
          <w:szCs w:val="14"/>
          <w:b w:val="1"/>
          <w:bCs w:val="1"/>
          <w:color w:val="auto"/>
        </w:rPr>
        <w:t>/</w:t>
      </w:r>
      <w:r>
        <w:rPr>
          <w:rFonts w:ascii="Arial" w:cs="Arial" w:eastAsia="Arial" w:hAnsi="Arial"/>
          <w:sz w:val="16"/>
          <w:szCs w:val="16"/>
          <w:b w:val="1"/>
          <w:bCs w:val="1"/>
          <w:color w:val="auto"/>
          <w:vertAlign w:val="subscript"/>
        </w:rPr>
        <w:t>3</w:t>
      </w:r>
      <w:r>
        <w:rPr>
          <w:rFonts w:ascii="Arial" w:cs="Arial" w:eastAsia="Arial" w:hAnsi="Arial"/>
          <w:sz w:val="14"/>
          <w:szCs w:val="14"/>
          <w:b w:val="1"/>
          <w:bCs w:val="1"/>
          <w:color w:val="auto"/>
        </w:rPr>
        <w:t>%) joint &amp; survivor annuity</w:t>
      </w:r>
    </w:p>
    <w:p>
      <w:pPr>
        <w:spacing w:after="0" w:line="57" w:lineRule="exact"/>
        <w:rPr>
          <w:sz w:val="20"/>
          <w:szCs w:val="20"/>
          <w:color w:val="auto"/>
        </w:rPr>
      </w:pPr>
    </w:p>
    <w:p>
      <w:pPr>
        <w:ind w:right="240"/>
        <w:spacing w:after="0" w:line="246" w:lineRule="auto"/>
        <w:rPr>
          <w:sz w:val="20"/>
          <w:szCs w:val="20"/>
          <w:color w:val="auto"/>
        </w:rPr>
      </w:pPr>
      <w:r>
        <w:rPr>
          <w:rFonts w:ascii="Arial" w:cs="Arial" w:eastAsia="Arial" w:hAnsi="Arial"/>
          <w:sz w:val="14"/>
          <w:szCs w:val="14"/>
          <w:color w:val="auto"/>
        </w:rPr>
        <w:t>A participant will receive a reduced lifetime benefit under this option. The participant names a beneficiary and chooses the percentage of the benefit to continue to that individual after the participant’s death. After death, the beneficiary receives the percentage of benefit elected (100%, 75% or 66</w:t>
      </w:r>
      <w:r>
        <w:rPr>
          <w:rFonts w:ascii="Arial" w:cs="Arial" w:eastAsia="Arial" w:hAnsi="Arial"/>
          <w:sz w:val="16"/>
          <w:szCs w:val="16"/>
          <w:color w:val="auto"/>
          <w:vertAlign w:val="superscript"/>
        </w:rPr>
        <w:t>2</w:t>
      </w:r>
      <w:r>
        <w:rPr>
          <w:rFonts w:ascii="Arial" w:cs="Arial" w:eastAsia="Arial" w:hAnsi="Arial"/>
          <w:sz w:val="14"/>
          <w:szCs w:val="14"/>
          <w:color w:val="auto"/>
        </w:rPr>
        <w:t>/</w:t>
      </w:r>
      <w:r>
        <w:rPr>
          <w:rFonts w:ascii="Arial" w:cs="Arial" w:eastAsia="Arial" w:hAnsi="Arial"/>
          <w:sz w:val="16"/>
          <w:szCs w:val="16"/>
          <w:color w:val="auto"/>
          <w:vertAlign w:val="subscript"/>
        </w:rPr>
        <w:t>3</w:t>
      </w:r>
      <w:r>
        <w:rPr>
          <w:rFonts w:ascii="Arial" w:cs="Arial" w:eastAsia="Arial" w:hAnsi="Arial"/>
          <w:sz w:val="14"/>
          <w:szCs w:val="14"/>
          <w:color w:val="auto"/>
        </w:rPr>
        <w:t>%) for life. If the spouse dies before the participant but after the participant begins receiving payments, the participant will continue to receive the same benefit amount for life and no additional payments are made after death. The participant’s age at the date benefits commence, the beneficiary’s age, and the percentage elected to continue after death affect the amount of the benefit received during the participant’s lifetime.</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Life &amp; period certain annuity</w:t>
      </w:r>
    </w:p>
    <w:p>
      <w:pPr>
        <w:spacing w:after="0" w:line="39"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A participant will receive a reduced lifetime benefit in equal monthly installments with payments guaranteed for at least the period of time elected (between one and 15 years) under this option. Payments continue for the rest of the participant’s life even if he or she lives longer than the period of time elected. However, if the participant receives less than the guaranteed number of payments before death, the same monthly benefit continues to the beneficiary until the combined total equals the guaranteed number of installment payments to be made.</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Full refund annuity</w:t>
      </w:r>
    </w:p>
    <w:p>
      <w:pPr>
        <w:spacing w:after="0" w:line="39" w:lineRule="exact"/>
        <w:rPr>
          <w:sz w:val="20"/>
          <w:szCs w:val="20"/>
          <w:color w:val="auto"/>
        </w:rPr>
      </w:pPr>
    </w:p>
    <w:p>
      <w:pPr>
        <w:jc w:val="both"/>
        <w:ind w:right="260"/>
        <w:spacing w:after="0" w:line="264" w:lineRule="auto"/>
        <w:rPr>
          <w:sz w:val="20"/>
          <w:szCs w:val="20"/>
          <w:color w:val="auto"/>
        </w:rPr>
      </w:pPr>
      <w:r>
        <w:rPr>
          <w:rFonts w:ascii="Arial" w:cs="Arial" w:eastAsia="Arial" w:hAnsi="Arial"/>
          <w:sz w:val="14"/>
          <w:szCs w:val="14"/>
          <w:color w:val="auto"/>
        </w:rPr>
        <w:t>A participant will receive a reduced benefit for life, payable in equal monthly installments, under this option. If the participant dies before receiving the full guaranteed single lump sum value of his or her benefit, determined at the date of retirement, the balance will be paid to the participant’s beneficiary in a single lump sum payment. In addition, payments will continue to be paid for the rest of the participant’s life, even if the guaranteed lump sum value is exceeded.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Social Security equalization</w:t>
      </w:r>
    </w:p>
    <w:p>
      <w:pPr>
        <w:spacing w:after="0" w:line="39" w:lineRule="exact"/>
        <w:rPr>
          <w:sz w:val="20"/>
          <w:szCs w:val="20"/>
          <w:color w:val="auto"/>
        </w:rPr>
      </w:pPr>
    </w:p>
    <w:p>
      <w:pPr>
        <w:jc w:val="both"/>
        <w:ind w:right="300"/>
        <w:spacing w:after="0" w:line="264" w:lineRule="auto"/>
        <w:rPr>
          <w:sz w:val="20"/>
          <w:szCs w:val="20"/>
          <w:color w:val="auto"/>
        </w:rPr>
      </w:pPr>
      <w:r>
        <w:rPr>
          <w:rFonts w:ascii="Arial" w:cs="Arial" w:eastAsia="Arial" w:hAnsi="Arial"/>
          <w:sz w:val="14"/>
          <w:szCs w:val="14"/>
          <w:color w:val="auto"/>
        </w:rPr>
        <w:t>This option allows a participant who retires early to receive an increased monthly payment from the Pension Plan until the participant is eligible for Social Security benefits. After Social Security benefits begin, the monthly payment from the Pension Plan is reduced. This option does not provide any survivor benefits and, therefore, no benefit is payable after death.</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Lump sum payments</w:t>
      </w:r>
    </w:p>
    <w:p>
      <w:pPr>
        <w:spacing w:after="0" w:line="39"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A participant may elect to receive their retirement benefit in a single lump sum calculated to be the actuarial equivalent value of the life-only annuity they would receive at age 65 or a deferred retirement date. If qualified for early retirement, the lump sum will be equal to the actuarial equivalent value of the life-only annuity, determined after application of the Early Retirement Factors described above, or the lump sum value of the age-65 pension, if greater.</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6D98AD"/>
        </w:rPr>
        <w:t>Supplemental Pension Plan</w:t>
      </w:r>
    </w:p>
    <w:p>
      <w:pPr>
        <w:spacing w:after="0" w:line="49"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Our Supplemental Pension Plan is a non-qualified defined benefit plan. Certain U.S.-based management and highly paid associates hired on or before December 31, 2021, who are participants in the Pension Plan, including Mr. Larsson and Ms. Stone, are eligible for benefits under our Supplemental Pension Plan. The Supplemental Pension Plan is closed to associates hired or rehired after December 31, 2021, including Messrs. Coughlin and Savman and Ms. Serrano. In 2023 the Board approved changes to the Plan to freeze additional future service benefits after June 30, 2024, and after June 30, 2026, for eligible “Transition Participants” who may continue to accrue benefits until that date. None of the NEOs are Transition Participants.</w:t>
      </w:r>
    </w:p>
    <w:p>
      <w:pPr>
        <w:spacing w:after="0" w:line="87" w:lineRule="exact"/>
        <w:rPr>
          <w:sz w:val="20"/>
          <w:szCs w:val="20"/>
          <w:color w:val="auto"/>
        </w:rPr>
      </w:pPr>
    </w:p>
    <w:p>
      <w:pPr>
        <w:ind w:right="180"/>
        <w:spacing w:after="0" w:line="264" w:lineRule="auto"/>
        <w:rPr>
          <w:sz w:val="20"/>
          <w:szCs w:val="20"/>
          <w:color w:val="auto"/>
        </w:rPr>
      </w:pPr>
      <w:r>
        <w:rPr>
          <w:rFonts w:ascii="Arial" w:cs="Arial" w:eastAsia="Arial" w:hAnsi="Arial"/>
          <w:sz w:val="14"/>
          <w:szCs w:val="14"/>
          <w:color w:val="auto"/>
        </w:rPr>
        <w:t>The Supplemental Pension Plan was created to provide deferred compensation to highly compensated individuals in an effort to promote continuity of management and increase incentive and personal interest in the welfare of the company on the part of those who are primarily responsible for shaping and executing our long-range plans and securing our continued growth and financial success.</w:t>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74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695515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127" w:right="479" w:bottom="1440" w:gutter="0" w:footer="0" w:header="0"/>
        </w:sectPr>
      </w:pPr>
    </w:p>
    <w:bookmarkStart w:id="77" w:name="page78"/>
    <w:bookmarkEnd w:id="77"/>
    <w:p>
      <w:pPr>
        <w:ind w:left="20" w:right="100"/>
        <w:spacing w:after="0" w:line="282" w:lineRule="auto"/>
        <w:rPr>
          <w:sz w:val="20"/>
          <w:szCs w:val="20"/>
          <w:color w:val="auto"/>
        </w:rPr>
      </w:pPr>
      <w:r>
        <w:rPr>
          <w:rFonts w:ascii="Arial" w:cs="Arial" w:eastAsia="Arial" w:hAnsi="Arial"/>
          <w:sz w:val="14"/>
          <w:szCs w:val="14"/>
          <w:color w:val="auto"/>
        </w:rPr>
        <w:t>Our Supplemental Pension Plan was designed to work in conjunction with our Pension Plan. The pension benefit outlined in our Pension Plan is calculated as if there were no compensation limits under the Code. The maximum benefit allowable is paid out under the Pension Plan and the balance is paid out under the Supplemental Pension Plan.</w:t>
      </w:r>
    </w:p>
    <w:p>
      <w:pPr>
        <w:spacing w:after="0" w:line="57" w:lineRule="exact"/>
        <w:rPr>
          <w:sz w:val="20"/>
          <w:szCs w:val="20"/>
          <w:color w:val="auto"/>
        </w:rPr>
      </w:pPr>
    </w:p>
    <w:p>
      <w:pPr>
        <w:ind w:left="20" w:right="140"/>
        <w:spacing w:after="0" w:line="258" w:lineRule="auto"/>
        <w:rPr>
          <w:sz w:val="20"/>
          <w:szCs w:val="20"/>
          <w:color w:val="auto"/>
        </w:rPr>
      </w:pPr>
      <w:r>
        <w:rPr>
          <w:rFonts w:ascii="Arial" w:cs="Arial" w:eastAsia="Arial" w:hAnsi="Arial"/>
          <w:sz w:val="14"/>
          <w:szCs w:val="14"/>
          <w:color w:val="auto"/>
        </w:rPr>
        <w:t>A participant in our Supplemental Pension Plan will not have any vested interest in such portion of any benefit that accrues on or after January 1, 2007, unless the sum of the participant’s attained age and credited vesting years equals or exceeds 65 and, while employed by us, the participant has reached age 50 and has completed at least ten credited vesting years. Mr. Larsson will become vested in the Plan in 2029 and Ms. Stone in 2028 if they remain employed by us. Five credited vesting years are required for any benefit that accrued prior to January 1, 2007. Neither Mr. Larsson nor Ms. Stone earned a benefit prior to January 1, 2007.</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 part of the enrollment process, a participant elected benefits to be paid following termination in one of the following four ways:</w:t>
      </w:r>
    </w:p>
    <w:p>
      <w:pPr>
        <w:spacing w:after="0" w:line="110" w:lineRule="exact"/>
        <w:rPr>
          <w:sz w:val="20"/>
          <w:szCs w:val="20"/>
          <w:color w:val="auto"/>
        </w:rPr>
      </w:pPr>
    </w:p>
    <w:p>
      <w:pPr>
        <w:ind w:left="160" w:hanging="149"/>
        <w:spacing w:after="0"/>
        <w:tabs>
          <w:tab w:leader="none" w:pos="16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in a lump sum within 60 days of termination of employment;</w:t>
      </w:r>
    </w:p>
    <w:p>
      <w:pPr>
        <w:spacing w:after="0" w:line="51" w:lineRule="exact"/>
        <w:rPr>
          <w:rFonts w:ascii="Arial" w:cs="Arial" w:eastAsia="Arial" w:hAnsi="Arial"/>
          <w:sz w:val="14"/>
          <w:szCs w:val="14"/>
          <w:color w:val="auto"/>
        </w:rPr>
      </w:pPr>
    </w:p>
    <w:p>
      <w:pPr>
        <w:ind w:left="160" w:hanging="149"/>
        <w:spacing w:after="0"/>
        <w:tabs>
          <w:tab w:leader="none" w:pos="16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in a lump sum deferred until January 1 of the year following termination of employment;</w:t>
      </w:r>
    </w:p>
    <w:p>
      <w:pPr>
        <w:spacing w:after="0" w:line="51" w:lineRule="exact"/>
        <w:rPr>
          <w:rFonts w:ascii="Arial" w:cs="Arial" w:eastAsia="Arial" w:hAnsi="Arial"/>
          <w:sz w:val="14"/>
          <w:szCs w:val="14"/>
          <w:color w:val="auto"/>
        </w:rPr>
      </w:pPr>
    </w:p>
    <w:p>
      <w:pPr>
        <w:ind w:left="160" w:hanging="149"/>
        <w:spacing w:after="0"/>
        <w:tabs>
          <w:tab w:leader="none" w:pos="16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in five equal annual installments commencing in January of the year following termination of employment; or</w:t>
      </w:r>
    </w:p>
    <w:p>
      <w:pPr>
        <w:spacing w:after="0" w:line="51" w:lineRule="exact"/>
        <w:rPr>
          <w:rFonts w:ascii="Arial" w:cs="Arial" w:eastAsia="Arial" w:hAnsi="Arial"/>
          <w:sz w:val="14"/>
          <w:szCs w:val="14"/>
          <w:color w:val="auto"/>
        </w:rPr>
      </w:pPr>
    </w:p>
    <w:p>
      <w:pPr>
        <w:ind w:left="160" w:hanging="149"/>
        <w:spacing w:after="0"/>
        <w:tabs>
          <w:tab w:leader="none" w:pos="16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in ten equal annual installments commencing in January of the year following termination of employment (applicable for benefit accruals beginning January 1, 2019).</w:t>
      </w:r>
    </w:p>
    <w:p>
      <w:pPr>
        <w:spacing w:after="0" w:line="51" w:lineRule="exact"/>
        <w:rPr>
          <w:sz w:val="20"/>
          <w:szCs w:val="20"/>
          <w:color w:val="auto"/>
        </w:rPr>
      </w:pPr>
    </w:p>
    <w:p>
      <w:pPr>
        <w:jc w:val="both"/>
        <w:ind w:left="20" w:right="80"/>
        <w:spacing w:after="0" w:line="264" w:lineRule="auto"/>
        <w:rPr>
          <w:sz w:val="20"/>
          <w:szCs w:val="20"/>
          <w:color w:val="auto"/>
        </w:rPr>
      </w:pPr>
      <w:r>
        <w:rPr>
          <w:rFonts w:ascii="Arial" w:cs="Arial" w:eastAsia="Arial" w:hAnsi="Arial"/>
          <w:sz w:val="14"/>
          <w:szCs w:val="14"/>
          <w:color w:val="auto"/>
        </w:rPr>
        <w:t>If no election is made, the participant’s election will default to a lump sum payment within 60 days. Participants may change their benefit payment elections any time up to one year before the then-scheduled distribution date. In addition, for benefits that accrue on or after January 1, 2005, the new election must extend the commencement date of the benefit payment by at least five years from the then-scheduled distribution date.</w:t>
      </w:r>
    </w:p>
    <w:p>
      <w:pPr>
        <w:spacing w:after="0" w:line="69" w:lineRule="exact"/>
        <w:rPr>
          <w:sz w:val="20"/>
          <w:szCs w:val="20"/>
          <w:color w:val="auto"/>
        </w:rPr>
      </w:pPr>
    </w:p>
    <w:p>
      <w:pPr>
        <w:ind w:left="20" w:right="100"/>
        <w:spacing w:after="0" w:line="255" w:lineRule="auto"/>
        <w:rPr>
          <w:sz w:val="20"/>
          <w:szCs w:val="20"/>
          <w:color w:val="auto"/>
        </w:rPr>
      </w:pPr>
      <w:r>
        <w:rPr>
          <w:rFonts w:ascii="Arial" w:cs="Arial" w:eastAsia="Arial" w:hAnsi="Arial"/>
          <w:sz w:val="14"/>
          <w:szCs w:val="14"/>
          <w:color w:val="auto"/>
        </w:rPr>
        <w:t>Benefits under our Supplemental Pension Plan are unsecured and generally are payable from our general assets. Payments will be delayed if and to the extent that payment within six months of the termination of employment would result in the imposition of additional taxes on the participant pursuant to Section 409A of the Code. Payments delayed pursuant to Section 409A will accrue interest during the deferral period at a rate per annum equal to the 10-year Treasury bill rate in effect on the first business day of the plan year in which the deferral begins, and, if the deferral period extends beyond the close of the plan year, the interest rate for the remainder of the deferral period will equal the 10-year Treasury bill rate on the first business day of the following plan year.</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6D98AD"/>
        </w:rPr>
        <w:t>Non-Qualified Deferred Compensation</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Our sole non-qualified defined contribution deferred compensation plan is our Supplemental Savings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500" w:type="dxa"/>
            <w:vAlign w:val="bottom"/>
            <w:shd w:val="clear" w:color="auto" w:fill="99B7C6"/>
          </w:tcPr>
          <w:p>
            <w:pPr>
              <w:spacing w:after="0"/>
              <w:rPr>
                <w:sz w:val="13"/>
                <w:szCs w:val="13"/>
                <w:color w:val="auto"/>
              </w:rPr>
            </w:pPr>
          </w:p>
        </w:tc>
        <w:tc>
          <w:tcPr>
            <w:tcW w:w="2280" w:type="dxa"/>
            <w:vAlign w:val="bottom"/>
            <w:shd w:val="clear" w:color="auto" w:fill="99B7C6"/>
          </w:tcPr>
          <w:p>
            <w:pPr>
              <w:jc w:val="right"/>
              <w:ind w:right="417"/>
              <w:spacing w:after="0"/>
              <w:rPr>
                <w:sz w:val="20"/>
                <w:szCs w:val="20"/>
                <w:color w:val="auto"/>
              </w:rPr>
            </w:pPr>
            <w:r>
              <w:rPr>
                <w:rFonts w:ascii="Arial" w:cs="Arial" w:eastAsia="Arial" w:hAnsi="Arial"/>
                <w:sz w:val="11"/>
                <w:szCs w:val="11"/>
                <w:b w:val="1"/>
                <w:bCs w:val="1"/>
                <w:color w:val="FFFFFF"/>
              </w:rPr>
              <w:t>Executive</w:t>
            </w:r>
          </w:p>
        </w:tc>
        <w:tc>
          <w:tcPr>
            <w:tcW w:w="1720" w:type="dxa"/>
            <w:vAlign w:val="bottom"/>
            <w:shd w:val="clear" w:color="auto" w:fill="99B7C6"/>
          </w:tcPr>
          <w:p>
            <w:pPr>
              <w:jc w:val="right"/>
              <w:ind w:right="497"/>
              <w:spacing w:after="0"/>
              <w:rPr>
                <w:sz w:val="20"/>
                <w:szCs w:val="20"/>
                <w:color w:val="auto"/>
              </w:rPr>
            </w:pPr>
            <w:r>
              <w:rPr>
                <w:rFonts w:ascii="Arial" w:cs="Arial" w:eastAsia="Arial" w:hAnsi="Arial"/>
                <w:sz w:val="11"/>
                <w:szCs w:val="11"/>
                <w:b w:val="1"/>
                <w:bCs w:val="1"/>
                <w:color w:val="FFFFFF"/>
              </w:rPr>
              <w:t>Registrant</w:t>
            </w:r>
          </w:p>
        </w:tc>
        <w:tc>
          <w:tcPr>
            <w:tcW w:w="1600" w:type="dxa"/>
            <w:vAlign w:val="bottom"/>
            <w:shd w:val="clear" w:color="auto" w:fill="99B7C6"/>
          </w:tcPr>
          <w:p>
            <w:pPr>
              <w:jc w:val="right"/>
              <w:ind w:right="457"/>
              <w:spacing w:after="0"/>
              <w:rPr>
                <w:sz w:val="20"/>
                <w:szCs w:val="20"/>
                <w:color w:val="auto"/>
              </w:rPr>
            </w:pPr>
            <w:r>
              <w:rPr>
                <w:rFonts w:ascii="Arial" w:cs="Arial" w:eastAsia="Arial" w:hAnsi="Arial"/>
                <w:sz w:val="11"/>
                <w:szCs w:val="11"/>
                <w:b w:val="1"/>
                <w:bCs w:val="1"/>
                <w:color w:val="FFFFFF"/>
              </w:rPr>
              <w:t>Aggregate</w:t>
            </w:r>
          </w:p>
        </w:tc>
        <w:tc>
          <w:tcPr>
            <w:tcW w:w="1640" w:type="dxa"/>
            <w:vAlign w:val="bottom"/>
            <w:shd w:val="clear" w:color="auto" w:fill="99B7C6"/>
          </w:tcPr>
          <w:p>
            <w:pPr>
              <w:spacing w:after="0"/>
              <w:rPr>
                <w:sz w:val="13"/>
                <w:szCs w:val="13"/>
                <w:color w:val="auto"/>
              </w:rPr>
            </w:pPr>
          </w:p>
        </w:tc>
        <w:tc>
          <w:tcPr>
            <w:tcW w:w="1200" w:type="dxa"/>
            <w:vAlign w:val="bottom"/>
            <w:shd w:val="clear" w:color="auto" w:fill="99B7C6"/>
          </w:tcPr>
          <w:p>
            <w:pPr>
              <w:jc w:val="right"/>
              <w:ind w:right="37"/>
              <w:spacing w:after="0"/>
              <w:rPr>
                <w:sz w:val="20"/>
                <w:szCs w:val="20"/>
                <w:color w:val="auto"/>
              </w:rPr>
            </w:pPr>
            <w:r>
              <w:rPr>
                <w:rFonts w:ascii="Arial" w:cs="Arial" w:eastAsia="Arial" w:hAnsi="Arial"/>
                <w:sz w:val="11"/>
                <w:szCs w:val="11"/>
                <w:b w:val="1"/>
                <w:bCs w:val="1"/>
                <w:color w:val="FFFFFF"/>
              </w:rPr>
              <w:t>Aggregate</w:t>
            </w:r>
          </w:p>
        </w:tc>
        <w:tc>
          <w:tcPr>
            <w:tcW w:w="0" w:type="dxa"/>
            <w:vAlign w:val="bottom"/>
          </w:tcPr>
          <w:p>
            <w:pPr>
              <w:spacing w:after="0"/>
              <w:rPr>
                <w:sz w:val="1"/>
                <w:szCs w:val="1"/>
                <w:color w:val="auto"/>
              </w:rPr>
            </w:pPr>
          </w:p>
        </w:tc>
      </w:tr>
      <w:tr>
        <w:trPr>
          <w:trHeight w:val="121"/>
        </w:trPr>
        <w:tc>
          <w:tcPr>
            <w:tcW w:w="2500" w:type="dxa"/>
            <w:vAlign w:val="bottom"/>
            <w:shd w:val="clear" w:color="auto" w:fill="99B7C6"/>
          </w:tcPr>
          <w:p>
            <w:pPr>
              <w:spacing w:after="0"/>
              <w:rPr>
                <w:sz w:val="10"/>
                <w:szCs w:val="10"/>
                <w:color w:val="auto"/>
              </w:rPr>
            </w:pPr>
          </w:p>
        </w:tc>
        <w:tc>
          <w:tcPr>
            <w:tcW w:w="2280" w:type="dxa"/>
            <w:vAlign w:val="bottom"/>
            <w:shd w:val="clear" w:color="auto" w:fill="99B7C6"/>
          </w:tcPr>
          <w:p>
            <w:pPr>
              <w:jc w:val="right"/>
              <w:ind w:right="417"/>
              <w:spacing w:after="0" w:line="122" w:lineRule="exact"/>
              <w:rPr>
                <w:sz w:val="20"/>
                <w:szCs w:val="20"/>
                <w:color w:val="auto"/>
              </w:rPr>
            </w:pPr>
            <w:r>
              <w:rPr>
                <w:rFonts w:ascii="Arial" w:cs="Arial" w:eastAsia="Arial" w:hAnsi="Arial"/>
                <w:sz w:val="11"/>
                <w:szCs w:val="11"/>
                <w:b w:val="1"/>
                <w:bCs w:val="1"/>
                <w:color w:val="FFFFFF"/>
              </w:rPr>
              <w:t>Contributions</w:t>
            </w:r>
          </w:p>
        </w:tc>
        <w:tc>
          <w:tcPr>
            <w:tcW w:w="1720" w:type="dxa"/>
            <w:vAlign w:val="bottom"/>
            <w:shd w:val="clear" w:color="auto" w:fill="99B7C6"/>
          </w:tcPr>
          <w:p>
            <w:pPr>
              <w:jc w:val="right"/>
              <w:ind w:right="497"/>
              <w:spacing w:after="0" w:line="122" w:lineRule="exact"/>
              <w:rPr>
                <w:sz w:val="20"/>
                <w:szCs w:val="20"/>
                <w:color w:val="auto"/>
              </w:rPr>
            </w:pPr>
            <w:r>
              <w:rPr>
                <w:rFonts w:ascii="Arial" w:cs="Arial" w:eastAsia="Arial" w:hAnsi="Arial"/>
                <w:sz w:val="11"/>
                <w:szCs w:val="11"/>
                <w:b w:val="1"/>
                <w:bCs w:val="1"/>
                <w:color w:val="FFFFFF"/>
              </w:rPr>
              <w:t>Contributions</w:t>
            </w:r>
          </w:p>
        </w:tc>
        <w:tc>
          <w:tcPr>
            <w:tcW w:w="1600" w:type="dxa"/>
            <w:vAlign w:val="bottom"/>
            <w:shd w:val="clear" w:color="auto" w:fill="99B7C6"/>
          </w:tcPr>
          <w:p>
            <w:pPr>
              <w:jc w:val="right"/>
              <w:ind w:right="457"/>
              <w:spacing w:after="0" w:line="122" w:lineRule="exact"/>
              <w:rPr>
                <w:sz w:val="20"/>
                <w:szCs w:val="20"/>
                <w:color w:val="auto"/>
              </w:rPr>
            </w:pPr>
            <w:r>
              <w:rPr>
                <w:rFonts w:ascii="Arial" w:cs="Arial" w:eastAsia="Arial" w:hAnsi="Arial"/>
                <w:sz w:val="11"/>
                <w:szCs w:val="11"/>
                <w:b w:val="1"/>
                <w:bCs w:val="1"/>
                <w:color w:val="FFFFFF"/>
              </w:rPr>
              <w:t>Earnings</w:t>
            </w:r>
          </w:p>
        </w:tc>
        <w:tc>
          <w:tcPr>
            <w:tcW w:w="1640" w:type="dxa"/>
            <w:vAlign w:val="bottom"/>
            <w:shd w:val="clear" w:color="auto" w:fill="99B7C6"/>
          </w:tcPr>
          <w:p>
            <w:pPr>
              <w:jc w:val="right"/>
              <w:ind w:right="436"/>
              <w:spacing w:after="0" w:line="122" w:lineRule="exact"/>
              <w:rPr>
                <w:sz w:val="20"/>
                <w:szCs w:val="20"/>
                <w:color w:val="auto"/>
              </w:rPr>
            </w:pPr>
            <w:r>
              <w:rPr>
                <w:rFonts w:ascii="Arial" w:cs="Arial" w:eastAsia="Arial" w:hAnsi="Arial"/>
                <w:sz w:val="11"/>
                <w:szCs w:val="11"/>
                <w:b w:val="1"/>
                <w:bCs w:val="1"/>
                <w:color w:val="FFFFFF"/>
              </w:rPr>
              <w:t>Aggregate</w:t>
            </w:r>
          </w:p>
        </w:tc>
        <w:tc>
          <w:tcPr>
            <w:tcW w:w="1200" w:type="dxa"/>
            <w:vAlign w:val="bottom"/>
            <w:shd w:val="clear" w:color="auto" w:fill="99B7C6"/>
          </w:tcPr>
          <w:p>
            <w:pPr>
              <w:jc w:val="right"/>
              <w:ind w:right="37"/>
              <w:spacing w:after="0" w:line="122" w:lineRule="exact"/>
              <w:rPr>
                <w:sz w:val="20"/>
                <w:szCs w:val="20"/>
                <w:color w:val="auto"/>
              </w:rPr>
            </w:pPr>
            <w:r>
              <w:rPr>
                <w:rFonts w:ascii="Arial" w:cs="Arial" w:eastAsia="Arial" w:hAnsi="Arial"/>
                <w:sz w:val="11"/>
                <w:szCs w:val="11"/>
                <w:b w:val="1"/>
                <w:bCs w:val="1"/>
                <w:color w:val="FFFFFF"/>
              </w:rPr>
              <w:t>Balance</w:t>
            </w:r>
          </w:p>
        </w:tc>
        <w:tc>
          <w:tcPr>
            <w:tcW w:w="0" w:type="dxa"/>
            <w:vAlign w:val="bottom"/>
          </w:tcPr>
          <w:p>
            <w:pPr>
              <w:spacing w:after="0"/>
              <w:rPr>
                <w:sz w:val="1"/>
                <w:szCs w:val="1"/>
                <w:color w:val="auto"/>
              </w:rPr>
            </w:pPr>
          </w:p>
        </w:tc>
      </w:tr>
      <w:tr>
        <w:trPr>
          <w:trHeight w:val="125"/>
        </w:trPr>
        <w:tc>
          <w:tcPr>
            <w:tcW w:w="2500" w:type="dxa"/>
            <w:vAlign w:val="bottom"/>
            <w:shd w:val="clear" w:color="auto" w:fill="99B7C6"/>
          </w:tcPr>
          <w:p>
            <w:pPr>
              <w:spacing w:after="0"/>
              <w:rPr>
                <w:sz w:val="10"/>
                <w:szCs w:val="10"/>
                <w:color w:val="auto"/>
              </w:rPr>
            </w:pPr>
          </w:p>
        </w:tc>
        <w:tc>
          <w:tcPr>
            <w:tcW w:w="2280" w:type="dxa"/>
            <w:vAlign w:val="bottom"/>
            <w:shd w:val="clear" w:color="auto" w:fill="99B7C6"/>
          </w:tcPr>
          <w:p>
            <w:pPr>
              <w:jc w:val="right"/>
              <w:ind w:right="417"/>
              <w:spacing w:after="0" w:line="125" w:lineRule="exact"/>
              <w:rPr>
                <w:sz w:val="20"/>
                <w:szCs w:val="20"/>
                <w:color w:val="auto"/>
              </w:rPr>
            </w:pPr>
            <w:r>
              <w:rPr>
                <w:rFonts w:ascii="Arial" w:cs="Arial" w:eastAsia="Arial" w:hAnsi="Arial"/>
                <w:sz w:val="11"/>
                <w:szCs w:val="11"/>
                <w:b w:val="1"/>
                <w:bCs w:val="1"/>
                <w:color w:val="FFFFFF"/>
              </w:rPr>
              <w:t>in Last</w:t>
            </w:r>
          </w:p>
        </w:tc>
        <w:tc>
          <w:tcPr>
            <w:tcW w:w="1720" w:type="dxa"/>
            <w:vAlign w:val="bottom"/>
            <w:shd w:val="clear" w:color="auto" w:fill="99B7C6"/>
          </w:tcPr>
          <w:p>
            <w:pPr>
              <w:jc w:val="right"/>
              <w:ind w:right="497"/>
              <w:spacing w:after="0" w:line="125" w:lineRule="exact"/>
              <w:rPr>
                <w:sz w:val="20"/>
                <w:szCs w:val="20"/>
                <w:color w:val="auto"/>
              </w:rPr>
            </w:pPr>
            <w:r>
              <w:rPr>
                <w:rFonts w:ascii="Arial" w:cs="Arial" w:eastAsia="Arial" w:hAnsi="Arial"/>
                <w:sz w:val="11"/>
                <w:szCs w:val="11"/>
                <w:b w:val="1"/>
                <w:bCs w:val="1"/>
                <w:color w:val="FFFFFF"/>
              </w:rPr>
              <w:t>in Last</w:t>
            </w:r>
          </w:p>
        </w:tc>
        <w:tc>
          <w:tcPr>
            <w:tcW w:w="1600" w:type="dxa"/>
            <w:vAlign w:val="bottom"/>
            <w:shd w:val="clear" w:color="auto" w:fill="99B7C6"/>
          </w:tcPr>
          <w:p>
            <w:pPr>
              <w:jc w:val="right"/>
              <w:ind w:right="457"/>
              <w:spacing w:after="0" w:line="125" w:lineRule="exact"/>
              <w:rPr>
                <w:sz w:val="20"/>
                <w:szCs w:val="20"/>
                <w:color w:val="auto"/>
              </w:rPr>
            </w:pPr>
            <w:r>
              <w:rPr>
                <w:rFonts w:ascii="Arial" w:cs="Arial" w:eastAsia="Arial" w:hAnsi="Arial"/>
                <w:sz w:val="11"/>
                <w:szCs w:val="11"/>
                <w:b w:val="1"/>
                <w:bCs w:val="1"/>
                <w:color w:val="FFFFFF"/>
              </w:rPr>
              <w:t>in Last</w:t>
            </w:r>
          </w:p>
        </w:tc>
        <w:tc>
          <w:tcPr>
            <w:tcW w:w="1640" w:type="dxa"/>
            <w:vAlign w:val="bottom"/>
            <w:shd w:val="clear" w:color="auto" w:fill="99B7C6"/>
          </w:tcPr>
          <w:p>
            <w:pPr>
              <w:jc w:val="right"/>
              <w:ind w:right="436"/>
              <w:spacing w:after="0" w:line="125" w:lineRule="exact"/>
              <w:rPr>
                <w:sz w:val="20"/>
                <w:szCs w:val="20"/>
                <w:color w:val="auto"/>
              </w:rPr>
            </w:pPr>
            <w:r>
              <w:rPr>
                <w:rFonts w:ascii="Arial" w:cs="Arial" w:eastAsia="Arial" w:hAnsi="Arial"/>
                <w:sz w:val="11"/>
                <w:szCs w:val="11"/>
                <w:b w:val="1"/>
                <w:bCs w:val="1"/>
                <w:color w:val="FFFFFF"/>
              </w:rPr>
              <w:t>Withdrawals/</w:t>
            </w:r>
          </w:p>
        </w:tc>
        <w:tc>
          <w:tcPr>
            <w:tcW w:w="1200" w:type="dxa"/>
            <w:vAlign w:val="bottom"/>
            <w:shd w:val="clear" w:color="auto" w:fill="99B7C6"/>
          </w:tcPr>
          <w:p>
            <w:pPr>
              <w:jc w:val="right"/>
              <w:ind w:right="37"/>
              <w:spacing w:after="0" w:line="125" w:lineRule="exact"/>
              <w:rPr>
                <w:sz w:val="20"/>
                <w:szCs w:val="20"/>
                <w:color w:val="auto"/>
              </w:rPr>
            </w:pPr>
            <w:r>
              <w:rPr>
                <w:rFonts w:ascii="Arial" w:cs="Arial" w:eastAsia="Arial" w:hAnsi="Arial"/>
                <w:sz w:val="11"/>
                <w:szCs w:val="11"/>
                <w:b w:val="1"/>
                <w:bCs w:val="1"/>
                <w:color w:val="FFFFFF"/>
              </w:rPr>
              <w:t>at Last</w:t>
            </w:r>
          </w:p>
        </w:tc>
        <w:tc>
          <w:tcPr>
            <w:tcW w:w="0" w:type="dxa"/>
            <w:vAlign w:val="bottom"/>
          </w:tcPr>
          <w:p>
            <w:pPr>
              <w:spacing w:after="0"/>
              <w:rPr>
                <w:sz w:val="1"/>
                <w:szCs w:val="1"/>
                <w:color w:val="auto"/>
              </w:rPr>
            </w:pPr>
          </w:p>
        </w:tc>
      </w:tr>
      <w:tr>
        <w:trPr>
          <w:trHeight w:val="119"/>
        </w:trPr>
        <w:tc>
          <w:tcPr>
            <w:tcW w:w="2500" w:type="dxa"/>
            <w:vAlign w:val="bottom"/>
            <w:vMerge w:val="restart"/>
            <w:shd w:val="clear" w:color="auto" w:fill="99B7C6"/>
          </w:tcPr>
          <w:p>
            <w:pPr>
              <w:ind w:left="60"/>
              <w:spacing w:after="0"/>
              <w:rPr>
                <w:sz w:val="20"/>
                <w:szCs w:val="20"/>
                <w:color w:val="auto"/>
              </w:rPr>
            </w:pPr>
            <w:r>
              <w:rPr>
                <w:rFonts w:ascii="Arial" w:cs="Arial" w:eastAsia="Arial" w:hAnsi="Arial"/>
                <w:sz w:val="11"/>
                <w:szCs w:val="11"/>
                <w:b w:val="1"/>
                <w:bCs w:val="1"/>
                <w:color w:val="FFFFFF"/>
              </w:rPr>
              <w:t>Name</w:t>
            </w:r>
          </w:p>
        </w:tc>
        <w:tc>
          <w:tcPr>
            <w:tcW w:w="2280" w:type="dxa"/>
            <w:vAlign w:val="bottom"/>
            <w:shd w:val="clear" w:color="auto" w:fill="99B7C6"/>
          </w:tcPr>
          <w:p>
            <w:pPr>
              <w:jc w:val="right"/>
              <w:ind w:right="417"/>
              <w:spacing w:after="0" w:line="120" w:lineRule="exact"/>
              <w:rPr>
                <w:sz w:val="20"/>
                <w:szCs w:val="20"/>
                <w:color w:val="auto"/>
              </w:rPr>
            </w:pPr>
            <w:r>
              <w:rPr>
                <w:rFonts w:ascii="Arial" w:cs="Arial" w:eastAsia="Arial" w:hAnsi="Arial"/>
                <w:sz w:val="11"/>
                <w:szCs w:val="11"/>
                <w:b w:val="1"/>
                <w:bCs w:val="1"/>
                <w:color w:val="FFFFFF"/>
              </w:rPr>
              <w:t>Fiscal Year</w:t>
            </w:r>
            <w:r>
              <w:rPr>
                <w:rFonts w:ascii="Arial" w:cs="Arial" w:eastAsia="Arial" w:hAnsi="Arial"/>
                <w:sz w:val="12"/>
                <w:szCs w:val="12"/>
                <w:color w:val="FFFFFF"/>
                <w:vertAlign w:val="superscript"/>
              </w:rPr>
              <w:t>1</w:t>
            </w:r>
          </w:p>
        </w:tc>
        <w:tc>
          <w:tcPr>
            <w:tcW w:w="1720" w:type="dxa"/>
            <w:vAlign w:val="bottom"/>
            <w:shd w:val="clear" w:color="auto" w:fill="99B7C6"/>
          </w:tcPr>
          <w:p>
            <w:pPr>
              <w:jc w:val="right"/>
              <w:ind w:right="457"/>
              <w:spacing w:after="0" w:line="120" w:lineRule="exact"/>
              <w:rPr>
                <w:sz w:val="20"/>
                <w:szCs w:val="20"/>
                <w:color w:val="auto"/>
              </w:rPr>
            </w:pPr>
            <w:r>
              <w:rPr>
                <w:rFonts w:ascii="Arial" w:cs="Arial" w:eastAsia="Arial" w:hAnsi="Arial"/>
                <w:sz w:val="11"/>
                <w:szCs w:val="11"/>
                <w:b w:val="1"/>
                <w:bCs w:val="1"/>
                <w:color w:val="FFFFFF"/>
              </w:rPr>
              <w:t>Fiscal Year</w:t>
            </w:r>
            <w:r>
              <w:rPr>
                <w:rFonts w:ascii="Arial" w:cs="Arial" w:eastAsia="Arial" w:hAnsi="Arial"/>
                <w:sz w:val="12"/>
                <w:szCs w:val="12"/>
                <w:color w:val="FFFFFF"/>
                <w:vertAlign w:val="superscript"/>
              </w:rPr>
              <w:t>1</w:t>
            </w:r>
          </w:p>
        </w:tc>
        <w:tc>
          <w:tcPr>
            <w:tcW w:w="1600" w:type="dxa"/>
            <w:vAlign w:val="bottom"/>
            <w:shd w:val="clear" w:color="auto" w:fill="99B7C6"/>
          </w:tcPr>
          <w:p>
            <w:pPr>
              <w:jc w:val="right"/>
              <w:ind w:right="417"/>
              <w:spacing w:after="0" w:line="120" w:lineRule="exact"/>
              <w:rPr>
                <w:sz w:val="20"/>
                <w:szCs w:val="20"/>
                <w:color w:val="auto"/>
              </w:rPr>
            </w:pPr>
            <w:r>
              <w:rPr>
                <w:rFonts w:ascii="Arial" w:cs="Arial" w:eastAsia="Arial" w:hAnsi="Arial"/>
                <w:sz w:val="11"/>
                <w:szCs w:val="11"/>
                <w:b w:val="1"/>
                <w:bCs w:val="1"/>
                <w:color w:val="FFFFFF"/>
              </w:rPr>
              <w:t>Fiscal Year</w:t>
            </w:r>
            <w:r>
              <w:rPr>
                <w:rFonts w:ascii="Arial" w:cs="Arial" w:eastAsia="Arial" w:hAnsi="Arial"/>
                <w:sz w:val="12"/>
                <w:szCs w:val="12"/>
                <w:color w:val="FFFFFF"/>
                <w:vertAlign w:val="superscript"/>
              </w:rPr>
              <w:t>2</w:t>
            </w:r>
          </w:p>
        </w:tc>
        <w:tc>
          <w:tcPr>
            <w:tcW w:w="1640" w:type="dxa"/>
            <w:vAlign w:val="bottom"/>
            <w:shd w:val="clear" w:color="auto" w:fill="99B7C6"/>
          </w:tcPr>
          <w:p>
            <w:pPr>
              <w:jc w:val="right"/>
              <w:ind w:right="436"/>
              <w:spacing w:after="0" w:line="120" w:lineRule="exact"/>
              <w:rPr>
                <w:sz w:val="20"/>
                <w:szCs w:val="20"/>
                <w:color w:val="auto"/>
              </w:rPr>
            </w:pPr>
            <w:r>
              <w:rPr>
                <w:rFonts w:ascii="Arial" w:cs="Arial" w:eastAsia="Arial" w:hAnsi="Arial"/>
                <w:sz w:val="11"/>
                <w:szCs w:val="11"/>
                <w:b w:val="1"/>
                <w:bCs w:val="1"/>
                <w:color w:val="FFFFFF"/>
              </w:rPr>
              <w:t>Distributions</w:t>
            </w:r>
          </w:p>
        </w:tc>
        <w:tc>
          <w:tcPr>
            <w:tcW w:w="1200" w:type="dxa"/>
            <w:vAlign w:val="bottom"/>
            <w:shd w:val="clear" w:color="auto" w:fill="99B7C6"/>
          </w:tcPr>
          <w:p>
            <w:pPr>
              <w:jc w:val="right"/>
              <w:ind w:right="37"/>
              <w:spacing w:after="0" w:line="120" w:lineRule="exact"/>
              <w:rPr>
                <w:sz w:val="20"/>
                <w:szCs w:val="20"/>
                <w:color w:val="auto"/>
              </w:rPr>
            </w:pPr>
            <w:r>
              <w:rPr>
                <w:rFonts w:ascii="Arial" w:cs="Arial" w:eastAsia="Arial" w:hAnsi="Arial"/>
                <w:sz w:val="11"/>
                <w:szCs w:val="11"/>
                <w:b w:val="1"/>
                <w:bCs w:val="1"/>
                <w:color w:val="FFFFFF"/>
              </w:rPr>
              <w:t>Fiscal Year</w:t>
            </w:r>
            <w:r>
              <w:rPr>
                <w:rFonts w:ascii="Arial" w:cs="Arial" w:eastAsia="Arial" w:hAnsi="Arial"/>
                <w:sz w:val="12"/>
                <w:szCs w:val="12"/>
                <w:color w:val="FFFFFF"/>
                <w:vertAlign w:val="superscript"/>
              </w:rPr>
              <w:t>3</w:t>
            </w:r>
          </w:p>
        </w:tc>
        <w:tc>
          <w:tcPr>
            <w:tcW w:w="0" w:type="dxa"/>
            <w:vAlign w:val="bottom"/>
          </w:tcPr>
          <w:p>
            <w:pPr>
              <w:spacing w:after="0"/>
              <w:rPr>
                <w:sz w:val="1"/>
                <w:szCs w:val="1"/>
                <w:color w:val="auto"/>
              </w:rPr>
            </w:pPr>
          </w:p>
        </w:tc>
      </w:tr>
      <w:tr>
        <w:trPr>
          <w:trHeight w:val="168"/>
        </w:trPr>
        <w:tc>
          <w:tcPr>
            <w:tcW w:w="2500" w:type="dxa"/>
            <w:vAlign w:val="bottom"/>
            <w:vMerge w:val="continue"/>
            <w:shd w:val="clear" w:color="auto" w:fill="99B7C6"/>
          </w:tcPr>
          <w:p>
            <w:pPr>
              <w:spacing w:after="0"/>
              <w:rPr>
                <w:sz w:val="14"/>
                <w:szCs w:val="14"/>
                <w:color w:val="auto"/>
              </w:rPr>
            </w:pPr>
          </w:p>
        </w:tc>
        <w:tc>
          <w:tcPr>
            <w:tcW w:w="2280" w:type="dxa"/>
            <w:vAlign w:val="bottom"/>
            <w:shd w:val="clear" w:color="auto" w:fill="99B7C6"/>
          </w:tcPr>
          <w:p>
            <w:pPr>
              <w:jc w:val="right"/>
              <w:ind w:right="397"/>
              <w:spacing w:after="0"/>
              <w:rPr>
                <w:sz w:val="20"/>
                <w:szCs w:val="20"/>
                <w:color w:val="auto"/>
              </w:rPr>
            </w:pPr>
            <w:r>
              <w:rPr>
                <w:rFonts w:ascii="Arial" w:cs="Arial" w:eastAsia="Arial" w:hAnsi="Arial"/>
                <w:sz w:val="11"/>
                <w:szCs w:val="11"/>
                <w:b w:val="1"/>
                <w:bCs w:val="1"/>
                <w:color w:val="FFFFFF"/>
              </w:rPr>
              <w:t>($)</w:t>
            </w:r>
          </w:p>
        </w:tc>
        <w:tc>
          <w:tcPr>
            <w:tcW w:w="1720" w:type="dxa"/>
            <w:vAlign w:val="bottom"/>
            <w:shd w:val="clear" w:color="auto" w:fill="99B7C6"/>
          </w:tcPr>
          <w:p>
            <w:pPr>
              <w:jc w:val="right"/>
              <w:ind w:right="457"/>
              <w:spacing w:after="0"/>
              <w:rPr>
                <w:sz w:val="20"/>
                <w:szCs w:val="20"/>
                <w:color w:val="auto"/>
              </w:rPr>
            </w:pPr>
            <w:r>
              <w:rPr>
                <w:rFonts w:ascii="Arial" w:cs="Arial" w:eastAsia="Arial" w:hAnsi="Arial"/>
                <w:sz w:val="11"/>
                <w:szCs w:val="11"/>
                <w:b w:val="1"/>
                <w:bCs w:val="1"/>
                <w:color w:val="FFFFFF"/>
              </w:rPr>
              <w:t>($)</w:t>
            </w:r>
          </w:p>
        </w:tc>
        <w:tc>
          <w:tcPr>
            <w:tcW w:w="1600" w:type="dxa"/>
            <w:vAlign w:val="bottom"/>
            <w:shd w:val="clear" w:color="auto" w:fill="99B7C6"/>
          </w:tcPr>
          <w:p>
            <w:pPr>
              <w:jc w:val="right"/>
              <w:ind w:right="417"/>
              <w:spacing w:after="0"/>
              <w:rPr>
                <w:sz w:val="20"/>
                <w:szCs w:val="20"/>
                <w:color w:val="auto"/>
              </w:rPr>
            </w:pPr>
            <w:r>
              <w:rPr>
                <w:rFonts w:ascii="Arial" w:cs="Arial" w:eastAsia="Arial" w:hAnsi="Arial"/>
                <w:sz w:val="11"/>
                <w:szCs w:val="11"/>
                <w:b w:val="1"/>
                <w:bCs w:val="1"/>
                <w:color w:val="FFFFFF"/>
              </w:rPr>
              <w:t>($)</w:t>
            </w:r>
          </w:p>
        </w:tc>
        <w:tc>
          <w:tcPr>
            <w:tcW w:w="1640" w:type="dxa"/>
            <w:vAlign w:val="bottom"/>
            <w:shd w:val="clear" w:color="auto" w:fill="99B7C6"/>
          </w:tcPr>
          <w:p>
            <w:pPr>
              <w:jc w:val="right"/>
              <w:ind w:right="416"/>
              <w:spacing w:after="0"/>
              <w:rPr>
                <w:sz w:val="20"/>
                <w:szCs w:val="20"/>
                <w:color w:val="auto"/>
              </w:rPr>
            </w:pPr>
            <w:r>
              <w:rPr>
                <w:rFonts w:ascii="Arial" w:cs="Arial" w:eastAsia="Arial" w:hAnsi="Arial"/>
                <w:sz w:val="11"/>
                <w:szCs w:val="11"/>
                <w:b w:val="1"/>
                <w:bCs w:val="1"/>
                <w:color w:val="FFFFFF"/>
              </w:rPr>
              <w:t>($)</w:t>
            </w:r>
          </w:p>
        </w:tc>
        <w:tc>
          <w:tcPr>
            <w:tcW w:w="1200" w:type="dxa"/>
            <w:vAlign w:val="bottom"/>
            <w:shd w:val="clear" w:color="auto" w:fill="99B7C6"/>
          </w:tcPr>
          <w:p>
            <w:pPr>
              <w:jc w:val="right"/>
              <w:ind w:right="37"/>
              <w:spacing w:after="0"/>
              <w:rPr>
                <w:sz w:val="20"/>
                <w:szCs w:val="20"/>
                <w:color w:val="auto"/>
              </w:rPr>
            </w:pPr>
            <w:r>
              <w:rPr>
                <w:rFonts w:ascii="Arial" w:cs="Arial" w:eastAsia="Arial" w:hAnsi="Arial"/>
                <w:sz w:val="11"/>
                <w:szCs w:val="11"/>
                <w:b w:val="1"/>
                <w:bCs w:val="1"/>
                <w:color w:val="FFFFFF"/>
              </w:rPr>
              <w:t>($)</w:t>
            </w:r>
          </w:p>
        </w:tc>
        <w:tc>
          <w:tcPr>
            <w:tcW w:w="0" w:type="dxa"/>
            <w:vAlign w:val="bottom"/>
          </w:tcPr>
          <w:p>
            <w:pPr>
              <w:spacing w:after="0"/>
              <w:rPr>
                <w:sz w:val="1"/>
                <w:szCs w:val="1"/>
                <w:color w:val="auto"/>
              </w:rPr>
            </w:pPr>
          </w:p>
        </w:tc>
      </w:tr>
      <w:tr>
        <w:trPr>
          <w:trHeight w:val="264"/>
        </w:trPr>
        <w:tc>
          <w:tcPr>
            <w:tcW w:w="25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Stefan Larsson</w:t>
            </w:r>
          </w:p>
        </w:tc>
        <w:tc>
          <w:tcPr>
            <w:tcW w:w="2280" w:type="dxa"/>
            <w:vAlign w:val="bottom"/>
            <w:shd w:val="clear" w:color="auto" w:fill="E9F0F3"/>
          </w:tcPr>
          <w:p>
            <w:pPr>
              <w:jc w:val="right"/>
              <w:ind w:right="397"/>
              <w:spacing w:after="0"/>
              <w:rPr>
                <w:sz w:val="20"/>
                <w:szCs w:val="20"/>
                <w:color w:val="auto"/>
              </w:rPr>
            </w:pPr>
            <w:r>
              <w:rPr>
                <w:rFonts w:ascii="Arial" w:cs="Arial" w:eastAsia="Arial" w:hAnsi="Arial"/>
                <w:sz w:val="14"/>
                <w:szCs w:val="14"/>
                <w:color w:val="auto"/>
              </w:rPr>
              <w:t>242,152</w:t>
            </w:r>
          </w:p>
        </w:tc>
        <w:tc>
          <w:tcPr>
            <w:tcW w:w="1720" w:type="dxa"/>
            <w:vAlign w:val="bottom"/>
            <w:shd w:val="clear" w:color="auto" w:fill="E9F0F3"/>
          </w:tcPr>
          <w:p>
            <w:pPr>
              <w:jc w:val="right"/>
              <w:ind w:right="457"/>
              <w:spacing w:after="0"/>
              <w:rPr>
                <w:sz w:val="20"/>
                <w:szCs w:val="20"/>
                <w:color w:val="auto"/>
              </w:rPr>
            </w:pPr>
            <w:r>
              <w:rPr>
                <w:rFonts w:ascii="Arial" w:cs="Arial" w:eastAsia="Arial" w:hAnsi="Arial"/>
                <w:sz w:val="14"/>
                <w:szCs w:val="14"/>
                <w:color w:val="auto"/>
              </w:rPr>
              <w:t>273,626</w:t>
            </w:r>
          </w:p>
        </w:tc>
        <w:tc>
          <w:tcPr>
            <w:tcW w:w="1600" w:type="dxa"/>
            <w:vAlign w:val="bottom"/>
            <w:shd w:val="clear" w:color="auto" w:fill="E9F0F3"/>
          </w:tcPr>
          <w:p>
            <w:pPr>
              <w:jc w:val="right"/>
              <w:ind w:right="417"/>
              <w:spacing w:after="0"/>
              <w:rPr>
                <w:sz w:val="20"/>
                <w:szCs w:val="20"/>
                <w:color w:val="auto"/>
              </w:rPr>
            </w:pPr>
            <w:r>
              <w:rPr>
                <w:rFonts w:ascii="Arial" w:cs="Arial" w:eastAsia="Arial" w:hAnsi="Arial"/>
                <w:sz w:val="14"/>
                <w:szCs w:val="14"/>
                <w:color w:val="auto"/>
              </w:rPr>
              <w:t>391,366</w:t>
            </w:r>
          </w:p>
        </w:tc>
        <w:tc>
          <w:tcPr>
            <w:tcW w:w="1640" w:type="dxa"/>
            <w:vAlign w:val="bottom"/>
            <w:shd w:val="clear" w:color="auto" w:fill="E9F0F3"/>
          </w:tcPr>
          <w:p>
            <w:pPr>
              <w:jc w:val="right"/>
              <w:ind w:right="416"/>
              <w:spacing w:after="0"/>
              <w:rPr>
                <w:sz w:val="20"/>
                <w:szCs w:val="20"/>
                <w:color w:val="auto"/>
              </w:rPr>
            </w:pPr>
            <w:r>
              <w:rPr>
                <w:rFonts w:ascii="Arial" w:cs="Arial" w:eastAsia="Arial" w:hAnsi="Arial"/>
                <w:sz w:val="14"/>
                <w:szCs w:val="14"/>
                <w:color w:val="auto"/>
              </w:rPr>
              <w:t>0</w:t>
            </w:r>
          </w:p>
        </w:tc>
        <w:tc>
          <w:tcPr>
            <w:tcW w:w="1200" w:type="dxa"/>
            <w:vAlign w:val="bottom"/>
            <w:shd w:val="clear" w:color="auto" w:fill="E9F0F3"/>
          </w:tcPr>
          <w:p>
            <w:pPr>
              <w:jc w:val="right"/>
              <w:ind w:right="37"/>
              <w:spacing w:after="0"/>
              <w:rPr>
                <w:sz w:val="20"/>
                <w:szCs w:val="20"/>
                <w:color w:val="auto"/>
              </w:rPr>
            </w:pPr>
            <w:r>
              <w:rPr>
                <w:rFonts w:ascii="Arial" w:cs="Arial" w:eastAsia="Arial" w:hAnsi="Arial"/>
                <w:sz w:val="14"/>
                <w:szCs w:val="14"/>
                <w:color w:val="auto"/>
              </w:rPr>
              <w:t>2,520,489</w:t>
            </w:r>
          </w:p>
        </w:tc>
        <w:tc>
          <w:tcPr>
            <w:tcW w:w="0" w:type="dxa"/>
            <w:vAlign w:val="bottom"/>
          </w:tcPr>
          <w:p>
            <w:pPr>
              <w:spacing w:after="0"/>
              <w:rPr>
                <w:sz w:val="1"/>
                <w:szCs w:val="1"/>
                <w:color w:val="auto"/>
              </w:rPr>
            </w:pPr>
          </w:p>
        </w:tc>
      </w:tr>
      <w:tr>
        <w:trPr>
          <w:trHeight w:val="66"/>
        </w:trPr>
        <w:tc>
          <w:tcPr>
            <w:tcW w:w="2500" w:type="dxa"/>
            <w:vAlign w:val="bottom"/>
            <w:shd w:val="clear" w:color="auto" w:fill="E9F0F3"/>
          </w:tcPr>
          <w:p>
            <w:pPr>
              <w:spacing w:after="0"/>
              <w:rPr>
                <w:sz w:val="5"/>
                <w:szCs w:val="5"/>
                <w:color w:val="auto"/>
              </w:rPr>
            </w:pPr>
          </w:p>
        </w:tc>
        <w:tc>
          <w:tcPr>
            <w:tcW w:w="2280" w:type="dxa"/>
            <w:vAlign w:val="bottom"/>
            <w:shd w:val="clear" w:color="auto" w:fill="E9F0F3"/>
          </w:tcPr>
          <w:p>
            <w:pPr>
              <w:spacing w:after="0"/>
              <w:rPr>
                <w:sz w:val="5"/>
                <w:szCs w:val="5"/>
                <w:color w:val="auto"/>
              </w:rPr>
            </w:pPr>
          </w:p>
        </w:tc>
        <w:tc>
          <w:tcPr>
            <w:tcW w:w="1720" w:type="dxa"/>
            <w:vAlign w:val="bottom"/>
            <w:shd w:val="clear" w:color="auto" w:fill="E9F0F3"/>
          </w:tcPr>
          <w:p>
            <w:pPr>
              <w:spacing w:after="0"/>
              <w:rPr>
                <w:sz w:val="5"/>
                <w:szCs w:val="5"/>
                <w:color w:val="auto"/>
              </w:rPr>
            </w:pPr>
          </w:p>
        </w:tc>
        <w:tc>
          <w:tcPr>
            <w:tcW w:w="1600" w:type="dxa"/>
            <w:vAlign w:val="bottom"/>
            <w:shd w:val="clear" w:color="auto" w:fill="E9F0F3"/>
          </w:tcPr>
          <w:p>
            <w:pPr>
              <w:spacing w:after="0"/>
              <w:rPr>
                <w:sz w:val="5"/>
                <w:szCs w:val="5"/>
                <w:color w:val="auto"/>
              </w:rPr>
            </w:pPr>
          </w:p>
        </w:tc>
        <w:tc>
          <w:tcPr>
            <w:tcW w:w="1640" w:type="dxa"/>
            <w:vAlign w:val="bottom"/>
            <w:shd w:val="clear" w:color="auto" w:fill="E9F0F3"/>
          </w:tcPr>
          <w:p>
            <w:pPr>
              <w:spacing w:after="0"/>
              <w:rPr>
                <w:sz w:val="5"/>
                <w:szCs w:val="5"/>
                <w:color w:val="auto"/>
              </w:rPr>
            </w:pPr>
          </w:p>
        </w:tc>
        <w:tc>
          <w:tcPr>
            <w:tcW w:w="120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500" w:type="dxa"/>
            <w:vAlign w:val="bottom"/>
          </w:tcPr>
          <w:p>
            <w:pPr>
              <w:ind w:left="60"/>
              <w:spacing w:after="0"/>
              <w:rPr>
                <w:sz w:val="20"/>
                <w:szCs w:val="20"/>
                <w:color w:val="auto"/>
              </w:rPr>
            </w:pPr>
            <w:r>
              <w:rPr>
                <w:rFonts w:ascii="Arial" w:cs="Arial" w:eastAsia="Arial" w:hAnsi="Arial"/>
                <w:sz w:val="14"/>
                <w:szCs w:val="14"/>
                <w:b w:val="1"/>
                <w:bCs w:val="1"/>
                <w:color w:val="auto"/>
              </w:rPr>
              <w:t>Melissa Stone</w:t>
            </w:r>
          </w:p>
        </w:tc>
        <w:tc>
          <w:tcPr>
            <w:tcW w:w="2280" w:type="dxa"/>
            <w:vAlign w:val="bottom"/>
          </w:tcPr>
          <w:p>
            <w:pPr>
              <w:jc w:val="right"/>
              <w:ind w:right="397"/>
              <w:spacing w:after="0"/>
              <w:rPr>
                <w:sz w:val="20"/>
                <w:szCs w:val="20"/>
                <w:color w:val="auto"/>
              </w:rPr>
            </w:pPr>
            <w:r>
              <w:rPr>
                <w:rFonts w:ascii="Arial" w:cs="Arial" w:eastAsia="Arial" w:hAnsi="Arial"/>
                <w:sz w:val="14"/>
                <w:szCs w:val="14"/>
                <w:color w:val="auto"/>
              </w:rPr>
              <w:t>21,462</w:t>
            </w:r>
          </w:p>
        </w:tc>
        <w:tc>
          <w:tcPr>
            <w:tcW w:w="1720" w:type="dxa"/>
            <w:vAlign w:val="bottom"/>
          </w:tcPr>
          <w:p>
            <w:pPr>
              <w:jc w:val="right"/>
              <w:ind w:right="457"/>
              <w:spacing w:after="0"/>
              <w:rPr>
                <w:sz w:val="20"/>
                <w:szCs w:val="20"/>
                <w:color w:val="auto"/>
              </w:rPr>
            </w:pPr>
            <w:r>
              <w:rPr>
                <w:rFonts w:ascii="Arial" w:cs="Arial" w:eastAsia="Arial" w:hAnsi="Arial"/>
                <w:sz w:val="14"/>
                <w:szCs w:val="14"/>
                <w:color w:val="auto"/>
              </w:rPr>
              <w:t>22,907</w:t>
            </w:r>
          </w:p>
        </w:tc>
        <w:tc>
          <w:tcPr>
            <w:tcW w:w="1600" w:type="dxa"/>
            <w:vAlign w:val="bottom"/>
          </w:tcPr>
          <w:p>
            <w:pPr>
              <w:jc w:val="right"/>
              <w:ind w:right="417"/>
              <w:spacing w:after="0"/>
              <w:rPr>
                <w:sz w:val="20"/>
                <w:szCs w:val="20"/>
                <w:color w:val="auto"/>
              </w:rPr>
            </w:pPr>
            <w:r>
              <w:rPr>
                <w:rFonts w:ascii="Arial" w:cs="Arial" w:eastAsia="Arial" w:hAnsi="Arial"/>
                <w:sz w:val="14"/>
                <w:szCs w:val="14"/>
                <w:color w:val="auto"/>
              </w:rPr>
              <w:t>36,916</w:t>
            </w:r>
          </w:p>
        </w:tc>
        <w:tc>
          <w:tcPr>
            <w:tcW w:w="1640" w:type="dxa"/>
            <w:vAlign w:val="bottom"/>
          </w:tcPr>
          <w:p>
            <w:pPr>
              <w:jc w:val="right"/>
              <w:ind w:right="416"/>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37"/>
              <w:spacing w:after="0"/>
              <w:rPr>
                <w:sz w:val="20"/>
                <w:szCs w:val="20"/>
                <w:color w:val="auto"/>
              </w:rPr>
            </w:pPr>
            <w:r>
              <w:rPr>
                <w:rFonts w:ascii="Arial" w:cs="Arial" w:eastAsia="Arial" w:hAnsi="Arial"/>
                <w:sz w:val="14"/>
                <w:szCs w:val="14"/>
                <w:color w:val="auto"/>
              </w:rPr>
              <w:t>703,313</w:t>
            </w:r>
          </w:p>
        </w:tc>
        <w:tc>
          <w:tcPr>
            <w:tcW w:w="0" w:type="dxa"/>
            <w:vAlign w:val="bottom"/>
          </w:tcPr>
          <w:p>
            <w:pPr>
              <w:spacing w:after="0"/>
              <w:rPr>
                <w:sz w:val="1"/>
                <w:szCs w:val="1"/>
                <w:color w:val="auto"/>
              </w:rPr>
            </w:pPr>
          </w:p>
        </w:tc>
      </w:tr>
      <w:tr>
        <w:trPr>
          <w:trHeight w:val="66"/>
        </w:trPr>
        <w:tc>
          <w:tcPr>
            <w:tcW w:w="250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5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David Savman</w:t>
            </w:r>
          </w:p>
        </w:tc>
        <w:tc>
          <w:tcPr>
            <w:tcW w:w="2280" w:type="dxa"/>
            <w:vAlign w:val="bottom"/>
            <w:shd w:val="clear" w:color="auto" w:fill="E9F0F3"/>
          </w:tcPr>
          <w:p>
            <w:pPr>
              <w:jc w:val="right"/>
              <w:ind w:right="397"/>
              <w:spacing w:after="0"/>
              <w:rPr>
                <w:sz w:val="20"/>
                <w:szCs w:val="20"/>
                <w:color w:val="auto"/>
              </w:rPr>
            </w:pPr>
            <w:r>
              <w:rPr>
                <w:rFonts w:ascii="Arial" w:cs="Arial" w:eastAsia="Arial" w:hAnsi="Arial"/>
                <w:sz w:val="14"/>
                <w:szCs w:val="14"/>
                <w:color w:val="auto"/>
              </w:rPr>
              <w:t>32,635</w:t>
            </w:r>
          </w:p>
        </w:tc>
        <w:tc>
          <w:tcPr>
            <w:tcW w:w="1720" w:type="dxa"/>
            <w:vAlign w:val="bottom"/>
            <w:shd w:val="clear" w:color="auto" w:fill="E9F0F3"/>
          </w:tcPr>
          <w:p>
            <w:pPr>
              <w:jc w:val="right"/>
              <w:ind w:right="457"/>
              <w:spacing w:after="0"/>
              <w:rPr>
                <w:sz w:val="20"/>
                <w:szCs w:val="20"/>
                <w:color w:val="auto"/>
              </w:rPr>
            </w:pPr>
            <w:r>
              <w:rPr>
                <w:rFonts w:ascii="Arial" w:cs="Arial" w:eastAsia="Arial" w:hAnsi="Arial"/>
                <w:sz w:val="14"/>
                <w:szCs w:val="14"/>
                <w:color w:val="auto"/>
              </w:rPr>
              <w:t>58,272</w:t>
            </w:r>
          </w:p>
        </w:tc>
        <w:tc>
          <w:tcPr>
            <w:tcW w:w="1600" w:type="dxa"/>
            <w:vAlign w:val="bottom"/>
            <w:shd w:val="clear" w:color="auto" w:fill="E9F0F3"/>
          </w:tcPr>
          <w:p>
            <w:pPr>
              <w:jc w:val="right"/>
              <w:ind w:right="417"/>
              <w:spacing w:after="0"/>
              <w:rPr>
                <w:sz w:val="20"/>
                <w:szCs w:val="20"/>
                <w:color w:val="auto"/>
              </w:rPr>
            </w:pPr>
            <w:r>
              <w:rPr>
                <w:rFonts w:ascii="Arial" w:cs="Arial" w:eastAsia="Arial" w:hAnsi="Arial"/>
                <w:sz w:val="14"/>
                <w:szCs w:val="14"/>
                <w:color w:val="auto"/>
              </w:rPr>
              <w:t>29,583</w:t>
            </w:r>
          </w:p>
        </w:tc>
        <w:tc>
          <w:tcPr>
            <w:tcW w:w="1640" w:type="dxa"/>
            <w:vAlign w:val="bottom"/>
            <w:shd w:val="clear" w:color="auto" w:fill="E9F0F3"/>
          </w:tcPr>
          <w:p>
            <w:pPr>
              <w:jc w:val="right"/>
              <w:ind w:right="416"/>
              <w:spacing w:after="0"/>
              <w:rPr>
                <w:sz w:val="20"/>
                <w:szCs w:val="20"/>
                <w:color w:val="auto"/>
              </w:rPr>
            </w:pPr>
            <w:r>
              <w:rPr>
                <w:rFonts w:ascii="Arial" w:cs="Arial" w:eastAsia="Arial" w:hAnsi="Arial"/>
                <w:sz w:val="14"/>
                <w:szCs w:val="14"/>
                <w:color w:val="auto"/>
              </w:rPr>
              <w:t>0</w:t>
            </w:r>
          </w:p>
        </w:tc>
        <w:tc>
          <w:tcPr>
            <w:tcW w:w="1200" w:type="dxa"/>
            <w:vAlign w:val="bottom"/>
            <w:shd w:val="clear" w:color="auto" w:fill="E9F0F3"/>
          </w:tcPr>
          <w:p>
            <w:pPr>
              <w:jc w:val="right"/>
              <w:ind w:right="37"/>
              <w:spacing w:after="0"/>
              <w:rPr>
                <w:sz w:val="20"/>
                <w:szCs w:val="20"/>
                <w:color w:val="auto"/>
              </w:rPr>
            </w:pPr>
            <w:r>
              <w:rPr>
                <w:rFonts w:ascii="Arial" w:cs="Arial" w:eastAsia="Arial" w:hAnsi="Arial"/>
                <w:sz w:val="14"/>
                <w:szCs w:val="14"/>
                <w:color w:val="auto"/>
              </w:rPr>
              <w:t>210,028</w:t>
            </w:r>
          </w:p>
        </w:tc>
        <w:tc>
          <w:tcPr>
            <w:tcW w:w="0" w:type="dxa"/>
            <w:vAlign w:val="bottom"/>
          </w:tcPr>
          <w:p>
            <w:pPr>
              <w:spacing w:after="0"/>
              <w:rPr>
                <w:sz w:val="1"/>
                <w:szCs w:val="1"/>
                <w:color w:val="auto"/>
              </w:rPr>
            </w:pPr>
          </w:p>
        </w:tc>
      </w:tr>
      <w:tr>
        <w:trPr>
          <w:trHeight w:val="66"/>
        </w:trPr>
        <w:tc>
          <w:tcPr>
            <w:tcW w:w="2500" w:type="dxa"/>
            <w:vAlign w:val="bottom"/>
            <w:shd w:val="clear" w:color="auto" w:fill="E9F0F3"/>
          </w:tcPr>
          <w:p>
            <w:pPr>
              <w:spacing w:after="0"/>
              <w:rPr>
                <w:sz w:val="5"/>
                <w:szCs w:val="5"/>
                <w:color w:val="auto"/>
              </w:rPr>
            </w:pPr>
          </w:p>
        </w:tc>
        <w:tc>
          <w:tcPr>
            <w:tcW w:w="2280" w:type="dxa"/>
            <w:vAlign w:val="bottom"/>
            <w:shd w:val="clear" w:color="auto" w:fill="E9F0F3"/>
          </w:tcPr>
          <w:p>
            <w:pPr>
              <w:spacing w:after="0"/>
              <w:rPr>
                <w:sz w:val="5"/>
                <w:szCs w:val="5"/>
                <w:color w:val="auto"/>
              </w:rPr>
            </w:pPr>
          </w:p>
        </w:tc>
        <w:tc>
          <w:tcPr>
            <w:tcW w:w="1720" w:type="dxa"/>
            <w:vAlign w:val="bottom"/>
            <w:shd w:val="clear" w:color="auto" w:fill="E9F0F3"/>
          </w:tcPr>
          <w:p>
            <w:pPr>
              <w:spacing w:after="0"/>
              <w:rPr>
                <w:sz w:val="5"/>
                <w:szCs w:val="5"/>
                <w:color w:val="auto"/>
              </w:rPr>
            </w:pPr>
          </w:p>
        </w:tc>
        <w:tc>
          <w:tcPr>
            <w:tcW w:w="1600" w:type="dxa"/>
            <w:vAlign w:val="bottom"/>
            <w:shd w:val="clear" w:color="auto" w:fill="E9F0F3"/>
          </w:tcPr>
          <w:p>
            <w:pPr>
              <w:spacing w:after="0"/>
              <w:rPr>
                <w:sz w:val="5"/>
                <w:szCs w:val="5"/>
                <w:color w:val="auto"/>
              </w:rPr>
            </w:pPr>
          </w:p>
        </w:tc>
        <w:tc>
          <w:tcPr>
            <w:tcW w:w="1640" w:type="dxa"/>
            <w:vAlign w:val="bottom"/>
            <w:shd w:val="clear" w:color="auto" w:fill="E9F0F3"/>
          </w:tcPr>
          <w:p>
            <w:pPr>
              <w:spacing w:after="0"/>
              <w:rPr>
                <w:sz w:val="5"/>
                <w:szCs w:val="5"/>
                <w:color w:val="auto"/>
              </w:rPr>
            </w:pPr>
          </w:p>
        </w:tc>
        <w:tc>
          <w:tcPr>
            <w:tcW w:w="120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500" w:type="dxa"/>
            <w:vAlign w:val="bottom"/>
          </w:tcPr>
          <w:p>
            <w:pPr>
              <w:ind w:left="60"/>
              <w:spacing w:after="0"/>
              <w:rPr>
                <w:sz w:val="20"/>
                <w:szCs w:val="20"/>
                <w:color w:val="auto"/>
              </w:rPr>
            </w:pPr>
            <w:r>
              <w:rPr>
                <w:rFonts w:ascii="Arial" w:cs="Arial" w:eastAsia="Arial" w:hAnsi="Arial"/>
                <w:sz w:val="14"/>
                <w:szCs w:val="14"/>
                <w:b w:val="1"/>
                <w:bCs w:val="1"/>
                <w:color w:val="auto"/>
              </w:rPr>
              <w:t>Zachary J. Coughlin</w:t>
            </w:r>
          </w:p>
        </w:tc>
        <w:tc>
          <w:tcPr>
            <w:tcW w:w="2280" w:type="dxa"/>
            <w:vAlign w:val="bottom"/>
          </w:tcPr>
          <w:p>
            <w:pPr>
              <w:jc w:val="right"/>
              <w:ind w:right="397"/>
              <w:spacing w:after="0"/>
              <w:rPr>
                <w:sz w:val="20"/>
                <w:szCs w:val="20"/>
                <w:color w:val="auto"/>
              </w:rPr>
            </w:pPr>
            <w:r>
              <w:rPr>
                <w:rFonts w:ascii="Arial" w:cs="Arial" w:eastAsia="Arial" w:hAnsi="Arial"/>
                <w:sz w:val="14"/>
                <w:szCs w:val="14"/>
                <w:color w:val="auto"/>
              </w:rPr>
              <w:t>98,611</w:t>
            </w:r>
          </w:p>
        </w:tc>
        <w:tc>
          <w:tcPr>
            <w:tcW w:w="1720" w:type="dxa"/>
            <w:vAlign w:val="bottom"/>
          </w:tcPr>
          <w:p>
            <w:pPr>
              <w:jc w:val="right"/>
              <w:ind w:right="457"/>
              <w:spacing w:after="0"/>
              <w:rPr>
                <w:sz w:val="20"/>
                <w:szCs w:val="20"/>
                <w:color w:val="auto"/>
              </w:rPr>
            </w:pPr>
            <w:r>
              <w:rPr>
                <w:rFonts w:ascii="Arial" w:cs="Arial" w:eastAsia="Arial" w:hAnsi="Arial"/>
                <w:sz w:val="14"/>
                <w:szCs w:val="14"/>
                <w:color w:val="auto"/>
              </w:rPr>
              <w:t>114,777</w:t>
            </w:r>
          </w:p>
        </w:tc>
        <w:tc>
          <w:tcPr>
            <w:tcW w:w="1600" w:type="dxa"/>
            <w:vAlign w:val="bottom"/>
          </w:tcPr>
          <w:p>
            <w:pPr>
              <w:jc w:val="right"/>
              <w:ind w:right="417"/>
              <w:spacing w:after="0"/>
              <w:rPr>
                <w:sz w:val="20"/>
                <w:szCs w:val="20"/>
                <w:color w:val="auto"/>
              </w:rPr>
            </w:pPr>
            <w:r>
              <w:rPr>
                <w:rFonts w:ascii="Arial" w:cs="Arial" w:eastAsia="Arial" w:hAnsi="Arial"/>
                <w:sz w:val="14"/>
                <w:szCs w:val="14"/>
                <w:color w:val="auto"/>
              </w:rPr>
              <w:t>121,979</w:t>
            </w:r>
          </w:p>
        </w:tc>
        <w:tc>
          <w:tcPr>
            <w:tcW w:w="1640" w:type="dxa"/>
            <w:vAlign w:val="bottom"/>
          </w:tcPr>
          <w:p>
            <w:pPr>
              <w:jc w:val="right"/>
              <w:ind w:right="416"/>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37"/>
              <w:spacing w:after="0"/>
              <w:rPr>
                <w:sz w:val="20"/>
                <w:szCs w:val="20"/>
                <w:color w:val="auto"/>
              </w:rPr>
            </w:pPr>
            <w:r>
              <w:rPr>
                <w:rFonts w:ascii="Arial" w:cs="Arial" w:eastAsia="Arial" w:hAnsi="Arial"/>
                <w:sz w:val="14"/>
                <w:szCs w:val="14"/>
                <w:color w:val="auto"/>
              </w:rPr>
              <w:t>759,507</w:t>
            </w:r>
          </w:p>
        </w:tc>
        <w:tc>
          <w:tcPr>
            <w:tcW w:w="0" w:type="dxa"/>
            <w:vAlign w:val="bottom"/>
          </w:tcPr>
          <w:p>
            <w:pPr>
              <w:spacing w:after="0"/>
              <w:rPr>
                <w:sz w:val="1"/>
                <w:szCs w:val="1"/>
                <w:color w:val="auto"/>
              </w:rPr>
            </w:pPr>
          </w:p>
        </w:tc>
      </w:tr>
      <w:tr>
        <w:trPr>
          <w:trHeight w:val="66"/>
        </w:trPr>
        <w:tc>
          <w:tcPr>
            <w:tcW w:w="250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5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Eva Serrano</w:t>
            </w:r>
          </w:p>
        </w:tc>
        <w:tc>
          <w:tcPr>
            <w:tcW w:w="2280" w:type="dxa"/>
            <w:vAlign w:val="bottom"/>
            <w:shd w:val="clear" w:color="auto" w:fill="E9F0F3"/>
          </w:tcPr>
          <w:p>
            <w:pPr>
              <w:jc w:val="right"/>
              <w:ind w:right="397"/>
              <w:spacing w:after="0"/>
              <w:rPr>
                <w:sz w:val="20"/>
                <w:szCs w:val="20"/>
                <w:color w:val="auto"/>
              </w:rPr>
            </w:pPr>
            <w:r>
              <w:rPr>
                <w:rFonts w:ascii="Arial" w:cs="Arial" w:eastAsia="Arial" w:hAnsi="Arial"/>
                <w:sz w:val="14"/>
                <w:szCs w:val="14"/>
                <w:color w:val="auto"/>
              </w:rPr>
              <w:t>0</w:t>
            </w:r>
          </w:p>
        </w:tc>
        <w:tc>
          <w:tcPr>
            <w:tcW w:w="1720" w:type="dxa"/>
            <w:vAlign w:val="bottom"/>
            <w:shd w:val="clear" w:color="auto" w:fill="E9F0F3"/>
          </w:tcPr>
          <w:p>
            <w:pPr>
              <w:jc w:val="right"/>
              <w:ind w:right="457"/>
              <w:spacing w:after="0"/>
              <w:rPr>
                <w:sz w:val="20"/>
                <w:szCs w:val="20"/>
                <w:color w:val="auto"/>
              </w:rPr>
            </w:pPr>
            <w:r>
              <w:rPr>
                <w:rFonts w:ascii="Arial" w:cs="Arial" w:eastAsia="Arial" w:hAnsi="Arial"/>
                <w:sz w:val="14"/>
                <w:szCs w:val="14"/>
                <w:color w:val="auto"/>
              </w:rPr>
              <w:t>44,679</w:t>
            </w:r>
          </w:p>
        </w:tc>
        <w:tc>
          <w:tcPr>
            <w:tcW w:w="1600" w:type="dxa"/>
            <w:vAlign w:val="bottom"/>
            <w:shd w:val="clear" w:color="auto" w:fill="E9F0F3"/>
          </w:tcPr>
          <w:p>
            <w:pPr>
              <w:jc w:val="right"/>
              <w:ind w:right="417"/>
              <w:spacing w:after="0"/>
              <w:rPr>
                <w:sz w:val="20"/>
                <w:szCs w:val="20"/>
                <w:color w:val="auto"/>
              </w:rPr>
            </w:pPr>
            <w:r>
              <w:rPr>
                <w:rFonts w:ascii="Arial" w:cs="Arial" w:eastAsia="Arial" w:hAnsi="Arial"/>
                <w:sz w:val="14"/>
                <w:szCs w:val="14"/>
                <w:color w:val="auto"/>
              </w:rPr>
              <w:t>19,614</w:t>
            </w:r>
          </w:p>
        </w:tc>
        <w:tc>
          <w:tcPr>
            <w:tcW w:w="1640" w:type="dxa"/>
            <w:vAlign w:val="bottom"/>
            <w:shd w:val="clear" w:color="auto" w:fill="E9F0F3"/>
          </w:tcPr>
          <w:p>
            <w:pPr>
              <w:jc w:val="right"/>
              <w:ind w:right="416"/>
              <w:spacing w:after="0"/>
              <w:rPr>
                <w:sz w:val="20"/>
                <w:szCs w:val="20"/>
                <w:color w:val="auto"/>
              </w:rPr>
            </w:pPr>
            <w:r>
              <w:rPr>
                <w:rFonts w:ascii="Arial" w:cs="Arial" w:eastAsia="Arial" w:hAnsi="Arial"/>
                <w:sz w:val="14"/>
                <w:szCs w:val="14"/>
                <w:color w:val="auto"/>
              </w:rPr>
              <w:t>0</w:t>
            </w:r>
          </w:p>
        </w:tc>
        <w:tc>
          <w:tcPr>
            <w:tcW w:w="1200" w:type="dxa"/>
            <w:vAlign w:val="bottom"/>
            <w:shd w:val="clear" w:color="auto" w:fill="E9F0F3"/>
          </w:tcPr>
          <w:p>
            <w:pPr>
              <w:jc w:val="right"/>
              <w:ind w:right="37"/>
              <w:spacing w:after="0"/>
              <w:rPr>
                <w:sz w:val="20"/>
                <w:szCs w:val="20"/>
                <w:color w:val="auto"/>
              </w:rPr>
            </w:pPr>
            <w:r>
              <w:rPr>
                <w:rFonts w:ascii="Arial" w:cs="Arial" w:eastAsia="Arial" w:hAnsi="Arial"/>
                <w:sz w:val="14"/>
                <w:szCs w:val="14"/>
                <w:color w:val="auto"/>
              </w:rPr>
              <w:t>132,200</w:t>
            </w:r>
          </w:p>
        </w:tc>
        <w:tc>
          <w:tcPr>
            <w:tcW w:w="0" w:type="dxa"/>
            <w:vAlign w:val="bottom"/>
          </w:tcPr>
          <w:p>
            <w:pPr>
              <w:spacing w:after="0"/>
              <w:rPr>
                <w:sz w:val="1"/>
                <w:szCs w:val="1"/>
                <w:color w:val="auto"/>
              </w:rPr>
            </w:pPr>
          </w:p>
        </w:tc>
      </w:tr>
      <w:tr>
        <w:trPr>
          <w:trHeight w:val="66"/>
        </w:trPr>
        <w:tc>
          <w:tcPr>
            <w:tcW w:w="2500" w:type="dxa"/>
            <w:vAlign w:val="bottom"/>
            <w:shd w:val="clear" w:color="auto" w:fill="E9F0F3"/>
          </w:tcPr>
          <w:p>
            <w:pPr>
              <w:spacing w:after="0"/>
              <w:rPr>
                <w:sz w:val="5"/>
                <w:szCs w:val="5"/>
                <w:color w:val="auto"/>
              </w:rPr>
            </w:pPr>
          </w:p>
        </w:tc>
        <w:tc>
          <w:tcPr>
            <w:tcW w:w="2280" w:type="dxa"/>
            <w:vAlign w:val="bottom"/>
            <w:shd w:val="clear" w:color="auto" w:fill="E9F0F3"/>
          </w:tcPr>
          <w:p>
            <w:pPr>
              <w:spacing w:after="0"/>
              <w:rPr>
                <w:sz w:val="5"/>
                <w:szCs w:val="5"/>
                <w:color w:val="auto"/>
              </w:rPr>
            </w:pPr>
          </w:p>
        </w:tc>
        <w:tc>
          <w:tcPr>
            <w:tcW w:w="1720" w:type="dxa"/>
            <w:vAlign w:val="bottom"/>
            <w:shd w:val="clear" w:color="auto" w:fill="E9F0F3"/>
          </w:tcPr>
          <w:p>
            <w:pPr>
              <w:spacing w:after="0"/>
              <w:rPr>
                <w:sz w:val="5"/>
                <w:szCs w:val="5"/>
                <w:color w:val="auto"/>
              </w:rPr>
            </w:pPr>
          </w:p>
        </w:tc>
        <w:tc>
          <w:tcPr>
            <w:tcW w:w="1600" w:type="dxa"/>
            <w:vAlign w:val="bottom"/>
            <w:shd w:val="clear" w:color="auto" w:fill="E9F0F3"/>
          </w:tcPr>
          <w:p>
            <w:pPr>
              <w:spacing w:after="0"/>
              <w:rPr>
                <w:sz w:val="5"/>
                <w:szCs w:val="5"/>
                <w:color w:val="auto"/>
              </w:rPr>
            </w:pPr>
          </w:p>
        </w:tc>
        <w:tc>
          <w:tcPr>
            <w:tcW w:w="1640" w:type="dxa"/>
            <w:vAlign w:val="bottom"/>
            <w:shd w:val="clear" w:color="auto" w:fill="E9F0F3"/>
          </w:tcPr>
          <w:p>
            <w:pPr>
              <w:spacing w:after="0"/>
              <w:rPr>
                <w:sz w:val="5"/>
                <w:szCs w:val="5"/>
                <w:color w:val="auto"/>
              </w:rPr>
            </w:pPr>
          </w:p>
        </w:tc>
        <w:tc>
          <w:tcPr>
            <w:tcW w:w="120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80" w:hanging="169"/>
        <w:spacing w:after="0"/>
        <w:tabs>
          <w:tab w:leader="none" w:pos="18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Amounts are reported in the Summary Compensation Table, other income for 2025.</w:t>
      </w:r>
    </w:p>
    <w:p>
      <w:pPr>
        <w:spacing w:after="0" w:line="38"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color w:val="auto"/>
        </w:rPr>
        <w:t>2  Amounts are not reported in the Summary Compensation Table.</w:t>
      </w:r>
    </w:p>
    <w:p>
      <w:pPr>
        <w:spacing w:after="0" w:line="39" w:lineRule="exact"/>
        <w:rPr>
          <w:sz w:val="20"/>
          <w:szCs w:val="20"/>
          <w:color w:val="auto"/>
        </w:rPr>
      </w:pPr>
    </w:p>
    <w:p>
      <w:pPr>
        <w:ind w:left="160" w:right="60" w:hanging="149"/>
        <w:spacing w:after="0" w:line="252" w:lineRule="auto"/>
        <w:tabs>
          <w:tab w:leader="none" w:pos="167"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amounts shown include amounts that were reported in the Summary Compensation Table. The aggregate of the previously reported amounts is $1,189,151 for Mr. Larsson, $334,279 for Mr. Coughlin, $68,413 for Mr. Savman and $61,135 for Ms. Serrano.</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Supplemental Savings Plan</w:t>
      </w:r>
    </w:p>
    <w:p>
      <w:pPr>
        <w:spacing w:after="0" w:line="62" w:lineRule="exact"/>
        <w:rPr>
          <w:sz w:val="20"/>
          <w:szCs w:val="20"/>
          <w:color w:val="auto"/>
        </w:rPr>
      </w:pPr>
    </w:p>
    <w:p>
      <w:pPr>
        <w:ind w:left="20" w:right="260"/>
        <w:spacing w:after="0" w:line="264" w:lineRule="auto"/>
        <w:rPr>
          <w:sz w:val="20"/>
          <w:szCs w:val="20"/>
          <w:color w:val="auto"/>
        </w:rPr>
      </w:pPr>
      <w:r>
        <w:rPr>
          <w:rFonts w:ascii="Arial" w:cs="Arial" w:eastAsia="Arial" w:hAnsi="Arial"/>
          <w:sz w:val="14"/>
          <w:szCs w:val="14"/>
          <w:color w:val="auto"/>
        </w:rPr>
        <w:t>Our Supplemental Savings Plan (“SSP”) is a non-qualified defined contribution plan that was designed to work in conjunction with our 401(k) plan to provide key executives and certain “highly compensated associates” (as defined under the Code) sufficient pre-tax retirement savings opportunities. The SSP is available to associates with a minimum base salary of $200,000 who are eligible for and participate in our 401(k) plan, including all our current U.S.-based NEO’s.</w:t>
      </w:r>
    </w:p>
    <w:p>
      <w:pPr>
        <w:spacing w:after="0" w:line="69" w:lineRule="exact"/>
        <w:rPr>
          <w:sz w:val="20"/>
          <w:szCs w:val="20"/>
          <w:color w:val="auto"/>
        </w:rPr>
      </w:pPr>
    </w:p>
    <w:p>
      <w:pPr>
        <w:ind w:left="20" w:right="180"/>
        <w:spacing w:after="0" w:line="258" w:lineRule="auto"/>
        <w:rPr>
          <w:sz w:val="20"/>
          <w:szCs w:val="20"/>
          <w:color w:val="auto"/>
        </w:rPr>
      </w:pPr>
      <w:r>
        <w:rPr>
          <w:rFonts w:ascii="Arial" w:cs="Arial" w:eastAsia="Arial" w:hAnsi="Arial"/>
          <w:sz w:val="14"/>
          <w:szCs w:val="14"/>
          <w:color w:val="auto"/>
        </w:rPr>
        <w:t>Participants may elect a deferral rate of up to 75% of base pay for their contributions. Deferrals are directed first to a participant’s 401(k) plan account up to the maximum amount of eligible contributions and pay permissible under the Code. SSP contributions for the year do not begin until the maximum permitted contributions have been made under our 401(k) plan. Eligible pay under the SSP includes all pay categories under our 401(k), as well as bonus payouts, which cannot be deferred into the 401(k) plan for associates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EXECUTIVE COMPENSATION TABLES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695515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127" w:right="479" w:bottom="1440" w:gutter="0" w:footer="0" w:header="0"/>
        </w:sectPr>
      </w:pPr>
    </w:p>
    <w:bookmarkStart w:id="78" w:name="page79"/>
    <w:bookmarkEnd w:id="78"/>
    <w:p>
      <w:pPr>
        <w:ind w:left="9" w:right="160"/>
        <w:spacing w:after="0" w:line="264" w:lineRule="auto"/>
        <w:rPr>
          <w:sz w:val="20"/>
          <w:szCs w:val="20"/>
          <w:color w:val="auto"/>
        </w:rPr>
      </w:pPr>
      <w:r>
        <w:rPr>
          <w:rFonts w:ascii="Arial" w:cs="Arial" w:eastAsia="Arial" w:hAnsi="Arial"/>
          <w:sz w:val="14"/>
          <w:szCs w:val="14"/>
          <w:color w:val="auto"/>
        </w:rPr>
        <w:t>eligible to participate in the SSP. Participants may elect to defer up to 75% of bonus compensation into their SSP. Effective January 1, 2026, participants may not elect to contribute more than a combined total of 75% of base pay into the 401(k) and SSP. SSP deferrals begin with the first paycheck of the year and continue throughout the year, occurring simultaneously with a participant’s 401(k) deferrals.</w:t>
      </w:r>
    </w:p>
    <w:p>
      <w:pPr>
        <w:spacing w:after="0" w:line="69" w:lineRule="exact"/>
        <w:rPr>
          <w:sz w:val="20"/>
          <w:szCs w:val="20"/>
          <w:color w:val="auto"/>
        </w:rPr>
      </w:pPr>
    </w:p>
    <w:p>
      <w:pPr>
        <w:ind w:left="9"/>
        <w:spacing w:after="0" w:line="255" w:lineRule="auto"/>
        <w:rPr>
          <w:sz w:val="20"/>
          <w:szCs w:val="20"/>
          <w:color w:val="auto"/>
        </w:rPr>
      </w:pPr>
      <w:r>
        <w:rPr>
          <w:rFonts w:ascii="Arial" w:cs="Arial" w:eastAsia="Arial" w:hAnsi="Arial"/>
          <w:sz w:val="14"/>
          <w:szCs w:val="14"/>
          <w:color w:val="auto"/>
        </w:rPr>
        <w:t>For the SSP, PVH makes matching contributions equal to 100% of the first 1% of plan-eligible compensation contributed by a participant, and 50% of the next 5% of plan-eligible compensation contributed by the participant. The company makes an automatic contribution equal to 3.5% of compensation that exceeds the IRS annual compensation limit into the SSP, regardless of participation in the Plan. The automatic contribution is made first into the 401(k) on eligible compensation up to the IRS compensation limit, and then in the SSP on eligible compensation over the limit. In addition, SSP-eligible associates receive the automatic contribution of 3.5% of their bonus compensation in the SSP. Associates not eligible to participate in the SSP receive the automatic contribution in our 401(k) plan for any bonus compensation.</w:t>
      </w:r>
    </w:p>
    <w:p>
      <w:pPr>
        <w:spacing w:after="0" w:line="87" w:lineRule="exact"/>
        <w:rPr>
          <w:sz w:val="20"/>
          <w:szCs w:val="20"/>
          <w:color w:val="auto"/>
        </w:rPr>
      </w:pPr>
    </w:p>
    <w:p>
      <w:pPr>
        <w:ind w:left="9" w:right="40"/>
        <w:spacing w:after="0" w:line="255" w:lineRule="auto"/>
        <w:rPr>
          <w:sz w:val="20"/>
          <w:szCs w:val="20"/>
          <w:color w:val="auto"/>
        </w:rPr>
      </w:pPr>
      <w:r>
        <w:rPr>
          <w:rFonts w:ascii="Arial" w:cs="Arial" w:eastAsia="Arial" w:hAnsi="Arial"/>
          <w:sz w:val="14"/>
          <w:szCs w:val="14"/>
          <w:color w:val="auto"/>
        </w:rPr>
        <w:t>The SSP is a non-qualified unfunded plan. For plan years prior to 2022, participant contributions and our matching contributions were not invested in actual securities or maintained in an independent trust for the exclusive benefit of plan participants. Instead, contributions to the SSP were retained as part of our general assets. Therefore, these benefits are dependent on our ability to pay them when they become due. For plan years after 2021, the company established a rabbi trust to hold and invest contributions made for the SSP. The assets of the rabbi trust are general assets of the company and, as such, would be subject to the claims of our creditors in the event of bankruptcy or insolvency.</w:t>
      </w:r>
    </w:p>
    <w:p>
      <w:pPr>
        <w:spacing w:after="0" w:line="75" w:lineRule="exact"/>
        <w:rPr>
          <w:sz w:val="20"/>
          <w:szCs w:val="20"/>
          <w:color w:val="auto"/>
        </w:rPr>
      </w:pPr>
    </w:p>
    <w:p>
      <w:pPr>
        <w:ind w:left="9"/>
        <w:spacing w:after="0" w:line="253" w:lineRule="auto"/>
        <w:rPr>
          <w:sz w:val="20"/>
          <w:szCs w:val="20"/>
          <w:color w:val="auto"/>
        </w:rPr>
      </w:pPr>
      <w:r>
        <w:rPr>
          <w:rFonts w:ascii="Arial" w:cs="Arial" w:eastAsia="Arial" w:hAnsi="Arial"/>
          <w:sz w:val="14"/>
          <w:szCs w:val="14"/>
          <w:color w:val="auto"/>
        </w:rPr>
        <w:t>Participant contributions, as well as our matching contributions, made before 2022 for participating NEOs, are measured against the 10-year Treasury bill. These contributions accrue interest based on the rate of return for 10-year Treasury bills, as established on the first business day of each calendar year. Ms. Stone also has a small portion of her pre-2022 account balance in shares of PVH phantom stock, which are payable in cash following termination of her employment with PVH. She may transfer the value of her phantom stock account into the 10-year Treasury bill account at any time (subject to the restrictions under the PVH Insider Trading Policy). Participant contributions and company contributions made in 2022 and later may be measured against various investment options. Participants’ accounts may appreciate and/or depreciate depending upon the performance of their investment choices.</w:t>
      </w:r>
    </w:p>
    <w:p>
      <w:pPr>
        <w:spacing w:after="0" w:line="77" w:lineRule="exact"/>
        <w:rPr>
          <w:sz w:val="20"/>
          <w:szCs w:val="20"/>
          <w:color w:val="auto"/>
        </w:rPr>
      </w:pPr>
    </w:p>
    <w:p>
      <w:pPr>
        <w:ind w:left="9" w:right="40"/>
        <w:spacing w:after="0" w:line="282" w:lineRule="auto"/>
        <w:rPr>
          <w:sz w:val="20"/>
          <w:szCs w:val="20"/>
          <w:color w:val="auto"/>
        </w:rPr>
      </w:pPr>
      <w:r>
        <w:rPr>
          <w:rFonts w:ascii="Arial" w:cs="Arial" w:eastAsia="Arial" w:hAnsi="Arial"/>
          <w:sz w:val="14"/>
          <w:szCs w:val="14"/>
          <w:color w:val="auto"/>
        </w:rPr>
        <w:t>A participant’s contributions in the SSP are immediately fully vested. The company contributions vest after two years or, if earlier, when the participant reaches age 65, dies, or becomes totally and permanently disabled.</w:t>
      </w:r>
    </w:p>
    <w:p>
      <w:pPr>
        <w:spacing w:after="0" w:line="69" w:lineRule="exact"/>
        <w:rPr>
          <w:sz w:val="20"/>
          <w:szCs w:val="20"/>
          <w:color w:val="auto"/>
        </w:rPr>
      </w:pPr>
    </w:p>
    <w:p>
      <w:pPr>
        <w:ind w:left="9"/>
        <w:spacing w:after="0"/>
        <w:rPr>
          <w:sz w:val="20"/>
          <w:szCs w:val="20"/>
          <w:color w:val="auto"/>
        </w:rPr>
      </w:pPr>
      <w:r>
        <w:rPr>
          <w:rFonts w:ascii="Arial" w:cs="Arial" w:eastAsia="Arial" w:hAnsi="Arial"/>
          <w:sz w:val="14"/>
          <w:szCs w:val="14"/>
          <w:color w:val="auto"/>
        </w:rPr>
        <w:t>As part of the enrollment process, participants can elect to have their vested amount under the SSP distributed following termination in one of the following four ways:</w:t>
      </w:r>
    </w:p>
    <w:p>
      <w:pPr>
        <w:spacing w:after="0" w:line="110" w:lineRule="exact"/>
        <w:rPr>
          <w:sz w:val="20"/>
          <w:szCs w:val="20"/>
          <w:color w:val="auto"/>
        </w:rPr>
      </w:pPr>
    </w:p>
    <w:p>
      <w:pPr>
        <w:ind w:left="149" w:hanging="149"/>
        <w:spacing w:after="0"/>
        <w:tabs>
          <w:tab w:leader="none" w:pos="149"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 a lump sum within 30 days of termination of employment;</w:t>
      </w:r>
    </w:p>
    <w:p>
      <w:pPr>
        <w:spacing w:after="0" w:line="51" w:lineRule="exact"/>
        <w:rPr>
          <w:rFonts w:ascii="Arial" w:cs="Arial" w:eastAsia="Arial" w:hAnsi="Arial"/>
          <w:sz w:val="14"/>
          <w:szCs w:val="14"/>
          <w:color w:val="auto"/>
        </w:rPr>
      </w:pPr>
    </w:p>
    <w:p>
      <w:pPr>
        <w:ind w:left="149" w:hanging="149"/>
        <w:spacing w:after="0"/>
        <w:tabs>
          <w:tab w:leader="none" w:pos="149"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 a lump sum deferred until January 1 of the year following termination of employment;</w:t>
      </w:r>
    </w:p>
    <w:p>
      <w:pPr>
        <w:spacing w:after="0" w:line="51" w:lineRule="exact"/>
        <w:rPr>
          <w:rFonts w:ascii="Arial" w:cs="Arial" w:eastAsia="Arial" w:hAnsi="Arial"/>
          <w:sz w:val="14"/>
          <w:szCs w:val="14"/>
          <w:color w:val="auto"/>
        </w:rPr>
      </w:pPr>
    </w:p>
    <w:p>
      <w:pPr>
        <w:ind w:left="149" w:hanging="149"/>
        <w:spacing w:after="0"/>
        <w:tabs>
          <w:tab w:leader="none" w:pos="149"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 five equal annual installments commencing in January of the year following termination of employment; or</w:t>
      </w:r>
    </w:p>
    <w:p>
      <w:pPr>
        <w:spacing w:after="0" w:line="51" w:lineRule="exact"/>
        <w:rPr>
          <w:rFonts w:ascii="Arial" w:cs="Arial" w:eastAsia="Arial" w:hAnsi="Arial"/>
          <w:sz w:val="14"/>
          <w:szCs w:val="14"/>
          <w:color w:val="auto"/>
        </w:rPr>
      </w:pPr>
    </w:p>
    <w:p>
      <w:pPr>
        <w:ind w:left="149" w:hanging="149"/>
        <w:spacing w:after="0"/>
        <w:tabs>
          <w:tab w:leader="none" w:pos="149"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in ten equal annual installments commencing in January of the year following termination of employment (applicable for contributions made beginning January 1, 2019).</w:t>
      </w:r>
    </w:p>
    <w:p>
      <w:pPr>
        <w:spacing w:after="0" w:line="51" w:lineRule="exact"/>
        <w:rPr>
          <w:sz w:val="20"/>
          <w:szCs w:val="20"/>
          <w:color w:val="auto"/>
        </w:rPr>
      </w:pPr>
    </w:p>
    <w:p>
      <w:pPr>
        <w:ind w:left="9" w:right="20"/>
        <w:spacing w:after="0" w:line="253" w:lineRule="auto"/>
        <w:rPr>
          <w:sz w:val="20"/>
          <w:szCs w:val="20"/>
          <w:color w:val="auto"/>
        </w:rPr>
      </w:pPr>
      <w:r>
        <w:rPr>
          <w:rFonts w:ascii="Arial" w:cs="Arial" w:eastAsia="Arial" w:hAnsi="Arial"/>
          <w:sz w:val="14"/>
          <w:szCs w:val="14"/>
          <w:color w:val="auto"/>
        </w:rPr>
        <w:t>If no election is made, the participant’s election will default to a lump sum payment within 30 days. Payments will be delayed if and to the extent that payment within six months of the termination of employment would result in the imposition of additional taxes on the participant pursuant to Section 409A of the Code. For contributions made prior to 2022, payments delayed pursuant to Section 409A will accrue interest during the deferral period at a rate per annum equal to the 10-year Treasury bill rate in effect on the first business day of the plan year in which the deferral begins, and, if the deferral period extends beyond the close of the plan year, the interest rate for the remainder of the deferral period will equal the 10-year Treasury bill rate on the first business day of the following plan year. For contributions made in 2022 and later, payments delayed pursuant to Section 409A will be measured against the investment funds elected by the participant.</w:t>
      </w:r>
    </w:p>
    <w:p>
      <w:pPr>
        <w:spacing w:after="0" w:line="157"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 xml:space="preserve">76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29"/>
          </w:cols>
          <w:pgMar w:left="471" w:top="127" w:right="499" w:bottom="1440" w:gutter="0" w:footer="0" w:header="0"/>
        </w:sectPr>
      </w:pPr>
    </w:p>
    <w:bookmarkStart w:id="79" w:name="page80"/>
    <w:bookmarkEnd w:id="79"/>
    <w:p>
      <w:pPr>
        <w:ind w:left="20" w:right="5280"/>
        <w:spacing w:after="0" w:line="285" w:lineRule="auto"/>
        <w:rPr>
          <w:sz w:val="20"/>
          <w:szCs w:val="20"/>
          <w:color w:val="auto"/>
        </w:rPr>
      </w:pPr>
      <w:r>
        <w:rPr>
          <w:rFonts w:ascii="Arial" w:cs="Arial" w:eastAsia="Arial" w:hAnsi="Arial"/>
          <w:sz w:val="28"/>
          <w:szCs w:val="28"/>
          <w:b w:val="1"/>
          <w:bCs w:val="1"/>
          <w:color w:val="6D98AD"/>
        </w:rPr>
        <w:t>Potential Payments Upon Termination and Change in Control Provisions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We maintain certain agreements, plans, and programs that require us to provide compensation to our NEOs in the event of a termination of employment or a change in control.</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For more information, </w:t>
      </w:r>
      <w:r>
        <w:rPr>
          <w:rFonts w:ascii="Arial" w:cs="Arial" w:eastAsia="Arial" w:hAnsi="Arial"/>
          <w:sz w:val="14"/>
          <w:szCs w:val="14"/>
          <w:i w:val="1"/>
          <w:iCs w:val="1"/>
          <w:color w:val="auto"/>
        </w:rPr>
        <w:t>see</w:t>
      </w:r>
      <w:r>
        <w:rPr>
          <w:rFonts w:ascii="Arial" w:cs="Arial" w:eastAsia="Arial" w:hAnsi="Arial"/>
          <w:sz w:val="14"/>
          <w:szCs w:val="14"/>
          <w:color w:val="auto"/>
        </w:rPr>
        <w:t xml:space="preserve"> “Narrative Disclosure to Summary Compensation Table and Grants of Plan-Based Awards Table” beginning on page 64.</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following tables disclose the potential payments upon termination of employment or change in control with respect to each NEO as of the end of 2025, other than Mr.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Coughlin, who voluntarily terminated his employment without good reason and Ms. Serrano, who was separated from the organization, in each case on December 31, 2025.</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assumptions used are set forth below the last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080" w:type="dxa"/>
            <w:vAlign w:val="bottom"/>
            <w:shd w:val="clear" w:color="auto" w:fill="99B7C6"/>
          </w:tcPr>
          <w:p>
            <w:pPr>
              <w:spacing w:after="0"/>
              <w:rPr>
                <w:sz w:val="13"/>
                <w:szCs w:val="13"/>
                <w:color w:val="auto"/>
              </w:rPr>
            </w:pPr>
          </w:p>
        </w:tc>
        <w:tc>
          <w:tcPr>
            <w:tcW w:w="1260" w:type="dxa"/>
            <w:vAlign w:val="bottom"/>
            <w:shd w:val="clear" w:color="auto" w:fill="99B7C6"/>
          </w:tcPr>
          <w:p>
            <w:pPr>
              <w:spacing w:after="0"/>
              <w:rPr>
                <w:sz w:val="13"/>
                <w:szCs w:val="13"/>
                <w:color w:val="auto"/>
              </w:rPr>
            </w:pPr>
          </w:p>
        </w:tc>
        <w:tc>
          <w:tcPr>
            <w:tcW w:w="1100" w:type="dxa"/>
            <w:vAlign w:val="bottom"/>
            <w:shd w:val="clear" w:color="auto" w:fill="99B7C6"/>
          </w:tcPr>
          <w:p>
            <w:pPr>
              <w:spacing w:after="0"/>
              <w:rPr>
                <w:sz w:val="13"/>
                <w:szCs w:val="13"/>
                <w:color w:val="auto"/>
              </w:rPr>
            </w:pPr>
          </w:p>
        </w:tc>
        <w:tc>
          <w:tcPr>
            <w:tcW w:w="1140" w:type="dxa"/>
            <w:vAlign w:val="bottom"/>
            <w:shd w:val="clear" w:color="auto" w:fill="99B7C6"/>
          </w:tcPr>
          <w:p>
            <w:pPr>
              <w:spacing w:after="0"/>
              <w:rPr>
                <w:sz w:val="13"/>
                <w:szCs w:val="13"/>
                <w:color w:val="auto"/>
              </w:rPr>
            </w:pPr>
          </w:p>
        </w:tc>
        <w:tc>
          <w:tcPr>
            <w:tcW w:w="1120" w:type="dxa"/>
            <w:vAlign w:val="bottom"/>
            <w:shd w:val="clear" w:color="auto" w:fill="99B7C6"/>
          </w:tcPr>
          <w:p>
            <w:pPr>
              <w:spacing w:after="0"/>
              <w:rPr>
                <w:sz w:val="13"/>
                <w:szCs w:val="13"/>
                <w:color w:val="auto"/>
              </w:rPr>
            </w:pPr>
          </w:p>
        </w:tc>
        <w:tc>
          <w:tcPr>
            <w:tcW w:w="1200" w:type="dxa"/>
            <w:vAlign w:val="bottom"/>
            <w:shd w:val="clear" w:color="auto" w:fill="99B7C6"/>
          </w:tcPr>
          <w:p>
            <w:pPr>
              <w:spacing w:after="0"/>
              <w:rPr>
                <w:sz w:val="13"/>
                <w:szCs w:val="13"/>
                <w:color w:val="auto"/>
              </w:rPr>
            </w:pPr>
          </w:p>
        </w:tc>
        <w:tc>
          <w:tcPr>
            <w:tcW w:w="1020" w:type="dxa"/>
            <w:vAlign w:val="bottom"/>
            <w:shd w:val="clear" w:color="auto" w:fill="99B7C6"/>
          </w:tcPr>
          <w:p>
            <w:pPr>
              <w:spacing w:after="0"/>
              <w:rPr>
                <w:sz w:val="13"/>
                <w:szCs w:val="13"/>
                <w:color w:val="auto"/>
              </w:rPr>
            </w:pPr>
          </w:p>
        </w:tc>
        <w:tc>
          <w:tcPr>
            <w:tcW w:w="1020" w:type="dxa"/>
            <w:vAlign w:val="bottom"/>
            <w:shd w:val="clear" w:color="auto" w:fill="99B7C6"/>
          </w:tcPr>
          <w:p>
            <w:pPr>
              <w:jc w:val="right"/>
              <w:ind w:right="38"/>
              <w:spacing w:after="0"/>
              <w:rPr>
                <w:sz w:val="20"/>
                <w:szCs w:val="20"/>
                <w:color w:val="auto"/>
              </w:rPr>
            </w:pPr>
            <w:r>
              <w:rPr>
                <w:rFonts w:ascii="Arial" w:cs="Arial" w:eastAsia="Arial" w:hAnsi="Arial"/>
                <w:sz w:val="11"/>
                <w:szCs w:val="11"/>
                <w:b w:val="1"/>
                <w:bCs w:val="1"/>
                <w:color w:val="FFFFFF"/>
              </w:rPr>
              <w:t>Termination</w:t>
            </w:r>
          </w:p>
        </w:tc>
        <w:tc>
          <w:tcPr>
            <w:tcW w:w="0" w:type="dxa"/>
            <w:vAlign w:val="bottom"/>
          </w:tcPr>
          <w:p>
            <w:pPr>
              <w:spacing w:after="0"/>
              <w:rPr>
                <w:sz w:val="1"/>
                <w:szCs w:val="1"/>
                <w:color w:val="auto"/>
              </w:rPr>
            </w:pPr>
          </w:p>
        </w:tc>
      </w:tr>
      <w:tr>
        <w:trPr>
          <w:trHeight w:val="118"/>
        </w:trPr>
        <w:tc>
          <w:tcPr>
            <w:tcW w:w="3080" w:type="dxa"/>
            <w:vAlign w:val="bottom"/>
            <w:shd w:val="clear" w:color="auto" w:fill="99B7C6"/>
          </w:tcPr>
          <w:p>
            <w:pPr>
              <w:spacing w:after="0"/>
              <w:rPr>
                <w:sz w:val="10"/>
                <w:szCs w:val="10"/>
                <w:color w:val="auto"/>
              </w:rPr>
            </w:pPr>
          </w:p>
        </w:tc>
        <w:tc>
          <w:tcPr>
            <w:tcW w:w="1260" w:type="dxa"/>
            <w:vAlign w:val="bottom"/>
            <w:shd w:val="clear" w:color="auto" w:fill="99B7C6"/>
          </w:tcPr>
          <w:p>
            <w:pPr>
              <w:spacing w:after="0"/>
              <w:rPr>
                <w:sz w:val="10"/>
                <w:szCs w:val="10"/>
                <w:color w:val="auto"/>
              </w:rPr>
            </w:pPr>
          </w:p>
        </w:tc>
        <w:tc>
          <w:tcPr>
            <w:tcW w:w="110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1120" w:type="dxa"/>
            <w:vAlign w:val="bottom"/>
            <w:shd w:val="clear" w:color="auto" w:fill="99B7C6"/>
          </w:tcPr>
          <w:p>
            <w:pPr>
              <w:spacing w:after="0"/>
              <w:rPr>
                <w:sz w:val="10"/>
                <w:szCs w:val="10"/>
                <w:color w:val="auto"/>
              </w:rPr>
            </w:pPr>
          </w:p>
        </w:tc>
        <w:tc>
          <w:tcPr>
            <w:tcW w:w="1200" w:type="dxa"/>
            <w:vAlign w:val="bottom"/>
            <w:shd w:val="clear" w:color="auto" w:fill="99B7C6"/>
          </w:tcPr>
          <w:p>
            <w:pPr>
              <w:spacing w:after="0"/>
              <w:rPr>
                <w:sz w:val="10"/>
                <w:szCs w:val="10"/>
                <w:color w:val="auto"/>
              </w:rPr>
            </w:pPr>
          </w:p>
        </w:tc>
        <w:tc>
          <w:tcPr>
            <w:tcW w:w="1020" w:type="dxa"/>
            <w:vAlign w:val="bottom"/>
            <w:shd w:val="clear" w:color="auto" w:fill="99B7C6"/>
          </w:tcPr>
          <w:p>
            <w:pPr>
              <w:spacing w:after="0"/>
              <w:rPr>
                <w:sz w:val="10"/>
                <w:szCs w:val="10"/>
                <w:color w:val="auto"/>
              </w:rPr>
            </w:pPr>
          </w:p>
        </w:tc>
        <w:tc>
          <w:tcPr>
            <w:tcW w:w="1020" w:type="dxa"/>
            <w:vAlign w:val="bottom"/>
            <w:shd w:val="clear" w:color="auto" w:fill="99B7C6"/>
          </w:tcPr>
          <w:p>
            <w:pPr>
              <w:jc w:val="right"/>
              <w:ind w:right="38"/>
              <w:spacing w:after="0" w:line="118" w:lineRule="exact"/>
              <w:rPr>
                <w:sz w:val="20"/>
                <w:szCs w:val="20"/>
                <w:color w:val="auto"/>
              </w:rPr>
            </w:pPr>
            <w:r>
              <w:rPr>
                <w:rFonts w:ascii="Arial" w:cs="Arial" w:eastAsia="Arial" w:hAnsi="Arial"/>
                <w:sz w:val="11"/>
                <w:szCs w:val="11"/>
                <w:b w:val="1"/>
                <w:bCs w:val="1"/>
                <w:color w:val="FFFFFF"/>
              </w:rPr>
              <w:t>Without</w:t>
            </w:r>
          </w:p>
        </w:tc>
        <w:tc>
          <w:tcPr>
            <w:tcW w:w="0" w:type="dxa"/>
            <w:vAlign w:val="bottom"/>
          </w:tcPr>
          <w:p>
            <w:pPr>
              <w:spacing w:after="0"/>
              <w:rPr>
                <w:sz w:val="1"/>
                <w:szCs w:val="1"/>
                <w:color w:val="auto"/>
              </w:rPr>
            </w:pPr>
          </w:p>
        </w:tc>
      </w:tr>
      <w:tr>
        <w:trPr>
          <w:trHeight w:val="121"/>
        </w:trPr>
        <w:tc>
          <w:tcPr>
            <w:tcW w:w="3080" w:type="dxa"/>
            <w:vAlign w:val="bottom"/>
            <w:shd w:val="clear" w:color="auto" w:fill="99B7C6"/>
          </w:tcPr>
          <w:p>
            <w:pPr>
              <w:spacing w:after="0"/>
              <w:rPr>
                <w:sz w:val="10"/>
                <w:szCs w:val="10"/>
                <w:color w:val="auto"/>
              </w:rPr>
            </w:pPr>
          </w:p>
        </w:tc>
        <w:tc>
          <w:tcPr>
            <w:tcW w:w="1260" w:type="dxa"/>
            <w:vAlign w:val="bottom"/>
            <w:shd w:val="clear" w:color="auto" w:fill="99B7C6"/>
          </w:tcPr>
          <w:p>
            <w:pPr>
              <w:spacing w:after="0"/>
              <w:rPr>
                <w:sz w:val="10"/>
                <w:szCs w:val="10"/>
                <w:color w:val="auto"/>
              </w:rPr>
            </w:pPr>
          </w:p>
        </w:tc>
        <w:tc>
          <w:tcPr>
            <w:tcW w:w="110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1120" w:type="dxa"/>
            <w:vAlign w:val="bottom"/>
            <w:shd w:val="clear" w:color="auto" w:fill="99B7C6"/>
          </w:tcPr>
          <w:p>
            <w:pPr>
              <w:spacing w:after="0"/>
              <w:rPr>
                <w:sz w:val="10"/>
                <w:szCs w:val="10"/>
                <w:color w:val="auto"/>
              </w:rPr>
            </w:pPr>
          </w:p>
        </w:tc>
        <w:tc>
          <w:tcPr>
            <w:tcW w:w="1200" w:type="dxa"/>
            <w:vAlign w:val="bottom"/>
            <w:shd w:val="clear" w:color="auto" w:fill="99B7C6"/>
          </w:tcPr>
          <w:p>
            <w:pPr>
              <w:jc w:val="right"/>
              <w:ind w:right="197"/>
              <w:spacing w:after="0" w:line="122" w:lineRule="exact"/>
              <w:rPr>
                <w:sz w:val="20"/>
                <w:szCs w:val="20"/>
                <w:color w:val="auto"/>
              </w:rPr>
            </w:pPr>
            <w:r>
              <w:rPr>
                <w:rFonts w:ascii="Arial" w:cs="Arial" w:eastAsia="Arial" w:hAnsi="Arial"/>
                <w:sz w:val="11"/>
                <w:szCs w:val="11"/>
                <w:b w:val="1"/>
                <w:bCs w:val="1"/>
                <w:color w:val="FFFFFF"/>
              </w:rPr>
              <w:t>Termination</w:t>
            </w:r>
          </w:p>
        </w:tc>
        <w:tc>
          <w:tcPr>
            <w:tcW w:w="1020" w:type="dxa"/>
            <w:vAlign w:val="bottom"/>
            <w:shd w:val="clear" w:color="auto" w:fill="99B7C6"/>
          </w:tcPr>
          <w:p>
            <w:pPr>
              <w:spacing w:after="0"/>
              <w:rPr>
                <w:sz w:val="10"/>
                <w:szCs w:val="10"/>
                <w:color w:val="auto"/>
              </w:rPr>
            </w:pPr>
          </w:p>
        </w:tc>
        <w:tc>
          <w:tcPr>
            <w:tcW w:w="1020" w:type="dxa"/>
            <w:vAlign w:val="bottom"/>
            <w:shd w:val="clear" w:color="auto" w:fill="99B7C6"/>
          </w:tcPr>
          <w:p>
            <w:pPr>
              <w:jc w:val="right"/>
              <w:ind w:right="38"/>
              <w:spacing w:after="0" w:line="122" w:lineRule="exact"/>
              <w:rPr>
                <w:sz w:val="20"/>
                <w:szCs w:val="20"/>
                <w:color w:val="auto"/>
              </w:rPr>
            </w:pPr>
            <w:r>
              <w:rPr>
                <w:rFonts w:ascii="Arial" w:cs="Arial" w:eastAsia="Arial" w:hAnsi="Arial"/>
                <w:sz w:val="11"/>
                <w:szCs w:val="11"/>
                <w:b w:val="1"/>
                <w:bCs w:val="1"/>
                <w:color w:val="FFFFFF"/>
              </w:rPr>
              <w:t>Cause or for</w:t>
            </w:r>
          </w:p>
        </w:tc>
        <w:tc>
          <w:tcPr>
            <w:tcW w:w="0" w:type="dxa"/>
            <w:vAlign w:val="bottom"/>
          </w:tcPr>
          <w:p>
            <w:pPr>
              <w:spacing w:after="0"/>
              <w:rPr>
                <w:sz w:val="1"/>
                <w:szCs w:val="1"/>
                <w:color w:val="auto"/>
              </w:rPr>
            </w:pPr>
          </w:p>
        </w:tc>
      </w:tr>
      <w:tr>
        <w:trPr>
          <w:trHeight w:val="118"/>
        </w:trPr>
        <w:tc>
          <w:tcPr>
            <w:tcW w:w="3080" w:type="dxa"/>
            <w:vAlign w:val="bottom"/>
            <w:shd w:val="clear" w:color="auto" w:fill="99B7C6"/>
          </w:tcPr>
          <w:p>
            <w:pPr>
              <w:spacing w:after="0"/>
              <w:rPr>
                <w:sz w:val="10"/>
                <w:szCs w:val="10"/>
                <w:color w:val="auto"/>
              </w:rPr>
            </w:pPr>
          </w:p>
        </w:tc>
        <w:tc>
          <w:tcPr>
            <w:tcW w:w="1260" w:type="dxa"/>
            <w:vAlign w:val="bottom"/>
            <w:vMerge w:val="restart"/>
            <w:shd w:val="clear" w:color="auto" w:fill="99B7C6"/>
          </w:tcPr>
          <w:p>
            <w:pPr>
              <w:jc w:val="right"/>
              <w:ind w:right="155"/>
              <w:spacing w:after="0"/>
              <w:rPr>
                <w:sz w:val="20"/>
                <w:szCs w:val="20"/>
                <w:color w:val="auto"/>
              </w:rPr>
            </w:pPr>
            <w:r>
              <w:rPr>
                <w:rFonts w:ascii="Arial" w:cs="Arial" w:eastAsia="Arial" w:hAnsi="Arial"/>
                <w:sz w:val="11"/>
                <w:szCs w:val="11"/>
                <w:b w:val="1"/>
                <w:bCs w:val="1"/>
                <w:color w:val="FFFFFF"/>
              </w:rPr>
              <w:t>Voluntary</w:t>
            </w:r>
          </w:p>
        </w:tc>
        <w:tc>
          <w:tcPr>
            <w:tcW w:w="110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1120" w:type="dxa"/>
            <w:vAlign w:val="bottom"/>
            <w:shd w:val="clear" w:color="auto" w:fill="99B7C6"/>
          </w:tcPr>
          <w:p>
            <w:pPr>
              <w:spacing w:after="0"/>
              <w:rPr>
                <w:sz w:val="10"/>
                <w:szCs w:val="10"/>
                <w:color w:val="auto"/>
              </w:rPr>
            </w:pPr>
          </w:p>
        </w:tc>
        <w:tc>
          <w:tcPr>
            <w:tcW w:w="1200" w:type="dxa"/>
            <w:vAlign w:val="bottom"/>
            <w:shd w:val="clear" w:color="auto" w:fill="99B7C6"/>
          </w:tcPr>
          <w:p>
            <w:pPr>
              <w:jc w:val="right"/>
              <w:ind w:right="197"/>
              <w:spacing w:after="0" w:line="118" w:lineRule="exact"/>
              <w:rPr>
                <w:sz w:val="20"/>
                <w:szCs w:val="20"/>
                <w:color w:val="auto"/>
              </w:rPr>
            </w:pPr>
            <w:r>
              <w:rPr>
                <w:rFonts w:ascii="Arial" w:cs="Arial" w:eastAsia="Arial" w:hAnsi="Arial"/>
                <w:sz w:val="11"/>
                <w:szCs w:val="11"/>
                <w:b w:val="1"/>
                <w:bCs w:val="1"/>
                <w:color w:val="FFFFFF"/>
              </w:rPr>
              <w:t>Without</w:t>
            </w:r>
          </w:p>
        </w:tc>
        <w:tc>
          <w:tcPr>
            <w:tcW w:w="1020" w:type="dxa"/>
            <w:vAlign w:val="bottom"/>
            <w:vMerge w:val="restart"/>
            <w:shd w:val="clear" w:color="auto" w:fill="99B7C6"/>
          </w:tcPr>
          <w:p>
            <w:pPr>
              <w:jc w:val="right"/>
              <w:ind w:right="95"/>
              <w:spacing w:after="0"/>
              <w:rPr>
                <w:sz w:val="20"/>
                <w:szCs w:val="20"/>
                <w:color w:val="auto"/>
              </w:rPr>
            </w:pPr>
            <w:r>
              <w:rPr>
                <w:rFonts w:ascii="Arial" w:cs="Arial" w:eastAsia="Arial" w:hAnsi="Arial"/>
                <w:sz w:val="11"/>
                <w:szCs w:val="11"/>
                <w:b w:val="1"/>
                <w:bCs w:val="1"/>
                <w:color w:val="FFFFFF"/>
              </w:rPr>
              <w:t>Termination</w:t>
            </w:r>
          </w:p>
        </w:tc>
        <w:tc>
          <w:tcPr>
            <w:tcW w:w="1020" w:type="dxa"/>
            <w:vAlign w:val="bottom"/>
            <w:shd w:val="clear" w:color="auto" w:fill="99B7C6"/>
          </w:tcPr>
          <w:p>
            <w:pPr>
              <w:jc w:val="right"/>
              <w:ind w:right="38"/>
              <w:spacing w:after="0" w:line="118" w:lineRule="exact"/>
              <w:rPr>
                <w:sz w:val="20"/>
                <w:szCs w:val="20"/>
                <w:color w:val="auto"/>
              </w:rPr>
            </w:pPr>
            <w:r>
              <w:rPr>
                <w:rFonts w:ascii="Arial" w:cs="Arial" w:eastAsia="Arial" w:hAnsi="Arial"/>
                <w:sz w:val="11"/>
                <w:szCs w:val="11"/>
                <w:b w:val="1"/>
                <w:bCs w:val="1"/>
                <w:color w:val="FFFFFF"/>
              </w:rPr>
              <w:t>Good Reason</w:t>
            </w:r>
          </w:p>
        </w:tc>
        <w:tc>
          <w:tcPr>
            <w:tcW w:w="0" w:type="dxa"/>
            <w:vAlign w:val="bottom"/>
          </w:tcPr>
          <w:p>
            <w:pPr>
              <w:spacing w:after="0"/>
              <w:rPr>
                <w:sz w:val="1"/>
                <w:szCs w:val="1"/>
                <w:color w:val="auto"/>
              </w:rPr>
            </w:pPr>
          </w:p>
        </w:tc>
      </w:tr>
      <w:tr>
        <w:trPr>
          <w:trHeight w:val="118"/>
        </w:trPr>
        <w:tc>
          <w:tcPr>
            <w:tcW w:w="3080" w:type="dxa"/>
            <w:vAlign w:val="bottom"/>
            <w:shd w:val="clear" w:color="auto" w:fill="99B7C6"/>
          </w:tcPr>
          <w:p>
            <w:pPr>
              <w:spacing w:after="0"/>
              <w:rPr>
                <w:sz w:val="10"/>
                <w:szCs w:val="10"/>
                <w:color w:val="auto"/>
              </w:rPr>
            </w:pPr>
          </w:p>
        </w:tc>
        <w:tc>
          <w:tcPr>
            <w:tcW w:w="1260" w:type="dxa"/>
            <w:vAlign w:val="bottom"/>
            <w:vMerge w:val="continue"/>
            <w:shd w:val="clear" w:color="auto" w:fill="99B7C6"/>
          </w:tcPr>
          <w:p>
            <w:pPr>
              <w:spacing w:after="0"/>
              <w:rPr>
                <w:sz w:val="10"/>
                <w:szCs w:val="10"/>
                <w:color w:val="auto"/>
              </w:rPr>
            </w:pPr>
          </w:p>
        </w:tc>
        <w:tc>
          <w:tcPr>
            <w:tcW w:w="1100" w:type="dxa"/>
            <w:vAlign w:val="bottom"/>
            <w:vMerge w:val="restart"/>
            <w:shd w:val="clear" w:color="auto" w:fill="99B7C6"/>
          </w:tcPr>
          <w:p>
            <w:pPr>
              <w:jc w:val="right"/>
              <w:ind w:right="134"/>
              <w:spacing w:after="0"/>
              <w:rPr>
                <w:sz w:val="20"/>
                <w:szCs w:val="20"/>
                <w:color w:val="auto"/>
              </w:rPr>
            </w:pPr>
            <w:r>
              <w:rPr>
                <w:rFonts w:ascii="Arial" w:cs="Arial" w:eastAsia="Arial" w:hAnsi="Arial"/>
                <w:sz w:val="11"/>
                <w:szCs w:val="11"/>
                <w:b w:val="1"/>
                <w:bCs w:val="1"/>
                <w:color w:val="FFFFFF"/>
              </w:rPr>
              <w:t>Retirement at</w:t>
            </w:r>
          </w:p>
        </w:tc>
        <w:tc>
          <w:tcPr>
            <w:tcW w:w="1140" w:type="dxa"/>
            <w:vAlign w:val="bottom"/>
            <w:vMerge w:val="restart"/>
            <w:shd w:val="clear" w:color="auto" w:fill="99B7C6"/>
          </w:tcPr>
          <w:p>
            <w:pPr>
              <w:jc w:val="right"/>
              <w:ind w:right="134"/>
              <w:spacing w:after="0"/>
              <w:rPr>
                <w:sz w:val="20"/>
                <w:szCs w:val="20"/>
                <w:color w:val="auto"/>
              </w:rPr>
            </w:pPr>
            <w:r>
              <w:rPr>
                <w:rFonts w:ascii="Arial" w:cs="Arial" w:eastAsia="Arial" w:hAnsi="Arial"/>
                <w:sz w:val="11"/>
                <w:szCs w:val="11"/>
                <w:b w:val="1"/>
                <w:bCs w:val="1"/>
                <w:color w:val="FFFFFF"/>
              </w:rPr>
              <w:t>Death at</w:t>
            </w:r>
          </w:p>
        </w:tc>
        <w:tc>
          <w:tcPr>
            <w:tcW w:w="1120" w:type="dxa"/>
            <w:vAlign w:val="bottom"/>
            <w:vMerge w:val="restart"/>
            <w:shd w:val="clear" w:color="auto" w:fill="99B7C6"/>
          </w:tcPr>
          <w:p>
            <w:pPr>
              <w:jc w:val="right"/>
              <w:ind w:right="134"/>
              <w:spacing w:after="0"/>
              <w:rPr>
                <w:sz w:val="20"/>
                <w:szCs w:val="20"/>
                <w:color w:val="auto"/>
              </w:rPr>
            </w:pPr>
            <w:r>
              <w:rPr>
                <w:rFonts w:ascii="Arial" w:cs="Arial" w:eastAsia="Arial" w:hAnsi="Arial"/>
                <w:sz w:val="11"/>
                <w:szCs w:val="11"/>
                <w:b w:val="1"/>
                <w:bCs w:val="1"/>
                <w:color w:val="FFFFFF"/>
              </w:rPr>
              <w:t>Disability at</w:t>
            </w:r>
          </w:p>
        </w:tc>
        <w:tc>
          <w:tcPr>
            <w:tcW w:w="1200" w:type="dxa"/>
            <w:vAlign w:val="bottom"/>
            <w:shd w:val="clear" w:color="auto" w:fill="99B7C6"/>
          </w:tcPr>
          <w:p>
            <w:pPr>
              <w:jc w:val="right"/>
              <w:ind w:right="197"/>
              <w:spacing w:after="0" w:line="118" w:lineRule="exact"/>
              <w:rPr>
                <w:sz w:val="20"/>
                <w:szCs w:val="20"/>
                <w:color w:val="auto"/>
              </w:rPr>
            </w:pPr>
            <w:r>
              <w:rPr>
                <w:rFonts w:ascii="Arial" w:cs="Arial" w:eastAsia="Arial" w:hAnsi="Arial"/>
                <w:sz w:val="11"/>
                <w:szCs w:val="11"/>
                <w:b w:val="1"/>
                <w:bCs w:val="1"/>
                <w:color w:val="FFFFFF"/>
              </w:rPr>
              <w:t>Cause or for</w:t>
            </w:r>
          </w:p>
        </w:tc>
        <w:tc>
          <w:tcPr>
            <w:tcW w:w="1020" w:type="dxa"/>
            <w:vAlign w:val="bottom"/>
            <w:vMerge w:val="continue"/>
            <w:shd w:val="clear" w:color="auto" w:fill="99B7C6"/>
          </w:tcPr>
          <w:p>
            <w:pPr>
              <w:spacing w:after="0"/>
              <w:rPr>
                <w:sz w:val="10"/>
                <w:szCs w:val="10"/>
                <w:color w:val="auto"/>
              </w:rPr>
            </w:pPr>
          </w:p>
        </w:tc>
        <w:tc>
          <w:tcPr>
            <w:tcW w:w="1020" w:type="dxa"/>
            <w:vAlign w:val="bottom"/>
            <w:shd w:val="clear" w:color="auto" w:fill="99B7C6"/>
          </w:tcPr>
          <w:p>
            <w:pPr>
              <w:jc w:val="right"/>
              <w:ind w:right="38"/>
              <w:spacing w:after="0" w:line="118" w:lineRule="exact"/>
              <w:rPr>
                <w:sz w:val="20"/>
                <w:szCs w:val="20"/>
                <w:color w:val="auto"/>
              </w:rPr>
            </w:pPr>
            <w:r>
              <w:rPr>
                <w:rFonts w:ascii="Arial" w:cs="Arial" w:eastAsia="Arial" w:hAnsi="Arial"/>
                <w:sz w:val="11"/>
                <w:szCs w:val="11"/>
                <w:b w:val="1"/>
                <w:bCs w:val="1"/>
                <w:color w:val="FFFFFF"/>
              </w:rPr>
              <w:t>Upon Change</w:t>
            </w:r>
          </w:p>
        </w:tc>
        <w:tc>
          <w:tcPr>
            <w:tcW w:w="0" w:type="dxa"/>
            <w:vAlign w:val="bottom"/>
          </w:tcPr>
          <w:p>
            <w:pPr>
              <w:spacing w:after="0"/>
              <w:rPr>
                <w:sz w:val="1"/>
                <w:szCs w:val="1"/>
                <w:color w:val="auto"/>
              </w:rPr>
            </w:pPr>
          </w:p>
        </w:tc>
      </w:tr>
      <w:tr>
        <w:trPr>
          <w:trHeight w:val="118"/>
        </w:trPr>
        <w:tc>
          <w:tcPr>
            <w:tcW w:w="3080" w:type="dxa"/>
            <w:vAlign w:val="bottom"/>
            <w:shd w:val="clear" w:color="auto" w:fill="99B7C6"/>
          </w:tcPr>
          <w:p>
            <w:pPr>
              <w:spacing w:after="0"/>
              <w:rPr>
                <w:sz w:val="10"/>
                <w:szCs w:val="10"/>
                <w:color w:val="auto"/>
              </w:rPr>
            </w:pPr>
          </w:p>
        </w:tc>
        <w:tc>
          <w:tcPr>
            <w:tcW w:w="1260" w:type="dxa"/>
            <w:vAlign w:val="bottom"/>
            <w:shd w:val="clear" w:color="auto" w:fill="99B7C6"/>
          </w:tcPr>
          <w:p>
            <w:pPr>
              <w:jc w:val="right"/>
              <w:ind w:right="155"/>
              <w:spacing w:after="0" w:line="118" w:lineRule="exact"/>
              <w:rPr>
                <w:sz w:val="20"/>
                <w:szCs w:val="20"/>
                <w:color w:val="auto"/>
              </w:rPr>
            </w:pPr>
            <w:r>
              <w:rPr>
                <w:rFonts w:ascii="Arial" w:cs="Arial" w:eastAsia="Arial" w:hAnsi="Arial"/>
                <w:sz w:val="11"/>
                <w:szCs w:val="11"/>
                <w:b w:val="1"/>
                <w:bCs w:val="1"/>
                <w:color w:val="FFFFFF"/>
              </w:rPr>
              <w:t>Termination</w:t>
            </w:r>
          </w:p>
        </w:tc>
        <w:tc>
          <w:tcPr>
            <w:tcW w:w="1100" w:type="dxa"/>
            <w:vAlign w:val="bottom"/>
            <w:vMerge w:val="continue"/>
            <w:shd w:val="clear" w:color="auto" w:fill="99B7C6"/>
          </w:tcPr>
          <w:p>
            <w:pPr>
              <w:spacing w:after="0"/>
              <w:rPr>
                <w:sz w:val="10"/>
                <w:szCs w:val="10"/>
                <w:color w:val="auto"/>
              </w:rPr>
            </w:pPr>
          </w:p>
        </w:tc>
        <w:tc>
          <w:tcPr>
            <w:tcW w:w="1140" w:type="dxa"/>
            <w:vAlign w:val="bottom"/>
            <w:vMerge w:val="continue"/>
            <w:shd w:val="clear" w:color="auto" w:fill="99B7C6"/>
          </w:tcPr>
          <w:p>
            <w:pPr>
              <w:spacing w:after="0"/>
              <w:rPr>
                <w:sz w:val="10"/>
                <w:szCs w:val="10"/>
                <w:color w:val="auto"/>
              </w:rPr>
            </w:pPr>
          </w:p>
        </w:tc>
        <w:tc>
          <w:tcPr>
            <w:tcW w:w="1120" w:type="dxa"/>
            <w:vAlign w:val="bottom"/>
            <w:vMerge w:val="continue"/>
            <w:shd w:val="clear" w:color="auto" w:fill="99B7C6"/>
          </w:tcPr>
          <w:p>
            <w:pPr>
              <w:spacing w:after="0"/>
              <w:rPr>
                <w:sz w:val="10"/>
                <w:szCs w:val="10"/>
                <w:color w:val="auto"/>
              </w:rPr>
            </w:pPr>
          </w:p>
        </w:tc>
        <w:tc>
          <w:tcPr>
            <w:tcW w:w="1200" w:type="dxa"/>
            <w:vAlign w:val="bottom"/>
            <w:shd w:val="clear" w:color="auto" w:fill="99B7C6"/>
          </w:tcPr>
          <w:p>
            <w:pPr>
              <w:jc w:val="right"/>
              <w:ind w:right="197"/>
              <w:spacing w:after="0" w:line="118" w:lineRule="exact"/>
              <w:rPr>
                <w:sz w:val="20"/>
                <w:szCs w:val="20"/>
                <w:color w:val="auto"/>
              </w:rPr>
            </w:pPr>
            <w:r>
              <w:rPr>
                <w:rFonts w:ascii="Arial" w:cs="Arial" w:eastAsia="Arial" w:hAnsi="Arial"/>
                <w:sz w:val="11"/>
                <w:szCs w:val="11"/>
                <w:b w:val="1"/>
                <w:bCs w:val="1"/>
                <w:color w:val="FFFFFF"/>
              </w:rPr>
              <w:t>Good Reason</w:t>
            </w:r>
          </w:p>
        </w:tc>
        <w:tc>
          <w:tcPr>
            <w:tcW w:w="1020" w:type="dxa"/>
            <w:vAlign w:val="bottom"/>
            <w:shd w:val="clear" w:color="auto" w:fill="99B7C6"/>
          </w:tcPr>
          <w:p>
            <w:pPr>
              <w:jc w:val="right"/>
              <w:ind w:right="95"/>
              <w:spacing w:after="0" w:line="118" w:lineRule="exact"/>
              <w:rPr>
                <w:sz w:val="20"/>
                <w:szCs w:val="20"/>
                <w:color w:val="auto"/>
              </w:rPr>
            </w:pPr>
            <w:r>
              <w:rPr>
                <w:rFonts w:ascii="Arial" w:cs="Arial" w:eastAsia="Arial" w:hAnsi="Arial"/>
                <w:sz w:val="11"/>
                <w:szCs w:val="11"/>
                <w:b w:val="1"/>
                <w:bCs w:val="1"/>
                <w:color w:val="FFFFFF"/>
              </w:rPr>
              <w:t>for Cause at</w:t>
            </w:r>
          </w:p>
        </w:tc>
        <w:tc>
          <w:tcPr>
            <w:tcW w:w="1020" w:type="dxa"/>
            <w:vAlign w:val="bottom"/>
            <w:shd w:val="clear" w:color="auto" w:fill="99B7C6"/>
          </w:tcPr>
          <w:p>
            <w:pPr>
              <w:jc w:val="right"/>
              <w:ind w:right="38"/>
              <w:spacing w:after="0" w:line="118" w:lineRule="exact"/>
              <w:rPr>
                <w:sz w:val="20"/>
                <w:szCs w:val="20"/>
                <w:color w:val="auto"/>
              </w:rPr>
            </w:pPr>
            <w:r>
              <w:rPr>
                <w:rFonts w:ascii="Arial" w:cs="Arial" w:eastAsia="Arial" w:hAnsi="Arial"/>
                <w:sz w:val="11"/>
                <w:szCs w:val="11"/>
                <w:b w:val="1"/>
                <w:bCs w:val="1"/>
                <w:color w:val="FFFFFF"/>
              </w:rPr>
              <w:t>in Control at</w:t>
            </w:r>
          </w:p>
        </w:tc>
        <w:tc>
          <w:tcPr>
            <w:tcW w:w="0" w:type="dxa"/>
            <w:vAlign w:val="bottom"/>
          </w:tcPr>
          <w:p>
            <w:pPr>
              <w:spacing w:after="0"/>
              <w:rPr>
                <w:sz w:val="1"/>
                <w:szCs w:val="1"/>
                <w:color w:val="auto"/>
              </w:rPr>
            </w:pPr>
          </w:p>
        </w:tc>
      </w:tr>
      <w:tr>
        <w:trPr>
          <w:trHeight w:val="125"/>
        </w:trPr>
        <w:tc>
          <w:tcPr>
            <w:tcW w:w="3080" w:type="dxa"/>
            <w:vAlign w:val="bottom"/>
            <w:vMerge w:val="restart"/>
            <w:shd w:val="clear" w:color="auto" w:fill="99B7C6"/>
          </w:tcPr>
          <w:p>
            <w:pPr>
              <w:ind w:left="60"/>
              <w:spacing w:after="0"/>
              <w:rPr>
                <w:sz w:val="20"/>
                <w:szCs w:val="20"/>
                <w:color w:val="auto"/>
              </w:rPr>
            </w:pPr>
            <w:r>
              <w:rPr>
                <w:rFonts w:ascii="Arial" w:cs="Arial" w:eastAsia="Arial" w:hAnsi="Arial"/>
                <w:sz w:val="11"/>
                <w:szCs w:val="11"/>
                <w:b w:val="1"/>
                <w:bCs w:val="1"/>
                <w:color w:val="FFFFFF"/>
              </w:rPr>
              <w:t>Stefan Larsson</w:t>
            </w:r>
            <w:r>
              <w:rPr>
                <w:rFonts w:ascii="Arial" w:cs="Arial" w:eastAsia="Arial" w:hAnsi="Arial"/>
                <w:sz w:val="12"/>
                <w:szCs w:val="12"/>
                <w:color w:val="FFFFFF"/>
                <w:vertAlign w:val="superscript"/>
              </w:rPr>
              <w:t>1</w:t>
            </w:r>
          </w:p>
        </w:tc>
        <w:tc>
          <w:tcPr>
            <w:tcW w:w="1260" w:type="dxa"/>
            <w:vAlign w:val="bottom"/>
            <w:shd w:val="clear" w:color="auto" w:fill="99B7C6"/>
          </w:tcPr>
          <w:p>
            <w:pPr>
              <w:jc w:val="right"/>
              <w:ind w:right="155"/>
              <w:spacing w:after="0" w:line="125" w:lineRule="exact"/>
              <w:rPr>
                <w:sz w:val="20"/>
                <w:szCs w:val="20"/>
                <w:color w:val="auto"/>
              </w:rPr>
            </w:pPr>
            <w:r>
              <w:rPr>
                <w:rFonts w:ascii="Arial" w:cs="Arial" w:eastAsia="Arial" w:hAnsi="Arial"/>
                <w:sz w:val="11"/>
                <w:szCs w:val="11"/>
                <w:b w:val="1"/>
                <w:bCs w:val="1"/>
                <w:color w:val="FFFFFF"/>
              </w:rPr>
              <w:t>on February 1,</w:t>
            </w:r>
          </w:p>
        </w:tc>
        <w:tc>
          <w:tcPr>
            <w:tcW w:w="1100" w:type="dxa"/>
            <w:vAlign w:val="bottom"/>
            <w:shd w:val="clear" w:color="auto" w:fill="99B7C6"/>
          </w:tcPr>
          <w:p>
            <w:pPr>
              <w:jc w:val="right"/>
              <w:ind w:right="134"/>
              <w:spacing w:after="0" w:line="125" w:lineRule="exact"/>
              <w:rPr>
                <w:sz w:val="20"/>
                <w:szCs w:val="20"/>
                <w:color w:val="auto"/>
              </w:rPr>
            </w:pPr>
            <w:r>
              <w:rPr>
                <w:rFonts w:ascii="Arial" w:cs="Arial" w:eastAsia="Arial" w:hAnsi="Arial"/>
                <w:sz w:val="11"/>
                <w:szCs w:val="11"/>
                <w:b w:val="1"/>
                <w:bCs w:val="1"/>
                <w:color w:val="FFFFFF"/>
              </w:rPr>
              <w:t>February 1,</w:t>
            </w:r>
          </w:p>
        </w:tc>
        <w:tc>
          <w:tcPr>
            <w:tcW w:w="1140" w:type="dxa"/>
            <w:vAlign w:val="bottom"/>
            <w:shd w:val="clear" w:color="auto" w:fill="99B7C6"/>
          </w:tcPr>
          <w:p>
            <w:pPr>
              <w:jc w:val="right"/>
              <w:ind w:right="134"/>
              <w:spacing w:after="0" w:line="125" w:lineRule="exact"/>
              <w:rPr>
                <w:sz w:val="20"/>
                <w:szCs w:val="20"/>
                <w:color w:val="auto"/>
              </w:rPr>
            </w:pPr>
            <w:r>
              <w:rPr>
                <w:rFonts w:ascii="Arial" w:cs="Arial" w:eastAsia="Arial" w:hAnsi="Arial"/>
                <w:sz w:val="11"/>
                <w:szCs w:val="11"/>
                <w:b w:val="1"/>
                <w:bCs w:val="1"/>
                <w:color w:val="FFFFFF"/>
              </w:rPr>
              <w:t>February 1,</w:t>
            </w:r>
          </w:p>
        </w:tc>
        <w:tc>
          <w:tcPr>
            <w:tcW w:w="1120" w:type="dxa"/>
            <w:vAlign w:val="bottom"/>
            <w:shd w:val="clear" w:color="auto" w:fill="99B7C6"/>
          </w:tcPr>
          <w:p>
            <w:pPr>
              <w:jc w:val="right"/>
              <w:ind w:right="134"/>
              <w:spacing w:after="0" w:line="125" w:lineRule="exact"/>
              <w:rPr>
                <w:sz w:val="20"/>
                <w:szCs w:val="20"/>
                <w:color w:val="auto"/>
              </w:rPr>
            </w:pPr>
            <w:r>
              <w:rPr>
                <w:rFonts w:ascii="Arial" w:cs="Arial" w:eastAsia="Arial" w:hAnsi="Arial"/>
                <w:sz w:val="11"/>
                <w:szCs w:val="11"/>
                <w:b w:val="1"/>
                <w:bCs w:val="1"/>
                <w:color w:val="FFFFFF"/>
              </w:rPr>
              <w:t>February 1,</w:t>
            </w:r>
          </w:p>
        </w:tc>
        <w:tc>
          <w:tcPr>
            <w:tcW w:w="1200" w:type="dxa"/>
            <w:vAlign w:val="bottom"/>
            <w:shd w:val="clear" w:color="auto" w:fill="99B7C6"/>
          </w:tcPr>
          <w:p>
            <w:pPr>
              <w:jc w:val="right"/>
              <w:ind w:right="197"/>
              <w:spacing w:after="0" w:line="125" w:lineRule="exact"/>
              <w:rPr>
                <w:sz w:val="20"/>
                <w:szCs w:val="20"/>
                <w:color w:val="auto"/>
              </w:rPr>
            </w:pPr>
            <w:r>
              <w:rPr>
                <w:rFonts w:ascii="Arial" w:cs="Arial" w:eastAsia="Arial" w:hAnsi="Arial"/>
                <w:sz w:val="11"/>
                <w:szCs w:val="11"/>
                <w:b w:val="1"/>
                <w:bCs w:val="1"/>
                <w:color w:val="FFFFFF"/>
              </w:rPr>
              <w:t>on February 1,</w:t>
            </w:r>
          </w:p>
        </w:tc>
        <w:tc>
          <w:tcPr>
            <w:tcW w:w="1020" w:type="dxa"/>
            <w:vAlign w:val="bottom"/>
            <w:shd w:val="clear" w:color="auto" w:fill="99B7C6"/>
          </w:tcPr>
          <w:p>
            <w:pPr>
              <w:jc w:val="right"/>
              <w:ind w:right="95"/>
              <w:spacing w:after="0" w:line="125" w:lineRule="exact"/>
              <w:rPr>
                <w:sz w:val="20"/>
                <w:szCs w:val="20"/>
                <w:color w:val="auto"/>
              </w:rPr>
            </w:pPr>
            <w:r>
              <w:rPr>
                <w:rFonts w:ascii="Arial" w:cs="Arial" w:eastAsia="Arial" w:hAnsi="Arial"/>
                <w:sz w:val="11"/>
                <w:szCs w:val="11"/>
                <w:b w:val="1"/>
                <w:bCs w:val="1"/>
                <w:color w:val="FFFFFF"/>
              </w:rPr>
              <w:t>February 1,</w:t>
            </w:r>
          </w:p>
        </w:tc>
        <w:tc>
          <w:tcPr>
            <w:tcW w:w="1020" w:type="dxa"/>
            <w:vAlign w:val="bottom"/>
            <w:shd w:val="clear" w:color="auto" w:fill="99B7C6"/>
          </w:tcPr>
          <w:p>
            <w:pPr>
              <w:jc w:val="right"/>
              <w:ind w:right="38"/>
              <w:spacing w:after="0" w:line="125" w:lineRule="exact"/>
              <w:rPr>
                <w:sz w:val="20"/>
                <w:szCs w:val="20"/>
                <w:color w:val="auto"/>
              </w:rPr>
            </w:pPr>
            <w:r>
              <w:rPr>
                <w:rFonts w:ascii="Arial" w:cs="Arial" w:eastAsia="Arial" w:hAnsi="Arial"/>
                <w:sz w:val="11"/>
                <w:szCs w:val="11"/>
                <w:b w:val="1"/>
                <w:bCs w:val="1"/>
                <w:color w:val="FFFFFF"/>
              </w:rPr>
              <w:t>February 1,</w:t>
            </w:r>
          </w:p>
        </w:tc>
        <w:tc>
          <w:tcPr>
            <w:tcW w:w="0" w:type="dxa"/>
            <w:vAlign w:val="bottom"/>
          </w:tcPr>
          <w:p>
            <w:pPr>
              <w:spacing w:after="0"/>
              <w:rPr>
                <w:sz w:val="1"/>
                <w:szCs w:val="1"/>
                <w:color w:val="auto"/>
              </w:rPr>
            </w:pPr>
          </w:p>
        </w:tc>
      </w:tr>
      <w:tr>
        <w:trPr>
          <w:trHeight w:val="170"/>
        </w:trPr>
        <w:tc>
          <w:tcPr>
            <w:tcW w:w="3080" w:type="dxa"/>
            <w:vAlign w:val="bottom"/>
            <w:vMerge w:val="continue"/>
            <w:shd w:val="clear" w:color="auto" w:fill="99B7C6"/>
          </w:tcPr>
          <w:p>
            <w:pPr>
              <w:spacing w:after="0"/>
              <w:rPr>
                <w:sz w:val="14"/>
                <w:szCs w:val="14"/>
                <w:color w:val="auto"/>
              </w:rPr>
            </w:pPr>
          </w:p>
        </w:tc>
        <w:tc>
          <w:tcPr>
            <w:tcW w:w="1260" w:type="dxa"/>
            <w:vAlign w:val="bottom"/>
            <w:shd w:val="clear" w:color="auto" w:fill="99B7C6"/>
          </w:tcPr>
          <w:p>
            <w:pPr>
              <w:jc w:val="right"/>
              <w:ind w:right="135"/>
              <w:spacing w:after="0"/>
              <w:rPr>
                <w:sz w:val="20"/>
                <w:szCs w:val="20"/>
                <w:color w:val="auto"/>
              </w:rPr>
            </w:pPr>
            <w:r>
              <w:rPr>
                <w:rFonts w:ascii="Arial" w:cs="Arial" w:eastAsia="Arial" w:hAnsi="Arial"/>
                <w:sz w:val="11"/>
                <w:szCs w:val="11"/>
                <w:b w:val="1"/>
                <w:bCs w:val="1"/>
                <w:color w:val="FFFFFF"/>
              </w:rPr>
              <w:t>2026</w:t>
            </w:r>
          </w:p>
        </w:tc>
        <w:tc>
          <w:tcPr>
            <w:tcW w:w="1100" w:type="dxa"/>
            <w:vAlign w:val="bottom"/>
            <w:shd w:val="clear" w:color="auto" w:fill="99B7C6"/>
          </w:tcPr>
          <w:p>
            <w:pPr>
              <w:jc w:val="right"/>
              <w:ind w:right="94"/>
              <w:spacing w:after="0"/>
              <w:rPr>
                <w:sz w:val="20"/>
                <w:szCs w:val="20"/>
                <w:color w:val="auto"/>
              </w:rPr>
            </w:pPr>
            <w:r>
              <w:rPr>
                <w:rFonts w:ascii="Arial" w:cs="Arial" w:eastAsia="Arial" w:hAnsi="Arial"/>
                <w:sz w:val="11"/>
                <w:szCs w:val="11"/>
                <w:b w:val="1"/>
                <w:bCs w:val="1"/>
                <w:color w:val="FFFFFF"/>
              </w:rPr>
              <w:t>2026</w:t>
            </w:r>
          </w:p>
        </w:tc>
        <w:tc>
          <w:tcPr>
            <w:tcW w:w="1140" w:type="dxa"/>
            <w:vAlign w:val="bottom"/>
            <w:shd w:val="clear" w:color="auto" w:fill="99B7C6"/>
          </w:tcPr>
          <w:p>
            <w:pPr>
              <w:jc w:val="right"/>
              <w:ind w:right="114"/>
              <w:spacing w:after="0"/>
              <w:rPr>
                <w:sz w:val="20"/>
                <w:szCs w:val="20"/>
                <w:color w:val="auto"/>
              </w:rPr>
            </w:pPr>
            <w:r>
              <w:rPr>
                <w:rFonts w:ascii="Arial" w:cs="Arial" w:eastAsia="Arial" w:hAnsi="Arial"/>
                <w:sz w:val="11"/>
                <w:szCs w:val="11"/>
                <w:b w:val="1"/>
                <w:bCs w:val="1"/>
                <w:color w:val="FFFFFF"/>
              </w:rPr>
              <w:t>2026</w:t>
            </w:r>
          </w:p>
        </w:tc>
        <w:tc>
          <w:tcPr>
            <w:tcW w:w="1120" w:type="dxa"/>
            <w:vAlign w:val="bottom"/>
            <w:shd w:val="clear" w:color="auto" w:fill="99B7C6"/>
          </w:tcPr>
          <w:p>
            <w:pPr>
              <w:jc w:val="right"/>
              <w:ind w:right="94"/>
              <w:spacing w:after="0"/>
              <w:rPr>
                <w:sz w:val="20"/>
                <w:szCs w:val="20"/>
                <w:color w:val="auto"/>
              </w:rPr>
            </w:pPr>
            <w:r>
              <w:rPr>
                <w:rFonts w:ascii="Arial" w:cs="Arial" w:eastAsia="Arial" w:hAnsi="Arial"/>
                <w:sz w:val="11"/>
                <w:szCs w:val="11"/>
                <w:b w:val="1"/>
                <w:bCs w:val="1"/>
                <w:color w:val="FFFFFF"/>
              </w:rPr>
              <w:t>2026</w:t>
            </w:r>
          </w:p>
        </w:tc>
        <w:tc>
          <w:tcPr>
            <w:tcW w:w="1200" w:type="dxa"/>
            <w:vAlign w:val="bottom"/>
            <w:shd w:val="clear" w:color="auto" w:fill="99B7C6"/>
          </w:tcPr>
          <w:p>
            <w:pPr>
              <w:jc w:val="right"/>
              <w:ind w:right="177"/>
              <w:spacing w:after="0"/>
              <w:rPr>
                <w:sz w:val="20"/>
                <w:szCs w:val="20"/>
                <w:color w:val="auto"/>
              </w:rPr>
            </w:pPr>
            <w:r>
              <w:rPr>
                <w:rFonts w:ascii="Arial" w:cs="Arial" w:eastAsia="Arial" w:hAnsi="Arial"/>
                <w:sz w:val="11"/>
                <w:szCs w:val="11"/>
                <w:b w:val="1"/>
                <w:bCs w:val="1"/>
                <w:color w:val="FFFFFF"/>
              </w:rPr>
              <w:t>2026</w:t>
            </w:r>
          </w:p>
        </w:tc>
        <w:tc>
          <w:tcPr>
            <w:tcW w:w="1020" w:type="dxa"/>
            <w:vAlign w:val="bottom"/>
            <w:shd w:val="clear" w:color="auto" w:fill="99B7C6"/>
          </w:tcPr>
          <w:p>
            <w:pPr>
              <w:jc w:val="right"/>
              <w:ind w:right="75"/>
              <w:spacing w:after="0"/>
              <w:rPr>
                <w:sz w:val="20"/>
                <w:szCs w:val="20"/>
                <w:color w:val="auto"/>
              </w:rPr>
            </w:pPr>
            <w:r>
              <w:rPr>
                <w:rFonts w:ascii="Arial" w:cs="Arial" w:eastAsia="Arial" w:hAnsi="Arial"/>
                <w:sz w:val="11"/>
                <w:szCs w:val="11"/>
                <w:b w:val="1"/>
                <w:bCs w:val="1"/>
                <w:color w:val="FFFFFF"/>
              </w:rPr>
              <w:t>2026</w:t>
            </w:r>
          </w:p>
        </w:tc>
        <w:tc>
          <w:tcPr>
            <w:tcW w:w="1020" w:type="dxa"/>
            <w:vAlign w:val="bottom"/>
            <w:shd w:val="clear" w:color="auto" w:fill="99B7C6"/>
          </w:tcPr>
          <w:p>
            <w:pPr>
              <w:jc w:val="right"/>
              <w:ind w:right="38"/>
              <w:spacing w:after="0"/>
              <w:rPr>
                <w:sz w:val="20"/>
                <w:szCs w:val="20"/>
                <w:color w:val="auto"/>
              </w:rPr>
            </w:pPr>
            <w:r>
              <w:rPr>
                <w:rFonts w:ascii="Arial" w:cs="Arial" w:eastAsia="Arial" w:hAnsi="Arial"/>
                <w:sz w:val="11"/>
                <w:szCs w:val="11"/>
                <w:b w:val="1"/>
                <w:bCs w:val="1"/>
                <w:color w:val="FFFFFF"/>
              </w:rPr>
              <w:t>2026</w:t>
            </w:r>
            <w:r>
              <w:rPr>
                <w:rFonts w:ascii="Arial" w:cs="Arial" w:eastAsia="Arial" w:hAnsi="Arial"/>
                <w:sz w:val="12"/>
                <w:szCs w:val="12"/>
                <w:color w:val="FFFFFF"/>
                <w:vertAlign w:val="superscript"/>
              </w:rPr>
              <w:t>2</w:t>
            </w:r>
          </w:p>
        </w:tc>
        <w:tc>
          <w:tcPr>
            <w:tcW w:w="0" w:type="dxa"/>
            <w:vAlign w:val="bottom"/>
          </w:tcPr>
          <w:p>
            <w:pPr>
              <w:spacing w:after="0"/>
              <w:rPr>
                <w:sz w:val="1"/>
                <w:szCs w:val="1"/>
                <w:color w:val="auto"/>
              </w:rPr>
            </w:pPr>
          </w:p>
        </w:tc>
      </w:tr>
      <w:tr>
        <w:trPr>
          <w:trHeight w:val="310"/>
        </w:trPr>
        <w:tc>
          <w:tcPr>
            <w:tcW w:w="308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Severance value</w:t>
            </w:r>
            <w:r>
              <w:rPr>
                <w:rFonts w:ascii="Arial" w:cs="Arial" w:eastAsia="Arial" w:hAnsi="Arial"/>
                <w:sz w:val="16"/>
                <w:szCs w:val="16"/>
                <w:color w:val="auto"/>
                <w:vertAlign w:val="superscript"/>
              </w:rPr>
              <w:t>3</w:t>
            </w:r>
          </w:p>
        </w:tc>
        <w:tc>
          <w:tcPr>
            <w:tcW w:w="1260" w:type="dxa"/>
            <w:vAlign w:val="bottom"/>
            <w:tcBorders>
              <w:bottom w:val="single" w:sz="8" w:color="E9F0F3"/>
            </w:tcBorders>
            <w:shd w:val="clear" w:color="auto" w:fill="E9F0F3"/>
          </w:tcPr>
          <w:p>
            <w:pPr>
              <w:jc w:val="right"/>
              <w:ind w:right="135"/>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E9F0F3"/>
            </w:tcBorders>
            <w:shd w:val="clear" w:color="auto" w:fill="E9F0F3"/>
          </w:tcPr>
          <w:p>
            <w:pPr>
              <w:jc w:val="right"/>
              <w:ind w:right="94"/>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E9F0F3"/>
            </w:tcBorders>
            <w:shd w:val="clear" w:color="auto" w:fill="E9F0F3"/>
          </w:tcPr>
          <w:p>
            <w:pPr>
              <w:jc w:val="right"/>
              <w:ind w:right="114"/>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E9F0F3"/>
            </w:tcBorders>
            <w:shd w:val="clear" w:color="auto" w:fill="E9F0F3"/>
          </w:tcPr>
          <w:p>
            <w:pPr>
              <w:jc w:val="right"/>
              <w:ind w:right="94"/>
              <w:spacing w:after="0"/>
              <w:rPr>
                <w:sz w:val="20"/>
                <w:szCs w:val="20"/>
                <w:color w:val="auto"/>
              </w:rPr>
            </w:pPr>
            <w:r>
              <w:rPr>
                <w:rFonts w:ascii="Arial" w:cs="Arial" w:eastAsia="Arial" w:hAnsi="Arial"/>
                <w:sz w:val="14"/>
                <w:szCs w:val="14"/>
                <w:color w:val="auto"/>
              </w:rPr>
              <w:t>$0</w:t>
            </w:r>
          </w:p>
        </w:tc>
        <w:tc>
          <w:tcPr>
            <w:tcW w:w="1200" w:type="dxa"/>
            <w:vAlign w:val="bottom"/>
            <w:tcBorders>
              <w:bottom w:val="single" w:sz="8" w:color="E9F0F3"/>
            </w:tcBorders>
            <w:shd w:val="clear" w:color="auto" w:fill="E9F0F3"/>
          </w:tcPr>
          <w:p>
            <w:pPr>
              <w:jc w:val="right"/>
              <w:ind w:right="177"/>
              <w:spacing w:after="0"/>
              <w:rPr>
                <w:sz w:val="20"/>
                <w:szCs w:val="20"/>
                <w:color w:val="auto"/>
              </w:rPr>
            </w:pPr>
            <w:r>
              <w:rPr>
                <w:rFonts w:ascii="Arial" w:cs="Arial" w:eastAsia="Arial" w:hAnsi="Arial"/>
                <w:sz w:val="14"/>
                <w:szCs w:val="14"/>
                <w:color w:val="auto"/>
              </w:rPr>
              <w:t>$8,700,000</w:t>
            </w:r>
          </w:p>
        </w:tc>
        <w:tc>
          <w:tcPr>
            <w:tcW w:w="1020" w:type="dxa"/>
            <w:vAlign w:val="bottom"/>
            <w:tcBorders>
              <w:bottom w:val="single" w:sz="8" w:color="E9F0F3"/>
            </w:tcBorders>
            <w:shd w:val="clear" w:color="auto" w:fill="E9F0F3"/>
          </w:tcPr>
          <w:p>
            <w:pPr>
              <w:jc w:val="right"/>
              <w:ind w:right="75"/>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E9F0F3"/>
            </w:tcBorders>
            <w:shd w:val="clear" w:color="auto" w:fill="E9F0F3"/>
          </w:tcPr>
          <w:p>
            <w:pPr>
              <w:jc w:val="right"/>
              <w:ind w:right="38"/>
              <w:spacing w:after="0"/>
              <w:rPr>
                <w:sz w:val="20"/>
                <w:szCs w:val="20"/>
                <w:color w:val="auto"/>
              </w:rPr>
            </w:pPr>
            <w:r>
              <w:rPr>
                <w:rFonts w:ascii="Arial" w:cs="Arial" w:eastAsia="Arial" w:hAnsi="Arial"/>
                <w:sz w:val="14"/>
                <w:szCs w:val="14"/>
                <w:color w:val="auto"/>
              </w:rPr>
              <w:t>$8,700,000</w:t>
            </w:r>
          </w:p>
        </w:tc>
        <w:tc>
          <w:tcPr>
            <w:tcW w:w="0" w:type="dxa"/>
            <w:vAlign w:val="bottom"/>
          </w:tcPr>
          <w:p>
            <w:pPr>
              <w:spacing w:after="0"/>
              <w:rPr>
                <w:sz w:val="1"/>
                <w:szCs w:val="1"/>
                <w:color w:val="auto"/>
              </w:rPr>
            </w:pPr>
          </w:p>
        </w:tc>
      </w:tr>
      <w:tr>
        <w:trPr>
          <w:trHeight w:val="279"/>
        </w:trPr>
        <w:tc>
          <w:tcPr>
            <w:tcW w:w="3080" w:type="dxa"/>
            <w:vAlign w:val="bottom"/>
          </w:tcPr>
          <w:p>
            <w:pPr>
              <w:ind w:left="60"/>
              <w:spacing w:after="0"/>
              <w:rPr>
                <w:sz w:val="20"/>
                <w:szCs w:val="20"/>
                <w:color w:val="auto"/>
              </w:rPr>
            </w:pPr>
            <w:r>
              <w:rPr>
                <w:rFonts w:ascii="Arial" w:cs="Arial" w:eastAsia="Arial" w:hAnsi="Arial"/>
                <w:sz w:val="14"/>
                <w:szCs w:val="14"/>
                <w:color w:val="auto"/>
              </w:rPr>
              <w:t>Performance Incentive Bonus Plan</w:t>
            </w:r>
            <w:r>
              <w:rPr>
                <w:rFonts w:ascii="Arial" w:cs="Arial" w:eastAsia="Arial" w:hAnsi="Arial"/>
                <w:sz w:val="16"/>
                <w:szCs w:val="16"/>
                <w:color w:val="auto"/>
                <w:vertAlign w:val="superscript"/>
              </w:rPr>
              <w:t>4</w:t>
            </w:r>
          </w:p>
        </w:tc>
        <w:tc>
          <w:tcPr>
            <w:tcW w:w="1260" w:type="dxa"/>
            <w:vAlign w:val="bottom"/>
          </w:tcPr>
          <w:p>
            <w:pPr>
              <w:jc w:val="right"/>
              <w:ind w:right="135"/>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94"/>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14"/>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94"/>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177"/>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75"/>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3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1"/>
        </w:trPr>
        <w:tc>
          <w:tcPr>
            <w:tcW w:w="3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080" w:type="dxa"/>
            <w:vAlign w:val="bottom"/>
            <w:shd w:val="clear" w:color="auto" w:fill="E9F0F3"/>
          </w:tcPr>
          <w:p>
            <w:pPr>
              <w:ind w:left="60"/>
              <w:spacing w:after="0"/>
              <w:rPr>
                <w:sz w:val="20"/>
                <w:szCs w:val="20"/>
                <w:color w:val="auto"/>
              </w:rPr>
            </w:pPr>
            <w:r>
              <w:rPr>
                <w:rFonts w:ascii="Arial" w:cs="Arial" w:eastAsia="Arial" w:hAnsi="Arial"/>
                <w:sz w:val="14"/>
                <w:szCs w:val="14"/>
                <w:color w:val="auto"/>
              </w:rPr>
              <w:t>Value of “in the money” unexercisable stock</w:t>
            </w:r>
          </w:p>
        </w:tc>
        <w:tc>
          <w:tcPr>
            <w:tcW w:w="1260" w:type="dxa"/>
            <w:vAlign w:val="bottom"/>
            <w:shd w:val="clear" w:color="auto" w:fill="E9F0F3"/>
          </w:tcPr>
          <w:p>
            <w:pPr>
              <w:jc w:val="right"/>
              <w:ind w:right="135"/>
              <w:spacing w:after="0"/>
              <w:rPr>
                <w:sz w:val="20"/>
                <w:szCs w:val="20"/>
                <w:color w:val="auto"/>
              </w:rPr>
            </w:pPr>
            <w:r>
              <w:rPr>
                <w:rFonts w:ascii="Arial" w:cs="Arial" w:eastAsia="Arial" w:hAnsi="Arial"/>
                <w:sz w:val="14"/>
                <w:szCs w:val="14"/>
                <w:color w:val="auto"/>
              </w:rPr>
              <w:t>0</w:t>
            </w:r>
          </w:p>
        </w:tc>
        <w:tc>
          <w:tcPr>
            <w:tcW w:w="1100" w:type="dxa"/>
            <w:vAlign w:val="bottom"/>
            <w:shd w:val="clear" w:color="auto" w:fill="E9F0F3"/>
          </w:tcPr>
          <w:p>
            <w:pPr>
              <w:jc w:val="right"/>
              <w:ind w:right="94"/>
              <w:spacing w:after="0"/>
              <w:rPr>
                <w:sz w:val="20"/>
                <w:szCs w:val="20"/>
                <w:color w:val="auto"/>
              </w:rPr>
            </w:pPr>
            <w:r>
              <w:rPr>
                <w:rFonts w:ascii="Arial" w:cs="Arial" w:eastAsia="Arial" w:hAnsi="Arial"/>
                <w:sz w:val="14"/>
                <w:szCs w:val="14"/>
                <w:color w:val="auto"/>
              </w:rPr>
              <w:t>0</w:t>
            </w:r>
          </w:p>
        </w:tc>
        <w:tc>
          <w:tcPr>
            <w:tcW w:w="1140" w:type="dxa"/>
            <w:vAlign w:val="bottom"/>
            <w:shd w:val="clear" w:color="auto" w:fill="E9F0F3"/>
          </w:tcPr>
          <w:p>
            <w:pPr>
              <w:jc w:val="right"/>
              <w:ind w:right="114"/>
              <w:spacing w:after="0"/>
              <w:rPr>
                <w:sz w:val="20"/>
                <w:szCs w:val="20"/>
                <w:color w:val="auto"/>
              </w:rPr>
            </w:pPr>
            <w:r>
              <w:rPr>
                <w:rFonts w:ascii="Arial" w:cs="Arial" w:eastAsia="Arial" w:hAnsi="Arial"/>
                <w:sz w:val="14"/>
                <w:szCs w:val="14"/>
                <w:color w:val="auto"/>
              </w:rPr>
              <w:t>0</w:t>
            </w:r>
          </w:p>
        </w:tc>
        <w:tc>
          <w:tcPr>
            <w:tcW w:w="1120" w:type="dxa"/>
            <w:vAlign w:val="bottom"/>
            <w:shd w:val="clear" w:color="auto" w:fill="E9F0F3"/>
          </w:tcPr>
          <w:p>
            <w:pPr>
              <w:jc w:val="right"/>
              <w:ind w:right="94"/>
              <w:spacing w:after="0"/>
              <w:rPr>
                <w:sz w:val="20"/>
                <w:szCs w:val="20"/>
                <w:color w:val="auto"/>
              </w:rPr>
            </w:pPr>
            <w:r>
              <w:rPr>
                <w:rFonts w:ascii="Arial" w:cs="Arial" w:eastAsia="Arial" w:hAnsi="Arial"/>
                <w:sz w:val="14"/>
                <w:szCs w:val="14"/>
                <w:color w:val="auto"/>
              </w:rPr>
              <w:t>0</w:t>
            </w:r>
          </w:p>
        </w:tc>
        <w:tc>
          <w:tcPr>
            <w:tcW w:w="1200" w:type="dxa"/>
            <w:vAlign w:val="bottom"/>
            <w:shd w:val="clear" w:color="auto" w:fill="E9F0F3"/>
          </w:tcPr>
          <w:p>
            <w:pPr>
              <w:jc w:val="right"/>
              <w:ind w:right="177"/>
              <w:spacing w:after="0"/>
              <w:rPr>
                <w:sz w:val="20"/>
                <w:szCs w:val="20"/>
                <w:color w:val="auto"/>
              </w:rPr>
            </w:pPr>
            <w:r>
              <w:rPr>
                <w:rFonts w:ascii="Arial" w:cs="Arial" w:eastAsia="Arial" w:hAnsi="Arial"/>
                <w:sz w:val="14"/>
                <w:szCs w:val="14"/>
                <w:color w:val="auto"/>
              </w:rPr>
              <w:t>0</w:t>
            </w:r>
          </w:p>
        </w:tc>
        <w:tc>
          <w:tcPr>
            <w:tcW w:w="1020" w:type="dxa"/>
            <w:vAlign w:val="bottom"/>
            <w:shd w:val="clear" w:color="auto" w:fill="E9F0F3"/>
          </w:tcPr>
          <w:p>
            <w:pPr>
              <w:jc w:val="right"/>
              <w:ind w:right="75"/>
              <w:spacing w:after="0"/>
              <w:rPr>
                <w:sz w:val="20"/>
                <w:szCs w:val="20"/>
                <w:color w:val="auto"/>
              </w:rPr>
            </w:pPr>
            <w:r>
              <w:rPr>
                <w:rFonts w:ascii="Arial" w:cs="Arial" w:eastAsia="Arial" w:hAnsi="Arial"/>
                <w:sz w:val="14"/>
                <w:szCs w:val="14"/>
                <w:color w:val="auto"/>
              </w:rPr>
              <w:t>0</w:t>
            </w:r>
          </w:p>
        </w:tc>
        <w:tc>
          <w:tcPr>
            <w:tcW w:w="1020" w:type="dxa"/>
            <w:vAlign w:val="bottom"/>
            <w:shd w:val="clear" w:color="auto" w:fill="E9F0F3"/>
          </w:tcPr>
          <w:p>
            <w:pPr>
              <w:jc w:val="right"/>
              <w:ind w:right="3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51"/>
        </w:trPr>
        <w:tc>
          <w:tcPr>
            <w:tcW w:w="308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options</w:t>
            </w:r>
            <w:r>
              <w:rPr>
                <w:rFonts w:ascii="Arial" w:cs="Arial" w:eastAsia="Arial" w:hAnsi="Arial"/>
                <w:sz w:val="16"/>
                <w:szCs w:val="16"/>
                <w:color w:val="auto"/>
                <w:vertAlign w:val="superscript"/>
              </w:rPr>
              <w:t>5</w:t>
            </w:r>
          </w:p>
        </w:tc>
        <w:tc>
          <w:tcPr>
            <w:tcW w:w="1260" w:type="dxa"/>
            <w:vAlign w:val="bottom"/>
            <w:tcBorders>
              <w:bottom w:val="single" w:sz="8" w:color="E9F0F3"/>
            </w:tcBorders>
            <w:shd w:val="clear" w:color="auto" w:fill="E9F0F3"/>
          </w:tcPr>
          <w:p>
            <w:pPr>
              <w:spacing w:after="0"/>
              <w:rPr>
                <w:sz w:val="21"/>
                <w:szCs w:val="21"/>
                <w:color w:val="auto"/>
              </w:rPr>
            </w:pPr>
          </w:p>
        </w:tc>
        <w:tc>
          <w:tcPr>
            <w:tcW w:w="1100" w:type="dxa"/>
            <w:vAlign w:val="bottom"/>
            <w:tcBorders>
              <w:bottom w:val="single" w:sz="8" w:color="E9F0F3"/>
            </w:tcBorders>
            <w:shd w:val="clear" w:color="auto" w:fill="E9F0F3"/>
          </w:tcPr>
          <w:p>
            <w:pPr>
              <w:spacing w:after="0"/>
              <w:rPr>
                <w:sz w:val="21"/>
                <w:szCs w:val="21"/>
                <w:color w:val="auto"/>
              </w:rPr>
            </w:pPr>
          </w:p>
        </w:tc>
        <w:tc>
          <w:tcPr>
            <w:tcW w:w="1140" w:type="dxa"/>
            <w:vAlign w:val="bottom"/>
            <w:tcBorders>
              <w:bottom w:val="single" w:sz="8" w:color="E9F0F3"/>
            </w:tcBorders>
            <w:shd w:val="clear" w:color="auto" w:fill="E9F0F3"/>
          </w:tcPr>
          <w:p>
            <w:pPr>
              <w:spacing w:after="0"/>
              <w:rPr>
                <w:sz w:val="21"/>
                <w:szCs w:val="21"/>
                <w:color w:val="auto"/>
              </w:rPr>
            </w:pPr>
          </w:p>
        </w:tc>
        <w:tc>
          <w:tcPr>
            <w:tcW w:w="1120" w:type="dxa"/>
            <w:vAlign w:val="bottom"/>
            <w:tcBorders>
              <w:bottom w:val="single" w:sz="8" w:color="E9F0F3"/>
            </w:tcBorders>
            <w:shd w:val="clear" w:color="auto" w:fill="E9F0F3"/>
          </w:tcPr>
          <w:p>
            <w:pPr>
              <w:spacing w:after="0"/>
              <w:rPr>
                <w:sz w:val="21"/>
                <w:szCs w:val="21"/>
                <w:color w:val="auto"/>
              </w:rPr>
            </w:pPr>
          </w:p>
        </w:tc>
        <w:tc>
          <w:tcPr>
            <w:tcW w:w="1200" w:type="dxa"/>
            <w:vAlign w:val="bottom"/>
            <w:tcBorders>
              <w:bottom w:val="single" w:sz="8" w:color="E9F0F3"/>
            </w:tcBorders>
            <w:shd w:val="clear" w:color="auto" w:fill="E9F0F3"/>
          </w:tcPr>
          <w:p>
            <w:pPr>
              <w:spacing w:after="0"/>
              <w:rPr>
                <w:sz w:val="21"/>
                <w:szCs w:val="21"/>
                <w:color w:val="auto"/>
              </w:rPr>
            </w:pPr>
          </w:p>
        </w:tc>
        <w:tc>
          <w:tcPr>
            <w:tcW w:w="1020" w:type="dxa"/>
            <w:vAlign w:val="bottom"/>
            <w:tcBorders>
              <w:bottom w:val="single" w:sz="8" w:color="E9F0F3"/>
            </w:tcBorders>
            <w:shd w:val="clear" w:color="auto" w:fill="E9F0F3"/>
          </w:tcPr>
          <w:p>
            <w:pPr>
              <w:spacing w:after="0"/>
              <w:rPr>
                <w:sz w:val="21"/>
                <w:szCs w:val="21"/>
                <w:color w:val="auto"/>
              </w:rPr>
            </w:pPr>
          </w:p>
        </w:tc>
        <w:tc>
          <w:tcPr>
            <w:tcW w:w="1020" w:type="dxa"/>
            <w:vAlign w:val="bottom"/>
            <w:tcBorders>
              <w:bottom w:val="single" w:sz="8" w:color="E9F0F3"/>
            </w:tcBorders>
            <w:shd w:val="clear" w:color="auto" w:fill="E9F0F3"/>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3080" w:type="dxa"/>
            <w:vAlign w:val="bottom"/>
          </w:tcPr>
          <w:p>
            <w:pPr>
              <w:ind w:left="60"/>
              <w:spacing w:after="0"/>
              <w:rPr>
                <w:sz w:val="20"/>
                <w:szCs w:val="20"/>
                <w:color w:val="auto"/>
              </w:rPr>
            </w:pPr>
            <w:r>
              <w:rPr>
                <w:rFonts w:ascii="Arial" w:cs="Arial" w:eastAsia="Arial" w:hAnsi="Arial"/>
                <w:sz w:val="14"/>
                <w:szCs w:val="14"/>
                <w:color w:val="auto"/>
              </w:rPr>
              <w:t>Value of unvested RSUs</w:t>
            </w:r>
            <w:r>
              <w:rPr>
                <w:rFonts w:ascii="Arial" w:cs="Arial" w:eastAsia="Arial" w:hAnsi="Arial"/>
                <w:sz w:val="16"/>
                <w:szCs w:val="16"/>
                <w:color w:val="auto"/>
                <w:vertAlign w:val="superscript"/>
              </w:rPr>
              <w:t>6</w:t>
            </w:r>
          </w:p>
        </w:tc>
        <w:tc>
          <w:tcPr>
            <w:tcW w:w="1260" w:type="dxa"/>
            <w:vAlign w:val="bottom"/>
          </w:tcPr>
          <w:p>
            <w:pPr>
              <w:jc w:val="right"/>
              <w:ind w:right="135"/>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94"/>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14"/>
              <w:spacing w:after="0"/>
              <w:rPr>
                <w:sz w:val="20"/>
                <w:szCs w:val="20"/>
                <w:color w:val="auto"/>
              </w:rPr>
            </w:pPr>
            <w:r>
              <w:rPr>
                <w:rFonts w:ascii="Arial" w:cs="Arial" w:eastAsia="Arial" w:hAnsi="Arial"/>
                <w:sz w:val="14"/>
                <w:szCs w:val="14"/>
                <w:color w:val="auto"/>
              </w:rPr>
              <w:t>8,186,808</w:t>
            </w:r>
          </w:p>
        </w:tc>
        <w:tc>
          <w:tcPr>
            <w:tcW w:w="1120" w:type="dxa"/>
            <w:vAlign w:val="bottom"/>
          </w:tcPr>
          <w:p>
            <w:pPr>
              <w:jc w:val="right"/>
              <w:ind w:right="94"/>
              <w:spacing w:after="0"/>
              <w:rPr>
                <w:sz w:val="20"/>
                <w:szCs w:val="20"/>
                <w:color w:val="auto"/>
              </w:rPr>
            </w:pPr>
            <w:r>
              <w:rPr>
                <w:rFonts w:ascii="Arial" w:cs="Arial" w:eastAsia="Arial" w:hAnsi="Arial"/>
                <w:sz w:val="14"/>
                <w:szCs w:val="14"/>
                <w:color w:val="auto"/>
              </w:rPr>
              <w:t>8,186,808</w:t>
            </w:r>
          </w:p>
        </w:tc>
        <w:tc>
          <w:tcPr>
            <w:tcW w:w="1200" w:type="dxa"/>
            <w:vAlign w:val="bottom"/>
          </w:tcPr>
          <w:p>
            <w:pPr>
              <w:jc w:val="right"/>
              <w:ind w:right="177"/>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75"/>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38"/>
              <w:spacing w:after="0"/>
              <w:rPr>
                <w:sz w:val="20"/>
                <w:szCs w:val="20"/>
                <w:color w:val="auto"/>
              </w:rPr>
            </w:pPr>
            <w:r>
              <w:rPr>
                <w:rFonts w:ascii="Arial" w:cs="Arial" w:eastAsia="Arial" w:hAnsi="Arial"/>
                <w:sz w:val="14"/>
                <w:szCs w:val="14"/>
                <w:color w:val="auto"/>
              </w:rPr>
              <w:t>8,186,808</w:t>
            </w:r>
          </w:p>
        </w:tc>
        <w:tc>
          <w:tcPr>
            <w:tcW w:w="0" w:type="dxa"/>
            <w:vAlign w:val="bottom"/>
          </w:tcPr>
          <w:p>
            <w:pPr>
              <w:spacing w:after="0"/>
              <w:rPr>
                <w:sz w:val="1"/>
                <w:szCs w:val="1"/>
                <w:color w:val="auto"/>
              </w:rPr>
            </w:pPr>
          </w:p>
        </w:tc>
      </w:tr>
      <w:tr>
        <w:trPr>
          <w:trHeight w:val="51"/>
        </w:trPr>
        <w:tc>
          <w:tcPr>
            <w:tcW w:w="3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308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Value of unvested PSUs</w:t>
            </w:r>
            <w:r>
              <w:rPr>
                <w:rFonts w:ascii="Arial" w:cs="Arial" w:eastAsia="Arial" w:hAnsi="Arial"/>
                <w:sz w:val="16"/>
                <w:szCs w:val="16"/>
                <w:color w:val="auto"/>
                <w:vertAlign w:val="superscript"/>
              </w:rPr>
              <w:t>7</w:t>
            </w:r>
          </w:p>
        </w:tc>
        <w:tc>
          <w:tcPr>
            <w:tcW w:w="1260" w:type="dxa"/>
            <w:vAlign w:val="bottom"/>
            <w:tcBorders>
              <w:bottom w:val="single" w:sz="8" w:color="E9F0F3"/>
            </w:tcBorders>
            <w:shd w:val="clear" w:color="auto" w:fill="E9F0F3"/>
          </w:tcPr>
          <w:p>
            <w:pPr>
              <w:jc w:val="right"/>
              <w:ind w:right="135"/>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E9F0F3"/>
            </w:tcBorders>
            <w:shd w:val="clear" w:color="auto" w:fill="E9F0F3"/>
          </w:tcPr>
          <w:p>
            <w:pPr>
              <w:jc w:val="right"/>
              <w:ind w:right="94"/>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E9F0F3"/>
            </w:tcBorders>
            <w:shd w:val="clear" w:color="auto" w:fill="E9F0F3"/>
          </w:tcPr>
          <w:p>
            <w:pPr>
              <w:jc w:val="right"/>
              <w:ind w:right="114"/>
              <w:spacing w:after="0"/>
              <w:rPr>
                <w:sz w:val="20"/>
                <w:szCs w:val="20"/>
                <w:color w:val="auto"/>
              </w:rPr>
            </w:pPr>
            <w:r>
              <w:rPr>
                <w:rFonts w:ascii="Arial" w:cs="Arial" w:eastAsia="Arial" w:hAnsi="Arial"/>
                <w:sz w:val="14"/>
                <w:szCs w:val="14"/>
                <w:color w:val="auto"/>
              </w:rPr>
              <w:t>6,648,702</w:t>
            </w:r>
          </w:p>
        </w:tc>
        <w:tc>
          <w:tcPr>
            <w:tcW w:w="1120" w:type="dxa"/>
            <w:vAlign w:val="bottom"/>
            <w:tcBorders>
              <w:bottom w:val="single" w:sz="8" w:color="E9F0F3"/>
            </w:tcBorders>
            <w:shd w:val="clear" w:color="auto" w:fill="E9F0F3"/>
          </w:tcPr>
          <w:p>
            <w:pPr>
              <w:jc w:val="right"/>
              <w:ind w:right="94"/>
              <w:spacing w:after="0"/>
              <w:rPr>
                <w:sz w:val="20"/>
                <w:szCs w:val="20"/>
                <w:color w:val="auto"/>
              </w:rPr>
            </w:pPr>
            <w:r>
              <w:rPr>
                <w:rFonts w:ascii="Arial" w:cs="Arial" w:eastAsia="Arial" w:hAnsi="Arial"/>
                <w:sz w:val="14"/>
                <w:szCs w:val="14"/>
                <w:color w:val="auto"/>
              </w:rPr>
              <w:t>3,825,637</w:t>
            </w:r>
          </w:p>
        </w:tc>
        <w:tc>
          <w:tcPr>
            <w:tcW w:w="1200" w:type="dxa"/>
            <w:vAlign w:val="bottom"/>
            <w:tcBorders>
              <w:bottom w:val="single" w:sz="8" w:color="E9F0F3"/>
            </w:tcBorders>
            <w:shd w:val="clear" w:color="auto" w:fill="E9F0F3"/>
          </w:tcPr>
          <w:p>
            <w:pPr>
              <w:jc w:val="right"/>
              <w:ind w:right="177"/>
              <w:spacing w:after="0"/>
              <w:rPr>
                <w:sz w:val="20"/>
                <w:szCs w:val="20"/>
                <w:color w:val="auto"/>
              </w:rPr>
            </w:pPr>
            <w:r>
              <w:rPr>
                <w:rFonts w:ascii="Arial" w:cs="Arial" w:eastAsia="Arial" w:hAnsi="Arial"/>
                <w:sz w:val="14"/>
                <w:szCs w:val="14"/>
                <w:color w:val="auto"/>
              </w:rPr>
              <w:t>3,825,637</w:t>
            </w:r>
          </w:p>
        </w:tc>
        <w:tc>
          <w:tcPr>
            <w:tcW w:w="1020" w:type="dxa"/>
            <w:vAlign w:val="bottom"/>
            <w:tcBorders>
              <w:bottom w:val="single" w:sz="8" w:color="E9F0F3"/>
            </w:tcBorders>
            <w:shd w:val="clear" w:color="auto" w:fill="E9F0F3"/>
          </w:tcPr>
          <w:p>
            <w:pPr>
              <w:jc w:val="right"/>
              <w:ind w:right="75"/>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E9F0F3"/>
            </w:tcBorders>
            <w:shd w:val="clear" w:color="auto" w:fill="E9F0F3"/>
          </w:tcPr>
          <w:p>
            <w:pPr>
              <w:jc w:val="right"/>
              <w:ind w:right="38"/>
              <w:spacing w:after="0"/>
              <w:rPr>
                <w:sz w:val="20"/>
                <w:szCs w:val="20"/>
                <w:color w:val="auto"/>
              </w:rPr>
            </w:pPr>
            <w:r>
              <w:rPr>
                <w:rFonts w:ascii="Arial" w:cs="Arial" w:eastAsia="Arial" w:hAnsi="Arial"/>
                <w:sz w:val="14"/>
                <w:szCs w:val="14"/>
                <w:color w:val="auto"/>
              </w:rPr>
              <w:t>6,648,702</w:t>
            </w:r>
          </w:p>
        </w:tc>
        <w:tc>
          <w:tcPr>
            <w:tcW w:w="0" w:type="dxa"/>
            <w:vAlign w:val="bottom"/>
          </w:tcPr>
          <w:p>
            <w:pPr>
              <w:spacing w:after="0"/>
              <w:rPr>
                <w:sz w:val="1"/>
                <w:szCs w:val="1"/>
                <w:color w:val="auto"/>
              </w:rPr>
            </w:pPr>
          </w:p>
        </w:tc>
      </w:tr>
      <w:tr>
        <w:trPr>
          <w:trHeight w:val="279"/>
        </w:trPr>
        <w:tc>
          <w:tcPr>
            <w:tcW w:w="3080" w:type="dxa"/>
            <w:vAlign w:val="bottom"/>
          </w:tcPr>
          <w:p>
            <w:pPr>
              <w:ind w:left="60"/>
              <w:spacing w:after="0"/>
              <w:rPr>
                <w:sz w:val="20"/>
                <w:szCs w:val="20"/>
                <w:color w:val="auto"/>
              </w:rPr>
            </w:pPr>
            <w:r>
              <w:rPr>
                <w:rFonts w:ascii="Arial" w:cs="Arial" w:eastAsia="Arial" w:hAnsi="Arial"/>
                <w:sz w:val="14"/>
                <w:szCs w:val="14"/>
                <w:color w:val="auto"/>
              </w:rPr>
              <w:t>Welfare benefits value</w:t>
            </w:r>
            <w:r>
              <w:rPr>
                <w:rFonts w:ascii="Arial" w:cs="Arial" w:eastAsia="Arial" w:hAnsi="Arial"/>
                <w:sz w:val="16"/>
                <w:szCs w:val="16"/>
                <w:color w:val="auto"/>
                <w:vertAlign w:val="superscript"/>
              </w:rPr>
              <w:t>8</w:t>
            </w:r>
          </w:p>
        </w:tc>
        <w:tc>
          <w:tcPr>
            <w:tcW w:w="1260" w:type="dxa"/>
            <w:vAlign w:val="bottom"/>
          </w:tcPr>
          <w:p>
            <w:pPr>
              <w:jc w:val="right"/>
              <w:ind w:right="135"/>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94"/>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14"/>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94"/>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177"/>
              <w:spacing w:after="0"/>
              <w:rPr>
                <w:sz w:val="20"/>
                <w:szCs w:val="20"/>
                <w:color w:val="auto"/>
              </w:rPr>
            </w:pPr>
            <w:r>
              <w:rPr>
                <w:rFonts w:ascii="Arial" w:cs="Arial" w:eastAsia="Arial" w:hAnsi="Arial"/>
                <w:sz w:val="14"/>
                <w:szCs w:val="14"/>
                <w:color w:val="auto"/>
              </w:rPr>
              <w:t>51,622</w:t>
            </w:r>
          </w:p>
        </w:tc>
        <w:tc>
          <w:tcPr>
            <w:tcW w:w="1020" w:type="dxa"/>
            <w:vAlign w:val="bottom"/>
          </w:tcPr>
          <w:p>
            <w:pPr>
              <w:jc w:val="right"/>
              <w:ind w:right="75"/>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38"/>
              <w:spacing w:after="0"/>
              <w:rPr>
                <w:sz w:val="20"/>
                <w:szCs w:val="20"/>
                <w:color w:val="auto"/>
              </w:rPr>
            </w:pPr>
            <w:r>
              <w:rPr>
                <w:rFonts w:ascii="Arial" w:cs="Arial" w:eastAsia="Arial" w:hAnsi="Arial"/>
                <w:sz w:val="14"/>
                <w:szCs w:val="14"/>
                <w:color w:val="auto"/>
              </w:rPr>
              <w:t>51,622</w:t>
            </w:r>
          </w:p>
        </w:tc>
        <w:tc>
          <w:tcPr>
            <w:tcW w:w="0" w:type="dxa"/>
            <w:vAlign w:val="bottom"/>
          </w:tcPr>
          <w:p>
            <w:pPr>
              <w:spacing w:after="0"/>
              <w:rPr>
                <w:sz w:val="1"/>
                <w:szCs w:val="1"/>
                <w:color w:val="auto"/>
              </w:rPr>
            </w:pPr>
          </w:p>
        </w:tc>
      </w:tr>
      <w:tr>
        <w:trPr>
          <w:trHeight w:val="51"/>
        </w:trPr>
        <w:tc>
          <w:tcPr>
            <w:tcW w:w="3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308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Total</w:t>
            </w:r>
          </w:p>
        </w:tc>
        <w:tc>
          <w:tcPr>
            <w:tcW w:w="1260" w:type="dxa"/>
            <w:vAlign w:val="bottom"/>
            <w:shd w:val="clear" w:color="auto" w:fill="E9F0F3"/>
          </w:tcPr>
          <w:p>
            <w:pPr>
              <w:jc w:val="right"/>
              <w:ind w:right="135"/>
              <w:spacing w:after="0"/>
              <w:rPr>
                <w:sz w:val="20"/>
                <w:szCs w:val="20"/>
                <w:color w:val="auto"/>
              </w:rPr>
            </w:pPr>
            <w:r>
              <w:rPr>
                <w:rFonts w:ascii="Arial" w:cs="Arial" w:eastAsia="Arial" w:hAnsi="Arial"/>
                <w:sz w:val="14"/>
                <w:szCs w:val="14"/>
                <w:b w:val="1"/>
                <w:bCs w:val="1"/>
                <w:color w:val="auto"/>
              </w:rPr>
              <w:t>$0</w:t>
            </w:r>
          </w:p>
        </w:tc>
        <w:tc>
          <w:tcPr>
            <w:tcW w:w="1100" w:type="dxa"/>
            <w:vAlign w:val="bottom"/>
            <w:shd w:val="clear" w:color="auto" w:fill="E9F0F3"/>
          </w:tcPr>
          <w:p>
            <w:pPr>
              <w:jc w:val="right"/>
              <w:ind w:right="94"/>
              <w:spacing w:after="0"/>
              <w:rPr>
                <w:sz w:val="20"/>
                <w:szCs w:val="20"/>
                <w:color w:val="auto"/>
              </w:rPr>
            </w:pPr>
            <w:r>
              <w:rPr>
                <w:rFonts w:ascii="Arial" w:cs="Arial" w:eastAsia="Arial" w:hAnsi="Arial"/>
                <w:sz w:val="14"/>
                <w:szCs w:val="14"/>
                <w:b w:val="1"/>
                <w:bCs w:val="1"/>
                <w:color w:val="auto"/>
              </w:rPr>
              <w:t>$0</w:t>
            </w:r>
          </w:p>
        </w:tc>
        <w:tc>
          <w:tcPr>
            <w:tcW w:w="1140" w:type="dxa"/>
            <w:vAlign w:val="bottom"/>
            <w:shd w:val="clear" w:color="auto" w:fill="E9F0F3"/>
          </w:tcPr>
          <w:p>
            <w:pPr>
              <w:jc w:val="right"/>
              <w:ind w:right="114"/>
              <w:spacing w:after="0"/>
              <w:rPr>
                <w:sz w:val="20"/>
                <w:szCs w:val="20"/>
                <w:color w:val="auto"/>
              </w:rPr>
            </w:pPr>
            <w:r>
              <w:rPr>
                <w:rFonts w:ascii="Arial" w:cs="Arial" w:eastAsia="Arial" w:hAnsi="Arial"/>
                <w:sz w:val="14"/>
                <w:szCs w:val="14"/>
                <w:b w:val="1"/>
                <w:bCs w:val="1"/>
                <w:color w:val="auto"/>
              </w:rPr>
              <w:t>$14,835,510</w:t>
            </w:r>
          </w:p>
        </w:tc>
        <w:tc>
          <w:tcPr>
            <w:tcW w:w="1120" w:type="dxa"/>
            <w:vAlign w:val="bottom"/>
            <w:shd w:val="clear" w:color="auto" w:fill="E9F0F3"/>
          </w:tcPr>
          <w:p>
            <w:pPr>
              <w:jc w:val="right"/>
              <w:ind w:right="94"/>
              <w:spacing w:after="0"/>
              <w:rPr>
                <w:sz w:val="20"/>
                <w:szCs w:val="20"/>
                <w:color w:val="auto"/>
              </w:rPr>
            </w:pPr>
            <w:r>
              <w:rPr>
                <w:rFonts w:ascii="Arial" w:cs="Arial" w:eastAsia="Arial" w:hAnsi="Arial"/>
                <w:sz w:val="14"/>
                <w:szCs w:val="14"/>
                <w:b w:val="1"/>
                <w:bCs w:val="1"/>
                <w:color w:val="auto"/>
              </w:rPr>
              <w:t>$12,012,445</w:t>
            </w:r>
          </w:p>
        </w:tc>
        <w:tc>
          <w:tcPr>
            <w:tcW w:w="1200" w:type="dxa"/>
            <w:vAlign w:val="bottom"/>
            <w:shd w:val="clear" w:color="auto" w:fill="E9F0F3"/>
          </w:tcPr>
          <w:p>
            <w:pPr>
              <w:jc w:val="right"/>
              <w:ind w:right="177"/>
              <w:spacing w:after="0"/>
              <w:rPr>
                <w:sz w:val="20"/>
                <w:szCs w:val="20"/>
                <w:color w:val="auto"/>
              </w:rPr>
            </w:pPr>
            <w:r>
              <w:rPr>
                <w:rFonts w:ascii="Arial" w:cs="Arial" w:eastAsia="Arial" w:hAnsi="Arial"/>
                <w:sz w:val="14"/>
                <w:szCs w:val="14"/>
                <w:b w:val="1"/>
                <w:bCs w:val="1"/>
                <w:color w:val="auto"/>
              </w:rPr>
              <w:t>$12,577,259</w:t>
            </w:r>
          </w:p>
        </w:tc>
        <w:tc>
          <w:tcPr>
            <w:tcW w:w="1020" w:type="dxa"/>
            <w:vAlign w:val="bottom"/>
            <w:shd w:val="clear" w:color="auto" w:fill="E9F0F3"/>
          </w:tcPr>
          <w:p>
            <w:pPr>
              <w:jc w:val="right"/>
              <w:ind w:right="75"/>
              <w:spacing w:after="0"/>
              <w:rPr>
                <w:sz w:val="20"/>
                <w:szCs w:val="20"/>
                <w:color w:val="auto"/>
              </w:rPr>
            </w:pPr>
            <w:r>
              <w:rPr>
                <w:rFonts w:ascii="Arial" w:cs="Arial" w:eastAsia="Arial" w:hAnsi="Arial"/>
                <w:sz w:val="14"/>
                <w:szCs w:val="14"/>
                <w:b w:val="1"/>
                <w:bCs w:val="1"/>
                <w:color w:val="auto"/>
              </w:rPr>
              <w:t>$0</w:t>
            </w:r>
          </w:p>
        </w:tc>
        <w:tc>
          <w:tcPr>
            <w:tcW w:w="1020" w:type="dxa"/>
            <w:vAlign w:val="bottom"/>
            <w:shd w:val="clear" w:color="auto" w:fill="E9F0F3"/>
          </w:tcPr>
          <w:p>
            <w:pPr>
              <w:jc w:val="right"/>
              <w:ind w:right="38"/>
              <w:spacing w:after="0"/>
              <w:rPr>
                <w:sz w:val="20"/>
                <w:szCs w:val="20"/>
                <w:color w:val="auto"/>
              </w:rPr>
            </w:pPr>
            <w:r>
              <w:rPr>
                <w:rFonts w:ascii="Arial" w:cs="Arial" w:eastAsia="Arial" w:hAnsi="Arial"/>
                <w:sz w:val="14"/>
                <w:szCs w:val="14"/>
                <w:b w:val="1"/>
                <w:bCs w:val="1"/>
                <w:color w:val="auto"/>
              </w:rPr>
              <w:t>$23,587,132</w:t>
            </w:r>
          </w:p>
        </w:tc>
        <w:tc>
          <w:tcPr>
            <w:tcW w:w="0" w:type="dxa"/>
            <w:vAlign w:val="bottom"/>
          </w:tcPr>
          <w:p>
            <w:pPr>
              <w:spacing w:after="0"/>
              <w:rPr>
                <w:sz w:val="1"/>
                <w:szCs w:val="1"/>
                <w:color w:val="auto"/>
              </w:rPr>
            </w:pPr>
          </w:p>
        </w:tc>
      </w:tr>
      <w:tr>
        <w:trPr>
          <w:trHeight w:val="78"/>
        </w:trPr>
        <w:tc>
          <w:tcPr>
            <w:tcW w:w="3080" w:type="dxa"/>
            <w:vAlign w:val="bottom"/>
            <w:shd w:val="clear" w:color="auto" w:fill="E9F0F3"/>
          </w:tcPr>
          <w:p>
            <w:pPr>
              <w:spacing w:after="0"/>
              <w:rPr>
                <w:sz w:val="6"/>
                <w:szCs w:val="6"/>
                <w:color w:val="auto"/>
              </w:rPr>
            </w:pPr>
          </w:p>
        </w:tc>
        <w:tc>
          <w:tcPr>
            <w:tcW w:w="1260" w:type="dxa"/>
            <w:vAlign w:val="bottom"/>
            <w:shd w:val="clear" w:color="auto" w:fill="E9F0F3"/>
          </w:tcPr>
          <w:p>
            <w:pPr>
              <w:spacing w:after="0"/>
              <w:rPr>
                <w:sz w:val="6"/>
                <w:szCs w:val="6"/>
                <w:color w:val="auto"/>
              </w:rPr>
            </w:pPr>
          </w:p>
        </w:tc>
        <w:tc>
          <w:tcPr>
            <w:tcW w:w="1100" w:type="dxa"/>
            <w:vAlign w:val="bottom"/>
            <w:shd w:val="clear" w:color="auto" w:fill="E9F0F3"/>
          </w:tcPr>
          <w:p>
            <w:pPr>
              <w:spacing w:after="0"/>
              <w:rPr>
                <w:sz w:val="6"/>
                <w:szCs w:val="6"/>
                <w:color w:val="auto"/>
              </w:rPr>
            </w:pPr>
          </w:p>
        </w:tc>
        <w:tc>
          <w:tcPr>
            <w:tcW w:w="1140" w:type="dxa"/>
            <w:vAlign w:val="bottom"/>
            <w:shd w:val="clear" w:color="auto" w:fill="E9F0F3"/>
          </w:tcPr>
          <w:p>
            <w:pPr>
              <w:spacing w:after="0"/>
              <w:rPr>
                <w:sz w:val="6"/>
                <w:szCs w:val="6"/>
                <w:color w:val="auto"/>
              </w:rPr>
            </w:pPr>
          </w:p>
        </w:tc>
        <w:tc>
          <w:tcPr>
            <w:tcW w:w="1120" w:type="dxa"/>
            <w:vAlign w:val="bottom"/>
            <w:shd w:val="clear" w:color="auto" w:fill="E9F0F3"/>
          </w:tcPr>
          <w:p>
            <w:pPr>
              <w:spacing w:after="0"/>
              <w:rPr>
                <w:sz w:val="6"/>
                <w:szCs w:val="6"/>
                <w:color w:val="auto"/>
              </w:rPr>
            </w:pPr>
          </w:p>
        </w:tc>
        <w:tc>
          <w:tcPr>
            <w:tcW w:w="1200" w:type="dxa"/>
            <w:vAlign w:val="bottom"/>
            <w:shd w:val="clear" w:color="auto" w:fill="E9F0F3"/>
          </w:tcPr>
          <w:p>
            <w:pPr>
              <w:spacing w:after="0"/>
              <w:rPr>
                <w:sz w:val="6"/>
                <w:szCs w:val="6"/>
                <w:color w:val="auto"/>
              </w:rPr>
            </w:pPr>
          </w:p>
        </w:tc>
        <w:tc>
          <w:tcPr>
            <w:tcW w:w="1020" w:type="dxa"/>
            <w:vAlign w:val="bottom"/>
            <w:shd w:val="clear" w:color="auto" w:fill="E9F0F3"/>
          </w:tcPr>
          <w:p>
            <w:pPr>
              <w:spacing w:after="0"/>
              <w:rPr>
                <w:sz w:val="6"/>
                <w:szCs w:val="6"/>
                <w:color w:val="auto"/>
              </w:rPr>
            </w:pPr>
          </w:p>
        </w:tc>
        <w:tc>
          <w:tcPr>
            <w:tcW w:w="102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080" w:type="dxa"/>
            <w:vAlign w:val="bottom"/>
            <w:shd w:val="clear" w:color="auto" w:fill="99B7C6"/>
          </w:tcPr>
          <w:p>
            <w:pPr>
              <w:spacing w:after="0"/>
              <w:rPr>
                <w:sz w:val="13"/>
                <w:szCs w:val="13"/>
                <w:color w:val="auto"/>
              </w:rPr>
            </w:pPr>
          </w:p>
        </w:tc>
        <w:tc>
          <w:tcPr>
            <w:tcW w:w="1260" w:type="dxa"/>
            <w:vAlign w:val="bottom"/>
            <w:shd w:val="clear" w:color="auto" w:fill="99B7C6"/>
          </w:tcPr>
          <w:p>
            <w:pPr>
              <w:spacing w:after="0"/>
              <w:rPr>
                <w:sz w:val="13"/>
                <w:szCs w:val="13"/>
                <w:color w:val="auto"/>
              </w:rPr>
            </w:pPr>
          </w:p>
        </w:tc>
        <w:tc>
          <w:tcPr>
            <w:tcW w:w="1100" w:type="dxa"/>
            <w:vAlign w:val="bottom"/>
            <w:shd w:val="clear" w:color="auto" w:fill="99B7C6"/>
          </w:tcPr>
          <w:p>
            <w:pPr>
              <w:spacing w:after="0"/>
              <w:rPr>
                <w:sz w:val="13"/>
                <w:szCs w:val="13"/>
                <w:color w:val="auto"/>
              </w:rPr>
            </w:pPr>
          </w:p>
        </w:tc>
        <w:tc>
          <w:tcPr>
            <w:tcW w:w="1140" w:type="dxa"/>
            <w:vAlign w:val="bottom"/>
            <w:shd w:val="clear" w:color="auto" w:fill="99B7C6"/>
          </w:tcPr>
          <w:p>
            <w:pPr>
              <w:spacing w:after="0"/>
              <w:rPr>
                <w:sz w:val="13"/>
                <w:szCs w:val="13"/>
                <w:color w:val="auto"/>
              </w:rPr>
            </w:pPr>
          </w:p>
        </w:tc>
        <w:tc>
          <w:tcPr>
            <w:tcW w:w="1120" w:type="dxa"/>
            <w:vAlign w:val="bottom"/>
            <w:shd w:val="clear" w:color="auto" w:fill="99B7C6"/>
          </w:tcPr>
          <w:p>
            <w:pPr>
              <w:spacing w:after="0"/>
              <w:rPr>
                <w:sz w:val="13"/>
                <w:szCs w:val="13"/>
                <w:color w:val="auto"/>
              </w:rPr>
            </w:pPr>
          </w:p>
        </w:tc>
        <w:tc>
          <w:tcPr>
            <w:tcW w:w="1200" w:type="dxa"/>
            <w:vAlign w:val="bottom"/>
            <w:shd w:val="clear" w:color="auto" w:fill="99B7C6"/>
          </w:tcPr>
          <w:p>
            <w:pPr>
              <w:spacing w:after="0"/>
              <w:rPr>
                <w:sz w:val="13"/>
                <w:szCs w:val="13"/>
                <w:color w:val="auto"/>
              </w:rPr>
            </w:pPr>
          </w:p>
        </w:tc>
        <w:tc>
          <w:tcPr>
            <w:tcW w:w="1020" w:type="dxa"/>
            <w:vAlign w:val="bottom"/>
            <w:shd w:val="clear" w:color="auto" w:fill="99B7C6"/>
          </w:tcPr>
          <w:p>
            <w:pPr>
              <w:spacing w:after="0"/>
              <w:rPr>
                <w:sz w:val="13"/>
                <w:szCs w:val="13"/>
                <w:color w:val="auto"/>
              </w:rPr>
            </w:pPr>
          </w:p>
        </w:tc>
        <w:tc>
          <w:tcPr>
            <w:tcW w:w="1020" w:type="dxa"/>
            <w:vAlign w:val="bottom"/>
            <w:shd w:val="clear" w:color="auto" w:fill="99B7C6"/>
          </w:tcPr>
          <w:p>
            <w:pPr>
              <w:jc w:val="right"/>
              <w:ind w:right="38"/>
              <w:spacing w:after="0"/>
              <w:rPr>
                <w:sz w:val="20"/>
                <w:szCs w:val="20"/>
                <w:color w:val="auto"/>
              </w:rPr>
            </w:pPr>
            <w:r>
              <w:rPr>
                <w:rFonts w:ascii="Arial" w:cs="Arial" w:eastAsia="Arial" w:hAnsi="Arial"/>
                <w:sz w:val="11"/>
                <w:szCs w:val="11"/>
                <w:b w:val="1"/>
                <w:bCs w:val="1"/>
                <w:color w:val="FFFFFF"/>
              </w:rPr>
              <w:t>Termination</w:t>
            </w:r>
          </w:p>
        </w:tc>
        <w:tc>
          <w:tcPr>
            <w:tcW w:w="0" w:type="dxa"/>
            <w:vAlign w:val="bottom"/>
          </w:tcPr>
          <w:p>
            <w:pPr>
              <w:spacing w:after="0"/>
              <w:rPr>
                <w:sz w:val="1"/>
                <w:szCs w:val="1"/>
                <w:color w:val="auto"/>
              </w:rPr>
            </w:pPr>
          </w:p>
        </w:tc>
      </w:tr>
      <w:tr>
        <w:trPr>
          <w:trHeight w:val="118"/>
        </w:trPr>
        <w:tc>
          <w:tcPr>
            <w:tcW w:w="3080" w:type="dxa"/>
            <w:vAlign w:val="bottom"/>
            <w:shd w:val="clear" w:color="auto" w:fill="99B7C6"/>
          </w:tcPr>
          <w:p>
            <w:pPr>
              <w:spacing w:after="0"/>
              <w:rPr>
                <w:sz w:val="10"/>
                <w:szCs w:val="10"/>
                <w:color w:val="auto"/>
              </w:rPr>
            </w:pPr>
          </w:p>
        </w:tc>
        <w:tc>
          <w:tcPr>
            <w:tcW w:w="1260" w:type="dxa"/>
            <w:vAlign w:val="bottom"/>
            <w:shd w:val="clear" w:color="auto" w:fill="99B7C6"/>
          </w:tcPr>
          <w:p>
            <w:pPr>
              <w:spacing w:after="0"/>
              <w:rPr>
                <w:sz w:val="10"/>
                <w:szCs w:val="10"/>
                <w:color w:val="auto"/>
              </w:rPr>
            </w:pPr>
          </w:p>
        </w:tc>
        <w:tc>
          <w:tcPr>
            <w:tcW w:w="110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1120" w:type="dxa"/>
            <w:vAlign w:val="bottom"/>
            <w:shd w:val="clear" w:color="auto" w:fill="99B7C6"/>
          </w:tcPr>
          <w:p>
            <w:pPr>
              <w:spacing w:after="0"/>
              <w:rPr>
                <w:sz w:val="10"/>
                <w:szCs w:val="10"/>
                <w:color w:val="auto"/>
              </w:rPr>
            </w:pPr>
          </w:p>
        </w:tc>
        <w:tc>
          <w:tcPr>
            <w:tcW w:w="1200" w:type="dxa"/>
            <w:vAlign w:val="bottom"/>
            <w:shd w:val="clear" w:color="auto" w:fill="99B7C6"/>
          </w:tcPr>
          <w:p>
            <w:pPr>
              <w:spacing w:after="0"/>
              <w:rPr>
                <w:sz w:val="10"/>
                <w:szCs w:val="10"/>
                <w:color w:val="auto"/>
              </w:rPr>
            </w:pPr>
          </w:p>
        </w:tc>
        <w:tc>
          <w:tcPr>
            <w:tcW w:w="1020" w:type="dxa"/>
            <w:vAlign w:val="bottom"/>
            <w:shd w:val="clear" w:color="auto" w:fill="99B7C6"/>
          </w:tcPr>
          <w:p>
            <w:pPr>
              <w:spacing w:after="0"/>
              <w:rPr>
                <w:sz w:val="10"/>
                <w:szCs w:val="10"/>
                <w:color w:val="auto"/>
              </w:rPr>
            </w:pPr>
          </w:p>
        </w:tc>
        <w:tc>
          <w:tcPr>
            <w:tcW w:w="1020" w:type="dxa"/>
            <w:vAlign w:val="bottom"/>
            <w:shd w:val="clear" w:color="auto" w:fill="99B7C6"/>
          </w:tcPr>
          <w:p>
            <w:pPr>
              <w:jc w:val="right"/>
              <w:ind w:right="38"/>
              <w:spacing w:after="0" w:line="118" w:lineRule="exact"/>
              <w:rPr>
                <w:sz w:val="20"/>
                <w:szCs w:val="20"/>
                <w:color w:val="auto"/>
              </w:rPr>
            </w:pPr>
            <w:r>
              <w:rPr>
                <w:rFonts w:ascii="Arial" w:cs="Arial" w:eastAsia="Arial" w:hAnsi="Arial"/>
                <w:sz w:val="11"/>
                <w:szCs w:val="11"/>
                <w:b w:val="1"/>
                <w:bCs w:val="1"/>
                <w:color w:val="FFFFFF"/>
              </w:rPr>
              <w:t>Without</w:t>
            </w:r>
          </w:p>
        </w:tc>
        <w:tc>
          <w:tcPr>
            <w:tcW w:w="0" w:type="dxa"/>
            <w:vAlign w:val="bottom"/>
          </w:tcPr>
          <w:p>
            <w:pPr>
              <w:spacing w:after="0"/>
              <w:rPr>
                <w:sz w:val="1"/>
                <w:szCs w:val="1"/>
                <w:color w:val="auto"/>
              </w:rPr>
            </w:pPr>
          </w:p>
        </w:tc>
      </w:tr>
      <w:tr>
        <w:trPr>
          <w:trHeight w:val="121"/>
        </w:trPr>
        <w:tc>
          <w:tcPr>
            <w:tcW w:w="3080" w:type="dxa"/>
            <w:vAlign w:val="bottom"/>
            <w:shd w:val="clear" w:color="auto" w:fill="99B7C6"/>
          </w:tcPr>
          <w:p>
            <w:pPr>
              <w:spacing w:after="0"/>
              <w:rPr>
                <w:sz w:val="10"/>
                <w:szCs w:val="10"/>
                <w:color w:val="auto"/>
              </w:rPr>
            </w:pPr>
          </w:p>
        </w:tc>
        <w:tc>
          <w:tcPr>
            <w:tcW w:w="1260" w:type="dxa"/>
            <w:vAlign w:val="bottom"/>
            <w:shd w:val="clear" w:color="auto" w:fill="99B7C6"/>
          </w:tcPr>
          <w:p>
            <w:pPr>
              <w:spacing w:after="0"/>
              <w:rPr>
                <w:sz w:val="10"/>
                <w:szCs w:val="10"/>
                <w:color w:val="auto"/>
              </w:rPr>
            </w:pPr>
          </w:p>
        </w:tc>
        <w:tc>
          <w:tcPr>
            <w:tcW w:w="110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1120" w:type="dxa"/>
            <w:vAlign w:val="bottom"/>
            <w:shd w:val="clear" w:color="auto" w:fill="99B7C6"/>
          </w:tcPr>
          <w:p>
            <w:pPr>
              <w:spacing w:after="0"/>
              <w:rPr>
                <w:sz w:val="10"/>
                <w:szCs w:val="10"/>
                <w:color w:val="auto"/>
              </w:rPr>
            </w:pPr>
          </w:p>
        </w:tc>
        <w:tc>
          <w:tcPr>
            <w:tcW w:w="1200" w:type="dxa"/>
            <w:vAlign w:val="bottom"/>
            <w:shd w:val="clear" w:color="auto" w:fill="99B7C6"/>
          </w:tcPr>
          <w:p>
            <w:pPr>
              <w:jc w:val="right"/>
              <w:ind w:right="197"/>
              <w:spacing w:after="0" w:line="122" w:lineRule="exact"/>
              <w:rPr>
                <w:sz w:val="20"/>
                <w:szCs w:val="20"/>
                <w:color w:val="auto"/>
              </w:rPr>
            </w:pPr>
            <w:r>
              <w:rPr>
                <w:rFonts w:ascii="Arial" w:cs="Arial" w:eastAsia="Arial" w:hAnsi="Arial"/>
                <w:sz w:val="11"/>
                <w:szCs w:val="11"/>
                <w:b w:val="1"/>
                <w:bCs w:val="1"/>
                <w:color w:val="FFFFFF"/>
              </w:rPr>
              <w:t>Termination</w:t>
            </w:r>
          </w:p>
        </w:tc>
        <w:tc>
          <w:tcPr>
            <w:tcW w:w="1020" w:type="dxa"/>
            <w:vAlign w:val="bottom"/>
            <w:shd w:val="clear" w:color="auto" w:fill="99B7C6"/>
          </w:tcPr>
          <w:p>
            <w:pPr>
              <w:spacing w:after="0"/>
              <w:rPr>
                <w:sz w:val="10"/>
                <w:szCs w:val="10"/>
                <w:color w:val="auto"/>
              </w:rPr>
            </w:pPr>
          </w:p>
        </w:tc>
        <w:tc>
          <w:tcPr>
            <w:tcW w:w="1020" w:type="dxa"/>
            <w:vAlign w:val="bottom"/>
            <w:shd w:val="clear" w:color="auto" w:fill="99B7C6"/>
          </w:tcPr>
          <w:p>
            <w:pPr>
              <w:jc w:val="right"/>
              <w:ind w:right="38"/>
              <w:spacing w:after="0" w:line="122" w:lineRule="exact"/>
              <w:rPr>
                <w:sz w:val="20"/>
                <w:szCs w:val="20"/>
                <w:color w:val="auto"/>
              </w:rPr>
            </w:pPr>
            <w:r>
              <w:rPr>
                <w:rFonts w:ascii="Arial" w:cs="Arial" w:eastAsia="Arial" w:hAnsi="Arial"/>
                <w:sz w:val="11"/>
                <w:szCs w:val="11"/>
                <w:b w:val="1"/>
                <w:bCs w:val="1"/>
                <w:color w:val="FFFFFF"/>
              </w:rPr>
              <w:t>Cause or for</w:t>
            </w:r>
          </w:p>
        </w:tc>
        <w:tc>
          <w:tcPr>
            <w:tcW w:w="0" w:type="dxa"/>
            <w:vAlign w:val="bottom"/>
          </w:tcPr>
          <w:p>
            <w:pPr>
              <w:spacing w:after="0"/>
              <w:rPr>
                <w:sz w:val="1"/>
                <w:szCs w:val="1"/>
                <w:color w:val="auto"/>
              </w:rPr>
            </w:pPr>
          </w:p>
        </w:tc>
      </w:tr>
      <w:tr>
        <w:trPr>
          <w:trHeight w:val="118"/>
        </w:trPr>
        <w:tc>
          <w:tcPr>
            <w:tcW w:w="3080" w:type="dxa"/>
            <w:vAlign w:val="bottom"/>
            <w:shd w:val="clear" w:color="auto" w:fill="99B7C6"/>
          </w:tcPr>
          <w:p>
            <w:pPr>
              <w:spacing w:after="0"/>
              <w:rPr>
                <w:sz w:val="10"/>
                <w:szCs w:val="10"/>
                <w:color w:val="auto"/>
              </w:rPr>
            </w:pPr>
          </w:p>
        </w:tc>
        <w:tc>
          <w:tcPr>
            <w:tcW w:w="1260" w:type="dxa"/>
            <w:vAlign w:val="bottom"/>
            <w:vMerge w:val="restart"/>
            <w:shd w:val="clear" w:color="auto" w:fill="99B7C6"/>
          </w:tcPr>
          <w:p>
            <w:pPr>
              <w:jc w:val="right"/>
              <w:ind w:right="155"/>
              <w:spacing w:after="0"/>
              <w:rPr>
                <w:sz w:val="20"/>
                <w:szCs w:val="20"/>
                <w:color w:val="auto"/>
              </w:rPr>
            </w:pPr>
            <w:r>
              <w:rPr>
                <w:rFonts w:ascii="Arial" w:cs="Arial" w:eastAsia="Arial" w:hAnsi="Arial"/>
                <w:sz w:val="11"/>
                <w:szCs w:val="11"/>
                <w:b w:val="1"/>
                <w:bCs w:val="1"/>
                <w:color w:val="FFFFFF"/>
              </w:rPr>
              <w:t>Voluntary</w:t>
            </w:r>
          </w:p>
        </w:tc>
        <w:tc>
          <w:tcPr>
            <w:tcW w:w="110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1120" w:type="dxa"/>
            <w:vAlign w:val="bottom"/>
            <w:shd w:val="clear" w:color="auto" w:fill="99B7C6"/>
          </w:tcPr>
          <w:p>
            <w:pPr>
              <w:spacing w:after="0"/>
              <w:rPr>
                <w:sz w:val="10"/>
                <w:szCs w:val="10"/>
                <w:color w:val="auto"/>
              </w:rPr>
            </w:pPr>
          </w:p>
        </w:tc>
        <w:tc>
          <w:tcPr>
            <w:tcW w:w="1200" w:type="dxa"/>
            <w:vAlign w:val="bottom"/>
            <w:shd w:val="clear" w:color="auto" w:fill="99B7C6"/>
          </w:tcPr>
          <w:p>
            <w:pPr>
              <w:jc w:val="right"/>
              <w:ind w:right="197"/>
              <w:spacing w:after="0" w:line="118" w:lineRule="exact"/>
              <w:rPr>
                <w:sz w:val="20"/>
                <w:szCs w:val="20"/>
                <w:color w:val="auto"/>
              </w:rPr>
            </w:pPr>
            <w:r>
              <w:rPr>
                <w:rFonts w:ascii="Arial" w:cs="Arial" w:eastAsia="Arial" w:hAnsi="Arial"/>
                <w:sz w:val="11"/>
                <w:szCs w:val="11"/>
                <w:b w:val="1"/>
                <w:bCs w:val="1"/>
                <w:color w:val="FFFFFF"/>
              </w:rPr>
              <w:t>Without</w:t>
            </w:r>
          </w:p>
        </w:tc>
        <w:tc>
          <w:tcPr>
            <w:tcW w:w="1020" w:type="dxa"/>
            <w:vAlign w:val="bottom"/>
            <w:vMerge w:val="restart"/>
            <w:shd w:val="clear" w:color="auto" w:fill="99B7C6"/>
          </w:tcPr>
          <w:p>
            <w:pPr>
              <w:jc w:val="right"/>
              <w:ind w:right="95"/>
              <w:spacing w:after="0"/>
              <w:rPr>
                <w:sz w:val="20"/>
                <w:szCs w:val="20"/>
                <w:color w:val="auto"/>
              </w:rPr>
            </w:pPr>
            <w:r>
              <w:rPr>
                <w:rFonts w:ascii="Arial" w:cs="Arial" w:eastAsia="Arial" w:hAnsi="Arial"/>
                <w:sz w:val="11"/>
                <w:szCs w:val="11"/>
                <w:b w:val="1"/>
                <w:bCs w:val="1"/>
                <w:color w:val="FFFFFF"/>
              </w:rPr>
              <w:t>Termination</w:t>
            </w:r>
          </w:p>
        </w:tc>
        <w:tc>
          <w:tcPr>
            <w:tcW w:w="1020" w:type="dxa"/>
            <w:vAlign w:val="bottom"/>
            <w:shd w:val="clear" w:color="auto" w:fill="99B7C6"/>
          </w:tcPr>
          <w:p>
            <w:pPr>
              <w:jc w:val="right"/>
              <w:ind w:right="38"/>
              <w:spacing w:after="0" w:line="118" w:lineRule="exact"/>
              <w:rPr>
                <w:sz w:val="20"/>
                <w:szCs w:val="20"/>
                <w:color w:val="auto"/>
              </w:rPr>
            </w:pPr>
            <w:r>
              <w:rPr>
                <w:rFonts w:ascii="Arial" w:cs="Arial" w:eastAsia="Arial" w:hAnsi="Arial"/>
                <w:sz w:val="11"/>
                <w:szCs w:val="11"/>
                <w:b w:val="1"/>
                <w:bCs w:val="1"/>
                <w:color w:val="FFFFFF"/>
              </w:rPr>
              <w:t>Good Reason</w:t>
            </w:r>
          </w:p>
        </w:tc>
        <w:tc>
          <w:tcPr>
            <w:tcW w:w="0" w:type="dxa"/>
            <w:vAlign w:val="bottom"/>
          </w:tcPr>
          <w:p>
            <w:pPr>
              <w:spacing w:after="0"/>
              <w:rPr>
                <w:sz w:val="1"/>
                <w:szCs w:val="1"/>
                <w:color w:val="auto"/>
              </w:rPr>
            </w:pPr>
          </w:p>
        </w:tc>
      </w:tr>
      <w:tr>
        <w:trPr>
          <w:trHeight w:val="118"/>
        </w:trPr>
        <w:tc>
          <w:tcPr>
            <w:tcW w:w="3080" w:type="dxa"/>
            <w:vAlign w:val="bottom"/>
            <w:shd w:val="clear" w:color="auto" w:fill="99B7C6"/>
          </w:tcPr>
          <w:p>
            <w:pPr>
              <w:spacing w:after="0"/>
              <w:rPr>
                <w:sz w:val="10"/>
                <w:szCs w:val="10"/>
                <w:color w:val="auto"/>
              </w:rPr>
            </w:pPr>
          </w:p>
        </w:tc>
        <w:tc>
          <w:tcPr>
            <w:tcW w:w="1260" w:type="dxa"/>
            <w:vAlign w:val="bottom"/>
            <w:vMerge w:val="continue"/>
            <w:shd w:val="clear" w:color="auto" w:fill="99B7C6"/>
          </w:tcPr>
          <w:p>
            <w:pPr>
              <w:spacing w:after="0"/>
              <w:rPr>
                <w:sz w:val="10"/>
                <w:szCs w:val="10"/>
                <w:color w:val="auto"/>
              </w:rPr>
            </w:pPr>
          </w:p>
        </w:tc>
        <w:tc>
          <w:tcPr>
            <w:tcW w:w="1100" w:type="dxa"/>
            <w:vAlign w:val="bottom"/>
            <w:vMerge w:val="restart"/>
            <w:shd w:val="clear" w:color="auto" w:fill="99B7C6"/>
          </w:tcPr>
          <w:p>
            <w:pPr>
              <w:jc w:val="right"/>
              <w:ind w:right="134"/>
              <w:spacing w:after="0"/>
              <w:rPr>
                <w:sz w:val="20"/>
                <w:szCs w:val="20"/>
                <w:color w:val="auto"/>
              </w:rPr>
            </w:pPr>
            <w:r>
              <w:rPr>
                <w:rFonts w:ascii="Arial" w:cs="Arial" w:eastAsia="Arial" w:hAnsi="Arial"/>
                <w:sz w:val="11"/>
                <w:szCs w:val="11"/>
                <w:b w:val="1"/>
                <w:bCs w:val="1"/>
                <w:color w:val="FFFFFF"/>
              </w:rPr>
              <w:t>Retirement at</w:t>
            </w:r>
          </w:p>
        </w:tc>
        <w:tc>
          <w:tcPr>
            <w:tcW w:w="1140" w:type="dxa"/>
            <w:vAlign w:val="bottom"/>
            <w:vMerge w:val="restart"/>
            <w:shd w:val="clear" w:color="auto" w:fill="99B7C6"/>
          </w:tcPr>
          <w:p>
            <w:pPr>
              <w:jc w:val="right"/>
              <w:ind w:right="134"/>
              <w:spacing w:after="0"/>
              <w:rPr>
                <w:sz w:val="20"/>
                <w:szCs w:val="20"/>
                <w:color w:val="auto"/>
              </w:rPr>
            </w:pPr>
            <w:r>
              <w:rPr>
                <w:rFonts w:ascii="Arial" w:cs="Arial" w:eastAsia="Arial" w:hAnsi="Arial"/>
                <w:sz w:val="11"/>
                <w:szCs w:val="11"/>
                <w:b w:val="1"/>
                <w:bCs w:val="1"/>
                <w:color w:val="FFFFFF"/>
              </w:rPr>
              <w:t>Death at</w:t>
            </w:r>
          </w:p>
        </w:tc>
        <w:tc>
          <w:tcPr>
            <w:tcW w:w="1120" w:type="dxa"/>
            <w:vAlign w:val="bottom"/>
            <w:vMerge w:val="restart"/>
            <w:shd w:val="clear" w:color="auto" w:fill="99B7C6"/>
          </w:tcPr>
          <w:p>
            <w:pPr>
              <w:jc w:val="right"/>
              <w:ind w:right="134"/>
              <w:spacing w:after="0"/>
              <w:rPr>
                <w:sz w:val="20"/>
                <w:szCs w:val="20"/>
                <w:color w:val="auto"/>
              </w:rPr>
            </w:pPr>
            <w:r>
              <w:rPr>
                <w:rFonts w:ascii="Arial" w:cs="Arial" w:eastAsia="Arial" w:hAnsi="Arial"/>
                <w:sz w:val="11"/>
                <w:szCs w:val="11"/>
                <w:b w:val="1"/>
                <w:bCs w:val="1"/>
                <w:color w:val="FFFFFF"/>
              </w:rPr>
              <w:t>Disability at</w:t>
            </w:r>
          </w:p>
        </w:tc>
        <w:tc>
          <w:tcPr>
            <w:tcW w:w="1200" w:type="dxa"/>
            <w:vAlign w:val="bottom"/>
            <w:shd w:val="clear" w:color="auto" w:fill="99B7C6"/>
          </w:tcPr>
          <w:p>
            <w:pPr>
              <w:jc w:val="right"/>
              <w:ind w:right="197"/>
              <w:spacing w:after="0" w:line="118" w:lineRule="exact"/>
              <w:rPr>
                <w:sz w:val="20"/>
                <w:szCs w:val="20"/>
                <w:color w:val="auto"/>
              </w:rPr>
            </w:pPr>
            <w:r>
              <w:rPr>
                <w:rFonts w:ascii="Arial" w:cs="Arial" w:eastAsia="Arial" w:hAnsi="Arial"/>
                <w:sz w:val="11"/>
                <w:szCs w:val="11"/>
                <w:b w:val="1"/>
                <w:bCs w:val="1"/>
                <w:color w:val="FFFFFF"/>
              </w:rPr>
              <w:t>Cause or for</w:t>
            </w:r>
          </w:p>
        </w:tc>
        <w:tc>
          <w:tcPr>
            <w:tcW w:w="1020" w:type="dxa"/>
            <w:vAlign w:val="bottom"/>
            <w:vMerge w:val="continue"/>
            <w:shd w:val="clear" w:color="auto" w:fill="99B7C6"/>
          </w:tcPr>
          <w:p>
            <w:pPr>
              <w:spacing w:after="0"/>
              <w:rPr>
                <w:sz w:val="10"/>
                <w:szCs w:val="10"/>
                <w:color w:val="auto"/>
              </w:rPr>
            </w:pPr>
          </w:p>
        </w:tc>
        <w:tc>
          <w:tcPr>
            <w:tcW w:w="1020" w:type="dxa"/>
            <w:vAlign w:val="bottom"/>
            <w:shd w:val="clear" w:color="auto" w:fill="99B7C6"/>
          </w:tcPr>
          <w:p>
            <w:pPr>
              <w:jc w:val="right"/>
              <w:ind w:right="38"/>
              <w:spacing w:after="0" w:line="118" w:lineRule="exact"/>
              <w:rPr>
                <w:sz w:val="20"/>
                <w:szCs w:val="20"/>
                <w:color w:val="auto"/>
              </w:rPr>
            </w:pPr>
            <w:r>
              <w:rPr>
                <w:rFonts w:ascii="Arial" w:cs="Arial" w:eastAsia="Arial" w:hAnsi="Arial"/>
                <w:sz w:val="11"/>
                <w:szCs w:val="11"/>
                <w:b w:val="1"/>
                <w:bCs w:val="1"/>
                <w:color w:val="FFFFFF"/>
              </w:rPr>
              <w:t>Upon Change</w:t>
            </w:r>
          </w:p>
        </w:tc>
        <w:tc>
          <w:tcPr>
            <w:tcW w:w="0" w:type="dxa"/>
            <w:vAlign w:val="bottom"/>
          </w:tcPr>
          <w:p>
            <w:pPr>
              <w:spacing w:after="0"/>
              <w:rPr>
                <w:sz w:val="1"/>
                <w:szCs w:val="1"/>
                <w:color w:val="auto"/>
              </w:rPr>
            </w:pPr>
          </w:p>
        </w:tc>
      </w:tr>
      <w:tr>
        <w:trPr>
          <w:trHeight w:val="118"/>
        </w:trPr>
        <w:tc>
          <w:tcPr>
            <w:tcW w:w="3080" w:type="dxa"/>
            <w:vAlign w:val="bottom"/>
            <w:shd w:val="clear" w:color="auto" w:fill="99B7C6"/>
          </w:tcPr>
          <w:p>
            <w:pPr>
              <w:spacing w:after="0"/>
              <w:rPr>
                <w:sz w:val="10"/>
                <w:szCs w:val="10"/>
                <w:color w:val="auto"/>
              </w:rPr>
            </w:pPr>
          </w:p>
        </w:tc>
        <w:tc>
          <w:tcPr>
            <w:tcW w:w="1260" w:type="dxa"/>
            <w:vAlign w:val="bottom"/>
            <w:shd w:val="clear" w:color="auto" w:fill="99B7C6"/>
          </w:tcPr>
          <w:p>
            <w:pPr>
              <w:jc w:val="right"/>
              <w:ind w:right="155"/>
              <w:spacing w:after="0" w:line="118" w:lineRule="exact"/>
              <w:rPr>
                <w:sz w:val="20"/>
                <w:szCs w:val="20"/>
                <w:color w:val="auto"/>
              </w:rPr>
            </w:pPr>
            <w:r>
              <w:rPr>
                <w:rFonts w:ascii="Arial" w:cs="Arial" w:eastAsia="Arial" w:hAnsi="Arial"/>
                <w:sz w:val="11"/>
                <w:szCs w:val="11"/>
                <w:b w:val="1"/>
                <w:bCs w:val="1"/>
                <w:color w:val="FFFFFF"/>
              </w:rPr>
              <w:t>Termination</w:t>
            </w:r>
          </w:p>
        </w:tc>
        <w:tc>
          <w:tcPr>
            <w:tcW w:w="1100" w:type="dxa"/>
            <w:vAlign w:val="bottom"/>
            <w:vMerge w:val="continue"/>
            <w:shd w:val="clear" w:color="auto" w:fill="99B7C6"/>
          </w:tcPr>
          <w:p>
            <w:pPr>
              <w:spacing w:after="0"/>
              <w:rPr>
                <w:sz w:val="10"/>
                <w:szCs w:val="10"/>
                <w:color w:val="auto"/>
              </w:rPr>
            </w:pPr>
          </w:p>
        </w:tc>
        <w:tc>
          <w:tcPr>
            <w:tcW w:w="1140" w:type="dxa"/>
            <w:vAlign w:val="bottom"/>
            <w:vMerge w:val="continue"/>
            <w:shd w:val="clear" w:color="auto" w:fill="99B7C6"/>
          </w:tcPr>
          <w:p>
            <w:pPr>
              <w:spacing w:after="0"/>
              <w:rPr>
                <w:sz w:val="10"/>
                <w:szCs w:val="10"/>
                <w:color w:val="auto"/>
              </w:rPr>
            </w:pPr>
          </w:p>
        </w:tc>
        <w:tc>
          <w:tcPr>
            <w:tcW w:w="1120" w:type="dxa"/>
            <w:vAlign w:val="bottom"/>
            <w:vMerge w:val="continue"/>
            <w:shd w:val="clear" w:color="auto" w:fill="99B7C6"/>
          </w:tcPr>
          <w:p>
            <w:pPr>
              <w:spacing w:after="0"/>
              <w:rPr>
                <w:sz w:val="10"/>
                <w:szCs w:val="10"/>
                <w:color w:val="auto"/>
              </w:rPr>
            </w:pPr>
          </w:p>
        </w:tc>
        <w:tc>
          <w:tcPr>
            <w:tcW w:w="1200" w:type="dxa"/>
            <w:vAlign w:val="bottom"/>
            <w:shd w:val="clear" w:color="auto" w:fill="99B7C6"/>
          </w:tcPr>
          <w:p>
            <w:pPr>
              <w:jc w:val="right"/>
              <w:ind w:right="197"/>
              <w:spacing w:after="0" w:line="118" w:lineRule="exact"/>
              <w:rPr>
                <w:sz w:val="20"/>
                <w:szCs w:val="20"/>
                <w:color w:val="auto"/>
              </w:rPr>
            </w:pPr>
            <w:r>
              <w:rPr>
                <w:rFonts w:ascii="Arial" w:cs="Arial" w:eastAsia="Arial" w:hAnsi="Arial"/>
                <w:sz w:val="11"/>
                <w:szCs w:val="11"/>
                <w:b w:val="1"/>
                <w:bCs w:val="1"/>
                <w:color w:val="FFFFFF"/>
              </w:rPr>
              <w:t>Good Reason</w:t>
            </w:r>
          </w:p>
        </w:tc>
        <w:tc>
          <w:tcPr>
            <w:tcW w:w="1020" w:type="dxa"/>
            <w:vAlign w:val="bottom"/>
            <w:shd w:val="clear" w:color="auto" w:fill="99B7C6"/>
          </w:tcPr>
          <w:p>
            <w:pPr>
              <w:jc w:val="right"/>
              <w:ind w:right="95"/>
              <w:spacing w:after="0" w:line="118" w:lineRule="exact"/>
              <w:rPr>
                <w:sz w:val="20"/>
                <w:szCs w:val="20"/>
                <w:color w:val="auto"/>
              </w:rPr>
            </w:pPr>
            <w:r>
              <w:rPr>
                <w:rFonts w:ascii="Arial" w:cs="Arial" w:eastAsia="Arial" w:hAnsi="Arial"/>
                <w:sz w:val="11"/>
                <w:szCs w:val="11"/>
                <w:b w:val="1"/>
                <w:bCs w:val="1"/>
                <w:color w:val="FFFFFF"/>
              </w:rPr>
              <w:t>for Cause at</w:t>
            </w:r>
          </w:p>
        </w:tc>
        <w:tc>
          <w:tcPr>
            <w:tcW w:w="1020" w:type="dxa"/>
            <w:vAlign w:val="bottom"/>
            <w:shd w:val="clear" w:color="auto" w:fill="99B7C6"/>
          </w:tcPr>
          <w:p>
            <w:pPr>
              <w:jc w:val="right"/>
              <w:ind w:right="38"/>
              <w:spacing w:after="0" w:line="118" w:lineRule="exact"/>
              <w:rPr>
                <w:sz w:val="20"/>
                <w:szCs w:val="20"/>
                <w:color w:val="auto"/>
              </w:rPr>
            </w:pPr>
            <w:r>
              <w:rPr>
                <w:rFonts w:ascii="Arial" w:cs="Arial" w:eastAsia="Arial" w:hAnsi="Arial"/>
                <w:sz w:val="11"/>
                <w:szCs w:val="11"/>
                <w:b w:val="1"/>
                <w:bCs w:val="1"/>
                <w:color w:val="FFFFFF"/>
              </w:rPr>
              <w:t>in Control at</w:t>
            </w:r>
          </w:p>
        </w:tc>
        <w:tc>
          <w:tcPr>
            <w:tcW w:w="0" w:type="dxa"/>
            <w:vAlign w:val="bottom"/>
          </w:tcPr>
          <w:p>
            <w:pPr>
              <w:spacing w:after="0"/>
              <w:rPr>
                <w:sz w:val="1"/>
                <w:szCs w:val="1"/>
                <w:color w:val="auto"/>
              </w:rPr>
            </w:pPr>
          </w:p>
        </w:tc>
      </w:tr>
      <w:tr>
        <w:trPr>
          <w:trHeight w:val="125"/>
        </w:trPr>
        <w:tc>
          <w:tcPr>
            <w:tcW w:w="3080" w:type="dxa"/>
            <w:vAlign w:val="bottom"/>
            <w:shd w:val="clear" w:color="auto" w:fill="99B7C6"/>
          </w:tcPr>
          <w:p>
            <w:pPr>
              <w:spacing w:after="0"/>
              <w:rPr>
                <w:sz w:val="10"/>
                <w:szCs w:val="10"/>
                <w:color w:val="auto"/>
              </w:rPr>
            </w:pPr>
          </w:p>
        </w:tc>
        <w:tc>
          <w:tcPr>
            <w:tcW w:w="1260" w:type="dxa"/>
            <w:vAlign w:val="bottom"/>
            <w:shd w:val="clear" w:color="auto" w:fill="99B7C6"/>
          </w:tcPr>
          <w:p>
            <w:pPr>
              <w:jc w:val="right"/>
              <w:ind w:right="155"/>
              <w:spacing w:after="0" w:line="125" w:lineRule="exact"/>
              <w:rPr>
                <w:sz w:val="20"/>
                <w:szCs w:val="20"/>
                <w:color w:val="auto"/>
              </w:rPr>
            </w:pPr>
            <w:r>
              <w:rPr>
                <w:rFonts w:ascii="Arial" w:cs="Arial" w:eastAsia="Arial" w:hAnsi="Arial"/>
                <w:sz w:val="11"/>
                <w:szCs w:val="11"/>
                <w:b w:val="1"/>
                <w:bCs w:val="1"/>
                <w:color w:val="FFFFFF"/>
              </w:rPr>
              <w:t>on February 1,</w:t>
            </w:r>
          </w:p>
        </w:tc>
        <w:tc>
          <w:tcPr>
            <w:tcW w:w="1100" w:type="dxa"/>
            <w:vAlign w:val="bottom"/>
            <w:shd w:val="clear" w:color="auto" w:fill="99B7C6"/>
          </w:tcPr>
          <w:p>
            <w:pPr>
              <w:jc w:val="right"/>
              <w:ind w:right="134"/>
              <w:spacing w:after="0" w:line="125" w:lineRule="exact"/>
              <w:rPr>
                <w:sz w:val="20"/>
                <w:szCs w:val="20"/>
                <w:color w:val="auto"/>
              </w:rPr>
            </w:pPr>
            <w:r>
              <w:rPr>
                <w:rFonts w:ascii="Arial" w:cs="Arial" w:eastAsia="Arial" w:hAnsi="Arial"/>
                <w:sz w:val="11"/>
                <w:szCs w:val="11"/>
                <w:b w:val="1"/>
                <w:bCs w:val="1"/>
                <w:color w:val="FFFFFF"/>
              </w:rPr>
              <w:t>February 1,</w:t>
            </w:r>
          </w:p>
        </w:tc>
        <w:tc>
          <w:tcPr>
            <w:tcW w:w="1140" w:type="dxa"/>
            <w:vAlign w:val="bottom"/>
            <w:shd w:val="clear" w:color="auto" w:fill="99B7C6"/>
          </w:tcPr>
          <w:p>
            <w:pPr>
              <w:jc w:val="right"/>
              <w:ind w:right="134"/>
              <w:spacing w:after="0" w:line="125" w:lineRule="exact"/>
              <w:rPr>
                <w:sz w:val="20"/>
                <w:szCs w:val="20"/>
                <w:color w:val="auto"/>
              </w:rPr>
            </w:pPr>
            <w:r>
              <w:rPr>
                <w:rFonts w:ascii="Arial" w:cs="Arial" w:eastAsia="Arial" w:hAnsi="Arial"/>
                <w:sz w:val="11"/>
                <w:szCs w:val="11"/>
                <w:b w:val="1"/>
                <w:bCs w:val="1"/>
                <w:color w:val="FFFFFF"/>
              </w:rPr>
              <w:t>February 1,</w:t>
            </w:r>
          </w:p>
        </w:tc>
        <w:tc>
          <w:tcPr>
            <w:tcW w:w="1120" w:type="dxa"/>
            <w:vAlign w:val="bottom"/>
            <w:shd w:val="clear" w:color="auto" w:fill="99B7C6"/>
          </w:tcPr>
          <w:p>
            <w:pPr>
              <w:jc w:val="right"/>
              <w:ind w:right="134"/>
              <w:spacing w:after="0" w:line="125" w:lineRule="exact"/>
              <w:rPr>
                <w:sz w:val="20"/>
                <w:szCs w:val="20"/>
                <w:color w:val="auto"/>
              </w:rPr>
            </w:pPr>
            <w:r>
              <w:rPr>
                <w:rFonts w:ascii="Arial" w:cs="Arial" w:eastAsia="Arial" w:hAnsi="Arial"/>
                <w:sz w:val="11"/>
                <w:szCs w:val="11"/>
                <w:b w:val="1"/>
                <w:bCs w:val="1"/>
                <w:color w:val="FFFFFF"/>
              </w:rPr>
              <w:t>February 1,</w:t>
            </w:r>
          </w:p>
        </w:tc>
        <w:tc>
          <w:tcPr>
            <w:tcW w:w="1200" w:type="dxa"/>
            <w:vAlign w:val="bottom"/>
            <w:shd w:val="clear" w:color="auto" w:fill="99B7C6"/>
          </w:tcPr>
          <w:p>
            <w:pPr>
              <w:jc w:val="right"/>
              <w:ind w:right="197"/>
              <w:spacing w:after="0" w:line="125" w:lineRule="exact"/>
              <w:rPr>
                <w:sz w:val="20"/>
                <w:szCs w:val="20"/>
                <w:color w:val="auto"/>
              </w:rPr>
            </w:pPr>
            <w:r>
              <w:rPr>
                <w:rFonts w:ascii="Arial" w:cs="Arial" w:eastAsia="Arial" w:hAnsi="Arial"/>
                <w:sz w:val="11"/>
                <w:szCs w:val="11"/>
                <w:b w:val="1"/>
                <w:bCs w:val="1"/>
                <w:color w:val="FFFFFF"/>
              </w:rPr>
              <w:t>on February 1,</w:t>
            </w:r>
          </w:p>
        </w:tc>
        <w:tc>
          <w:tcPr>
            <w:tcW w:w="1020" w:type="dxa"/>
            <w:vAlign w:val="bottom"/>
            <w:shd w:val="clear" w:color="auto" w:fill="99B7C6"/>
          </w:tcPr>
          <w:p>
            <w:pPr>
              <w:jc w:val="right"/>
              <w:ind w:right="95"/>
              <w:spacing w:after="0" w:line="125" w:lineRule="exact"/>
              <w:rPr>
                <w:sz w:val="20"/>
                <w:szCs w:val="20"/>
                <w:color w:val="auto"/>
              </w:rPr>
            </w:pPr>
            <w:r>
              <w:rPr>
                <w:rFonts w:ascii="Arial" w:cs="Arial" w:eastAsia="Arial" w:hAnsi="Arial"/>
                <w:sz w:val="11"/>
                <w:szCs w:val="11"/>
                <w:b w:val="1"/>
                <w:bCs w:val="1"/>
                <w:color w:val="FFFFFF"/>
              </w:rPr>
              <w:t>February 1,</w:t>
            </w:r>
          </w:p>
        </w:tc>
        <w:tc>
          <w:tcPr>
            <w:tcW w:w="1020" w:type="dxa"/>
            <w:vAlign w:val="bottom"/>
            <w:shd w:val="clear" w:color="auto" w:fill="99B7C6"/>
          </w:tcPr>
          <w:p>
            <w:pPr>
              <w:jc w:val="right"/>
              <w:ind w:right="38"/>
              <w:spacing w:after="0" w:line="125" w:lineRule="exact"/>
              <w:rPr>
                <w:sz w:val="20"/>
                <w:szCs w:val="20"/>
                <w:color w:val="auto"/>
              </w:rPr>
            </w:pPr>
            <w:r>
              <w:rPr>
                <w:rFonts w:ascii="Arial" w:cs="Arial" w:eastAsia="Arial" w:hAnsi="Arial"/>
                <w:sz w:val="11"/>
                <w:szCs w:val="11"/>
                <w:b w:val="1"/>
                <w:bCs w:val="1"/>
                <w:color w:val="FFFFFF"/>
              </w:rPr>
              <w:t>February 1,</w:t>
            </w:r>
          </w:p>
        </w:tc>
        <w:tc>
          <w:tcPr>
            <w:tcW w:w="0" w:type="dxa"/>
            <w:vAlign w:val="bottom"/>
          </w:tcPr>
          <w:p>
            <w:pPr>
              <w:spacing w:after="0"/>
              <w:rPr>
                <w:sz w:val="1"/>
                <w:szCs w:val="1"/>
                <w:color w:val="auto"/>
              </w:rPr>
            </w:pPr>
          </w:p>
        </w:tc>
      </w:tr>
      <w:tr>
        <w:trPr>
          <w:trHeight w:val="170"/>
        </w:trPr>
        <w:tc>
          <w:tcPr>
            <w:tcW w:w="3080" w:type="dxa"/>
            <w:vAlign w:val="bottom"/>
            <w:shd w:val="clear" w:color="auto" w:fill="99B7C6"/>
          </w:tcPr>
          <w:p>
            <w:pPr>
              <w:ind w:left="60"/>
              <w:spacing w:after="0"/>
              <w:rPr>
                <w:sz w:val="20"/>
                <w:szCs w:val="20"/>
                <w:color w:val="auto"/>
              </w:rPr>
            </w:pPr>
            <w:r>
              <w:rPr>
                <w:rFonts w:ascii="Arial" w:cs="Arial" w:eastAsia="Arial" w:hAnsi="Arial"/>
                <w:sz w:val="11"/>
                <w:szCs w:val="11"/>
                <w:color w:val="FFFFFF"/>
              </w:rPr>
              <w:t>Melissa Stone</w:t>
            </w:r>
          </w:p>
        </w:tc>
        <w:tc>
          <w:tcPr>
            <w:tcW w:w="1260" w:type="dxa"/>
            <w:vAlign w:val="bottom"/>
            <w:shd w:val="clear" w:color="auto" w:fill="99B7C6"/>
          </w:tcPr>
          <w:p>
            <w:pPr>
              <w:jc w:val="right"/>
              <w:ind w:right="135"/>
              <w:spacing w:after="0"/>
              <w:rPr>
                <w:sz w:val="20"/>
                <w:szCs w:val="20"/>
                <w:color w:val="auto"/>
              </w:rPr>
            </w:pPr>
            <w:r>
              <w:rPr>
                <w:rFonts w:ascii="Arial" w:cs="Arial" w:eastAsia="Arial" w:hAnsi="Arial"/>
                <w:sz w:val="11"/>
                <w:szCs w:val="11"/>
                <w:b w:val="1"/>
                <w:bCs w:val="1"/>
                <w:color w:val="FFFFFF"/>
              </w:rPr>
              <w:t>2026</w:t>
            </w:r>
          </w:p>
        </w:tc>
        <w:tc>
          <w:tcPr>
            <w:tcW w:w="1100" w:type="dxa"/>
            <w:vAlign w:val="bottom"/>
            <w:shd w:val="clear" w:color="auto" w:fill="99B7C6"/>
          </w:tcPr>
          <w:p>
            <w:pPr>
              <w:jc w:val="right"/>
              <w:ind w:right="94"/>
              <w:spacing w:after="0"/>
              <w:rPr>
                <w:sz w:val="20"/>
                <w:szCs w:val="20"/>
                <w:color w:val="auto"/>
              </w:rPr>
            </w:pPr>
            <w:r>
              <w:rPr>
                <w:rFonts w:ascii="Arial" w:cs="Arial" w:eastAsia="Arial" w:hAnsi="Arial"/>
                <w:sz w:val="11"/>
                <w:szCs w:val="11"/>
                <w:b w:val="1"/>
                <w:bCs w:val="1"/>
                <w:color w:val="FFFFFF"/>
              </w:rPr>
              <w:t>2026</w:t>
            </w:r>
          </w:p>
        </w:tc>
        <w:tc>
          <w:tcPr>
            <w:tcW w:w="1140" w:type="dxa"/>
            <w:vAlign w:val="bottom"/>
            <w:shd w:val="clear" w:color="auto" w:fill="99B7C6"/>
          </w:tcPr>
          <w:p>
            <w:pPr>
              <w:jc w:val="right"/>
              <w:ind w:right="114"/>
              <w:spacing w:after="0"/>
              <w:rPr>
                <w:sz w:val="20"/>
                <w:szCs w:val="20"/>
                <w:color w:val="auto"/>
              </w:rPr>
            </w:pPr>
            <w:r>
              <w:rPr>
                <w:rFonts w:ascii="Arial" w:cs="Arial" w:eastAsia="Arial" w:hAnsi="Arial"/>
                <w:sz w:val="11"/>
                <w:szCs w:val="11"/>
                <w:b w:val="1"/>
                <w:bCs w:val="1"/>
                <w:color w:val="FFFFFF"/>
              </w:rPr>
              <w:t>2026</w:t>
            </w:r>
          </w:p>
        </w:tc>
        <w:tc>
          <w:tcPr>
            <w:tcW w:w="1120" w:type="dxa"/>
            <w:vAlign w:val="bottom"/>
            <w:shd w:val="clear" w:color="auto" w:fill="99B7C6"/>
          </w:tcPr>
          <w:p>
            <w:pPr>
              <w:jc w:val="right"/>
              <w:ind w:right="94"/>
              <w:spacing w:after="0"/>
              <w:rPr>
                <w:sz w:val="20"/>
                <w:szCs w:val="20"/>
                <w:color w:val="auto"/>
              </w:rPr>
            </w:pPr>
            <w:r>
              <w:rPr>
                <w:rFonts w:ascii="Arial" w:cs="Arial" w:eastAsia="Arial" w:hAnsi="Arial"/>
                <w:sz w:val="11"/>
                <w:szCs w:val="11"/>
                <w:b w:val="1"/>
                <w:bCs w:val="1"/>
                <w:color w:val="FFFFFF"/>
              </w:rPr>
              <w:t>2026</w:t>
            </w:r>
          </w:p>
        </w:tc>
        <w:tc>
          <w:tcPr>
            <w:tcW w:w="1200" w:type="dxa"/>
            <w:vAlign w:val="bottom"/>
            <w:shd w:val="clear" w:color="auto" w:fill="99B7C6"/>
          </w:tcPr>
          <w:p>
            <w:pPr>
              <w:jc w:val="right"/>
              <w:ind w:right="177"/>
              <w:spacing w:after="0"/>
              <w:rPr>
                <w:sz w:val="20"/>
                <w:szCs w:val="20"/>
                <w:color w:val="auto"/>
              </w:rPr>
            </w:pPr>
            <w:r>
              <w:rPr>
                <w:rFonts w:ascii="Arial" w:cs="Arial" w:eastAsia="Arial" w:hAnsi="Arial"/>
                <w:sz w:val="11"/>
                <w:szCs w:val="11"/>
                <w:b w:val="1"/>
                <w:bCs w:val="1"/>
                <w:color w:val="FFFFFF"/>
              </w:rPr>
              <w:t>2026</w:t>
            </w:r>
          </w:p>
        </w:tc>
        <w:tc>
          <w:tcPr>
            <w:tcW w:w="1020" w:type="dxa"/>
            <w:vAlign w:val="bottom"/>
            <w:shd w:val="clear" w:color="auto" w:fill="99B7C6"/>
          </w:tcPr>
          <w:p>
            <w:pPr>
              <w:jc w:val="right"/>
              <w:ind w:right="75"/>
              <w:spacing w:after="0"/>
              <w:rPr>
                <w:sz w:val="20"/>
                <w:szCs w:val="20"/>
                <w:color w:val="auto"/>
              </w:rPr>
            </w:pPr>
            <w:r>
              <w:rPr>
                <w:rFonts w:ascii="Arial" w:cs="Arial" w:eastAsia="Arial" w:hAnsi="Arial"/>
                <w:sz w:val="11"/>
                <w:szCs w:val="11"/>
                <w:b w:val="1"/>
                <w:bCs w:val="1"/>
                <w:color w:val="FFFFFF"/>
              </w:rPr>
              <w:t>2026</w:t>
            </w:r>
          </w:p>
        </w:tc>
        <w:tc>
          <w:tcPr>
            <w:tcW w:w="1020" w:type="dxa"/>
            <w:vAlign w:val="bottom"/>
            <w:shd w:val="clear" w:color="auto" w:fill="99B7C6"/>
          </w:tcPr>
          <w:p>
            <w:pPr>
              <w:jc w:val="right"/>
              <w:ind w:right="38"/>
              <w:spacing w:after="0"/>
              <w:rPr>
                <w:sz w:val="20"/>
                <w:szCs w:val="20"/>
                <w:color w:val="auto"/>
              </w:rPr>
            </w:pPr>
            <w:r>
              <w:rPr>
                <w:rFonts w:ascii="Arial" w:cs="Arial" w:eastAsia="Arial" w:hAnsi="Arial"/>
                <w:sz w:val="11"/>
                <w:szCs w:val="11"/>
                <w:b w:val="1"/>
                <w:bCs w:val="1"/>
                <w:color w:val="FFFFFF"/>
              </w:rPr>
              <w:t>2026</w:t>
            </w:r>
            <w:r>
              <w:rPr>
                <w:rFonts w:ascii="Arial" w:cs="Arial" w:eastAsia="Arial" w:hAnsi="Arial"/>
                <w:sz w:val="12"/>
                <w:szCs w:val="12"/>
                <w:color w:val="FFFFFF"/>
                <w:vertAlign w:val="superscript"/>
              </w:rPr>
              <w:t>2</w:t>
            </w:r>
          </w:p>
        </w:tc>
        <w:tc>
          <w:tcPr>
            <w:tcW w:w="0" w:type="dxa"/>
            <w:vAlign w:val="bottom"/>
          </w:tcPr>
          <w:p>
            <w:pPr>
              <w:spacing w:after="0"/>
              <w:rPr>
                <w:sz w:val="1"/>
                <w:szCs w:val="1"/>
                <w:color w:val="auto"/>
              </w:rPr>
            </w:pPr>
          </w:p>
        </w:tc>
      </w:tr>
      <w:tr>
        <w:trPr>
          <w:trHeight w:val="310"/>
        </w:trPr>
        <w:tc>
          <w:tcPr>
            <w:tcW w:w="308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Severance Value</w:t>
            </w:r>
            <w:r>
              <w:rPr>
                <w:rFonts w:ascii="Arial" w:cs="Arial" w:eastAsia="Arial" w:hAnsi="Arial"/>
                <w:sz w:val="16"/>
                <w:szCs w:val="16"/>
                <w:color w:val="auto"/>
                <w:vertAlign w:val="superscript"/>
              </w:rPr>
              <w:t>3</w:t>
            </w:r>
          </w:p>
        </w:tc>
        <w:tc>
          <w:tcPr>
            <w:tcW w:w="1260" w:type="dxa"/>
            <w:vAlign w:val="bottom"/>
            <w:tcBorders>
              <w:bottom w:val="single" w:sz="8" w:color="E9F0F3"/>
            </w:tcBorders>
            <w:shd w:val="clear" w:color="auto" w:fill="E9F0F3"/>
          </w:tcPr>
          <w:p>
            <w:pPr>
              <w:jc w:val="right"/>
              <w:ind w:right="135"/>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E9F0F3"/>
            </w:tcBorders>
            <w:shd w:val="clear" w:color="auto" w:fill="E9F0F3"/>
          </w:tcPr>
          <w:p>
            <w:pPr>
              <w:jc w:val="right"/>
              <w:ind w:right="94"/>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E9F0F3"/>
            </w:tcBorders>
            <w:shd w:val="clear" w:color="auto" w:fill="E9F0F3"/>
          </w:tcPr>
          <w:p>
            <w:pPr>
              <w:jc w:val="right"/>
              <w:ind w:right="114"/>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E9F0F3"/>
            </w:tcBorders>
            <w:shd w:val="clear" w:color="auto" w:fill="E9F0F3"/>
          </w:tcPr>
          <w:p>
            <w:pPr>
              <w:jc w:val="right"/>
              <w:ind w:right="94"/>
              <w:spacing w:after="0"/>
              <w:rPr>
                <w:sz w:val="20"/>
                <w:szCs w:val="20"/>
                <w:color w:val="auto"/>
              </w:rPr>
            </w:pPr>
            <w:r>
              <w:rPr>
                <w:rFonts w:ascii="Arial" w:cs="Arial" w:eastAsia="Arial" w:hAnsi="Arial"/>
                <w:sz w:val="14"/>
                <w:szCs w:val="14"/>
                <w:color w:val="auto"/>
              </w:rPr>
              <w:t>$0</w:t>
            </w:r>
          </w:p>
        </w:tc>
        <w:tc>
          <w:tcPr>
            <w:tcW w:w="1200" w:type="dxa"/>
            <w:vAlign w:val="bottom"/>
            <w:tcBorders>
              <w:bottom w:val="single" w:sz="8" w:color="E9F0F3"/>
            </w:tcBorders>
            <w:shd w:val="clear" w:color="auto" w:fill="E9F0F3"/>
          </w:tcPr>
          <w:p>
            <w:pPr>
              <w:jc w:val="right"/>
              <w:ind w:right="177"/>
              <w:spacing w:after="0"/>
              <w:rPr>
                <w:sz w:val="20"/>
                <w:szCs w:val="20"/>
                <w:color w:val="auto"/>
              </w:rPr>
            </w:pPr>
            <w:r>
              <w:rPr>
                <w:rFonts w:ascii="Arial" w:cs="Arial" w:eastAsia="Arial" w:hAnsi="Arial"/>
                <w:sz w:val="14"/>
                <w:szCs w:val="14"/>
                <w:color w:val="auto"/>
              </w:rPr>
              <w:t>$1,599,992</w:t>
            </w:r>
          </w:p>
        </w:tc>
        <w:tc>
          <w:tcPr>
            <w:tcW w:w="1020" w:type="dxa"/>
            <w:vAlign w:val="bottom"/>
            <w:tcBorders>
              <w:bottom w:val="single" w:sz="8" w:color="E9F0F3"/>
            </w:tcBorders>
            <w:shd w:val="clear" w:color="auto" w:fill="E9F0F3"/>
          </w:tcPr>
          <w:p>
            <w:pPr>
              <w:jc w:val="right"/>
              <w:ind w:right="75"/>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E9F0F3"/>
            </w:tcBorders>
            <w:shd w:val="clear" w:color="auto" w:fill="E9F0F3"/>
          </w:tcPr>
          <w:p>
            <w:pPr>
              <w:jc w:val="right"/>
              <w:ind w:right="38"/>
              <w:spacing w:after="0"/>
              <w:rPr>
                <w:sz w:val="20"/>
                <w:szCs w:val="20"/>
                <w:color w:val="auto"/>
              </w:rPr>
            </w:pPr>
            <w:r>
              <w:rPr>
                <w:rFonts w:ascii="Arial" w:cs="Arial" w:eastAsia="Arial" w:hAnsi="Arial"/>
                <w:sz w:val="14"/>
                <w:szCs w:val="14"/>
                <w:color w:val="auto"/>
              </w:rPr>
              <w:t>$1,599,992</w:t>
            </w:r>
          </w:p>
        </w:tc>
        <w:tc>
          <w:tcPr>
            <w:tcW w:w="0" w:type="dxa"/>
            <w:vAlign w:val="bottom"/>
          </w:tcPr>
          <w:p>
            <w:pPr>
              <w:spacing w:after="0"/>
              <w:rPr>
                <w:sz w:val="1"/>
                <w:szCs w:val="1"/>
                <w:color w:val="auto"/>
              </w:rPr>
            </w:pPr>
          </w:p>
        </w:tc>
      </w:tr>
      <w:tr>
        <w:trPr>
          <w:trHeight w:val="290"/>
        </w:trPr>
        <w:tc>
          <w:tcPr>
            <w:tcW w:w="3080" w:type="dxa"/>
            <w:vAlign w:val="bottom"/>
          </w:tcPr>
          <w:p>
            <w:pPr>
              <w:ind w:left="60"/>
              <w:spacing w:after="0"/>
              <w:rPr>
                <w:sz w:val="20"/>
                <w:szCs w:val="20"/>
                <w:color w:val="auto"/>
              </w:rPr>
            </w:pPr>
            <w:r>
              <w:rPr>
                <w:rFonts w:ascii="Arial" w:cs="Arial" w:eastAsia="Arial" w:hAnsi="Arial"/>
                <w:sz w:val="14"/>
                <w:szCs w:val="14"/>
                <w:color w:val="auto"/>
              </w:rPr>
              <w:t>Performance Incentive Bonus Plan</w:t>
            </w:r>
            <w:r>
              <w:rPr>
                <w:rFonts w:ascii="Arial" w:cs="Arial" w:eastAsia="Arial" w:hAnsi="Arial"/>
                <w:sz w:val="16"/>
                <w:szCs w:val="16"/>
                <w:color w:val="auto"/>
                <w:vertAlign w:val="superscript"/>
              </w:rPr>
              <w:t>9</w:t>
            </w:r>
          </w:p>
        </w:tc>
        <w:tc>
          <w:tcPr>
            <w:tcW w:w="1260" w:type="dxa"/>
            <w:vAlign w:val="bottom"/>
          </w:tcPr>
          <w:p>
            <w:pPr>
              <w:jc w:val="right"/>
              <w:ind w:right="135"/>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94"/>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14"/>
              <w:spacing w:after="0"/>
              <w:rPr>
                <w:sz w:val="20"/>
                <w:szCs w:val="20"/>
                <w:color w:val="auto"/>
              </w:rPr>
            </w:pPr>
            <w:r>
              <w:rPr>
                <w:rFonts w:ascii="Arial" w:cs="Arial" w:eastAsia="Arial" w:hAnsi="Arial"/>
                <w:sz w:val="14"/>
                <w:szCs w:val="14"/>
                <w:color w:val="auto"/>
              </w:rPr>
              <w:t>275,000</w:t>
            </w:r>
          </w:p>
        </w:tc>
        <w:tc>
          <w:tcPr>
            <w:tcW w:w="1120" w:type="dxa"/>
            <w:vAlign w:val="bottom"/>
          </w:tcPr>
          <w:p>
            <w:pPr>
              <w:jc w:val="right"/>
              <w:ind w:right="94"/>
              <w:spacing w:after="0"/>
              <w:rPr>
                <w:sz w:val="20"/>
                <w:szCs w:val="20"/>
                <w:color w:val="auto"/>
              </w:rPr>
            </w:pPr>
            <w:r>
              <w:rPr>
                <w:rFonts w:ascii="Arial" w:cs="Arial" w:eastAsia="Arial" w:hAnsi="Arial"/>
                <w:sz w:val="14"/>
                <w:szCs w:val="14"/>
                <w:color w:val="auto"/>
              </w:rPr>
              <w:t>203,143</w:t>
            </w:r>
          </w:p>
        </w:tc>
        <w:tc>
          <w:tcPr>
            <w:tcW w:w="1200" w:type="dxa"/>
            <w:vAlign w:val="bottom"/>
          </w:tcPr>
          <w:p>
            <w:pPr>
              <w:jc w:val="right"/>
              <w:ind w:right="177"/>
              <w:spacing w:after="0"/>
              <w:rPr>
                <w:sz w:val="20"/>
                <w:szCs w:val="20"/>
                <w:color w:val="auto"/>
              </w:rPr>
            </w:pPr>
            <w:r>
              <w:rPr>
                <w:rFonts w:ascii="Arial" w:cs="Arial" w:eastAsia="Arial" w:hAnsi="Arial"/>
                <w:sz w:val="14"/>
                <w:szCs w:val="14"/>
                <w:color w:val="auto"/>
              </w:rPr>
              <w:t>203,143</w:t>
            </w:r>
          </w:p>
        </w:tc>
        <w:tc>
          <w:tcPr>
            <w:tcW w:w="1020" w:type="dxa"/>
            <w:vAlign w:val="bottom"/>
          </w:tcPr>
          <w:p>
            <w:pPr>
              <w:jc w:val="right"/>
              <w:ind w:right="75"/>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38"/>
              <w:spacing w:after="0"/>
              <w:rPr>
                <w:sz w:val="20"/>
                <w:szCs w:val="20"/>
                <w:color w:val="auto"/>
              </w:rPr>
            </w:pPr>
            <w:r>
              <w:rPr>
                <w:rFonts w:ascii="Arial" w:cs="Arial" w:eastAsia="Arial" w:hAnsi="Arial"/>
                <w:sz w:val="14"/>
                <w:szCs w:val="14"/>
                <w:color w:val="auto"/>
              </w:rPr>
              <w:t>275,000</w:t>
            </w:r>
          </w:p>
        </w:tc>
        <w:tc>
          <w:tcPr>
            <w:tcW w:w="0" w:type="dxa"/>
            <w:vAlign w:val="bottom"/>
          </w:tcPr>
          <w:p>
            <w:pPr>
              <w:spacing w:after="0"/>
              <w:rPr>
                <w:sz w:val="1"/>
                <w:szCs w:val="1"/>
                <w:color w:val="auto"/>
              </w:rPr>
            </w:pPr>
          </w:p>
        </w:tc>
      </w:tr>
      <w:tr>
        <w:trPr>
          <w:trHeight w:val="39"/>
        </w:trPr>
        <w:tc>
          <w:tcPr>
            <w:tcW w:w="3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3080" w:type="dxa"/>
            <w:vAlign w:val="bottom"/>
            <w:shd w:val="clear" w:color="auto" w:fill="E9F0F3"/>
          </w:tcPr>
          <w:p>
            <w:pPr>
              <w:ind w:left="60"/>
              <w:spacing w:after="0"/>
              <w:rPr>
                <w:sz w:val="20"/>
                <w:szCs w:val="20"/>
                <w:color w:val="auto"/>
              </w:rPr>
            </w:pPr>
            <w:r>
              <w:rPr>
                <w:rFonts w:ascii="Arial" w:cs="Arial" w:eastAsia="Arial" w:hAnsi="Arial"/>
                <w:sz w:val="14"/>
                <w:szCs w:val="14"/>
                <w:color w:val="auto"/>
              </w:rPr>
              <w:t>Value of “in the money” unexercisable stock</w:t>
            </w:r>
          </w:p>
        </w:tc>
        <w:tc>
          <w:tcPr>
            <w:tcW w:w="1260" w:type="dxa"/>
            <w:vAlign w:val="bottom"/>
            <w:shd w:val="clear" w:color="auto" w:fill="E9F0F3"/>
          </w:tcPr>
          <w:p>
            <w:pPr>
              <w:jc w:val="right"/>
              <w:ind w:right="135"/>
              <w:spacing w:after="0"/>
              <w:rPr>
                <w:sz w:val="20"/>
                <w:szCs w:val="20"/>
                <w:color w:val="auto"/>
              </w:rPr>
            </w:pPr>
            <w:r>
              <w:rPr>
                <w:rFonts w:ascii="Arial" w:cs="Arial" w:eastAsia="Arial" w:hAnsi="Arial"/>
                <w:sz w:val="14"/>
                <w:szCs w:val="14"/>
                <w:color w:val="auto"/>
              </w:rPr>
              <w:t>N/A</w:t>
            </w:r>
          </w:p>
        </w:tc>
        <w:tc>
          <w:tcPr>
            <w:tcW w:w="1100" w:type="dxa"/>
            <w:vAlign w:val="bottom"/>
            <w:shd w:val="clear" w:color="auto" w:fill="E9F0F3"/>
          </w:tcPr>
          <w:p>
            <w:pPr>
              <w:jc w:val="right"/>
              <w:ind w:right="94"/>
              <w:spacing w:after="0"/>
              <w:rPr>
                <w:sz w:val="20"/>
                <w:szCs w:val="20"/>
                <w:color w:val="auto"/>
              </w:rPr>
            </w:pPr>
            <w:r>
              <w:rPr>
                <w:rFonts w:ascii="Arial" w:cs="Arial" w:eastAsia="Arial" w:hAnsi="Arial"/>
                <w:sz w:val="14"/>
                <w:szCs w:val="14"/>
                <w:color w:val="auto"/>
              </w:rPr>
              <w:t>N/A</w:t>
            </w:r>
          </w:p>
        </w:tc>
        <w:tc>
          <w:tcPr>
            <w:tcW w:w="1140" w:type="dxa"/>
            <w:vAlign w:val="bottom"/>
            <w:shd w:val="clear" w:color="auto" w:fill="E9F0F3"/>
          </w:tcPr>
          <w:p>
            <w:pPr>
              <w:jc w:val="right"/>
              <w:ind w:right="114"/>
              <w:spacing w:after="0"/>
              <w:rPr>
                <w:sz w:val="20"/>
                <w:szCs w:val="20"/>
                <w:color w:val="auto"/>
              </w:rPr>
            </w:pPr>
            <w:r>
              <w:rPr>
                <w:rFonts w:ascii="Arial" w:cs="Arial" w:eastAsia="Arial" w:hAnsi="Arial"/>
                <w:sz w:val="14"/>
                <w:szCs w:val="14"/>
                <w:color w:val="auto"/>
              </w:rPr>
              <w:t>N/A</w:t>
            </w:r>
          </w:p>
        </w:tc>
        <w:tc>
          <w:tcPr>
            <w:tcW w:w="1120" w:type="dxa"/>
            <w:vAlign w:val="bottom"/>
            <w:shd w:val="clear" w:color="auto" w:fill="E9F0F3"/>
          </w:tcPr>
          <w:p>
            <w:pPr>
              <w:jc w:val="right"/>
              <w:ind w:right="94"/>
              <w:spacing w:after="0"/>
              <w:rPr>
                <w:sz w:val="20"/>
                <w:szCs w:val="20"/>
                <w:color w:val="auto"/>
              </w:rPr>
            </w:pPr>
            <w:r>
              <w:rPr>
                <w:rFonts w:ascii="Arial" w:cs="Arial" w:eastAsia="Arial" w:hAnsi="Arial"/>
                <w:sz w:val="14"/>
                <w:szCs w:val="14"/>
                <w:color w:val="auto"/>
              </w:rPr>
              <w:t>N/A</w:t>
            </w:r>
          </w:p>
        </w:tc>
        <w:tc>
          <w:tcPr>
            <w:tcW w:w="1200" w:type="dxa"/>
            <w:vAlign w:val="bottom"/>
            <w:shd w:val="clear" w:color="auto" w:fill="E9F0F3"/>
          </w:tcPr>
          <w:p>
            <w:pPr>
              <w:jc w:val="right"/>
              <w:ind w:right="177"/>
              <w:spacing w:after="0"/>
              <w:rPr>
                <w:sz w:val="20"/>
                <w:szCs w:val="20"/>
                <w:color w:val="auto"/>
              </w:rPr>
            </w:pPr>
            <w:r>
              <w:rPr>
                <w:rFonts w:ascii="Arial" w:cs="Arial" w:eastAsia="Arial" w:hAnsi="Arial"/>
                <w:sz w:val="14"/>
                <w:szCs w:val="14"/>
                <w:color w:val="auto"/>
              </w:rPr>
              <w:t>N/A</w:t>
            </w:r>
          </w:p>
        </w:tc>
        <w:tc>
          <w:tcPr>
            <w:tcW w:w="1020" w:type="dxa"/>
            <w:vAlign w:val="bottom"/>
            <w:shd w:val="clear" w:color="auto" w:fill="E9F0F3"/>
          </w:tcPr>
          <w:p>
            <w:pPr>
              <w:jc w:val="right"/>
              <w:ind w:right="75"/>
              <w:spacing w:after="0"/>
              <w:rPr>
                <w:sz w:val="20"/>
                <w:szCs w:val="20"/>
                <w:color w:val="auto"/>
              </w:rPr>
            </w:pPr>
            <w:r>
              <w:rPr>
                <w:rFonts w:ascii="Arial" w:cs="Arial" w:eastAsia="Arial" w:hAnsi="Arial"/>
                <w:sz w:val="14"/>
                <w:szCs w:val="14"/>
                <w:color w:val="auto"/>
              </w:rPr>
              <w:t>N/A</w:t>
            </w:r>
          </w:p>
        </w:tc>
        <w:tc>
          <w:tcPr>
            <w:tcW w:w="1020" w:type="dxa"/>
            <w:vAlign w:val="bottom"/>
            <w:shd w:val="clear" w:color="auto" w:fill="E9F0F3"/>
          </w:tcPr>
          <w:p>
            <w:pPr>
              <w:jc w:val="right"/>
              <w:ind w:right="3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40"/>
        </w:trPr>
        <w:tc>
          <w:tcPr>
            <w:tcW w:w="308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options</w:t>
            </w:r>
            <w:r>
              <w:rPr>
                <w:rFonts w:ascii="Arial" w:cs="Arial" w:eastAsia="Arial" w:hAnsi="Arial"/>
                <w:sz w:val="16"/>
                <w:szCs w:val="16"/>
                <w:color w:val="auto"/>
                <w:vertAlign w:val="superscript"/>
              </w:rPr>
              <w:t>5</w:t>
            </w:r>
          </w:p>
        </w:tc>
        <w:tc>
          <w:tcPr>
            <w:tcW w:w="1260" w:type="dxa"/>
            <w:vAlign w:val="bottom"/>
            <w:tcBorders>
              <w:bottom w:val="single" w:sz="8" w:color="E9F0F3"/>
            </w:tcBorders>
            <w:shd w:val="clear" w:color="auto" w:fill="E9F0F3"/>
          </w:tcPr>
          <w:p>
            <w:pPr>
              <w:spacing w:after="0"/>
              <w:rPr>
                <w:sz w:val="20"/>
                <w:szCs w:val="20"/>
                <w:color w:val="auto"/>
              </w:rPr>
            </w:pPr>
          </w:p>
        </w:tc>
        <w:tc>
          <w:tcPr>
            <w:tcW w:w="1100" w:type="dxa"/>
            <w:vAlign w:val="bottom"/>
            <w:tcBorders>
              <w:bottom w:val="single" w:sz="8" w:color="E9F0F3"/>
            </w:tcBorders>
            <w:shd w:val="clear" w:color="auto" w:fill="E9F0F3"/>
          </w:tcPr>
          <w:p>
            <w:pPr>
              <w:spacing w:after="0"/>
              <w:rPr>
                <w:sz w:val="20"/>
                <w:szCs w:val="20"/>
                <w:color w:val="auto"/>
              </w:rPr>
            </w:pPr>
          </w:p>
        </w:tc>
        <w:tc>
          <w:tcPr>
            <w:tcW w:w="1140" w:type="dxa"/>
            <w:vAlign w:val="bottom"/>
            <w:tcBorders>
              <w:bottom w:val="single" w:sz="8" w:color="E9F0F3"/>
            </w:tcBorders>
            <w:shd w:val="clear" w:color="auto" w:fill="E9F0F3"/>
          </w:tcPr>
          <w:p>
            <w:pPr>
              <w:spacing w:after="0"/>
              <w:rPr>
                <w:sz w:val="20"/>
                <w:szCs w:val="20"/>
                <w:color w:val="auto"/>
              </w:rPr>
            </w:pPr>
          </w:p>
        </w:tc>
        <w:tc>
          <w:tcPr>
            <w:tcW w:w="1120" w:type="dxa"/>
            <w:vAlign w:val="bottom"/>
            <w:tcBorders>
              <w:bottom w:val="single" w:sz="8" w:color="E9F0F3"/>
            </w:tcBorders>
            <w:shd w:val="clear" w:color="auto" w:fill="E9F0F3"/>
          </w:tcPr>
          <w:p>
            <w:pPr>
              <w:spacing w:after="0"/>
              <w:rPr>
                <w:sz w:val="20"/>
                <w:szCs w:val="20"/>
                <w:color w:val="auto"/>
              </w:rPr>
            </w:pPr>
          </w:p>
        </w:tc>
        <w:tc>
          <w:tcPr>
            <w:tcW w:w="1200" w:type="dxa"/>
            <w:vAlign w:val="bottom"/>
            <w:tcBorders>
              <w:bottom w:val="single" w:sz="8" w:color="E9F0F3"/>
            </w:tcBorders>
            <w:shd w:val="clear" w:color="auto" w:fill="E9F0F3"/>
          </w:tcPr>
          <w:p>
            <w:pPr>
              <w:spacing w:after="0"/>
              <w:rPr>
                <w:sz w:val="20"/>
                <w:szCs w:val="20"/>
                <w:color w:val="auto"/>
              </w:rPr>
            </w:pPr>
          </w:p>
        </w:tc>
        <w:tc>
          <w:tcPr>
            <w:tcW w:w="1020" w:type="dxa"/>
            <w:vAlign w:val="bottom"/>
            <w:tcBorders>
              <w:bottom w:val="single" w:sz="8" w:color="E9F0F3"/>
            </w:tcBorders>
            <w:shd w:val="clear" w:color="auto" w:fill="E9F0F3"/>
          </w:tcPr>
          <w:p>
            <w:pPr>
              <w:spacing w:after="0"/>
              <w:rPr>
                <w:sz w:val="20"/>
                <w:szCs w:val="20"/>
                <w:color w:val="auto"/>
              </w:rPr>
            </w:pPr>
          </w:p>
        </w:tc>
        <w:tc>
          <w:tcPr>
            <w:tcW w:w="1020" w:type="dxa"/>
            <w:vAlign w:val="bottom"/>
            <w:tcBorders>
              <w:bottom w:val="single" w:sz="8" w:color="E9F0F3"/>
            </w:tcBorders>
            <w:shd w:val="clear" w:color="auto" w:fill="E9F0F3"/>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080" w:type="dxa"/>
            <w:vAlign w:val="bottom"/>
          </w:tcPr>
          <w:p>
            <w:pPr>
              <w:ind w:left="60"/>
              <w:spacing w:after="0"/>
              <w:rPr>
                <w:sz w:val="20"/>
                <w:szCs w:val="20"/>
                <w:color w:val="auto"/>
              </w:rPr>
            </w:pPr>
            <w:r>
              <w:rPr>
                <w:rFonts w:ascii="Arial" w:cs="Arial" w:eastAsia="Arial" w:hAnsi="Arial"/>
                <w:sz w:val="14"/>
                <w:szCs w:val="14"/>
                <w:color w:val="auto"/>
              </w:rPr>
              <w:t>Value of unvested RSUs</w:t>
            </w:r>
            <w:r>
              <w:rPr>
                <w:rFonts w:ascii="Arial" w:cs="Arial" w:eastAsia="Arial" w:hAnsi="Arial"/>
                <w:sz w:val="16"/>
                <w:szCs w:val="16"/>
                <w:color w:val="auto"/>
                <w:vertAlign w:val="superscript"/>
              </w:rPr>
              <w:t>6</w:t>
            </w:r>
          </w:p>
        </w:tc>
        <w:tc>
          <w:tcPr>
            <w:tcW w:w="1260" w:type="dxa"/>
            <w:vAlign w:val="bottom"/>
          </w:tcPr>
          <w:p>
            <w:pPr>
              <w:jc w:val="right"/>
              <w:ind w:right="135"/>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94"/>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14"/>
              <w:spacing w:after="0"/>
              <w:rPr>
                <w:sz w:val="20"/>
                <w:szCs w:val="20"/>
                <w:color w:val="auto"/>
              </w:rPr>
            </w:pPr>
            <w:r>
              <w:rPr>
                <w:rFonts w:ascii="Arial" w:cs="Arial" w:eastAsia="Arial" w:hAnsi="Arial"/>
                <w:sz w:val="14"/>
                <w:szCs w:val="14"/>
                <w:color w:val="auto"/>
              </w:rPr>
              <w:t>666,005</w:t>
            </w:r>
          </w:p>
        </w:tc>
        <w:tc>
          <w:tcPr>
            <w:tcW w:w="1120" w:type="dxa"/>
            <w:vAlign w:val="bottom"/>
          </w:tcPr>
          <w:p>
            <w:pPr>
              <w:jc w:val="right"/>
              <w:ind w:right="94"/>
              <w:spacing w:after="0"/>
              <w:rPr>
                <w:sz w:val="20"/>
                <w:szCs w:val="20"/>
                <w:color w:val="auto"/>
              </w:rPr>
            </w:pPr>
            <w:r>
              <w:rPr>
                <w:rFonts w:ascii="Arial" w:cs="Arial" w:eastAsia="Arial" w:hAnsi="Arial"/>
                <w:sz w:val="14"/>
                <w:szCs w:val="14"/>
                <w:color w:val="auto"/>
              </w:rPr>
              <w:t>666,005</w:t>
            </w:r>
          </w:p>
        </w:tc>
        <w:tc>
          <w:tcPr>
            <w:tcW w:w="1200" w:type="dxa"/>
            <w:vAlign w:val="bottom"/>
          </w:tcPr>
          <w:p>
            <w:pPr>
              <w:jc w:val="right"/>
              <w:ind w:right="177"/>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75"/>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38"/>
              <w:spacing w:after="0"/>
              <w:rPr>
                <w:sz w:val="20"/>
                <w:szCs w:val="20"/>
                <w:color w:val="auto"/>
              </w:rPr>
            </w:pPr>
            <w:r>
              <w:rPr>
                <w:rFonts w:ascii="Arial" w:cs="Arial" w:eastAsia="Arial" w:hAnsi="Arial"/>
                <w:sz w:val="14"/>
                <w:szCs w:val="14"/>
                <w:color w:val="auto"/>
              </w:rPr>
              <w:t>666,005</w:t>
            </w:r>
          </w:p>
        </w:tc>
        <w:tc>
          <w:tcPr>
            <w:tcW w:w="0" w:type="dxa"/>
            <w:vAlign w:val="bottom"/>
          </w:tcPr>
          <w:p>
            <w:pPr>
              <w:spacing w:after="0"/>
              <w:rPr>
                <w:sz w:val="1"/>
                <w:szCs w:val="1"/>
                <w:color w:val="auto"/>
              </w:rPr>
            </w:pPr>
          </w:p>
        </w:tc>
      </w:tr>
      <w:tr>
        <w:trPr>
          <w:trHeight w:val="39"/>
        </w:trPr>
        <w:tc>
          <w:tcPr>
            <w:tcW w:w="3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0"/>
        </w:trPr>
        <w:tc>
          <w:tcPr>
            <w:tcW w:w="308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Value of unvested PSUs</w:t>
            </w:r>
            <w:r>
              <w:rPr>
                <w:rFonts w:ascii="Arial" w:cs="Arial" w:eastAsia="Arial" w:hAnsi="Arial"/>
                <w:sz w:val="16"/>
                <w:szCs w:val="16"/>
                <w:color w:val="auto"/>
                <w:vertAlign w:val="superscript"/>
              </w:rPr>
              <w:t>7</w:t>
            </w:r>
          </w:p>
        </w:tc>
        <w:tc>
          <w:tcPr>
            <w:tcW w:w="1260" w:type="dxa"/>
            <w:vAlign w:val="bottom"/>
            <w:tcBorders>
              <w:bottom w:val="single" w:sz="8" w:color="E9F0F3"/>
            </w:tcBorders>
            <w:shd w:val="clear" w:color="auto" w:fill="E9F0F3"/>
          </w:tcPr>
          <w:p>
            <w:pPr>
              <w:jc w:val="right"/>
              <w:ind w:right="135"/>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E9F0F3"/>
            </w:tcBorders>
            <w:shd w:val="clear" w:color="auto" w:fill="E9F0F3"/>
          </w:tcPr>
          <w:p>
            <w:pPr>
              <w:jc w:val="right"/>
              <w:ind w:right="94"/>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E9F0F3"/>
            </w:tcBorders>
            <w:shd w:val="clear" w:color="auto" w:fill="E9F0F3"/>
          </w:tcPr>
          <w:p>
            <w:pPr>
              <w:jc w:val="right"/>
              <w:ind w:right="114"/>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E9F0F3"/>
            </w:tcBorders>
            <w:shd w:val="clear" w:color="auto" w:fill="E9F0F3"/>
          </w:tcPr>
          <w:p>
            <w:pPr>
              <w:jc w:val="right"/>
              <w:ind w:right="94"/>
              <w:spacing w:after="0"/>
              <w:rPr>
                <w:sz w:val="20"/>
                <w:szCs w:val="20"/>
                <w:color w:val="auto"/>
              </w:rPr>
            </w:pPr>
            <w:r>
              <w:rPr>
                <w:rFonts w:ascii="Arial" w:cs="Arial" w:eastAsia="Arial" w:hAnsi="Arial"/>
                <w:sz w:val="14"/>
                <w:szCs w:val="14"/>
                <w:color w:val="auto"/>
              </w:rPr>
              <w:t>0</w:t>
            </w:r>
          </w:p>
        </w:tc>
        <w:tc>
          <w:tcPr>
            <w:tcW w:w="1200" w:type="dxa"/>
            <w:vAlign w:val="bottom"/>
            <w:tcBorders>
              <w:bottom w:val="single" w:sz="8" w:color="E9F0F3"/>
            </w:tcBorders>
            <w:shd w:val="clear" w:color="auto" w:fill="E9F0F3"/>
          </w:tcPr>
          <w:p>
            <w:pPr>
              <w:jc w:val="right"/>
              <w:ind w:right="177"/>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E9F0F3"/>
            </w:tcBorders>
            <w:shd w:val="clear" w:color="auto" w:fill="E9F0F3"/>
          </w:tcPr>
          <w:p>
            <w:pPr>
              <w:jc w:val="right"/>
              <w:ind w:right="75"/>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E9F0F3"/>
            </w:tcBorders>
            <w:shd w:val="clear" w:color="auto" w:fill="E9F0F3"/>
          </w:tcPr>
          <w:p>
            <w:pPr>
              <w:jc w:val="right"/>
              <w:ind w:right="3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290"/>
        </w:trPr>
        <w:tc>
          <w:tcPr>
            <w:tcW w:w="3080" w:type="dxa"/>
            <w:vAlign w:val="bottom"/>
          </w:tcPr>
          <w:p>
            <w:pPr>
              <w:ind w:left="60"/>
              <w:spacing w:after="0"/>
              <w:rPr>
                <w:sz w:val="20"/>
                <w:szCs w:val="20"/>
                <w:color w:val="auto"/>
              </w:rPr>
            </w:pPr>
            <w:r>
              <w:rPr>
                <w:rFonts w:ascii="Arial" w:cs="Arial" w:eastAsia="Arial" w:hAnsi="Arial"/>
                <w:sz w:val="14"/>
                <w:szCs w:val="14"/>
                <w:color w:val="auto"/>
              </w:rPr>
              <w:t>Welfare benefits value</w:t>
            </w:r>
            <w:r>
              <w:rPr>
                <w:rFonts w:ascii="Arial" w:cs="Arial" w:eastAsia="Arial" w:hAnsi="Arial"/>
                <w:sz w:val="16"/>
                <w:szCs w:val="16"/>
                <w:color w:val="auto"/>
                <w:vertAlign w:val="superscript"/>
              </w:rPr>
              <w:t>8</w:t>
            </w:r>
          </w:p>
        </w:tc>
        <w:tc>
          <w:tcPr>
            <w:tcW w:w="1260" w:type="dxa"/>
            <w:vAlign w:val="bottom"/>
          </w:tcPr>
          <w:p>
            <w:pPr>
              <w:jc w:val="right"/>
              <w:ind w:right="135"/>
              <w:spacing w:after="0"/>
              <w:rPr>
                <w:sz w:val="20"/>
                <w:szCs w:val="20"/>
                <w:color w:val="auto"/>
              </w:rPr>
            </w:pPr>
            <w:r>
              <w:rPr>
                <w:rFonts w:ascii="Arial" w:cs="Arial" w:eastAsia="Arial" w:hAnsi="Arial"/>
                <w:sz w:val="14"/>
                <w:szCs w:val="14"/>
                <w:color w:val="auto"/>
              </w:rPr>
              <w:t>0</w:t>
            </w:r>
          </w:p>
        </w:tc>
        <w:tc>
          <w:tcPr>
            <w:tcW w:w="1100" w:type="dxa"/>
            <w:vAlign w:val="bottom"/>
          </w:tcPr>
          <w:p>
            <w:pPr>
              <w:jc w:val="right"/>
              <w:ind w:right="94"/>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14"/>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94"/>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177"/>
              <w:spacing w:after="0"/>
              <w:rPr>
                <w:sz w:val="20"/>
                <w:szCs w:val="20"/>
                <w:color w:val="auto"/>
              </w:rPr>
            </w:pPr>
            <w:r>
              <w:rPr>
                <w:rFonts w:ascii="Arial" w:cs="Arial" w:eastAsia="Arial" w:hAnsi="Arial"/>
                <w:sz w:val="14"/>
                <w:szCs w:val="14"/>
                <w:color w:val="auto"/>
              </w:rPr>
              <w:t>51,622</w:t>
            </w:r>
          </w:p>
        </w:tc>
        <w:tc>
          <w:tcPr>
            <w:tcW w:w="1020" w:type="dxa"/>
            <w:vAlign w:val="bottom"/>
          </w:tcPr>
          <w:p>
            <w:pPr>
              <w:jc w:val="right"/>
              <w:ind w:right="75"/>
              <w:spacing w:after="0"/>
              <w:rPr>
                <w:sz w:val="20"/>
                <w:szCs w:val="20"/>
                <w:color w:val="auto"/>
              </w:rPr>
            </w:pPr>
            <w:r>
              <w:rPr>
                <w:rFonts w:ascii="Arial" w:cs="Arial" w:eastAsia="Arial" w:hAnsi="Arial"/>
                <w:sz w:val="14"/>
                <w:szCs w:val="14"/>
                <w:color w:val="auto"/>
              </w:rPr>
              <w:t>0</w:t>
            </w:r>
          </w:p>
        </w:tc>
        <w:tc>
          <w:tcPr>
            <w:tcW w:w="1020" w:type="dxa"/>
            <w:vAlign w:val="bottom"/>
          </w:tcPr>
          <w:p>
            <w:pPr>
              <w:jc w:val="right"/>
              <w:ind w:right="38"/>
              <w:spacing w:after="0"/>
              <w:rPr>
                <w:sz w:val="20"/>
                <w:szCs w:val="20"/>
                <w:color w:val="auto"/>
              </w:rPr>
            </w:pPr>
            <w:r>
              <w:rPr>
                <w:rFonts w:ascii="Arial" w:cs="Arial" w:eastAsia="Arial" w:hAnsi="Arial"/>
                <w:sz w:val="14"/>
                <w:szCs w:val="14"/>
                <w:color w:val="auto"/>
              </w:rPr>
              <w:t>51,622</w:t>
            </w:r>
          </w:p>
        </w:tc>
        <w:tc>
          <w:tcPr>
            <w:tcW w:w="0" w:type="dxa"/>
            <w:vAlign w:val="bottom"/>
          </w:tcPr>
          <w:p>
            <w:pPr>
              <w:spacing w:after="0"/>
              <w:rPr>
                <w:sz w:val="1"/>
                <w:szCs w:val="1"/>
                <w:color w:val="auto"/>
              </w:rPr>
            </w:pPr>
          </w:p>
        </w:tc>
      </w:tr>
      <w:tr>
        <w:trPr>
          <w:trHeight w:val="39"/>
        </w:trPr>
        <w:tc>
          <w:tcPr>
            <w:tcW w:w="3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308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Total</w:t>
            </w:r>
          </w:p>
        </w:tc>
        <w:tc>
          <w:tcPr>
            <w:tcW w:w="1260" w:type="dxa"/>
            <w:vAlign w:val="bottom"/>
            <w:shd w:val="clear" w:color="auto" w:fill="E9F0F3"/>
          </w:tcPr>
          <w:p>
            <w:pPr>
              <w:jc w:val="right"/>
              <w:ind w:right="135"/>
              <w:spacing w:after="0"/>
              <w:rPr>
                <w:sz w:val="20"/>
                <w:szCs w:val="20"/>
                <w:color w:val="auto"/>
              </w:rPr>
            </w:pPr>
            <w:r>
              <w:rPr>
                <w:rFonts w:ascii="Arial" w:cs="Arial" w:eastAsia="Arial" w:hAnsi="Arial"/>
                <w:sz w:val="14"/>
                <w:szCs w:val="14"/>
                <w:b w:val="1"/>
                <w:bCs w:val="1"/>
                <w:color w:val="auto"/>
              </w:rPr>
              <w:t>$0</w:t>
            </w:r>
          </w:p>
        </w:tc>
        <w:tc>
          <w:tcPr>
            <w:tcW w:w="1100" w:type="dxa"/>
            <w:vAlign w:val="bottom"/>
            <w:shd w:val="clear" w:color="auto" w:fill="E9F0F3"/>
          </w:tcPr>
          <w:p>
            <w:pPr>
              <w:jc w:val="right"/>
              <w:ind w:right="94"/>
              <w:spacing w:after="0"/>
              <w:rPr>
                <w:sz w:val="20"/>
                <w:szCs w:val="20"/>
                <w:color w:val="auto"/>
              </w:rPr>
            </w:pPr>
            <w:r>
              <w:rPr>
                <w:rFonts w:ascii="Arial" w:cs="Arial" w:eastAsia="Arial" w:hAnsi="Arial"/>
                <w:sz w:val="14"/>
                <w:szCs w:val="14"/>
                <w:b w:val="1"/>
                <w:bCs w:val="1"/>
                <w:color w:val="auto"/>
              </w:rPr>
              <w:t>$0</w:t>
            </w:r>
          </w:p>
        </w:tc>
        <w:tc>
          <w:tcPr>
            <w:tcW w:w="1140" w:type="dxa"/>
            <w:vAlign w:val="bottom"/>
            <w:shd w:val="clear" w:color="auto" w:fill="E9F0F3"/>
          </w:tcPr>
          <w:p>
            <w:pPr>
              <w:jc w:val="right"/>
              <w:ind w:right="114"/>
              <w:spacing w:after="0"/>
              <w:rPr>
                <w:sz w:val="20"/>
                <w:szCs w:val="20"/>
                <w:color w:val="auto"/>
              </w:rPr>
            </w:pPr>
            <w:r>
              <w:rPr>
                <w:rFonts w:ascii="Arial" w:cs="Arial" w:eastAsia="Arial" w:hAnsi="Arial"/>
                <w:sz w:val="14"/>
                <w:szCs w:val="14"/>
                <w:b w:val="1"/>
                <w:bCs w:val="1"/>
                <w:color w:val="auto"/>
              </w:rPr>
              <w:t>$941,005</w:t>
            </w:r>
          </w:p>
        </w:tc>
        <w:tc>
          <w:tcPr>
            <w:tcW w:w="1120" w:type="dxa"/>
            <w:vAlign w:val="bottom"/>
            <w:shd w:val="clear" w:color="auto" w:fill="E9F0F3"/>
          </w:tcPr>
          <w:p>
            <w:pPr>
              <w:jc w:val="right"/>
              <w:ind w:right="94"/>
              <w:spacing w:after="0"/>
              <w:rPr>
                <w:sz w:val="20"/>
                <w:szCs w:val="20"/>
                <w:color w:val="auto"/>
              </w:rPr>
            </w:pPr>
            <w:r>
              <w:rPr>
                <w:rFonts w:ascii="Arial" w:cs="Arial" w:eastAsia="Arial" w:hAnsi="Arial"/>
                <w:sz w:val="14"/>
                <w:szCs w:val="14"/>
                <w:b w:val="1"/>
                <w:bCs w:val="1"/>
                <w:color w:val="auto"/>
              </w:rPr>
              <w:t>$869,148</w:t>
            </w:r>
          </w:p>
        </w:tc>
        <w:tc>
          <w:tcPr>
            <w:tcW w:w="1200" w:type="dxa"/>
            <w:vAlign w:val="bottom"/>
            <w:shd w:val="clear" w:color="auto" w:fill="E9F0F3"/>
          </w:tcPr>
          <w:p>
            <w:pPr>
              <w:jc w:val="right"/>
              <w:ind w:right="177"/>
              <w:spacing w:after="0"/>
              <w:rPr>
                <w:sz w:val="20"/>
                <w:szCs w:val="20"/>
                <w:color w:val="auto"/>
              </w:rPr>
            </w:pPr>
            <w:r>
              <w:rPr>
                <w:rFonts w:ascii="Arial" w:cs="Arial" w:eastAsia="Arial" w:hAnsi="Arial"/>
                <w:sz w:val="14"/>
                <w:szCs w:val="14"/>
                <w:b w:val="1"/>
                <w:bCs w:val="1"/>
                <w:color w:val="auto"/>
              </w:rPr>
              <w:t>$1,854,757</w:t>
            </w:r>
          </w:p>
        </w:tc>
        <w:tc>
          <w:tcPr>
            <w:tcW w:w="1020" w:type="dxa"/>
            <w:vAlign w:val="bottom"/>
            <w:shd w:val="clear" w:color="auto" w:fill="E9F0F3"/>
          </w:tcPr>
          <w:p>
            <w:pPr>
              <w:jc w:val="right"/>
              <w:ind w:right="75"/>
              <w:spacing w:after="0"/>
              <w:rPr>
                <w:sz w:val="20"/>
                <w:szCs w:val="20"/>
                <w:color w:val="auto"/>
              </w:rPr>
            </w:pPr>
            <w:r>
              <w:rPr>
                <w:rFonts w:ascii="Arial" w:cs="Arial" w:eastAsia="Arial" w:hAnsi="Arial"/>
                <w:sz w:val="14"/>
                <w:szCs w:val="14"/>
                <w:b w:val="1"/>
                <w:bCs w:val="1"/>
                <w:color w:val="auto"/>
              </w:rPr>
              <w:t>$0</w:t>
            </w:r>
          </w:p>
        </w:tc>
        <w:tc>
          <w:tcPr>
            <w:tcW w:w="1020" w:type="dxa"/>
            <w:vAlign w:val="bottom"/>
            <w:shd w:val="clear" w:color="auto" w:fill="E9F0F3"/>
          </w:tcPr>
          <w:p>
            <w:pPr>
              <w:jc w:val="right"/>
              <w:ind w:right="38"/>
              <w:spacing w:after="0"/>
              <w:rPr>
                <w:sz w:val="20"/>
                <w:szCs w:val="20"/>
                <w:color w:val="auto"/>
              </w:rPr>
            </w:pPr>
            <w:r>
              <w:rPr>
                <w:rFonts w:ascii="Arial" w:cs="Arial" w:eastAsia="Arial" w:hAnsi="Arial"/>
                <w:sz w:val="14"/>
                <w:szCs w:val="14"/>
                <w:b w:val="1"/>
                <w:bCs w:val="1"/>
                <w:color w:val="auto"/>
              </w:rPr>
              <w:t>$2,592,619</w:t>
            </w:r>
          </w:p>
        </w:tc>
        <w:tc>
          <w:tcPr>
            <w:tcW w:w="0" w:type="dxa"/>
            <w:vAlign w:val="bottom"/>
          </w:tcPr>
          <w:p>
            <w:pPr>
              <w:spacing w:after="0"/>
              <w:rPr>
                <w:sz w:val="1"/>
                <w:szCs w:val="1"/>
                <w:color w:val="auto"/>
              </w:rPr>
            </w:pPr>
          </w:p>
        </w:tc>
      </w:tr>
      <w:tr>
        <w:trPr>
          <w:trHeight w:val="66"/>
        </w:trPr>
        <w:tc>
          <w:tcPr>
            <w:tcW w:w="3080" w:type="dxa"/>
            <w:vAlign w:val="bottom"/>
            <w:shd w:val="clear" w:color="auto" w:fill="E9F0F3"/>
          </w:tcPr>
          <w:p>
            <w:pPr>
              <w:spacing w:after="0"/>
              <w:rPr>
                <w:sz w:val="5"/>
                <w:szCs w:val="5"/>
                <w:color w:val="auto"/>
              </w:rPr>
            </w:pPr>
          </w:p>
        </w:tc>
        <w:tc>
          <w:tcPr>
            <w:tcW w:w="1260" w:type="dxa"/>
            <w:vAlign w:val="bottom"/>
            <w:shd w:val="clear" w:color="auto" w:fill="E9F0F3"/>
          </w:tcPr>
          <w:p>
            <w:pPr>
              <w:spacing w:after="0"/>
              <w:rPr>
                <w:sz w:val="5"/>
                <w:szCs w:val="5"/>
                <w:color w:val="auto"/>
              </w:rPr>
            </w:pPr>
          </w:p>
        </w:tc>
        <w:tc>
          <w:tcPr>
            <w:tcW w:w="1100" w:type="dxa"/>
            <w:vAlign w:val="bottom"/>
            <w:shd w:val="clear" w:color="auto" w:fill="E9F0F3"/>
          </w:tcPr>
          <w:p>
            <w:pPr>
              <w:spacing w:after="0"/>
              <w:rPr>
                <w:sz w:val="5"/>
                <w:szCs w:val="5"/>
                <w:color w:val="auto"/>
              </w:rPr>
            </w:pPr>
          </w:p>
        </w:tc>
        <w:tc>
          <w:tcPr>
            <w:tcW w:w="1140" w:type="dxa"/>
            <w:vAlign w:val="bottom"/>
            <w:shd w:val="clear" w:color="auto" w:fill="E9F0F3"/>
          </w:tcPr>
          <w:p>
            <w:pPr>
              <w:spacing w:after="0"/>
              <w:rPr>
                <w:sz w:val="5"/>
                <w:szCs w:val="5"/>
                <w:color w:val="auto"/>
              </w:rPr>
            </w:pPr>
          </w:p>
        </w:tc>
        <w:tc>
          <w:tcPr>
            <w:tcW w:w="1120" w:type="dxa"/>
            <w:vAlign w:val="bottom"/>
            <w:shd w:val="clear" w:color="auto" w:fill="E9F0F3"/>
          </w:tcPr>
          <w:p>
            <w:pPr>
              <w:spacing w:after="0"/>
              <w:rPr>
                <w:sz w:val="5"/>
                <w:szCs w:val="5"/>
                <w:color w:val="auto"/>
              </w:rPr>
            </w:pPr>
          </w:p>
        </w:tc>
        <w:tc>
          <w:tcPr>
            <w:tcW w:w="1200" w:type="dxa"/>
            <w:vAlign w:val="bottom"/>
            <w:shd w:val="clear" w:color="auto" w:fill="E9F0F3"/>
          </w:tcPr>
          <w:p>
            <w:pPr>
              <w:spacing w:after="0"/>
              <w:rPr>
                <w:sz w:val="5"/>
                <w:szCs w:val="5"/>
                <w:color w:val="auto"/>
              </w:rPr>
            </w:pPr>
          </w:p>
        </w:tc>
        <w:tc>
          <w:tcPr>
            <w:tcW w:w="1020" w:type="dxa"/>
            <w:vAlign w:val="bottom"/>
            <w:shd w:val="clear" w:color="auto" w:fill="E9F0F3"/>
          </w:tcPr>
          <w:p>
            <w:pPr>
              <w:spacing w:after="0"/>
              <w:rPr>
                <w:sz w:val="5"/>
                <w:szCs w:val="5"/>
                <w:color w:val="auto"/>
              </w:rPr>
            </w:pPr>
          </w:p>
        </w:tc>
        <w:tc>
          <w:tcPr>
            <w:tcW w:w="102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EXECUTIVE COMPENSATION TABLES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256" w:right="47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50"/>
        </w:trPr>
        <w:tc>
          <w:tcPr>
            <w:tcW w:w="3080" w:type="dxa"/>
            <w:vAlign w:val="bottom"/>
            <w:shd w:val="clear" w:color="auto" w:fill="99B7C6"/>
          </w:tcPr>
          <w:p>
            <w:pPr>
              <w:spacing w:after="0"/>
              <w:rPr>
                <w:sz w:val="13"/>
                <w:szCs w:val="13"/>
                <w:color w:val="auto"/>
              </w:rPr>
            </w:pPr>
          </w:p>
        </w:tc>
        <w:tc>
          <w:tcPr>
            <w:tcW w:w="1260" w:type="dxa"/>
            <w:vAlign w:val="bottom"/>
            <w:shd w:val="clear" w:color="auto" w:fill="99B7C6"/>
          </w:tcPr>
          <w:p>
            <w:pPr>
              <w:spacing w:after="0"/>
              <w:rPr>
                <w:sz w:val="13"/>
                <w:szCs w:val="13"/>
                <w:color w:val="auto"/>
              </w:rPr>
            </w:pPr>
          </w:p>
        </w:tc>
        <w:tc>
          <w:tcPr>
            <w:tcW w:w="1140" w:type="dxa"/>
            <w:vAlign w:val="bottom"/>
            <w:shd w:val="clear" w:color="auto" w:fill="99B7C6"/>
          </w:tcPr>
          <w:p>
            <w:pPr>
              <w:spacing w:after="0"/>
              <w:rPr>
                <w:sz w:val="13"/>
                <w:szCs w:val="13"/>
                <w:color w:val="auto"/>
              </w:rPr>
            </w:pPr>
          </w:p>
        </w:tc>
        <w:tc>
          <w:tcPr>
            <w:tcW w:w="1140" w:type="dxa"/>
            <w:vAlign w:val="bottom"/>
            <w:shd w:val="clear" w:color="auto" w:fill="99B7C6"/>
          </w:tcPr>
          <w:p>
            <w:pPr>
              <w:spacing w:after="0"/>
              <w:rPr>
                <w:sz w:val="13"/>
                <w:szCs w:val="13"/>
                <w:color w:val="auto"/>
              </w:rPr>
            </w:pPr>
          </w:p>
        </w:tc>
        <w:tc>
          <w:tcPr>
            <w:tcW w:w="1080" w:type="dxa"/>
            <w:vAlign w:val="bottom"/>
            <w:shd w:val="clear" w:color="auto" w:fill="99B7C6"/>
          </w:tcPr>
          <w:p>
            <w:pPr>
              <w:spacing w:after="0"/>
              <w:rPr>
                <w:sz w:val="13"/>
                <w:szCs w:val="13"/>
                <w:color w:val="auto"/>
              </w:rPr>
            </w:pPr>
          </w:p>
        </w:tc>
        <w:tc>
          <w:tcPr>
            <w:tcW w:w="1200" w:type="dxa"/>
            <w:vAlign w:val="bottom"/>
            <w:shd w:val="clear" w:color="auto" w:fill="99B7C6"/>
          </w:tcPr>
          <w:p>
            <w:pPr>
              <w:spacing w:after="0"/>
              <w:rPr>
                <w:sz w:val="13"/>
                <w:szCs w:val="13"/>
                <w:color w:val="auto"/>
              </w:rPr>
            </w:pPr>
          </w:p>
        </w:tc>
        <w:tc>
          <w:tcPr>
            <w:tcW w:w="1060" w:type="dxa"/>
            <w:vAlign w:val="bottom"/>
            <w:shd w:val="clear" w:color="auto" w:fill="99B7C6"/>
          </w:tcPr>
          <w:p>
            <w:pPr>
              <w:spacing w:after="0"/>
              <w:rPr>
                <w:sz w:val="13"/>
                <w:szCs w:val="13"/>
                <w:color w:val="auto"/>
              </w:rPr>
            </w:pPr>
          </w:p>
        </w:tc>
        <w:tc>
          <w:tcPr>
            <w:tcW w:w="980" w:type="dxa"/>
            <w:vAlign w:val="bottom"/>
            <w:shd w:val="clear" w:color="auto" w:fill="99B7C6"/>
          </w:tcPr>
          <w:p>
            <w:pPr>
              <w:jc w:val="right"/>
              <w:ind w:right="38"/>
              <w:spacing w:after="0"/>
              <w:rPr>
                <w:sz w:val="20"/>
                <w:szCs w:val="20"/>
                <w:color w:val="auto"/>
              </w:rPr>
            </w:pPr>
            <w:r>
              <w:rPr>
                <w:rFonts w:ascii="Arial" w:cs="Arial" w:eastAsia="Arial" w:hAnsi="Arial"/>
                <w:sz w:val="11"/>
                <w:szCs w:val="11"/>
                <w:b w:val="1"/>
                <w:bCs w:val="1"/>
                <w:color w:val="FFFFFF"/>
              </w:rPr>
              <w:t>Termination</w:t>
            </w:r>
          </w:p>
        </w:tc>
        <w:tc>
          <w:tcPr>
            <w:tcW w:w="0" w:type="dxa"/>
            <w:vAlign w:val="bottom"/>
          </w:tcPr>
          <w:p>
            <w:pPr>
              <w:spacing w:after="0"/>
              <w:rPr>
                <w:sz w:val="1"/>
                <w:szCs w:val="1"/>
                <w:color w:val="auto"/>
              </w:rPr>
            </w:pPr>
          </w:p>
        </w:tc>
      </w:tr>
      <w:tr>
        <w:trPr>
          <w:trHeight w:val="118"/>
        </w:trPr>
        <w:tc>
          <w:tcPr>
            <w:tcW w:w="3080" w:type="dxa"/>
            <w:vAlign w:val="bottom"/>
            <w:shd w:val="clear" w:color="auto" w:fill="99B7C6"/>
          </w:tcPr>
          <w:p>
            <w:pPr>
              <w:spacing w:after="0"/>
              <w:rPr>
                <w:sz w:val="10"/>
                <w:szCs w:val="10"/>
                <w:color w:val="auto"/>
              </w:rPr>
            </w:pPr>
          </w:p>
        </w:tc>
        <w:tc>
          <w:tcPr>
            <w:tcW w:w="126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200" w:type="dxa"/>
            <w:vAlign w:val="bottom"/>
            <w:shd w:val="clear" w:color="auto" w:fill="99B7C6"/>
          </w:tcPr>
          <w:p>
            <w:pPr>
              <w:spacing w:after="0"/>
              <w:rPr>
                <w:sz w:val="10"/>
                <w:szCs w:val="10"/>
                <w:color w:val="auto"/>
              </w:rPr>
            </w:pPr>
          </w:p>
        </w:tc>
        <w:tc>
          <w:tcPr>
            <w:tcW w:w="1060" w:type="dxa"/>
            <w:vAlign w:val="bottom"/>
            <w:shd w:val="clear" w:color="auto" w:fill="99B7C6"/>
          </w:tcPr>
          <w:p>
            <w:pPr>
              <w:spacing w:after="0"/>
              <w:rPr>
                <w:sz w:val="10"/>
                <w:szCs w:val="10"/>
                <w:color w:val="auto"/>
              </w:rPr>
            </w:pPr>
          </w:p>
        </w:tc>
        <w:tc>
          <w:tcPr>
            <w:tcW w:w="980" w:type="dxa"/>
            <w:vAlign w:val="bottom"/>
            <w:shd w:val="clear" w:color="auto" w:fill="99B7C6"/>
          </w:tcPr>
          <w:p>
            <w:pPr>
              <w:jc w:val="right"/>
              <w:ind w:right="38"/>
              <w:spacing w:after="0" w:line="118" w:lineRule="exact"/>
              <w:rPr>
                <w:sz w:val="20"/>
                <w:szCs w:val="20"/>
                <w:color w:val="auto"/>
              </w:rPr>
            </w:pPr>
            <w:r>
              <w:rPr>
                <w:rFonts w:ascii="Arial" w:cs="Arial" w:eastAsia="Arial" w:hAnsi="Arial"/>
                <w:sz w:val="11"/>
                <w:szCs w:val="11"/>
                <w:b w:val="1"/>
                <w:bCs w:val="1"/>
                <w:color w:val="FFFFFF"/>
              </w:rPr>
              <w:t>Without</w:t>
            </w:r>
          </w:p>
        </w:tc>
        <w:tc>
          <w:tcPr>
            <w:tcW w:w="0" w:type="dxa"/>
            <w:vAlign w:val="bottom"/>
          </w:tcPr>
          <w:p>
            <w:pPr>
              <w:spacing w:after="0"/>
              <w:rPr>
                <w:sz w:val="1"/>
                <w:szCs w:val="1"/>
                <w:color w:val="auto"/>
              </w:rPr>
            </w:pPr>
          </w:p>
        </w:tc>
      </w:tr>
      <w:tr>
        <w:trPr>
          <w:trHeight w:val="121"/>
        </w:trPr>
        <w:tc>
          <w:tcPr>
            <w:tcW w:w="3080" w:type="dxa"/>
            <w:vAlign w:val="bottom"/>
            <w:shd w:val="clear" w:color="auto" w:fill="99B7C6"/>
          </w:tcPr>
          <w:p>
            <w:pPr>
              <w:spacing w:after="0"/>
              <w:rPr>
                <w:sz w:val="10"/>
                <w:szCs w:val="10"/>
                <w:color w:val="auto"/>
              </w:rPr>
            </w:pPr>
          </w:p>
        </w:tc>
        <w:tc>
          <w:tcPr>
            <w:tcW w:w="126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200" w:type="dxa"/>
            <w:vAlign w:val="bottom"/>
            <w:shd w:val="clear" w:color="auto" w:fill="99B7C6"/>
          </w:tcPr>
          <w:p>
            <w:pPr>
              <w:jc w:val="right"/>
              <w:ind w:right="197"/>
              <w:spacing w:after="0" w:line="122" w:lineRule="exact"/>
              <w:rPr>
                <w:sz w:val="20"/>
                <w:szCs w:val="20"/>
                <w:color w:val="auto"/>
              </w:rPr>
            </w:pPr>
            <w:r>
              <w:rPr>
                <w:rFonts w:ascii="Arial" w:cs="Arial" w:eastAsia="Arial" w:hAnsi="Arial"/>
                <w:sz w:val="11"/>
                <w:szCs w:val="11"/>
                <w:b w:val="1"/>
                <w:bCs w:val="1"/>
                <w:color w:val="FFFFFF"/>
              </w:rPr>
              <w:t>Termination</w:t>
            </w:r>
          </w:p>
        </w:tc>
        <w:tc>
          <w:tcPr>
            <w:tcW w:w="1060" w:type="dxa"/>
            <w:vAlign w:val="bottom"/>
            <w:shd w:val="clear" w:color="auto" w:fill="99B7C6"/>
          </w:tcPr>
          <w:p>
            <w:pPr>
              <w:spacing w:after="0"/>
              <w:rPr>
                <w:sz w:val="10"/>
                <w:szCs w:val="10"/>
                <w:color w:val="auto"/>
              </w:rPr>
            </w:pPr>
          </w:p>
        </w:tc>
        <w:tc>
          <w:tcPr>
            <w:tcW w:w="980" w:type="dxa"/>
            <w:vAlign w:val="bottom"/>
            <w:shd w:val="clear" w:color="auto" w:fill="99B7C6"/>
          </w:tcPr>
          <w:p>
            <w:pPr>
              <w:jc w:val="right"/>
              <w:ind w:right="38"/>
              <w:spacing w:after="0" w:line="122" w:lineRule="exact"/>
              <w:rPr>
                <w:sz w:val="20"/>
                <w:szCs w:val="20"/>
                <w:color w:val="auto"/>
              </w:rPr>
            </w:pPr>
            <w:r>
              <w:rPr>
                <w:rFonts w:ascii="Arial" w:cs="Arial" w:eastAsia="Arial" w:hAnsi="Arial"/>
                <w:sz w:val="11"/>
                <w:szCs w:val="11"/>
                <w:b w:val="1"/>
                <w:bCs w:val="1"/>
                <w:color w:val="FFFFFF"/>
              </w:rPr>
              <w:t>Cause or for</w:t>
            </w:r>
          </w:p>
        </w:tc>
        <w:tc>
          <w:tcPr>
            <w:tcW w:w="0" w:type="dxa"/>
            <w:vAlign w:val="bottom"/>
          </w:tcPr>
          <w:p>
            <w:pPr>
              <w:spacing w:after="0"/>
              <w:rPr>
                <w:sz w:val="1"/>
                <w:szCs w:val="1"/>
                <w:color w:val="auto"/>
              </w:rPr>
            </w:pPr>
          </w:p>
        </w:tc>
      </w:tr>
      <w:tr>
        <w:trPr>
          <w:trHeight w:val="118"/>
        </w:trPr>
        <w:tc>
          <w:tcPr>
            <w:tcW w:w="3080" w:type="dxa"/>
            <w:vAlign w:val="bottom"/>
            <w:shd w:val="clear" w:color="auto" w:fill="99B7C6"/>
          </w:tcPr>
          <w:p>
            <w:pPr>
              <w:spacing w:after="0"/>
              <w:rPr>
                <w:sz w:val="10"/>
                <w:szCs w:val="10"/>
                <w:color w:val="auto"/>
              </w:rPr>
            </w:pPr>
          </w:p>
        </w:tc>
        <w:tc>
          <w:tcPr>
            <w:tcW w:w="1260" w:type="dxa"/>
            <w:vAlign w:val="bottom"/>
            <w:vMerge w:val="restart"/>
            <w:shd w:val="clear" w:color="auto" w:fill="99B7C6"/>
          </w:tcPr>
          <w:p>
            <w:pPr>
              <w:jc w:val="right"/>
              <w:ind w:right="155"/>
              <w:spacing w:after="0"/>
              <w:rPr>
                <w:sz w:val="20"/>
                <w:szCs w:val="20"/>
                <w:color w:val="auto"/>
              </w:rPr>
            </w:pPr>
            <w:r>
              <w:rPr>
                <w:rFonts w:ascii="Arial" w:cs="Arial" w:eastAsia="Arial" w:hAnsi="Arial"/>
                <w:sz w:val="11"/>
                <w:szCs w:val="11"/>
                <w:b w:val="1"/>
                <w:bCs w:val="1"/>
                <w:color w:val="FFFFFF"/>
              </w:rPr>
              <w:t>Voluntary</w:t>
            </w:r>
          </w:p>
        </w:tc>
        <w:tc>
          <w:tcPr>
            <w:tcW w:w="114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200" w:type="dxa"/>
            <w:vAlign w:val="bottom"/>
            <w:shd w:val="clear" w:color="auto" w:fill="99B7C6"/>
          </w:tcPr>
          <w:p>
            <w:pPr>
              <w:jc w:val="right"/>
              <w:ind w:right="197"/>
              <w:spacing w:after="0" w:line="118" w:lineRule="exact"/>
              <w:rPr>
                <w:sz w:val="20"/>
                <w:szCs w:val="20"/>
                <w:color w:val="auto"/>
              </w:rPr>
            </w:pPr>
            <w:r>
              <w:rPr>
                <w:rFonts w:ascii="Arial" w:cs="Arial" w:eastAsia="Arial" w:hAnsi="Arial"/>
                <w:sz w:val="11"/>
                <w:szCs w:val="11"/>
                <w:b w:val="1"/>
                <w:bCs w:val="1"/>
                <w:color w:val="FFFFFF"/>
              </w:rPr>
              <w:t>Without</w:t>
            </w:r>
          </w:p>
        </w:tc>
        <w:tc>
          <w:tcPr>
            <w:tcW w:w="1060" w:type="dxa"/>
            <w:vAlign w:val="bottom"/>
            <w:vMerge w:val="restart"/>
            <w:shd w:val="clear" w:color="auto" w:fill="99B7C6"/>
          </w:tcPr>
          <w:p>
            <w:pPr>
              <w:jc w:val="right"/>
              <w:ind w:right="135"/>
              <w:spacing w:after="0"/>
              <w:rPr>
                <w:sz w:val="20"/>
                <w:szCs w:val="20"/>
                <w:color w:val="auto"/>
              </w:rPr>
            </w:pPr>
            <w:r>
              <w:rPr>
                <w:rFonts w:ascii="Arial" w:cs="Arial" w:eastAsia="Arial" w:hAnsi="Arial"/>
                <w:sz w:val="11"/>
                <w:szCs w:val="11"/>
                <w:b w:val="1"/>
                <w:bCs w:val="1"/>
                <w:color w:val="FFFFFF"/>
              </w:rPr>
              <w:t>Termination</w:t>
            </w:r>
          </w:p>
        </w:tc>
        <w:tc>
          <w:tcPr>
            <w:tcW w:w="980" w:type="dxa"/>
            <w:vAlign w:val="bottom"/>
            <w:shd w:val="clear" w:color="auto" w:fill="99B7C6"/>
          </w:tcPr>
          <w:p>
            <w:pPr>
              <w:jc w:val="right"/>
              <w:ind w:right="38"/>
              <w:spacing w:after="0" w:line="118" w:lineRule="exact"/>
              <w:rPr>
                <w:sz w:val="20"/>
                <w:szCs w:val="20"/>
                <w:color w:val="auto"/>
              </w:rPr>
            </w:pPr>
            <w:r>
              <w:rPr>
                <w:rFonts w:ascii="Arial" w:cs="Arial" w:eastAsia="Arial" w:hAnsi="Arial"/>
                <w:sz w:val="11"/>
                <w:szCs w:val="11"/>
                <w:b w:val="1"/>
                <w:bCs w:val="1"/>
                <w:color w:val="FFFFFF"/>
              </w:rPr>
              <w:t>Good Reason</w:t>
            </w:r>
          </w:p>
        </w:tc>
        <w:tc>
          <w:tcPr>
            <w:tcW w:w="0" w:type="dxa"/>
            <w:vAlign w:val="bottom"/>
          </w:tcPr>
          <w:p>
            <w:pPr>
              <w:spacing w:after="0"/>
              <w:rPr>
                <w:sz w:val="1"/>
                <w:szCs w:val="1"/>
                <w:color w:val="auto"/>
              </w:rPr>
            </w:pPr>
          </w:p>
        </w:tc>
      </w:tr>
      <w:tr>
        <w:trPr>
          <w:trHeight w:val="118"/>
        </w:trPr>
        <w:tc>
          <w:tcPr>
            <w:tcW w:w="3080" w:type="dxa"/>
            <w:vAlign w:val="bottom"/>
            <w:shd w:val="clear" w:color="auto" w:fill="99B7C6"/>
          </w:tcPr>
          <w:p>
            <w:pPr>
              <w:spacing w:after="0"/>
              <w:rPr>
                <w:sz w:val="10"/>
                <w:szCs w:val="10"/>
                <w:color w:val="auto"/>
              </w:rPr>
            </w:pPr>
          </w:p>
        </w:tc>
        <w:tc>
          <w:tcPr>
            <w:tcW w:w="1260" w:type="dxa"/>
            <w:vAlign w:val="bottom"/>
            <w:vMerge w:val="continue"/>
            <w:shd w:val="clear" w:color="auto" w:fill="99B7C6"/>
          </w:tcPr>
          <w:p>
            <w:pPr>
              <w:spacing w:after="0"/>
              <w:rPr>
                <w:sz w:val="10"/>
                <w:szCs w:val="10"/>
                <w:color w:val="auto"/>
              </w:rPr>
            </w:pPr>
          </w:p>
        </w:tc>
        <w:tc>
          <w:tcPr>
            <w:tcW w:w="1140" w:type="dxa"/>
            <w:vAlign w:val="bottom"/>
            <w:vMerge w:val="restart"/>
            <w:shd w:val="clear" w:color="auto" w:fill="99B7C6"/>
          </w:tcPr>
          <w:p>
            <w:pPr>
              <w:jc w:val="right"/>
              <w:ind w:right="174"/>
              <w:spacing w:after="0"/>
              <w:rPr>
                <w:sz w:val="20"/>
                <w:szCs w:val="20"/>
                <w:color w:val="auto"/>
              </w:rPr>
            </w:pPr>
            <w:r>
              <w:rPr>
                <w:rFonts w:ascii="Arial" w:cs="Arial" w:eastAsia="Arial" w:hAnsi="Arial"/>
                <w:sz w:val="11"/>
                <w:szCs w:val="11"/>
                <w:b w:val="1"/>
                <w:bCs w:val="1"/>
                <w:color w:val="FFFFFF"/>
              </w:rPr>
              <w:t>Retirement at</w:t>
            </w:r>
          </w:p>
        </w:tc>
        <w:tc>
          <w:tcPr>
            <w:tcW w:w="1140" w:type="dxa"/>
            <w:vAlign w:val="bottom"/>
            <w:vMerge w:val="restart"/>
            <w:shd w:val="clear" w:color="auto" w:fill="99B7C6"/>
          </w:tcPr>
          <w:p>
            <w:pPr>
              <w:jc w:val="right"/>
              <w:ind w:right="174"/>
              <w:spacing w:after="0"/>
              <w:rPr>
                <w:sz w:val="20"/>
                <w:szCs w:val="20"/>
                <w:color w:val="auto"/>
              </w:rPr>
            </w:pPr>
            <w:r>
              <w:rPr>
                <w:rFonts w:ascii="Arial" w:cs="Arial" w:eastAsia="Arial" w:hAnsi="Arial"/>
                <w:sz w:val="11"/>
                <w:szCs w:val="11"/>
                <w:b w:val="1"/>
                <w:bCs w:val="1"/>
                <w:color w:val="FFFFFF"/>
              </w:rPr>
              <w:t>Death at</w:t>
            </w:r>
          </w:p>
        </w:tc>
        <w:tc>
          <w:tcPr>
            <w:tcW w:w="1080" w:type="dxa"/>
            <w:vAlign w:val="bottom"/>
            <w:vMerge w:val="restart"/>
            <w:shd w:val="clear" w:color="auto" w:fill="99B7C6"/>
          </w:tcPr>
          <w:p>
            <w:pPr>
              <w:jc w:val="right"/>
              <w:ind w:right="134"/>
              <w:spacing w:after="0"/>
              <w:rPr>
                <w:sz w:val="20"/>
                <w:szCs w:val="20"/>
                <w:color w:val="auto"/>
              </w:rPr>
            </w:pPr>
            <w:r>
              <w:rPr>
                <w:rFonts w:ascii="Arial" w:cs="Arial" w:eastAsia="Arial" w:hAnsi="Arial"/>
                <w:sz w:val="11"/>
                <w:szCs w:val="11"/>
                <w:b w:val="1"/>
                <w:bCs w:val="1"/>
                <w:color w:val="FFFFFF"/>
              </w:rPr>
              <w:t>Disability at</w:t>
            </w:r>
          </w:p>
        </w:tc>
        <w:tc>
          <w:tcPr>
            <w:tcW w:w="1200" w:type="dxa"/>
            <w:vAlign w:val="bottom"/>
            <w:shd w:val="clear" w:color="auto" w:fill="99B7C6"/>
          </w:tcPr>
          <w:p>
            <w:pPr>
              <w:jc w:val="right"/>
              <w:ind w:right="197"/>
              <w:spacing w:after="0" w:line="118" w:lineRule="exact"/>
              <w:rPr>
                <w:sz w:val="20"/>
                <w:szCs w:val="20"/>
                <w:color w:val="auto"/>
              </w:rPr>
            </w:pPr>
            <w:r>
              <w:rPr>
                <w:rFonts w:ascii="Arial" w:cs="Arial" w:eastAsia="Arial" w:hAnsi="Arial"/>
                <w:sz w:val="11"/>
                <w:szCs w:val="11"/>
                <w:b w:val="1"/>
                <w:bCs w:val="1"/>
                <w:color w:val="FFFFFF"/>
              </w:rPr>
              <w:t>Cause or for</w:t>
            </w:r>
          </w:p>
        </w:tc>
        <w:tc>
          <w:tcPr>
            <w:tcW w:w="1060" w:type="dxa"/>
            <w:vAlign w:val="bottom"/>
            <w:vMerge w:val="continue"/>
            <w:shd w:val="clear" w:color="auto" w:fill="99B7C6"/>
          </w:tcPr>
          <w:p>
            <w:pPr>
              <w:spacing w:after="0"/>
              <w:rPr>
                <w:sz w:val="10"/>
                <w:szCs w:val="10"/>
                <w:color w:val="auto"/>
              </w:rPr>
            </w:pPr>
          </w:p>
        </w:tc>
        <w:tc>
          <w:tcPr>
            <w:tcW w:w="980" w:type="dxa"/>
            <w:vAlign w:val="bottom"/>
            <w:shd w:val="clear" w:color="auto" w:fill="99B7C6"/>
          </w:tcPr>
          <w:p>
            <w:pPr>
              <w:jc w:val="right"/>
              <w:ind w:right="38"/>
              <w:spacing w:after="0" w:line="118" w:lineRule="exact"/>
              <w:rPr>
                <w:sz w:val="20"/>
                <w:szCs w:val="20"/>
                <w:color w:val="auto"/>
              </w:rPr>
            </w:pPr>
            <w:r>
              <w:rPr>
                <w:rFonts w:ascii="Arial" w:cs="Arial" w:eastAsia="Arial" w:hAnsi="Arial"/>
                <w:sz w:val="11"/>
                <w:szCs w:val="11"/>
                <w:b w:val="1"/>
                <w:bCs w:val="1"/>
                <w:color w:val="FFFFFF"/>
              </w:rPr>
              <w:t>Upon Change</w:t>
            </w:r>
          </w:p>
        </w:tc>
        <w:tc>
          <w:tcPr>
            <w:tcW w:w="0" w:type="dxa"/>
            <w:vAlign w:val="bottom"/>
          </w:tcPr>
          <w:p>
            <w:pPr>
              <w:spacing w:after="0"/>
              <w:rPr>
                <w:sz w:val="1"/>
                <w:szCs w:val="1"/>
                <w:color w:val="auto"/>
              </w:rPr>
            </w:pPr>
          </w:p>
        </w:tc>
      </w:tr>
      <w:tr>
        <w:trPr>
          <w:trHeight w:val="118"/>
        </w:trPr>
        <w:tc>
          <w:tcPr>
            <w:tcW w:w="3080" w:type="dxa"/>
            <w:vAlign w:val="bottom"/>
            <w:shd w:val="clear" w:color="auto" w:fill="99B7C6"/>
          </w:tcPr>
          <w:p>
            <w:pPr>
              <w:spacing w:after="0"/>
              <w:rPr>
                <w:sz w:val="10"/>
                <w:szCs w:val="10"/>
                <w:color w:val="auto"/>
              </w:rPr>
            </w:pPr>
          </w:p>
        </w:tc>
        <w:tc>
          <w:tcPr>
            <w:tcW w:w="1260" w:type="dxa"/>
            <w:vAlign w:val="bottom"/>
            <w:shd w:val="clear" w:color="auto" w:fill="99B7C6"/>
          </w:tcPr>
          <w:p>
            <w:pPr>
              <w:jc w:val="right"/>
              <w:ind w:right="155"/>
              <w:spacing w:after="0" w:line="118" w:lineRule="exact"/>
              <w:rPr>
                <w:sz w:val="20"/>
                <w:szCs w:val="20"/>
                <w:color w:val="auto"/>
              </w:rPr>
            </w:pPr>
            <w:r>
              <w:rPr>
                <w:rFonts w:ascii="Arial" w:cs="Arial" w:eastAsia="Arial" w:hAnsi="Arial"/>
                <w:sz w:val="11"/>
                <w:szCs w:val="11"/>
                <w:b w:val="1"/>
                <w:bCs w:val="1"/>
                <w:color w:val="FFFFFF"/>
              </w:rPr>
              <w:t>Termination</w:t>
            </w:r>
          </w:p>
        </w:tc>
        <w:tc>
          <w:tcPr>
            <w:tcW w:w="1140" w:type="dxa"/>
            <w:vAlign w:val="bottom"/>
            <w:vMerge w:val="continue"/>
            <w:shd w:val="clear" w:color="auto" w:fill="99B7C6"/>
          </w:tcPr>
          <w:p>
            <w:pPr>
              <w:spacing w:after="0"/>
              <w:rPr>
                <w:sz w:val="10"/>
                <w:szCs w:val="10"/>
                <w:color w:val="auto"/>
              </w:rPr>
            </w:pPr>
          </w:p>
        </w:tc>
        <w:tc>
          <w:tcPr>
            <w:tcW w:w="1140" w:type="dxa"/>
            <w:vAlign w:val="bottom"/>
            <w:vMerge w:val="continue"/>
            <w:shd w:val="clear" w:color="auto" w:fill="99B7C6"/>
          </w:tcPr>
          <w:p>
            <w:pPr>
              <w:spacing w:after="0"/>
              <w:rPr>
                <w:sz w:val="10"/>
                <w:szCs w:val="10"/>
                <w:color w:val="auto"/>
              </w:rPr>
            </w:pPr>
          </w:p>
        </w:tc>
        <w:tc>
          <w:tcPr>
            <w:tcW w:w="1080" w:type="dxa"/>
            <w:vAlign w:val="bottom"/>
            <w:vMerge w:val="continue"/>
            <w:shd w:val="clear" w:color="auto" w:fill="99B7C6"/>
          </w:tcPr>
          <w:p>
            <w:pPr>
              <w:spacing w:after="0"/>
              <w:rPr>
                <w:sz w:val="10"/>
                <w:szCs w:val="10"/>
                <w:color w:val="auto"/>
              </w:rPr>
            </w:pPr>
          </w:p>
        </w:tc>
        <w:tc>
          <w:tcPr>
            <w:tcW w:w="1200" w:type="dxa"/>
            <w:vAlign w:val="bottom"/>
            <w:shd w:val="clear" w:color="auto" w:fill="99B7C6"/>
          </w:tcPr>
          <w:p>
            <w:pPr>
              <w:jc w:val="right"/>
              <w:ind w:right="197"/>
              <w:spacing w:after="0" w:line="118" w:lineRule="exact"/>
              <w:rPr>
                <w:sz w:val="20"/>
                <w:szCs w:val="20"/>
                <w:color w:val="auto"/>
              </w:rPr>
            </w:pPr>
            <w:r>
              <w:rPr>
                <w:rFonts w:ascii="Arial" w:cs="Arial" w:eastAsia="Arial" w:hAnsi="Arial"/>
                <w:sz w:val="11"/>
                <w:szCs w:val="11"/>
                <w:b w:val="1"/>
                <w:bCs w:val="1"/>
                <w:color w:val="FFFFFF"/>
              </w:rPr>
              <w:t>Good Reason</w:t>
            </w:r>
          </w:p>
        </w:tc>
        <w:tc>
          <w:tcPr>
            <w:tcW w:w="1060" w:type="dxa"/>
            <w:vAlign w:val="bottom"/>
            <w:shd w:val="clear" w:color="auto" w:fill="99B7C6"/>
          </w:tcPr>
          <w:p>
            <w:pPr>
              <w:jc w:val="right"/>
              <w:ind w:right="135"/>
              <w:spacing w:after="0" w:line="118" w:lineRule="exact"/>
              <w:rPr>
                <w:sz w:val="20"/>
                <w:szCs w:val="20"/>
                <w:color w:val="auto"/>
              </w:rPr>
            </w:pPr>
            <w:r>
              <w:rPr>
                <w:rFonts w:ascii="Arial" w:cs="Arial" w:eastAsia="Arial" w:hAnsi="Arial"/>
                <w:sz w:val="11"/>
                <w:szCs w:val="11"/>
                <w:b w:val="1"/>
                <w:bCs w:val="1"/>
                <w:color w:val="FFFFFF"/>
              </w:rPr>
              <w:t>for Cause at</w:t>
            </w:r>
          </w:p>
        </w:tc>
        <w:tc>
          <w:tcPr>
            <w:tcW w:w="980" w:type="dxa"/>
            <w:vAlign w:val="bottom"/>
            <w:shd w:val="clear" w:color="auto" w:fill="99B7C6"/>
          </w:tcPr>
          <w:p>
            <w:pPr>
              <w:jc w:val="right"/>
              <w:ind w:right="38"/>
              <w:spacing w:after="0" w:line="118" w:lineRule="exact"/>
              <w:rPr>
                <w:sz w:val="20"/>
                <w:szCs w:val="20"/>
                <w:color w:val="auto"/>
              </w:rPr>
            </w:pPr>
            <w:r>
              <w:rPr>
                <w:rFonts w:ascii="Arial" w:cs="Arial" w:eastAsia="Arial" w:hAnsi="Arial"/>
                <w:sz w:val="11"/>
                <w:szCs w:val="11"/>
                <w:b w:val="1"/>
                <w:bCs w:val="1"/>
                <w:color w:val="FFFFFF"/>
              </w:rPr>
              <w:t>in Control at</w:t>
            </w:r>
          </w:p>
        </w:tc>
        <w:tc>
          <w:tcPr>
            <w:tcW w:w="0" w:type="dxa"/>
            <w:vAlign w:val="bottom"/>
          </w:tcPr>
          <w:p>
            <w:pPr>
              <w:spacing w:after="0"/>
              <w:rPr>
                <w:sz w:val="1"/>
                <w:szCs w:val="1"/>
                <w:color w:val="auto"/>
              </w:rPr>
            </w:pPr>
          </w:p>
        </w:tc>
      </w:tr>
      <w:tr>
        <w:trPr>
          <w:trHeight w:val="125"/>
        </w:trPr>
        <w:tc>
          <w:tcPr>
            <w:tcW w:w="3080" w:type="dxa"/>
            <w:vAlign w:val="bottom"/>
            <w:vMerge w:val="restart"/>
            <w:shd w:val="clear" w:color="auto" w:fill="99B7C6"/>
          </w:tcPr>
          <w:p>
            <w:pPr>
              <w:ind w:left="60"/>
              <w:spacing w:after="0"/>
              <w:rPr>
                <w:sz w:val="20"/>
                <w:szCs w:val="20"/>
                <w:color w:val="auto"/>
              </w:rPr>
            </w:pPr>
            <w:r>
              <w:rPr>
                <w:rFonts w:ascii="Arial" w:cs="Arial" w:eastAsia="Arial" w:hAnsi="Arial"/>
                <w:sz w:val="11"/>
                <w:szCs w:val="11"/>
                <w:b w:val="1"/>
                <w:bCs w:val="1"/>
                <w:color w:val="FFFFFF"/>
              </w:rPr>
              <w:t>Lea Rytz Goldman</w:t>
            </w:r>
          </w:p>
        </w:tc>
        <w:tc>
          <w:tcPr>
            <w:tcW w:w="1260" w:type="dxa"/>
            <w:vAlign w:val="bottom"/>
            <w:shd w:val="clear" w:color="auto" w:fill="99B7C6"/>
          </w:tcPr>
          <w:p>
            <w:pPr>
              <w:jc w:val="right"/>
              <w:ind w:right="155"/>
              <w:spacing w:after="0" w:line="125" w:lineRule="exact"/>
              <w:rPr>
                <w:sz w:val="20"/>
                <w:szCs w:val="20"/>
                <w:color w:val="auto"/>
              </w:rPr>
            </w:pPr>
            <w:r>
              <w:rPr>
                <w:rFonts w:ascii="Arial" w:cs="Arial" w:eastAsia="Arial" w:hAnsi="Arial"/>
                <w:sz w:val="11"/>
                <w:szCs w:val="11"/>
                <w:b w:val="1"/>
                <w:bCs w:val="1"/>
                <w:color w:val="FFFFFF"/>
              </w:rPr>
              <w:t>on February 1,</w:t>
            </w:r>
          </w:p>
        </w:tc>
        <w:tc>
          <w:tcPr>
            <w:tcW w:w="1140" w:type="dxa"/>
            <w:vAlign w:val="bottom"/>
            <w:shd w:val="clear" w:color="auto" w:fill="99B7C6"/>
          </w:tcPr>
          <w:p>
            <w:pPr>
              <w:jc w:val="right"/>
              <w:ind w:right="174"/>
              <w:spacing w:after="0" w:line="125" w:lineRule="exact"/>
              <w:rPr>
                <w:sz w:val="20"/>
                <w:szCs w:val="20"/>
                <w:color w:val="auto"/>
              </w:rPr>
            </w:pPr>
            <w:r>
              <w:rPr>
                <w:rFonts w:ascii="Arial" w:cs="Arial" w:eastAsia="Arial" w:hAnsi="Arial"/>
                <w:sz w:val="11"/>
                <w:szCs w:val="11"/>
                <w:b w:val="1"/>
                <w:bCs w:val="1"/>
                <w:color w:val="FFFFFF"/>
              </w:rPr>
              <w:t>February 1,</w:t>
            </w:r>
          </w:p>
        </w:tc>
        <w:tc>
          <w:tcPr>
            <w:tcW w:w="1140" w:type="dxa"/>
            <w:vAlign w:val="bottom"/>
            <w:shd w:val="clear" w:color="auto" w:fill="99B7C6"/>
          </w:tcPr>
          <w:p>
            <w:pPr>
              <w:jc w:val="right"/>
              <w:ind w:right="174"/>
              <w:spacing w:after="0" w:line="125" w:lineRule="exact"/>
              <w:rPr>
                <w:sz w:val="20"/>
                <w:szCs w:val="20"/>
                <w:color w:val="auto"/>
              </w:rPr>
            </w:pPr>
            <w:r>
              <w:rPr>
                <w:rFonts w:ascii="Arial" w:cs="Arial" w:eastAsia="Arial" w:hAnsi="Arial"/>
                <w:sz w:val="11"/>
                <w:szCs w:val="11"/>
                <w:b w:val="1"/>
                <w:bCs w:val="1"/>
                <w:color w:val="FFFFFF"/>
              </w:rPr>
              <w:t>February 1,</w:t>
            </w:r>
          </w:p>
        </w:tc>
        <w:tc>
          <w:tcPr>
            <w:tcW w:w="1080" w:type="dxa"/>
            <w:vAlign w:val="bottom"/>
            <w:shd w:val="clear" w:color="auto" w:fill="99B7C6"/>
          </w:tcPr>
          <w:p>
            <w:pPr>
              <w:jc w:val="right"/>
              <w:ind w:right="134"/>
              <w:spacing w:after="0" w:line="125" w:lineRule="exact"/>
              <w:rPr>
                <w:sz w:val="20"/>
                <w:szCs w:val="20"/>
                <w:color w:val="auto"/>
              </w:rPr>
            </w:pPr>
            <w:r>
              <w:rPr>
                <w:rFonts w:ascii="Arial" w:cs="Arial" w:eastAsia="Arial" w:hAnsi="Arial"/>
                <w:sz w:val="11"/>
                <w:szCs w:val="11"/>
                <w:b w:val="1"/>
                <w:bCs w:val="1"/>
                <w:color w:val="FFFFFF"/>
              </w:rPr>
              <w:t>February 1,</w:t>
            </w:r>
          </w:p>
        </w:tc>
        <w:tc>
          <w:tcPr>
            <w:tcW w:w="1200" w:type="dxa"/>
            <w:vAlign w:val="bottom"/>
            <w:shd w:val="clear" w:color="auto" w:fill="99B7C6"/>
          </w:tcPr>
          <w:p>
            <w:pPr>
              <w:jc w:val="right"/>
              <w:ind w:right="197"/>
              <w:spacing w:after="0" w:line="125" w:lineRule="exact"/>
              <w:rPr>
                <w:sz w:val="20"/>
                <w:szCs w:val="20"/>
                <w:color w:val="auto"/>
              </w:rPr>
            </w:pPr>
            <w:r>
              <w:rPr>
                <w:rFonts w:ascii="Arial" w:cs="Arial" w:eastAsia="Arial" w:hAnsi="Arial"/>
                <w:sz w:val="11"/>
                <w:szCs w:val="11"/>
                <w:b w:val="1"/>
                <w:bCs w:val="1"/>
                <w:color w:val="FFFFFF"/>
              </w:rPr>
              <w:t>on February 1,</w:t>
            </w:r>
          </w:p>
        </w:tc>
        <w:tc>
          <w:tcPr>
            <w:tcW w:w="1060" w:type="dxa"/>
            <w:vAlign w:val="bottom"/>
            <w:shd w:val="clear" w:color="auto" w:fill="99B7C6"/>
          </w:tcPr>
          <w:p>
            <w:pPr>
              <w:jc w:val="right"/>
              <w:ind w:right="135"/>
              <w:spacing w:after="0" w:line="125" w:lineRule="exact"/>
              <w:rPr>
                <w:sz w:val="20"/>
                <w:szCs w:val="20"/>
                <w:color w:val="auto"/>
              </w:rPr>
            </w:pPr>
            <w:r>
              <w:rPr>
                <w:rFonts w:ascii="Arial" w:cs="Arial" w:eastAsia="Arial" w:hAnsi="Arial"/>
                <w:sz w:val="11"/>
                <w:szCs w:val="11"/>
                <w:b w:val="1"/>
                <w:bCs w:val="1"/>
                <w:color w:val="FFFFFF"/>
              </w:rPr>
              <w:t>February 1,</w:t>
            </w:r>
          </w:p>
        </w:tc>
        <w:tc>
          <w:tcPr>
            <w:tcW w:w="980" w:type="dxa"/>
            <w:vAlign w:val="bottom"/>
            <w:shd w:val="clear" w:color="auto" w:fill="99B7C6"/>
          </w:tcPr>
          <w:p>
            <w:pPr>
              <w:jc w:val="right"/>
              <w:ind w:right="38"/>
              <w:spacing w:after="0" w:line="125" w:lineRule="exact"/>
              <w:rPr>
                <w:sz w:val="20"/>
                <w:szCs w:val="20"/>
                <w:color w:val="auto"/>
              </w:rPr>
            </w:pPr>
            <w:r>
              <w:rPr>
                <w:rFonts w:ascii="Arial" w:cs="Arial" w:eastAsia="Arial" w:hAnsi="Arial"/>
                <w:sz w:val="11"/>
                <w:szCs w:val="11"/>
                <w:b w:val="1"/>
                <w:bCs w:val="1"/>
                <w:color w:val="FFFFFF"/>
              </w:rPr>
              <w:t>February 1,</w:t>
            </w:r>
          </w:p>
        </w:tc>
        <w:tc>
          <w:tcPr>
            <w:tcW w:w="0" w:type="dxa"/>
            <w:vAlign w:val="bottom"/>
          </w:tcPr>
          <w:p>
            <w:pPr>
              <w:spacing w:after="0"/>
              <w:rPr>
                <w:sz w:val="1"/>
                <w:szCs w:val="1"/>
                <w:color w:val="auto"/>
              </w:rPr>
            </w:pPr>
          </w:p>
        </w:tc>
      </w:tr>
      <w:tr>
        <w:trPr>
          <w:trHeight w:val="170"/>
        </w:trPr>
        <w:tc>
          <w:tcPr>
            <w:tcW w:w="3080" w:type="dxa"/>
            <w:vAlign w:val="bottom"/>
            <w:vMerge w:val="continue"/>
            <w:shd w:val="clear" w:color="auto" w:fill="99B7C6"/>
          </w:tcPr>
          <w:p>
            <w:pPr>
              <w:spacing w:after="0"/>
              <w:rPr>
                <w:sz w:val="14"/>
                <w:szCs w:val="14"/>
                <w:color w:val="auto"/>
              </w:rPr>
            </w:pPr>
          </w:p>
        </w:tc>
        <w:tc>
          <w:tcPr>
            <w:tcW w:w="1260" w:type="dxa"/>
            <w:vAlign w:val="bottom"/>
            <w:shd w:val="clear" w:color="auto" w:fill="99B7C6"/>
          </w:tcPr>
          <w:p>
            <w:pPr>
              <w:jc w:val="right"/>
              <w:ind w:right="135"/>
              <w:spacing w:after="0"/>
              <w:rPr>
                <w:sz w:val="20"/>
                <w:szCs w:val="20"/>
                <w:color w:val="auto"/>
              </w:rPr>
            </w:pPr>
            <w:r>
              <w:rPr>
                <w:rFonts w:ascii="Arial" w:cs="Arial" w:eastAsia="Arial" w:hAnsi="Arial"/>
                <w:sz w:val="11"/>
                <w:szCs w:val="11"/>
                <w:b w:val="1"/>
                <w:bCs w:val="1"/>
                <w:color w:val="FFFFFF"/>
              </w:rPr>
              <w:t>2026</w:t>
            </w:r>
          </w:p>
        </w:tc>
        <w:tc>
          <w:tcPr>
            <w:tcW w:w="1140" w:type="dxa"/>
            <w:vAlign w:val="bottom"/>
            <w:shd w:val="clear" w:color="auto" w:fill="99B7C6"/>
          </w:tcPr>
          <w:p>
            <w:pPr>
              <w:jc w:val="right"/>
              <w:ind w:right="134"/>
              <w:spacing w:after="0"/>
              <w:rPr>
                <w:sz w:val="20"/>
                <w:szCs w:val="20"/>
                <w:color w:val="auto"/>
              </w:rPr>
            </w:pPr>
            <w:r>
              <w:rPr>
                <w:rFonts w:ascii="Arial" w:cs="Arial" w:eastAsia="Arial" w:hAnsi="Arial"/>
                <w:sz w:val="11"/>
                <w:szCs w:val="11"/>
                <w:b w:val="1"/>
                <w:bCs w:val="1"/>
                <w:color w:val="FFFFFF"/>
              </w:rPr>
              <w:t>2026</w:t>
            </w:r>
          </w:p>
        </w:tc>
        <w:tc>
          <w:tcPr>
            <w:tcW w:w="1140" w:type="dxa"/>
            <w:vAlign w:val="bottom"/>
            <w:shd w:val="clear" w:color="auto" w:fill="99B7C6"/>
          </w:tcPr>
          <w:p>
            <w:pPr>
              <w:jc w:val="right"/>
              <w:ind w:right="154"/>
              <w:spacing w:after="0"/>
              <w:rPr>
                <w:sz w:val="20"/>
                <w:szCs w:val="20"/>
                <w:color w:val="auto"/>
              </w:rPr>
            </w:pPr>
            <w:r>
              <w:rPr>
                <w:rFonts w:ascii="Arial" w:cs="Arial" w:eastAsia="Arial" w:hAnsi="Arial"/>
                <w:sz w:val="11"/>
                <w:szCs w:val="11"/>
                <w:b w:val="1"/>
                <w:bCs w:val="1"/>
                <w:color w:val="FFFFFF"/>
              </w:rPr>
              <w:t>2026</w:t>
            </w:r>
          </w:p>
        </w:tc>
        <w:tc>
          <w:tcPr>
            <w:tcW w:w="1080" w:type="dxa"/>
            <w:vAlign w:val="bottom"/>
            <w:shd w:val="clear" w:color="auto" w:fill="99B7C6"/>
          </w:tcPr>
          <w:p>
            <w:pPr>
              <w:jc w:val="right"/>
              <w:ind w:right="94"/>
              <w:spacing w:after="0"/>
              <w:rPr>
                <w:sz w:val="20"/>
                <w:szCs w:val="20"/>
                <w:color w:val="auto"/>
              </w:rPr>
            </w:pPr>
            <w:r>
              <w:rPr>
                <w:rFonts w:ascii="Arial" w:cs="Arial" w:eastAsia="Arial" w:hAnsi="Arial"/>
                <w:sz w:val="11"/>
                <w:szCs w:val="11"/>
                <w:b w:val="1"/>
                <w:bCs w:val="1"/>
                <w:color w:val="FFFFFF"/>
              </w:rPr>
              <w:t>2026</w:t>
            </w:r>
          </w:p>
        </w:tc>
        <w:tc>
          <w:tcPr>
            <w:tcW w:w="1200" w:type="dxa"/>
            <w:vAlign w:val="bottom"/>
            <w:shd w:val="clear" w:color="auto" w:fill="99B7C6"/>
          </w:tcPr>
          <w:p>
            <w:pPr>
              <w:jc w:val="right"/>
              <w:ind w:right="177"/>
              <w:spacing w:after="0"/>
              <w:rPr>
                <w:sz w:val="20"/>
                <w:szCs w:val="20"/>
                <w:color w:val="auto"/>
              </w:rPr>
            </w:pPr>
            <w:r>
              <w:rPr>
                <w:rFonts w:ascii="Arial" w:cs="Arial" w:eastAsia="Arial" w:hAnsi="Arial"/>
                <w:sz w:val="11"/>
                <w:szCs w:val="11"/>
                <w:b w:val="1"/>
                <w:bCs w:val="1"/>
                <w:color w:val="FFFFFF"/>
              </w:rPr>
              <w:t>2026</w:t>
            </w:r>
          </w:p>
        </w:tc>
        <w:tc>
          <w:tcPr>
            <w:tcW w:w="1060" w:type="dxa"/>
            <w:vAlign w:val="bottom"/>
            <w:shd w:val="clear" w:color="auto" w:fill="99B7C6"/>
          </w:tcPr>
          <w:p>
            <w:pPr>
              <w:jc w:val="right"/>
              <w:ind w:right="115"/>
              <w:spacing w:after="0"/>
              <w:rPr>
                <w:sz w:val="20"/>
                <w:szCs w:val="20"/>
                <w:color w:val="auto"/>
              </w:rPr>
            </w:pPr>
            <w:r>
              <w:rPr>
                <w:rFonts w:ascii="Arial" w:cs="Arial" w:eastAsia="Arial" w:hAnsi="Arial"/>
                <w:sz w:val="11"/>
                <w:szCs w:val="11"/>
                <w:b w:val="1"/>
                <w:bCs w:val="1"/>
                <w:color w:val="FFFFFF"/>
              </w:rPr>
              <w:t>2026</w:t>
            </w:r>
          </w:p>
        </w:tc>
        <w:tc>
          <w:tcPr>
            <w:tcW w:w="980" w:type="dxa"/>
            <w:vAlign w:val="bottom"/>
            <w:shd w:val="clear" w:color="auto" w:fill="99B7C6"/>
          </w:tcPr>
          <w:p>
            <w:pPr>
              <w:jc w:val="right"/>
              <w:ind w:right="38"/>
              <w:spacing w:after="0"/>
              <w:rPr>
                <w:sz w:val="20"/>
                <w:szCs w:val="20"/>
                <w:color w:val="auto"/>
              </w:rPr>
            </w:pPr>
            <w:r>
              <w:rPr>
                <w:rFonts w:ascii="Arial" w:cs="Arial" w:eastAsia="Arial" w:hAnsi="Arial"/>
                <w:sz w:val="11"/>
                <w:szCs w:val="11"/>
                <w:b w:val="1"/>
                <w:bCs w:val="1"/>
                <w:color w:val="FFFFFF"/>
              </w:rPr>
              <w:t>2026</w:t>
            </w:r>
            <w:r>
              <w:rPr>
                <w:rFonts w:ascii="Arial" w:cs="Arial" w:eastAsia="Arial" w:hAnsi="Arial"/>
                <w:sz w:val="12"/>
                <w:szCs w:val="12"/>
                <w:color w:val="FFFFFF"/>
                <w:vertAlign w:val="superscript"/>
              </w:rPr>
              <w:t>2</w:t>
            </w:r>
          </w:p>
        </w:tc>
        <w:tc>
          <w:tcPr>
            <w:tcW w:w="0" w:type="dxa"/>
            <w:vAlign w:val="bottom"/>
          </w:tcPr>
          <w:p>
            <w:pPr>
              <w:spacing w:after="0"/>
              <w:rPr>
                <w:sz w:val="1"/>
                <w:szCs w:val="1"/>
                <w:color w:val="auto"/>
              </w:rPr>
            </w:pPr>
          </w:p>
        </w:tc>
      </w:tr>
      <w:tr>
        <w:trPr>
          <w:trHeight w:val="310"/>
        </w:trPr>
        <w:tc>
          <w:tcPr>
            <w:tcW w:w="308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Severance value</w:t>
            </w:r>
            <w:r>
              <w:rPr>
                <w:rFonts w:ascii="Arial" w:cs="Arial" w:eastAsia="Arial" w:hAnsi="Arial"/>
                <w:sz w:val="16"/>
                <w:szCs w:val="16"/>
                <w:color w:val="auto"/>
                <w:vertAlign w:val="superscript"/>
              </w:rPr>
              <w:t>3,10</w:t>
            </w:r>
          </w:p>
        </w:tc>
        <w:tc>
          <w:tcPr>
            <w:tcW w:w="1260" w:type="dxa"/>
            <w:vAlign w:val="bottom"/>
            <w:tcBorders>
              <w:bottom w:val="single" w:sz="8" w:color="E9F0F3"/>
            </w:tcBorders>
            <w:shd w:val="clear" w:color="auto" w:fill="E9F0F3"/>
          </w:tcPr>
          <w:p>
            <w:pPr>
              <w:jc w:val="right"/>
              <w:ind w:right="135"/>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E9F0F3"/>
            </w:tcBorders>
            <w:shd w:val="clear" w:color="auto" w:fill="E9F0F3"/>
          </w:tcPr>
          <w:p>
            <w:pPr>
              <w:jc w:val="right"/>
              <w:ind w:right="134"/>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E9F0F3"/>
            </w:tcBorders>
            <w:shd w:val="clear" w:color="auto" w:fill="E9F0F3"/>
          </w:tcPr>
          <w:p>
            <w:pPr>
              <w:jc w:val="right"/>
              <w:ind w:right="154"/>
              <w:spacing w:after="0"/>
              <w:rPr>
                <w:sz w:val="20"/>
                <w:szCs w:val="20"/>
                <w:color w:val="auto"/>
              </w:rPr>
            </w:pPr>
            <w:r>
              <w:rPr>
                <w:rFonts w:ascii="Arial" w:cs="Arial" w:eastAsia="Arial" w:hAnsi="Arial"/>
                <w:sz w:val="14"/>
                <w:szCs w:val="14"/>
                <w:color w:val="auto"/>
              </w:rPr>
              <w:t>$0</w:t>
            </w:r>
          </w:p>
        </w:tc>
        <w:tc>
          <w:tcPr>
            <w:tcW w:w="1080" w:type="dxa"/>
            <w:vAlign w:val="bottom"/>
            <w:tcBorders>
              <w:bottom w:val="single" w:sz="8" w:color="E9F0F3"/>
            </w:tcBorders>
            <w:shd w:val="clear" w:color="auto" w:fill="E9F0F3"/>
          </w:tcPr>
          <w:p>
            <w:pPr>
              <w:jc w:val="right"/>
              <w:ind w:right="94"/>
              <w:spacing w:after="0"/>
              <w:rPr>
                <w:sz w:val="20"/>
                <w:szCs w:val="20"/>
                <w:color w:val="auto"/>
              </w:rPr>
            </w:pPr>
            <w:r>
              <w:rPr>
                <w:rFonts w:ascii="Arial" w:cs="Arial" w:eastAsia="Arial" w:hAnsi="Arial"/>
                <w:sz w:val="14"/>
                <w:szCs w:val="14"/>
                <w:color w:val="auto"/>
              </w:rPr>
              <w:t>$60,377</w:t>
            </w:r>
          </w:p>
        </w:tc>
        <w:tc>
          <w:tcPr>
            <w:tcW w:w="1200" w:type="dxa"/>
            <w:vAlign w:val="bottom"/>
            <w:tcBorders>
              <w:bottom w:val="single" w:sz="8" w:color="E9F0F3"/>
            </w:tcBorders>
            <w:shd w:val="clear" w:color="auto" w:fill="E9F0F3"/>
          </w:tcPr>
          <w:p>
            <w:pPr>
              <w:jc w:val="right"/>
              <w:ind w:right="177"/>
              <w:spacing w:after="0"/>
              <w:rPr>
                <w:sz w:val="20"/>
                <w:szCs w:val="20"/>
                <w:color w:val="auto"/>
              </w:rPr>
            </w:pPr>
            <w:r>
              <w:rPr>
                <w:rFonts w:ascii="Arial" w:cs="Arial" w:eastAsia="Arial" w:hAnsi="Arial"/>
                <w:sz w:val="14"/>
                <w:szCs w:val="14"/>
                <w:color w:val="auto"/>
              </w:rPr>
              <w:t>$1,777,650</w:t>
            </w:r>
          </w:p>
        </w:tc>
        <w:tc>
          <w:tcPr>
            <w:tcW w:w="1060" w:type="dxa"/>
            <w:vAlign w:val="bottom"/>
            <w:tcBorders>
              <w:bottom w:val="single" w:sz="8" w:color="E9F0F3"/>
            </w:tcBorders>
            <w:shd w:val="clear" w:color="auto" w:fill="E9F0F3"/>
          </w:tcPr>
          <w:p>
            <w:pPr>
              <w:jc w:val="right"/>
              <w:ind w:right="115"/>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E9F0F3"/>
            </w:tcBorders>
            <w:shd w:val="clear" w:color="auto" w:fill="E9F0F3"/>
          </w:tcPr>
          <w:p>
            <w:pPr>
              <w:jc w:val="right"/>
              <w:ind w:right="58"/>
              <w:spacing w:after="0"/>
              <w:rPr>
                <w:sz w:val="20"/>
                <w:szCs w:val="20"/>
                <w:color w:val="auto"/>
              </w:rPr>
            </w:pPr>
            <w:r>
              <w:rPr>
                <w:rFonts w:ascii="Arial" w:cs="Arial" w:eastAsia="Arial" w:hAnsi="Arial"/>
                <w:sz w:val="14"/>
                <w:szCs w:val="14"/>
                <w:color w:val="auto"/>
              </w:rPr>
              <w:t>$1,777,650</w:t>
            </w:r>
          </w:p>
        </w:tc>
        <w:tc>
          <w:tcPr>
            <w:tcW w:w="0" w:type="dxa"/>
            <w:vAlign w:val="bottom"/>
          </w:tcPr>
          <w:p>
            <w:pPr>
              <w:spacing w:after="0"/>
              <w:rPr>
                <w:sz w:val="1"/>
                <w:szCs w:val="1"/>
                <w:color w:val="auto"/>
              </w:rPr>
            </w:pPr>
          </w:p>
        </w:tc>
      </w:tr>
      <w:tr>
        <w:trPr>
          <w:trHeight w:val="290"/>
        </w:trPr>
        <w:tc>
          <w:tcPr>
            <w:tcW w:w="3080" w:type="dxa"/>
            <w:vAlign w:val="bottom"/>
          </w:tcPr>
          <w:p>
            <w:pPr>
              <w:ind w:left="60"/>
              <w:spacing w:after="0"/>
              <w:rPr>
                <w:sz w:val="20"/>
                <w:szCs w:val="20"/>
                <w:color w:val="auto"/>
              </w:rPr>
            </w:pPr>
            <w:r>
              <w:rPr>
                <w:rFonts w:ascii="Arial" w:cs="Arial" w:eastAsia="Arial" w:hAnsi="Arial"/>
                <w:sz w:val="14"/>
                <w:szCs w:val="14"/>
                <w:color w:val="auto"/>
              </w:rPr>
              <w:t>Performance Incentive Bonus Plan</w:t>
            </w:r>
            <w:r>
              <w:rPr>
                <w:rFonts w:ascii="Arial" w:cs="Arial" w:eastAsia="Arial" w:hAnsi="Arial"/>
                <w:sz w:val="16"/>
                <w:szCs w:val="16"/>
                <w:color w:val="auto"/>
                <w:vertAlign w:val="superscript"/>
              </w:rPr>
              <w:t>4</w:t>
            </w:r>
          </w:p>
        </w:tc>
        <w:tc>
          <w:tcPr>
            <w:tcW w:w="1260" w:type="dxa"/>
            <w:vAlign w:val="bottom"/>
          </w:tcPr>
          <w:p>
            <w:pPr>
              <w:jc w:val="right"/>
              <w:ind w:right="135"/>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34"/>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54"/>
              <w:spacing w:after="0"/>
              <w:rPr>
                <w:sz w:val="20"/>
                <w:szCs w:val="20"/>
                <w:color w:val="auto"/>
              </w:rPr>
            </w:pPr>
            <w:r>
              <w:rPr>
                <w:rFonts w:ascii="Arial" w:cs="Arial" w:eastAsia="Arial" w:hAnsi="Arial"/>
                <w:sz w:val="14"/>
                <w:szCs w:val="14"/>
                <w:color w:val="auto"/>
              </w:rPr>
              <w:t>0</w:t>
            </w:r>
          </w:p>
        </w:tc>
        <w:tc>
          <w:tcPr>
            <w:tcW w:w="1080" w:type="dxa"/>
            <w:vAlign w:val="bottom"/>
          </w:tcPr>
          <w:p>
            <w:pPr>
              <w:jc w:val="right"/>
              <w:ind w:right="94"/>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177"/>
              <w:spacing w:after="0"/>
              <w:rPr>
                <w:sz w:val="20"/>
                <w:szCs w:val="20"/>
                <w:color w:val="auto"/>
              </w:rPr>
            </w:pPr>
            <w:r>
              <w:rPr>
                <w:rFonts w:ascii="Arial" w:cs="Arial" w:eastAsia="Arial" w:hAnsi="Arial"/>
                <w:sz w:val="14"/>
                <w:szCs w:val="14"/>
                <w:color w:val="auto"/>
              </w:rPr>
              <w:t>0</w:t>
            </w:r>
          </w:p>
        </w:tc>
        <w:tc>
          <w:tcPr>
            <w:tcW w:w="1060" w:type="dxa"/>
            <w:vAlign w:val="bottom"/>
          </w:tcPr>
          <w:p>
            <w:pPr>
              <w:jc w:val="right"/>
              <w:ind w:right="115"/>
              <w:spacing w:after="0"/>
              <w:rPr>
                <w:sz w:val="20"/>
                <w:szCs w:val="20"/>
                <w:color w:val="auto"/>
              </w:rPr>
            </w:pPr>
            <w:r>
              <w:rPr>
                <w:rFonts w:ascii="Arial" w:cs="Arial" w:eastAsia="Arial" w:hAnsi="Arial"/>
                <w:sz w:val="14"/>
                <w:szCs w:val="14"/>
                <w:color w:val="auto"/>
              </w:rPr>
              <w:t>0</w:t>
            </w:r>
          </w:p>
        </w:tc>
        <w:tc>
          <w:tcPr>
            <w:tcW w:w="980" w:type="dxa"/>
            <w:vAlign w:val="bottom"/>
          </w:tcPr>
          <w:p>
            <w:pPr>
              <w:jc w:val="right"/>
              <w:ind w:right="5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39"/>
        </w:trPr>
        <w:tc>
          <w:tcPr>
            <w:tcW w:w="3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3080" w:type="dxa"/>
            <w:vAlign w:val="bottom"/>
            <w:shd w:val="clear" w:color="auto" w:fill="E9F0F3"/>
          </w:tcPr>
          <w:p>
            <w:pPr>
              <w:ind w:left="60"/>
              <w:spacing w:after="0"/>
              <w:rPr>
                <w:sz w:val="20"/>
                <w:szCs w:val="20"/>
                <w:color w:val="auto"/>
              </w:rPr>
            </w:pPr>
            <w:r>
              <w:rPr>
                <w:rFonts w:ascii="Arial" w:cs="Arial" w:eastAsia="Arial" w:hAnsi="Arial"/>
                <w:sz w:val="14"/>
                <w:szCs w:val="14"/>
                <w:color w:val="auto"/>
              </w:rPr>
              <w:t>Value of “in the money” unexercisable stock</w:t>
            </w:r>
          </w:p>
        </w:tc>
        <w:tc>
          <w:tcPr>
            <w:tcW w:w="1260" w:type="dxa"/>
            <w:vAlign w:val="bottom"/>
            <w:shd w:val="clear" w:color="auto" w:fill="E9F0F3"/>
          </w:tcPr>
          <w:p>
            <w:pPr>
              <w:jc w:val="right"/>
              <w:ind w:right="135"/>
              <w:spacing w:after="0"/>
              <w:rPr>
                <w:sz w:val="20"/>
                <w:szCs w:val="20"/>
                <w:color w:val="auto"/>
              </w:rPr>
            </w:pPr>
            <w:r>
              <w:rPr>
                <w:rFonts w:ascii="Arial" w:cs="Arial" w:eastAsia="Arial" w:hAnsi="Arial"/>
                <w:sz w:val="14"/>
                <w:szCs w:val="14"/>
                <w:color w:val="auto"/>
              </w:rPr>
              <w:t>N/A</w:t>
            </w:r>
          </w:p>
        </w:tc>
        <w:tc>
          <w:tcPr>
            <w:tcW w:w="1140" w:type="dxa"/>
            <w:vAlign w:val="bottom"/>
            <w:shd w:val="clear" w:color="auto" w:fill="E9F0F3"/>
          </w:tcPr>
          <w:p>
            <w:pPr>
              <w:jc w:val="right"/>
              <w:ind w:right="134"/>
              <w:spacing w:after="0"/>
              <w:rPr>
                <w:sz w:val="20"/>
                <w:szCs w:val="20"/>
                <w:color w:val="auto"/>
              </w:rPr>
            </w:pPr>
            <w:r>
              <w:rPr>
                <w:rFonts w:ascii="Arial" w:cs="Arial" w:eastAsia="Arial" w:hAnsi="Arial"/>
                <w:sz w:val="14"/>
                <w:szCs w:val="14"/>
                <w:color w:val="auto"/>
              </w:rPr>
              <w:t>N/A</w:t>
            </w:r>
          </w:p>
        </w:tc>
        <w:tc>
          <w:tcPr>
            <w:tcW w:w="1140" w:type="dxa"/>
            <w:vAlign w:val="bottom"/>
            <w:shd w:val="clear" w:color="auto" w:fill="E9F0F3"/>
          </w:tcPr>
          <w:p>
            <w:pPr>
              <w:jc w:val="right"/>
              <w:ind w:right="154"/>
              <w:spacing w:after="0"/>
              <w:rPr>
                <w:sz w:val="20"/>
                <w:szCs w:val="20"/>
                <w:color w:val="auto"/>
              </w:rPr>
            </w:pPr>
            <w:r>
              <w:rPr>
                <w:rFonts w:ascii="Arial" w:cs="Arial" w:eastAsia="Arial" w:hAnsi="Arial"/>
                <w:sz w:val="14"/>
                <w:szCs w:val="14"/>
                <w:color w:val="auto"/>
              </w:rPr>
              <w:t>N/A</w:t>
            </w:r>
          </w:p>
        </w:tc>
        <w:tc>
          <w:tcPr>
            <w:tcW w:w="1080" w:type="dxa"/>
            <w:vAlign w:val="bottom"/>
            <w:shd w:val="clear" w:color="auto" w:fill="E9F0F3"/>
          </w:tcPr>
          <w:p>
            <w:pPr>
              <w:jc w:val="right"/>
              <w:ind w:right="94"/>
              <w:spacing w:after="0"/>
              <w:rPr>
                <w:sz w:val="20"/>
                <w:szCs w:val="20"/>
                <w:color w:val="auto"/>
              </w:rPr>
            </w:pPr>
            <w:r>
              <w:rPr>
                <w:rFonts w:ascii="Arial" w:cs="Arial" w:eastAsia="Arial" w:hAnsi="Arial"/>
                <w:sz w:val="14"/>
                <w:szCs w:val="14"/>
                <w:color w:val="auto"/>
              </w:rPr>
              <w:t>N/A</w:t>
            </w:r>
          </w:p>
        </w:tc>
        <w:tc>
          <w:tcPr>
            <w:tcW w:w="1200" w:type="dxa"/>
            <w:vAlign w:val="bottom"/>
            <w:shd w:val="clear" w:color="auto" w:fill="E9F0F3"/>
          </w:tcPr>
          <w:p>
            <w:pPr>
              <w:jc w:val="right"/>
              <w:ind w:right="177"/>
              <w:spacing w:after="0"/>
              <w:rPr>
                <w:sz w:val="20"/>
                <w:szCs w:val="20"/>
                <w:color w:val="auto"/>
              </w:rPr>
            </w:pPr>
            <w:r>
              <w:rPr>
                <w:rFonts w:ascii="Arial" w:cs="Arial" w:eastAsia="Arial" w:hAnsi="Arial"/>
                <w:sz w:val="14"/>
                <w:szCs w:val="14"/>
                <w:color w:val="auto"/>
              </w:rPr>
              <w:t>N/A</w:t>
            </w:r>
          </w:p>
        </w:tc>
        <w:tc>
          <w:tcPr>
            <w:tcW w:w="1060" w:type="dxa"/>
            <w:vAlign w:val="bottom"/>
            <w:shd w:val="clear" w:color="auto" w:fill="E9F0F3"/>
          </w:tcPr>
          <w:p>
            <w:pPr>
              <w:jc w:val="right"/>
              <w:ind w:right="115"/>
              <w:spacing w:after="0"/>
              <w:rPr>
                <w:sz w:val="20"/>
                <w:szCs w:val="20"/>
                <w:color w:val="auto"/>
              </w:rPr>
            </w:pPr>
            <w:r>
              <w:rPr>
                <w:rFonts w:ascii="Arial" w:cs="Arial" w:eastAsia="Arial" w:hAnsi="Arial"/>
                <w:sz w:val="14"/>
                <w:szCs w:val="14"/>
                <w:color w:val="auto"/>
              </w:rPr>
              <w:t>N/A</w:t>
            </w:r>
          </w:p>
        </w:tc>
        <w:tc>
          <w:tcPr>
            <w:tcW w:w="980" w:type="dxa"/>
            <w:vAlign w:val="bottom"/>
            <w:shd w:val="clear" w:color="auto" w:fill="E9F0F3"/>
          </w:tcPr>
          <w:p>
            <w:pPr>
              <w:jc w:val="right"/>
              <w:ind w:right="3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40"/>
        </w:trPr>
        <w:tc>
          <w:tcPr>
            <w:tcW w:w="308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options</w:t>
            </w:r>
            <w:r>
              <w:rPr>
                <w:rFonts w:ascii="Arial" w:cs="Arial" w:eastAsia="Arial" w:hAnsi="Arial"/>
                <w:sz w:val="16"/>
                <w:szCs w:val="16"/>
                <w:color w:val="auto"/>
                <w:vertAlign w:val="superscript"/>
              </w:rPr>
              <w:t>5</w:t>
            </w:r>
          </w:p>
        </w:tc>
        <w:tc>
          <w:tcPr>
            <w:tcW w:w="1260" w:type="dxa"/>
            <w:vAlign w:val="bottom"/>
            <w:tcBorders>
              <w:bottom w:val="single" w:sz="8" w:color="E9F0F3"/>
            </w:tcBorders>
            <w:shd w:val="clear" w:color="auto" w:fill="E9F0F3"/>
          </w:tcPr>
          <w:p>
            <w:pPr>
              <w:spacing w:after="0"/>
              <w:rPr>
                <w:sz w:val="20"/>
                <w:szCs w:val="20"/>
                <w:color w:val="auto"/>
              </w:rPr>
            </w:pPr>
          </w:p>
        </w:tc>
        <w:tc>
          <w:tcPr>
            <w:tcW w:w="1140" w:type="dxa"/>
            <w:vAlign w:val="bottom"/>
            <w:tcBorders>
              <w:bottom w:val="single" w:sz="8" w:color="E9F0F3"/>
            </w:tcBorders>
            <w:shd w:val="clear" w:color="auto" w:fill="E9F0F3"/>
          </w:tcPr>
          <w:p>
            <w:pPr>
              <w:spacing w:after="0"/>
              <w:rPr>
                <w:sz w:val="20"/>
                <w:szCs w:val="20"/>
                <w:color w:val="auto"/>
              </w:rPr>
            </w:pPr>
          </w:p>
        </w:tc>
        <w:tc>
          <w:tcPr>
            <w:tcW w:w="1140" w:type="dxa"/>
            <w:vAlign w:val="bottom"/>
            <w:tcBorders>
              <w:bottom w:val="single" w:sz="8" w:color="E9F0F3"/>
            </w:tcBorders>
            <w:shd w:val="clear" w:color="auto" w:fill="E9F0F3"/>
          </w:tcPr>
          <w:p>
            <w:pPr>
              <w:spacing w:after="0"/>
              <w:rPr>
                <w:sz w:val="20"/>
                <w:szCs w:val="20"/>
                <w:color w:val="auto"/>
              </w:rPr>
            </w:pPr>
          </w:p>
        </w:tc>
        <w:tc>
          <w:tcPr>
            <w:tcW w:w="1080" w:type="dxa"/>
            <w:vAlign w:val="bottom"/>
            <w:tcBorders>
              <w:bottom w:val="single" w:sz="8" w:color="E9F0F3"/>
            </w:tcBorders>
            <w:shd w:val="clear" w:color="auto" w:fill="E9F0F3"/>
          </w:tcPr>
          <w:p>
            <w:pPr>
              <w:spacing w:after="0"/>
              <w:rPr>
                <w:sz w:val="20"/>
                <w:szCs w:val="20"/>
                <w:color w:val="auto"/>
              </w:rPr>
            </w:pPr>
          </w:p>
        </w:tc>
        <w:tc>
          <w:tcPr>
            <w:tcW w:w="1200" w:type="dxa"/>
            <w:vAlign w:val="bottom"/>
            <w:tcBorders>
              <w:bottom w:val="single" w:sz="8" w:color="E9F0F3"/>
            </w:tcBorders>
            <w:shd w:val="clear" w:color="auto" w:fill="E9F0F3"/>
          </w:tcPr>
          <w:p>
            <w:pPr>
              <w:spacing w:after="0"/>
              <w:rPr>
                <w:sz w:val="20"/>
                <w:szCs w:val="20"/>
                <w:color w:val="auto"/>
              </w:rPr>
            </w:pPr>
          </w:p>
        </w:tc>
        <w:tc>
          <w:tcPr>
            <w:tcW w:w="1060" w:type="dxa"/>
            <w:vAlign w:val="bottom"/>
            <w:tcBorders>
              <w:bottom w:val="single" w:sz="8" w:color="E9F0F3"/>
            </w:tcBorders>
            <w:shd w:val="clear" w:color="auto" w:fill="E9F0F3"/>
          </w:tcPr>
          <w:p>
            <w:pPr>
              <w:spacing w:after="0"/>
              <w:rPr>
                <w:sz w:val="20"/>
                <w:szCs w:val="20"/>
                <w:color w:val="auto"/>
              </w:rPr>
            </w:pPr>
          </w:p>
        </w:tc>
        <w:tc>
          <w:tcPr>
            <w:tcW w:w="980" w:type="dxa"/>
            <w:vAlign w:val="bottom"/>
            <w:tcBorders>
              <w:bottom w:val="single" w:sz="8" w:color="E9F0F3"/>
            </w:tcBorders>
            <w:shd w:val="clear" w:color="auto" w:fill="E9F0F3"/>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080" w:type="dxa"/>
            <w:vAlign w:val="bottom"/>
          </w:tcPr>
          <w:p>
            <w:pPr>
              <w:ind w:left="60"/>
              <w:spacing w:after="0"/>
              <w:rPr>
                <w:sz w:val="20"/>
                <w:szCs w:val="20"/>
                <w:color w:val="auto"/>
              </w:rPr>
            </w:pPr>
            <w:r>
              <w:rPr>
                <w:rFonts w:ascii="Arial" w:cs="Arial" w:eastAsia="Arial" w:hAnsi="Arial"/>
                <w:sz w:val="14"/>
                <w:szCs w:val="14"/>
                <w:color w:val="auto"/>
              </w:rPr>
              <w:t>Value of unvested RSUs</w:t>
            </w:r>
            <w:r>
              <w:rPr>
                <w:rFonts w:ascii="Arial" w:cs="Arial" w:eastAsia="Arial" w:hAnsi="Arial"/>
                <w:sz w:val="16"/>
                <w:szCs w:val="16"/>
                <w:color w:val="auto"/>
                <w:vertAlign w:val="superscript"/>
              </w:rPr>
              <w:t>6</w:t>
            </w:r>
          </w:p>
        </w:tc>
        <w:tc>
          <w:tcPr>
            <w:tcW w:w="1260" w:type="dxa"/>
            <w:vAlign w:val="bottom"/>
          </w:tcPr>
          <w:p>
            <w:pPr>
              <w:jc w:val="right"/>
              <w:ind w:right="135"/>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34"/>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54"/>
              <w:spacing w:after="0"/>
              <w:rPr>
                <w:sz w:val="20"/>
                <w:szCs w:val="20"/>
                <w:color w:val="auto"/>
              </w:rPr>
            </w:pPr>
            <w:r>
              <w:rPr>
                <w:rFonts w:ascii="Arial" w:cs="Arial" w:eastAsia="Arial" w:hAnsi="Arial"/>
                <w:sz w:val="14"/>
                <w:szCs w:val="14"/>
                <w:color w:val="auto"/>
              </w:rPr>
              <w:t>1,086,498</w:t>
            </w:r>
          </w:p>
        </w:tc>
        <w:tc>
          <w:tcPr>
            <w:tcW w:w="1080" w:type="dxa"/>
            <w:vAlign w:val="bottom"/>
          </w:tcPr>
          <w:p>
            <w:pPr>
              <w:jc w:val="right"/>
              <w:ind w:right="94"/>
              <w:spacing w:after="0"/>
              <w:rPr>
                <w:sz w:val="20"/>
                <w:szCs w:val="20"/>
                <w:color w:val="auto"/>
              </w:rPr>
            </w:pPr>
            <w:r>
              <w:rPr>
                <w:rFonts w:ascii="Arial" w:cs="Arial" w:eastAsia="Arial" w:hAnsi="Arial"/>
                <w:sz w:val="14"/>
                <w:szCs w:val="14"/>
                <w:color w:val="auto"/>
              </w:rPr>
              <w:t>1,086,498</w:t>
            </w:r>
          </w:p>
        </w:tc>
        <w:tc>
          <w:tcPr>
            <w:tcW w:w="1200" w:type="dxa"/>
            <w:vAlign w:val="bottom"/>
          </w:tcPr>
          <w:p>
            <w:pPr>
              <w:jc w:val="right"/>
              <w:ind w:right="177"/>
              <w:spacing w:after="0"/>
              <w:rPr>
                <w:sz w:val="20"/>
                <w:szCs w:val="20"/>
                <w:color w:val="auto"/>
              </w:rPr>
            </w:pPr>
            <w:r>
              <w:rPr>
                <w:rFonts w:ascii="Arial" w:cs="Arial" w:eastAsia="Arial" w:hAnsi="Arial"/>
                <w:sz w:val="14"/>
                <w:szCs w:val="14"/>
                <w:color w:val="auto"/>
              </w:rPr>
              <w:t>0</w:t>
            </w:r>
          </w:p>
        </w:tc>
        <w:tc>
          <w:tcPr>
            <w:tcW w:w="1060" w:type="dxa"/>
            <w:vAlign w:val="bottom"/>
          </w:tcPr>
          <w:p>
            <w:pPr>
              <w:jc w:val="right"/>
              <w:ind w:right="115"/>
              <w:spacing w:after="0"/>
              <w:rPr>
                <w:sz w:val="20"/>
                <w:szCs w:val="20"/>
                <w:color w:val="auto"/>
              </w:rPr>
            </w:pPr>
            <w:r>
              <w:rPr>
                <w:rFonts w:ascii="Arial" w:cs="Arial" w:eastAsia="Arial" w:hAnsi="Arial"/>
                <w:sz w:val="14"/>
                <w:szCs w:val="14"/>
                <w:color w:val="auto"/>
              </w:rPr>
              <w:t>0</w:t>
            </w:r>
          </w:p>
        </w:tc>
        <w:tc>
          <w:tcPr>
            <w:tcW w:w="980" w:type="dxa"/>
            <w:vAlign w:val="bottom"/>
          </w:tcPr>
          <w:p>
            <w:pPr>
              <w:jc w:val="right"/>
              <w:ind w:right="58"/>
              <w:spacing w:after="0"/>
              <w:rPr>
                <w:sz w:val="20"/>
                <w:szCs w:val="20"/>
                <w:color w:val="auto"/>
              </w:rPr>
            </w:pPr>
            <w:r>
              <w:rPr>
                <w:rFonts w:ascii="Arial" w:cs="Arial" w:eastAsia="Arial" w:hAnsi="Arial"/>
                <w:sz w:val="14"/>
                <w:szCs w:val="14"/>
                <w:color w:val="auto"/>
              </w:rPr>
              <w:t>1,086,498</w:t>
            </w:r>
          </w:p>
        </w:tc>
        <w:tc>
          <w:tcPr>
            <w:tcW w:w="0" w:type="dxa"/>
            <w:vAlign w:val="bottom"/>
          </w:tcPr>
          <w:p>
            <w:pPr>
              <w:spacing w:after="0"/>
              <w:rPr>
                <w:sz w:val="1"/>
                <w:szCs w:val="1"/>
                <w:color w:val="auto"/>
              </w:rPr>
            </w:pPr>
          </w:p>
        </w:tc>
      </w:tr>
      <w:tr>
        <w:trPr>
          <w:trHeight w:val="39"/>
        </w:trPr>
        <w:tc>
          <w:tcPr>
            <w:tcW w:w="3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0"/>
        </w:trPr>
        <w:tc>
          <w:tcPr>
            <w:tcW w:w="308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Value of unvested PSUs</w:t>
            </w:r>
            <w:r>
              <w:rPr>
                <w:rFonts w:ascii="Arial" w:cs="Arial" w:eastAsia="Arial" w:hAnsi="Arial"/>
                <w:sz w:val="16"/>
                <w:szCs w:val="16"/>
                <w:color w:val="auto"/>
                <w:vertAlign w:val="superscript"/>
              </w:rPr>
              <w:t>7</w:t>
            </w:r>
          </w:p>
        </w:tc>
        <w:tc>
          <w:tcPr>
            <w:tcW w:w="1260" w:type="dxa"/>
            <w:vAlign w:val="bottom"/>
            <w:tcBorders>
              <w:bottom w:val="single" w:sz="8" w:color="E9F0F3"/>
            </w:tcBorders>
            <w:shd w:val="clear" w:color="auto" w:fill="E9F0F3"/>
          </w:tcPr>
          <w:p>
            <w:pPr>
              <w:jc w:val="right"/>
              <w:ind w:right="135"/>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E9F0F3"/>
            </w:tcBorders>
            <w:shd w:val="clear" w:color="auto" w:fill="E9F0F3"/>
          </w:tcPr>
          <w:p>
            <w:pPr>
              <w:jc w:val="right"/>
              <w:ind w:right="134"/>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E9F0F3"/>
            </w:tcBorders>
            <w:shd w:val="clear" w:color="auto" w:fill="E9F0F3"/>
          </w:tcPr>
          <w:p>
            <w:pPr>
              <w:jc w:val="right"/>
              <w:ind w:right="154"/>
              <w:spacing w:after="0"/>
              <w:rPr>
                <w:sz w:val="20"/>
                <w:szCs w:val="20"/>
                <w:color w:val="auto"/>
              </w:rPr>
            </w:pPr>
            <w:r>
              <w:rPr>
                <w:rFonts w:ascii="Arial" w:cs="Arial" w:eastAsia="Arial" w:hAnsi="Arial"/>
                <w:sz w:val="14"/>
                <w:szCs w:val="14"/>
                <w:color w:val="auto"/>
              </w:rPr>
              <w:t>465,508</w:t>
            </w:r>
          </w:p>
        </w:tc>
        <w:tc>
          <w:tcPr>
            <w:tcW w:w="1080" w:type="dxa"/>
            <w:vAlign w:val="bottom"/>
            <w:tcBorders>
              <w:bottom w:val="single" w:sz="8" w:color="E9F0F3"/>
            </w:tcBorders>
            <w:shd w:val="clear" w:color="auto" w:fill="E9F0F3"/>
          </w:tcPr>
          <w:p>
            <w:pPr>
              <w:jc w:val="right"/>
              <w:ind w:right="94"/>
              <w:spacing w:after="0"/>
              <w:rPr>
                <w:sz w:val="20"/>
                <w:szCs w:val="20"/>
                <w:color w:val="auto"/>
              </w:rPr>
            </w:pPr>
            <w:r>
              <w:rPr>
                <w:rFonts w:ascii="Arial" w:cs="Arial" w:eastAsia="Arial" w:hAnsi="Arial"/>
                <w:sz w:val="14"/>
                <w:szCs w:val="14"/>
                <w:color w:val="auto"/>
              </w:rPr>
              <w:t>125,921</w:t>
            </w:r>
          </w:p>
        </w:tc>
        <w:tc>
          <w:tcPr>
            <w:tcW w:w="1200" w:type="dxa"/>
            <w:vAlign w:val="bottom"/>
            <w:tcBorders>
              <w:bottom w:val="single" w:sz="8" w:color="E9F0F3"/>
            </w:tcBorders>
            <w:shd w:val="clear" w:color="auto" w:fill="E9F0F3"/>
          </w:tcPr>
          <w:p>
            <w:pPr>
              <w:jc w:val="right"/>
              <w:ind w:right="177"/>
              <w:spacing w:after="0"/>
              <w:rPr>
                <w:sz w:val="20"/>
                <w:szCs w:val="20"/>
                <w:color w:val="auto"/>
              </w:rPr>
            </w:pPr>
            <w:r>
              <w:rPr>
                <w:rFonts w:ascii="Arial" w:cs="Arial" w:eastAsia="Arial" w:hAnsi="Arial"/>
                <w:sz w:val="14"/>
                <w:szCs w:val="14"/>
                <w:color w:val="auto"/>
              </w:rPr>
              <w:t>125,921</w:t>
            </w:r>
          </w:p>
        </w:tc>
        <w:tc>
          <w:tcPr>
            <w:tcW w:w="1060" w:type="dxa"/>
            <w:vAlign w:val="bottom"/>
            <w:tcBorders>
              <w:bottom w:val="single" w:sz="8" w:color="E9F0F3"/>
            </w:tcBorders>
            <w:shd w:val="clear" w:color="auto" w:fill="E9F0F3"/>
          </w:tcPr>
          <w:p>
            <w:pPr>
              <w:jc w:val="right"/>
              <w:ind w:right="115"/>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E9F0F3"/>
            </w:tcBorders>
            <w:shd w:val="clear" w:color="auto" w:fill="E9F0F3"/>
          </w:tcPr>
          <w:p>
            <w:pPr>
              <w:jc w:val="right"/>
              <w:ind w:right="58"/>
              <w:spacing w:after="0"/>
              <w:rPr>
                <w:sz w:val="20"/>
                <w:szCs w:val="20"/>
                <w:color w:val="auto"/>
              </w:rPr>
            </w:pPr>
            <w:r>
              <w:rPr>
                <w:rFonts w:ascii="Arial" w:cs="Arial" w:eastAsia="Arial" w:hAnsi="Arial"/>
                <w:sz w:val="14"/>
                <w:szCs w:val="14"/>
                <w:color w:val="auto"/>
              </w:rPr>
              <w:t>465,508</w:t>
            </w:r>
          </w:p>
        </w:tc>
        <w:tc>
          <w:tcPr>
            <w:tcW w:w="0" w:type="dxa"/>
            <w:vAlign w:val="bottom"/>
          </w:tcPr>
          <w:p>
            <w:pPr>
              <w:spacing w:after="0"/>
              <w:rPr>
                <w:sz w:val="1"/>
                <w:szCs w:val="1"/>
                <w:color w:val="auto"/>
              </w:rPr>
            </w:pPr>
          </w:p>
        </w:tc>
      </w:tr>
      <w:tr>
        <w:trPr>
          <w:trHeight w:val="290"/>
        </w:trPr>
        <w:tc>
          <w:tcPr>
            <w:tcW w:w="3080" w:type="dxa"/>
            <w:vAlign w:val="bottom"/>
          </w:tcPr>
          <w:p>
            <w:pPr>
              <w:ind w:left="60"/>
              <w:spacing w:after="0"/>
              <w:rPr>
                <w:sz w:val="20"/>
                <w:szCs w:val="20"/>
                <w:color w:val="auto"/>
              </w:rPr>
            </w:pPr>
            <w:r>
              <w:rPr>
                <w:rFonts w:ascii="Arial" w:cs="Arial" w:eastAsia="Arial" w:hAnsi="Arial"/>
                <w:sz w:val="14"/>
                <w:szCs w:val="14"/>
                <w:color w:val="auto"/>
              </w:rPr>
              <w:t>Welfare benefits value</w:t>
            </w:r>
            <w:r>
              <w:rPr>
                <w:rFonts w:ascii="Arial" w:cs="Arial" w:eastAsia="Arial" w:hAnsi="Arial"/>
                <w:sz w:val="16"/>
                <w:szCs w:val="16"/>
                <w:color w:val="auto"/>
                <w:vertAlign w:val="superscript"/>
              </w:rPr>
              <w:t>8</w:t>
            </w:r>
          </w:p>
        </w:tc>
        <w:tc>
          <w:tcPr>
            <w:tcW w:w="1260" w:type="dxa"/>
            <w:vAlign w:val="bottom"/>
          </w:tcPr>
          <w:p>
            <w:pPr>
              <w:jc w:val="right"/>
              <w:ind w:right="135"/>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34"/>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54"/>
              <w:spacing w:after="0"/>
              <w:rPr>
                <w:sz w:val="20"/>
                <w:szCs w:val="20"/>
                <w:color w:val="auto"/>
              </w:rPr>
            </w:pPr>
            <w:r>
              <w:rPr>
                <w:rFonts w:ascii="Arial" w:cs="Arial" w:eastAsia="Arial" w:hAnsi="Arial"/>
                <w:sz w:val="14"/>
                <w:szCs w:val="14"/>
                <w:color w:val="auto"/>
              </w:rPr>
              <w:t>0</w:t>
            </w:r>
          </w:p>
        </w:tc>
        <w:tc>
          <w:tcPr>
            <w:tcW w:w="1080" w:type="dxa"/>
            <w:vAlign w:val="bottom"/>
          </w:tcPr>
          <w:p>
            <w:pPr>
              <w:jc w:val="right"/>
              <w:ind w:right="94"/>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177"/>
              <w:spacing w:after="0"/>
              <w:rPr>
                <w:sz w:val="20"/>
                <w:szCs w:val="20"/>
                <w:color w:val="auto"/>
              </w:rPr>
            </w:pPr>
            <w:r>
              <w:rPr>
                <w:rFonts w:ascii="Arial" w:cs="Arial" w:eastAsia="Arial" w:hAnsi="Arial"/>
                <w:sz w:val="14"/>
                <w:szCs w:val="14"/>
                <w:color w:val="auto"/>
              </w:rPr>
              <w:t>0</w:t>
            </w:r>
          </w:p>
        </w:tc>
        <w:tc>
          <w:tcPr>
            <w:tcW w:w="1060" w:type="dxa"/>
            <w:vAlign w:val="bottom"/>
          </w:tcPr>
          <w:p>
            <w:pPr>
              <w:jc w:val="right"/>
              <w:ind w:right="115"/>
              <w:spacing w:after="0"/>
              <w:rPr>
                <w:sz w:val="20"/>
                <w:szCs w:val="20"/>
                <w:color w:val="auto"/>
              </w:rPr>
            </w:pPr>
            <w:r>
              <w:rPr>
                <w:rFonts w:ascii="Arial" w:cs="Arial" w:eastAsia="Arial" w:hAnsi="Arial"/>
                <w:sz w:val="14"/>
                <w:szCs w:val="14"/>
                <w:color w:val="auto"/>
              </w:rPr>
              <w:t>0</w:t>
            </w:r>
          </w:p>
        </w:tc>
        <w:tc>
          <w:tcPr>
            <w:tcW w:w="980" w:type="dxa"/>
            <w:vAlign w:val="bottom"/>
          </w:tcPr>
          <w:p>
            <w:pPr>
              <w:jc w:val="right"/>
              <w:ind w:right="5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39"/>
        </w:trPr>
        <w:tc>
          <w:tcPr>
            <w:tcW w:w="3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308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Total</w:t>
            </w:r>
          </w:p>
        </w:tc>
        <w:tc>
          <w:tcPr>
            <w:tcW w:w="1260" w:type="dxa"/>
            <w:vAlign w:val="bottom"/>
            <w:shd w:val="clear" w:color="auto" w:fill="E9F0F3"/>
          </w:tcPr>
          <w:p>
            <w:pPr>
              <w:jc w:val="right"/>
              <w:ind w:right="135"/>
              <w:spacing w:after="0"/>
              <w:rPr>
                <w:sz w:val="20"/>
                <w:szCs w:val="20"/>
                <w:color w:val="auto"/>
              </w:rPr>
            </w:pPr>
            <w:r>
              <w:rPr>
                <w:rFonts w:ascii="Arial" w:cs="Arial" w:eastAsia="Arial" w:hAnsi="Arial"/>
                <w:sz w:val="14"/>
                <w:szCs w:val="14"/>
                <w:b w:val="1"/>
                <w:bCs w:val="1"/>
                <w:color w:val="auto"/>
              </w:rPr>
              <w:t>$0</w:t>
            </w:r>
          </w:p>
        </w:tc>
        <w:tc>
          <w:tcPr>
            <w:tcW w:w="1140" w:type="dxa"/>
            <w:vAlign w:val="bottom"/>
            <w:shd w:val="clear" w:color="auto" w:fill="E9F0F3"/>
          </w:tcPr>
          <w:p>
            <w:pPr>
              <w:jc w:val="right"/>
              <w:ind w:right="134"/>
              <w:spacing w:after="0"/>
              <w:rPr>
                <w:sz w:val="20"/>
                <w:szCs w:val="20"/>
                <w:color w:val="auto"/>
              </w:rPr>
            </w:pPr>
            <w:r>
              <w:rPr>
                <w:rFonts w:ascii="Arial" w:cs="Arial" w:eastAsia="Arial" w:hAnsi="Arial"/>
                <w:sz w:val="14"/>
                <w:szCs w:val="14"/>
                <w:b w:val="1"/>
                <w:bCs w:val="1"/>
                <w:color w:val="auto"/>
              </w:rPr>
              <w:t>$0</w:t>
            </w:r>
          </w:p>
        </w:tc>
        <w:tc>
          <w:tcPr>
            <w:tcW w:w="1140" w:type="dxa"/>
            <w:vAlign w:val="bottom"/>
            <w:shd w:val="clear" w:color="auto" w:fill="E9F0F3"/>
          </w:tcPr>
          <w:p>
            <w:pPr>
              <w:jc w:val="right"/>
              <w:ind w:right="154"/>
              <w:spacing w:after="0"/>
              <w:rPr>
                <w:sz w:val="20"/>
                <w:szCs w:val="20"/>
                <w:color w:val="auto"/>
              </w:rPr>
            </w:pPr>
            <w:r>
              <w:rPr>
                <w:rFonts w:ascii="Arial" w:cs="Arial" w:eastAsia="Arial" w:hAnsi="Arial"/>
                <w:sz w:val="14"/>
                <w:szCs w:val="14"/>
                <w:b w:val="1"/>
                <w:bCs w:val="1"/>
                <w:color w:val="auto"/>
              </w:rPr>
              <w:t>$1,552,006</w:t>
            </w:r>
          </w:p>
        </w:tc>
        <w:tc>
          <w:tcPr>
            <w:tcW w:w="1080" w:type="dxa"/>
            <w:vAlign w:val="bottom"/>
            <w:shd w:val="clear" w:color="auto" w:fill="E9F0F3"/>
          </w:tcPr>
          <w:p>
            <w:pPr>
              <w:jc w:val="right"/>
              <w:ind w:right="94"/>
              <w:spacing w:after="0"/>
              <w:rPr>
                <w:sz w:val="20"/>
                <w:szCs w:val="20"/>
                <w:color w:val="auto"/>
              </w:rPr>
            </w:pPr>
            <w:r>
              <w:rPr>
                <w:rFonts w:ascii="Arial" w:cs="Arial" w:eastAsia="Arial" w:hAnsi="Arial"/>
                <w:sz w:val="14"/>
                <w:szCs w:val="14"/>
                <w:b w:val="1"/>
                <w:bCs w:val="1"/>
                <w:color w:val="auto"/>
              </w:rPr>
              <w:t>$1,272,796</w:t>
            </w:r>
          </w:p>
        </w:tc>
        <w:tc>
          <w:tcPr>
            <w:tcW w:w="1200" w:type="dxa"/>
            <w:vAlign w:val="bottom"/>
            <w:shd w:val="clear" w:color="auto" w:fill="E9F0F3"/>
          </w:tcPr>
          <w:p>
            <w:pPr>
              <w:jc w:val="right"/>
              <w:ind w:right="177"/>
              <w:spacing w:after="0"/>
              <w:rPr>
                <w:sz w:val="20"/>
                <w:szCs w:val="20"/>
                <w:color w:val="auto"/>
              </w:rPr>
            </w:pPr>
            <w:r>
              <w:rPr>
                <w:rFonts w:ascii="Arial" w:cs="Arial" w:eastAsia="Arial" w:hAnsi="Arial"/>
                <w:sz w:val="14"/>
                <w:szCs w:val="14"/>
                <w:b w:val="1"/>
                <w:bCs w:val="1"/>
                <w:color w:val="auto"/>
              </w:rPr>
              <w:t>$1,903,571</w:t>
            </w:r>
          </w:p>
        </w:tc>
        <w:tc>
          <w:tcPr>
            <w:tcW w:w="1060" w:type="dxa"/>
            <w:vAlign w:val="bottom"/>
            <w:shd w:val="clear" w:color="auto" w:fill="E9F0F3"/>
          </w:tcPr>
          <w:p>
            <w:pPr>
              <w:jc w:val="right"/>
              <w:ind w:right="115"/>
              <w:spacing w:after="0"/>
              <w:rPr>
                <w:sz w:val="20"/>
                <w:szCs w:val="20"/>
                <w:color w:val="auto"/>
              </w:rPr>
            </w:pPr>
            <w:r>
              <w:rPr>
                <w:rFonts w:ascii="Arial" w:cs="Arial" w:eastAsia="Arial" w:hAnsi="Arial"/>
                <w:sz w:val="14"/>
                <w:szCs w:val="14"/>
                <w:b w:val="1"/>
                <w:bCs w:val="1"/>
                <w:color w:val="auto"/>
              </w:rPr>
              <w:t>$0</w:t>
            </w:r>
          </w:p>
        </w:tc>
        <w:tc>
          <w:tcPr>
            <w:tcW w:w="980" w:type="dxa"/>
            <w:vAlign w:val="bottom"/>
            <w:shd w:val="clear" w:color="auto" w:fill="E9F0F3"/>
          </w:tcPr>
          <w:p>
            <w:pPr>
              <w:jc w:val="right"/>
              <w:ind w:right="58"/>
              <w:spacing w:after="0"/>
              <w:rPr>
                <w:sz w:val="20"/>
                <w:szCs w:val="20"/>
                <w:color w:val="auto"/>
              </w:rPr>
            </w:pPr>
            <w:r>
              <w:rPr>
                <w:rFonts w:ascii="Arial" w:cs="Arial" w:eastAsia="Arial" w:hAnsi="Arial"/>
                <w:sz w:val="14"/>
                <w:szCs w:val="14"/>
                <w:b w:val="1"/>
                <w:bCs w:val="1"/>
                <w:color w:val="auto"/>
              </w:rPr>
              <w:t>$3,329,656</w:t>
            </w:r>
          </w:p>
        </w:tc>
        <w:tc>
          <w:tcPr>
            <w:tcW w:w="0" w:type="dxa"/>
            <w:vAlign w:val="bottom"/>
          </w:tcPr>
          <w:p>
            <w:pPr>
              <w:spacing w:after="0"/>
              <w:rPr>
                <w:sz w:val="1"/>
                <w:szCs w:val="1"/>
                <w:color w:val="auto"/>
              </w:rPr>
            </w:pPr>
          </w:p>
        </w:tc>
      </w:tr>
      <w:tr>
        <w:trPr>
          <w:trHeight w:val="66"/>
        </w:trPr>
        <w:tc>
          <w:tcPr>
            <w:tcW w:w="3080" w:type="dxa"/>
            <w:vAlign w:val="bottom"/>
            <w:shd w:val="clear" w:color="auto" w:fill="E9F0F3"/>
          </w:tcPr>
          <w:p>
            <w:pPr>
              <w:spacing w:after="0"/>
              <w:rPr>
                <w:sz w:val="5"/>
                <w:szCs w:val="5"/>
                <w:color w:val="auto"/>
              </w:rPr>
            </w:pPr>
          </w:p>
        </w:tc>
        <w:tc>
          <w:tcPr>
            <w:tcW w:w="1260" w:type="dxa"/>
            <w:vAlign w:val="bottom"/>
            <w:shd w:val="clear" w:color="auto" w:fill="E9F0F3"/>
          </w:tcPr>
          <w:p>
            <w:pPr>
              <w:spacing w:after="0"/>
              <w:rPr>
                <w:sz w:val="5"/>
                <w:szCs w:val="5"/>
                <w:color w:val="auto"/>
              </w:rPr>
            </w:pPr>
          </w:p>
        </w:tc>
        <w:tc>
          <w:tcPr>
            <w:tcW w:w="1140" w:type="dxa"/>
            <w:vAlign w:val="bottom"/>
            <w:shd w:val="clear" w:color="auto" w:fill="E9F0F3"/>
          </w:tcPr>
          <w:p>
            <w:pPr>
              <w:spacing w:after="0"/>
              <w:rPr>
                <w:sz w:val="5"/>
                <w:szCs w:val="5"/>
                <w:color w:val="auto"/>
              </w:rPr>
            </w:pPr>
          </w:p>
        </w:tc>
        <w:tc>
          <w:tcPr>
            <w:tcW w:w="1140" w:type="dxa"/>
            <w:vAlign w:val="bottom"/>
            <w:shd w:val="clear" w:color="auto" w:fill="E9F0F3"/>
          </w:tcPr>
          <w:p>
            <w:pPr>
              <w:spacing w:after="0"/>
              <w:rPr>
                <w:sz w:val="5"/>
                <w:szCs w:val="5"/>
                <w:color w:val="auto"/>
              </w:rPr>
            </w:pPr>
          </w:p>
        </w:tc>
        <w:tc>
          <w:tcPr>
            <w:tcW w:w="1080" w:type="dxa"/>
            <w:vAlign w:val="bottom"/>
            <w:shd w:val="clear" w:color="auto" w:fill="E9F0F3"/>
          </w:tcPr>
          <w:p>
            <w:pPr>
              <w:spacing w:after="0"/>
              <w:rPr>
                <w:sz w:val="5"/>
                <w:szCs w:val="5"/>
                <w:color w:val="auto"/>
              </w:rPr>
            </w:pPr>
          </w:p>
        </w:tc>
        <w:tc>
          <w:tcPr>
            <w:tcW w:w="1200" w:type="dxa"/>
            <w:vAlign w:val="bottom"/>
            <w:shd w:val="clear" w:color="auto" w:fill="E9F0F3"/>
          </w:tcPr>
          <w:p>
            <w:pPr>
              <w:spacing w:after="0"/>
              <w:rPr>
                <w:sz w:val="5"/>
                <w:szCs w:val="5"/>
                <w:color w:val="auto"/>
              </w:rPr>
            </w:pPr>
          </w:p>
        </w:tc>
        <w:tc>
          <w:tcPr>
            <w:tcW w:w="1060" w:type="dxa"/>
            <w:vAlign w:val="bottom"/>
            <w:shd w:val="clear" w:color="auto" w:fill="E9F0F3"/>
          </w:tcPr>
          <w:p>
            <w:pPr>
              <w:spacing w:after="0"/>
              <w:rPr>
                <w:sz w:val="5"/>
                <w:szCs w:val="5"/>
                <w:color w:val="auto"/>
              </w:rPr>
            </w:pPr>
          </w:p>
        </w:tc>
        <w:tc>
          <w:tcPr>
            <w:tcW w:w="98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080" w:type="dxa"/>
            <w:vAlign w:val="bottom"/>
            <w:shd w:val="clear" w:color="auto" w:fill="99B7C6"/>
          </w:tcPr>
          <w:p>
            <w:pPr>
              <w:spacing w:after="0"/>
              <w:rPr>
                <w:sz w:val="13"/>
                <w:szCs w:val="13"/>
                <w:color w:val="auto"/>
              </w:rPr>
            </w:pPr>
          </w:p>
        </w:tc>
        <w:tc>
          <w:tcPr>
            <w:tcW w:w="1260" w:type="dxa"/>
            <w:vAlign w:val="bottom"/>
            <w:shd w:val="clear" w:color="auto" w:fill="99B7C6"/>
          </w:tcPr>
          <w:p>
            <w:pPr>
              <w:spacing w:after="0"/>
              <w:rPr>
                <w:sz w:val="13"/>
                <w:szCs w:val="13"/>
                <w:color w:val="auto"/>
              </w:rPr>
            </w:pPr>
          </w:p>
        </w:tc>
        <w:tc>
          <w:tcPr>
            <w:tcW w:w="1140" w:type="dxa"/>
            <w:vAlign w:val="bottom"/>
            <w:shd w:val="clear" w:color="auto" w:fill="99B7C6"/>
          </w:tcPr>
          <w:p>
            <w:pPr>
              <w:spacing w:after="0"/>
              <w:rPr>
                <w:sz w:val="13"/>
                <w:szCs w:val="13"/>
                <w:color w:val="auto"/>
              </w:rPr>
            </w:pPr>
          </w:p>
        </w:tc>
        <w:tc>
          <w:tcPr>
            <w:tcW w:w="1140" w:type="dxa"/>
            <w:vAlign w:val="bottom"/>
            <w:shd w:val="clear" w:color="auto" w:fill="99B7C6"/>
          </w:tcPr>
          <w:p>
            <w:pPr>
              <w:spacing w:after="0"/>
              <w:rPr>
                <w:sz w:val="13"/>
                <w:szCs w:val="13"/>
                <w:color w:val="auto"/>
              </w:rPr>
            </w:pPr>
          </w:p>
        </w:tc>
        <w:tc>
          <w:tcPr>
            <w:tcW w:w="1080" w:type="dxa"/>
            <w:vAlign w:val="bottom"/>
            <w:shd w:val="clear" w:color="auto" w:fill="99B7C6"/>
          </w:tcPr>
          <w:p>
            <w:pPr>
              <w:spacing w:after="0"/>
              <w:rPr>
                <w:sz w:val="13"/>
                <w:szCs w:val="13"/>
                <w:color w:val="auto"/>
              </w:rPr>
            </w:pPr>
          </w:p>
        </w:tc>
        <w:tc>
          <w:tcPr>
            <w:tcW w:w="1200" w:type="dxa"/>
            <w:vAlign w:val="bottom"/>
            <w:shd w:val="clear" w:color="auto" w:fill="99B7C6"/>
          </w:tcPr>
          <w:p>
            <w:pPr>
              <w:spacing w:after="0"/>
              <w:rPr>
                <w:sz w:val="13"/>
                <w:szCs w:val="13"/>
                <w:color w:val="auto"/>
              </w:rPr>
            </w:pPr>
          </w:p>
        </w:tc>
        <w:tc>
          <w:tcPr>
            <w:tcW w:w="1060" w:type="dxa"/>
            <w:vAlign w:val="bottom"/>
            <w:shd w:val="clear" w:color="auto" w:fill="99B7C6"/>
          </w:tcPr>
          <w:p>
            <w:pPr>
              <w:spacing w:after="0"/>
              <w:rPr>
                <w:sz w:val="13"/>
                <w:szCs w:val="13"/>
                <w:color w:val="auto"/>
              </w:rPr>
            </w:pPr>
          </w:p>
        </w:tc>
        <w:tc>
          <w:tcPr>
            <w:tcW w:w="980" w:type="dxa"/>
            <w:vAlign w:val="bottom"/>
            <w:shd w:val="clear" w:color="auto" w:fill="99B7C6"/>
          </w:tcPr>
          <w:p>
            <w:pPr>
              <w:jc w:val="right"/>
              <w:ind w:right="38"/>
              <w:spacing w:after="0"/>
              <w:rPr>
                <w:sz w:val="20"/>
                <w:szCs w:val="20"/>
                <w:color w:val="auto"/>
              </w:rPr>
            </w:pPr>
            <w:r>
              <w:rPr>
                <w:rFonts w:ascii="Arial" w:cs="Arial" w:eastAsia="Arial" w:hAnsi="Arial"/>
                <w:sz w:val="11"/>
                <w:szCs w:val="11"/>
                <w:b w:val="1"/>
                <w:bCs w:val="1"/>
                <w:color w:val="FFFFFF"/>
              </w:rPr>
              <w:t>Termination</w:t>
            </w:r>
          </w:p>
        </w:tc>
        <w:tc>
          <w:tcPr>
            <w:tcW w:w="0" w:type="dxa"/>
            <w:vAlign w:val="bottom"/>
          </w:tcPr>
          <w:p>
            <w:pPr>
              <w:spacing w:after="0"/>
              <w:rPr>
                <w:sz w:val="1"/>
                <w:szCs w:val="1"/>
                <w:color w:val="auto"/>
              </w:rPr>
            </w:pPr>
          </w:p>
        </w:tc>
      </w:tr>
      <w:tr>
        <w:trPr>
          <w:trHeight w:val="118"/>
        </w:trPr>
        <w:tc>
          <w:tcPr>
            <w:tcW w:w="3080" w:type="dxa"/>
            <w:vAlign w:val="bottom"/>
            <w:shd w:val="clear" w:color="auto" w:fill="99B7C6"/>
          </w:tcPr>
          <w:p>
            <w:pPr>
              <w:spacing w:after="0"/>
              <w:rPr>
                <w:sz w:val="10"/>
                <w:szCs w:val="10"/>
                <w:color w:val="auto"/>
              </w:rPr>
            </w:pPr>
          </w:p>
        </w:tc>
        <w:tc>
          <w:tcPr>
            <w:tcW w:w="126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200" w:type="dxa"/>
            <w:vAlign w:val="bottom"/>
            <w:shd w:val="clear" w:color="auto" w:fill="99B7C6"/>
          </w:tcPr>
          <w:p>
            <w:pPr>
              <w:spacing w:after="0"/>
              <w:rPr>
                <w:sz w:val="10"/>
                <w:szCs w:val="10"/>
                <w:color w:val="auto"/>
              </w:rPr>
            </w:pPr>
          </w:p>
        </w:tc>
        <w:tc>
          <w:tcPr>
            <w:tcW w:w="1060" w:type="dxa"/>
            <w:vAlign w:val="bottom"/>
            <w:shd w:val="clear" w:color="auto" w:fill="99B7C6"/>
          </w:tcPr>
          <w:p>
            <w:pPr>
              <w:spacing w:after="0"/>
              <w:rPr>
                <w:sz w:val="10"/>
                <w:szCs w:val="10"/>
                <w:color w:val="auto"/>
              </w:rPr>
            </w:pPr>
          </w:p>
        </w:tc>
        <w:tc>
          <w:tcPr>
            <w:tcW w:w="980" w:type="dxa"/>
            <w:vAlign w:val="bottom"/>
            <w:shd w:val="clear" w:color="auto" w:fill="99B7C6"/>
          </w:tcPr>
          <w:p>
            <w:pPr>
              <w:jc w:val="right"/>
              <w:ind w:right="38"/>
              <w:spacing w:after="0" w:line="118" w:lineRule="exact"/>
              <w:rPr>
                <w:sz w:val="20"/>
                <w:szCs w:val="20"/>
                <w:color w:val="auto"/>
              </w:rPr>
            </w:pPr>
            <w:r>
              <w:rPr>
                <w:rFonts w:ascii="Arial" w:cs="Arial" w:eastAsia="Arial" w:hAnsi="Arial"/>
                <w:sz w:val="11"/>
                <w:szCs w:val="11"/>
                <w:b w:val="1"/>
                <w:bCs w:val="1"/>
                <w:color w:val="FFFFFF"/>
              </w:rPr>
              <w:t>Without</w:t>
            </w:r>
          </w:p>
        </w:tc>
        <w:tc>
          <w:tcPr>
            <w:tcW w:w="0" w:type="dxa"/>
            <w:vAlign w:val="bottom"/>
          </w:tcPr>
          <w:p>
            <w:pPr>
              <w:spacing w:after="0"/>
              <w:rPr>
                <w:sz w:val="1"/>
                <w:szCs w:val="1"/>
                <w:color w:val="auto"/>
              </w:rPr>
            </w:pPr>
          </w:p>
        </w:tc>
      </w:tr>
      <w:tr>
        <w:trPr>
          <w:trHeight w:val="121"/>
        </w:trPr>
        <w:tc>
          <w:tcPr>
            <w:tcW w:w="3080" w:type="dxa"/>
            <w:vAlign w:val="bottom"/>
            <w:shd w:val="clear" w:color="auto" w:fill="99B7C6"/>
          </w:tcPr>
          <w:p>
            <w:pPr>
              <w:spacing w:after="0"/>
              <w:rPr>
                <w:sz w:val="10"/>
                <w:szCs w:val="10"/>
                <w:color w:val="auto"/>
              </w:rPr>
            </w:pPr>
          </w:p>
        </w:tc>
        <w:tc>
          <w:tcPr>
            <w:tcW w:w="126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200" w:type="dxa"/>
            <w:vAlign w:val="bottom"/>
            <w:shd w:val="clear" w:color="auto" w:fill="99B7C6"/>
          </w:tcPr>
          <w:p>
            <w:pPr>
              <w:jc w:val="right"/>
              <w:ind w:right="197"/>
              <w:spacing w:after="0" w:line="122" w:lineRule="exact"/>
              <w:rPr>
                <w:sz w:val="20"/>
                <w:szCs w:val="20"/>
                <w:color w:val="auto"/>
              </w:rPr>
            </w:pPr>
            <w:r>
              <w:rPr>
                <w:rFonts w:ascii="Arial" w:cs="Arial" w:eastAsia="Arial" w:hAnsi="Arial"/>
                <w:sz w:val="11"/>
                <w:szCs w:val="11"/>
                <w:b w:val="1"/>
                <w:bCs w:val="1"/>
                <w:color w:val="FFFFFF"/>
              </w:rPr>
              <w:t>Termination</w:t>
            </w:r>
          </w:p>
        </w:tc>
        <w:tc>
          <w:tcPr>
            <w:tcW w:w="1060" w:type="dxa"/>
            <w:vAlign w:val="bottom"/>
            <w:shd w:val="clear" w:color="auto" w:fill="99B7C6"/>
          </w:tcPr>
          <w:p>
            <w:pPr>
              <w:spacing w:after="0"/>
              <w:rPr>
                <w:sz w:val="10"/>
                <w:szCs w:val="10"/>
                <w:color w:val="auto"/>
              </w:rPr>
            </w:pPr>
          </w:p>
        </w:tc>
        <w:tc>
          <w:tcPr>
            <w:tcW w:w="980" w:type="dxa"/>
            <w:vAlign w:val="bottom"/>
            <w:shd w:val="clear" w:color="auto" w:fill="99B7C6"/>
          </w:tcPr>
          <w:p>
            <w:pPr>
              <w:jc w:val="right"/>
              <w:ind w:right="38"/>
              <w:spacing w:after="0" w:line="122" w:lineRule="exact"/>
              <w:rPr>
                <w:sz w:val="20"/>
                <w:szCs w:val="20"/>
                <w:color w:val="auto"/>
              </w:rPr>
            </w:pPr>
            <w:r>
              <w:rPr>
                <w:rFonts w:ascii="Arial" w:cs="Arial" w:eastAsia="Arial" w:hAnsi="Arial"/>
                <w:sz w:val="11"/>
                <w:szCs w:val="11"/>
                <w:b w:val="1"/>
                <w:bCs w:val="1"/>
                <w:color w:val="FFFFFF"/>
              </w:rPr>
              <w:t>Cause or for</w:t>
            </w:r>
          </w:p>
        </w:tc>
        <w:tc>
          <w:tcPr>
            <w:tcW w:w="0" w:type="dxa"/>
            <w:vAlign w:val="bottom"/>
          </w:tcPr>
          <w:p>
            <w:pPr>
              <w:spacing w:after="0"/>
              <w:rPr>
                <w:sz w:val="1"/>
                <w:szCs w:val="1"/>
                <w:color w:val="auto"/>
              </w:rPr>
            </w:pPr>
          </w:p>
        </w:tc>
      </w:tr>
      <w:tr>
        <w:trPr>
          <w:trHeight w:val="118"/>
        </w:trPr>
        <w:tc>
          <w:tcPr>
            <w:tcW w:w="3080" w:type="dxa"/>
            <w:vAlign w:val="bottom"/>
            <w:shd w:val="clear" w:color="auto" w:fill="99B7C6"/>
          </w:tcPr>
          <w:p>
            <w:pPr>
              <w:spacing w:after="0"/>
              <w:rPr>
                <w:sz w:val="10"/>
                <w:szCs w:val="10"/>
                <w:color w:val="auto"/>
              </w:rPr>
            </w:pPr>
          </w:p>
        </w:tc>
        <w:tc>
          <w:tcPr>
            <w:tcW w:w="1260" w:type="dxa"/>
            <w:vAlign w:val="bottom"/>
            <w:vMerge w:val="restart"/>
            <w:shd w:val="clear" w:color="auto" w:fill="99B7C6"/>
          </w:tcPr>
          <w:p>
            <w:pPr>
              <w:jc w:val="right"/>
              <w:ind w:right="155"/>
              <w:spacing w:after="0"/>
              <w:rPr>
                <w:sz w:val="20"/>
                <w:szCs w:val="20"/>
                <w:color w:val="auto"/>
              </w:rPr>
            </w:pPr>
            <w:r>
              <w:rPr>
                <w:rFonts w:ascii="Arial" w:cs="Arial" w:eastAsia="Arial" w:hAnsi="Arial"/>
                <w:sz w:val="11"/>
                <w:szCs w:val="11"/>
                <w:b w:val="1"/>
                <w:bCs w:val="1"/>
                <w:color w:val="FFFFFF"/>
              </w:rPr>
              <w:t>Voluntary</w:t>
            </w:r>
          </w:p>
        </w:tc>
        <w:tc>
          <w:tcPr>
            <w:tcW w:w="114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200" w:type="dxa"/>
            <w:vAlign w:val="bottom"/>
            <w:shd w:val="clear" w:color="auto" w:fill="99B7C6"/>
          </w:tcPr>
          <w:p>
            <w:pPr>
              <w:jc w:val="right"/>
              <w:ind w:right="197"/>
              <w:spacing w:after="0" w:line="118" w:lineRule="exact"/>
              <w:rPr>
                <w:sz w:val="20"/>
                <w:szCs w:val="20"/>
                <w:color w:val="auto"/>
              </w:rPr>
            </w:pPr>
            <w:r>
              <w:rPr>
                <w:rFonts w:ascii="Arial" w:cs="Arial" w:eastAsia="Arial" w:hAnsi="Arial"/>
                <w:sz w:val="11"/>
                <w:szCs w:val="11"/>
                <w:b w:val="1"/>
                <w:bCs w:val="1"/>
                <w:color w:val="FFFFFF"/>
              </w:rPr>
              <w:t>Without</w:t>
            </w:r>
          </w:p>
        </w:tc>
        <w:tc>
          <w:tcPr>
            <w:tcW w:w="1060" w:type="dxa"/>
            <w:vAlign w:val="bottom"/>
            <w:vMerge w:val="restart"/>
            <w:shd w:val="clear" w:color="auto" w:fill="99B7C6"/>
          </w:tcPr>
          <w:p>
            <w:pPr>
              <w:jc w:val="right"/>
              <w:ind w:right="135"/>
              <w:spacing w:after="0"/>
              <w:rPr>
                <w:sz w:val="20"/>
                <w:szCs w:val="20"/>
                <w:color w:val="auto"/>
              </w:rPr>
            </w:pPr>
            <w:r>
              <w:rPr>
                <w:rFonts w:ascii="Arial" w:cs="Arial" w:eastAsia="Arial" w:hAnsi="Arial"/>
                <w:sz w:val="11"/>
                <w:szCs w:val="11"/>
                <w:b w:val="1"/>
                <w:bCs w:val="1"/>
                <w:color w:val="FFFFFF"/>
              </w:rPr>
              <w:t>Termination</w:t>
            </w:r>
          </w:p>
        </w:tc>
        <w:tc>
          <w:tcPr>
            <w:tcW w:w="980" w:type="dxa"/>
            <w:vAlign w:val="bottom"/>
            <w:shd w:val="clear" w:color="auto" w:fill="99B7C6"/>
          </w:tcPr>
          <w:p>
            <w:pPr>
              <w:jc w:val="right"/>
              <w:ind w:right="38"/>
              <w:spacing w:after="0" w:line="118" w:lineRule="exact"/>
              <w:rPr>
                <w:sz w:val="20"/>
                <w:szCs w:val="20"/>
                <w:color w:val="auto"/>
              </w:rPr>
            </w:pPr>
            <w:r>
              <w:rPr>
                <w:rFonts w:ascii="Arial" w:cs="Arial" w:eastAsia="Arial" w:hAnsi="Arial"/>
                <w:sz w:val="11"/>
                <w:szCs w:val="11"/>
                <w:b w:val="1"/>
                <w:bCs w:val="1"/>
                <w:color w:val="FFFFFF"/>
              </w:rPr>
              <w:t>Good Reason</w:t>
            </w:r>
          </w:p>
        </w:tc>
        <w:tc>
          <w:tcPr>
            <w:tcW w:w="0" w:type="dxa"/>
            <w:vAlign w:val="bottom"/>
          </w:tcPr>
          <w:p>
            <w:pPr>
              <w:spacing w:after="0"/>
              <w:rPr>
                <w:sz w:val="1"/>
                <w:szCs w:val="1"/>
                <w:color w:val="auto"/>
              </w:rPr>
            </w:pPr>
          </w:p>
        </w:tc>
      </w:tr>
      <w:tr>
        <w:trPr>
          <w:trHeight w:val="118"/>
        </w:trPr>
        <w:tc>
          <w:tcPr>
            <w:tcW w:w="3080" w:type="dxa"/>
            <w:vAlign w:val="bottom"/>
            <w:shd w:val="clear" w:color="auto" w:fill="99B7C6"/>
          </w:tcPr>
          <w:p>
            <w:pPr>
              <w:spacing w:after="0"/>
              <w:rPr>
                <w:sz w:val="10"/>
                <w:szCs w:val="10"/>
                <w:color w:val="auto"/>
              </w:rPr>
            </w:pPr>
          </w:p>
        </w:tc>
        <w:tc>
          <w:tcPr>
            <w:tcW w:w="1260" w:type="dxa"/>
            <w:vAlign w:val="bottom"/>
            <w:vMerge w:val="continue"/>
            <w:shd w:val="clear" w:color="auto" w:fill="99B7C6"/>
          </w:tcPr>
          <w:p>
            <w:pPr>
              <w:spacing w:after="0"/>
              <w:rPr>
                <w:sz w:val="10"/>
                <w:szCs w:val="10"/>
                <w:color w:val="auto"/>
              </w:rPr>
            </w:pPr>
          </w:p>
        </w:tc>
        <w:tc>
          <w:tcPr>
            <w:tcW w:w="1140" w:type="dxa"/>
            <w:vAlign w:val="bottom"/>
            <w:vMerge w:val="restart"/>
            <w:shd w:val="clear" w:color="auto" w:fill="99B7C6"/>
          </w:tcPr>
          <w:p>
            <w:pPr>
              <w:jc w:val="right"/>
              <w:ind w:right="174"/>
              <w:spacing w:after="0"/>
              <w:rPr>
                <w:sz w:val="20"/>
                <w:szCs w:val="20"/>
                <w:color w:val="auto"/>
              </w:rPr>
            </w:pPr>
            <w:r>
              <w:rPr>
                <w:rFonts w:ascii="Arial" w:cs="Arial" w:eastAsia="Arial" w:hAnsi="Arial"/>
                <w:sz w:val="11"/>
                <w:szCs w:val="11"/>
                <w:b w:val="1"/>
                <w:bCs w:val="1"/>
                <w:color w:val="FFFFFF"/>
              </w:rPr>
              <w:t>Retirement at</w:t>
            </w:r>
          </w:p>
        </w:tc>
        <w:tc>
          <w:tcPr>
            <w:tcW w:w="1140" w:type="dxa"/>
            <w:vAlign w:val="bottom"/>
            <w:vMerge w:val="restart"/>
            <w:shd w:val="clear" w:color="auto" w:fill="99B7C6"/>
          </w:tcPr>
          <w:p>
            <w:pPr>
              <w:jc w:val="right"/>
              <w:ind w:right="174"/>
              <w:spacing w:after="0"/>
              <w:rPr>
                <w:sz w:val="20"/>
                <w:szCs w:val="20"/>
                <w:color w:val="auto"/>
              </w:rPr>
            </w:pPr>
            <w:r>
              <w:rPr>
                <w:rFonts w:ascii="Arial" w:cs="Arial" w:eastAsia="Arial" w:hAnsi="Arial"/>
                <w:sz w:val="11"/>
                <w:szCs w:val="11"/>
                <w:b w:val="1"/>
                <w:bCs w:val="1"/>
                <w:color w:val="FFFFFF"/>
              </w:rPr>
              <w:t>Death at</w:t>
            </w:r>
          </w:p>
        </w:tc>
        <w:tc>
          <w:tcPr>
            <w:tcW w:w="1080" w:type="dxa"/>
            <w:vAlign w:val="bottom"/>
            <w:vMerge w:val="restart"/>
            <w:shd w:val="clear" w:color="auto" w:fill="99B7C6"/>
          </w:tcPr>
          <w:p>
            <w:pPr>
              <w:jc w:val="right"/>
              <w:ind w:right="134"/>
              <w:spacing w:after="0"/>
              <w:rPr>
                <w:sz w:val="20"/>
                <w:szCs w:val="20"/>
                <w:color w:val="auto"/>
              </w:rPr>
            </w:pPr>
            <w:r>
              <w:rPr>
                <w:rFonts w:ascii="Arial" w:cs="Arial" w:eastAsia="Arial" w:hAnsi="Arial"/>
                <w:sz w:val="11"/>
                <w:szCs w:val="11"/>
                <w:b w:val="1"/>
                <w:bCs w:val="1"/>
                <w:color w:val="FFFFFF"/>
              </w:rPr>
              <w:t>Disability at</w:t>
            </w:r>
          </w:p>
        </w:tc>
        <w:tc>
          <w:tcPr>
            <w:tcW w:w="1200" w:type="dxa"/>
            <w:vAlign w:val="bottom"/>
            <w:shd w:val="clear" w:color="auto" w:fill="99B7C6"/>
          </w:tcPr>
          <w:p>
            <w:pPr>
              <w:jc w:val="right"/>
              <w:ind w:right="197"/>
              <w:spacing w:after="0" w:line="118" w:lineRule="exact"/>
              <w:rPr>
                <w:sz w:val="20"/>
                <w:szCs w:val="20"/>
                <w:color w:val="auto"/>
              </w:rPr>
            </w:pPr>
            <w:r>
              <w:rPr>
                <w:rFonts w:ascii="Arial" w:cs="Arial" w:eastAsia="Arial" w:hAnsi="Arial"/>
                <w:sz w:val="11"/>
                <w:szCs w:val="11"/>
                <w:b w:val="1"/>
                <w:bCs w:val="1"/>
                <w:color w:val="FFFFFF"/>
              </w:rPr>
              <w:t>Cause or for</w:t>
            </w:r>
          </w:p>
        </w:tc>
        <w:tc>
          <w:tcPr>
            <w:tcW w:w="1060" w:type="dxa"/>
            <w:vAlign w:val="bottom"/>
            <w:vMerge w:val="continue"/>
            <w:shd w:val="clear" w:color="auto" w:fill="99B7C6"/>
          </w:tcPr>
          <w:p>
            <w:pPr>
              <w:spacing w:after="0"/>
              <w:rPr>
                <w:sz w:val="10"/>
                <w:szCs w:val="10"/>
                <w:color w:val="auto"/>
              </w:rPr>
            </w:pPr>
          </w:p>
        </w:tc>
        <w:tc>
          <w:tcPr>
            <w:tcW w:w="980" w:type="dxa"/>
            <w:vAlign w:val="bottom"/>
            <w:shd w:val="clear" w:color="auto" w:fill="99B7C6"/>
          </w:tcPr>
          <w:p>
            <w:pPr>
              <w:jc w:val="right"/>
              <w:ind w:right="38"/>
              <w:spacing w:after="0" w:line="118" w:lineRule="exact"/>
              <w:rPr>
                <w:sz w:val="20"/>
                <w:szCs w:val="20"/>
                <w:color w:val="auto"/>
              </w:rPr>
            </w:pPr>
            <w:r>
              <w:rPr>
                <w:rFonts w:ascii="Arial" w:cs="Arial" w:eastAsia="Arial" w:hAnsi="Arial"/>
                <w:sz w:val="11"/>
                <w:szCs w:val="11"/>
                <w:b w:val="1"/>
                <w:bCs w:val="1"/>
                <w:color w:val="FFFFFF"/>
              </w:rPr>
              <w:t>Upon Change</w:t>
            </w:r>
          </w:p>
        </w:tc>
        <w:tc>
          <w:tcPr>
            <w:tcW w:w="0" w:type="dxa"/>
            <w:vAlign w:val="bottom"/>
          </w:tcPr>
          <w:p>
            <w:pPr>
              <w:spacing w:after="0"/>
              <w:rPr>
                <w:sz w:val="1"/>
                <w:szCs w:val="1"/>
                <w:color w:val="auto"/>
              </w:rPr>
            </w:pPr>
          </w:p>
        </w:tc>
      </w:tr>
      <w:tr>
        <w:trPr>
          <w:trHeight w:val="118"/>
        </w:trPr>
        <w:tc>
          <w:tcPr>
            <w:tcW w:w="3080" w:type="dxa"/>
            <w:vAlign w:val="bottom"/>
            <w:shd w:val="clear" w:color="auto" w:fill="99B7C6"/>
          </w:tcPr>
          <w:p>
            <w:pPr>
              <w:spacing w:after="0"/>
              <w:rPr>
                <w:sz w:val="10"/>
                <w:szCs w:val="10"/>
                <w:color w:val="auto"/>
              </w:rPr>
            </w:pPr>
          </w:p>
        </w:tc>
        <w:tc>
          <w:tcPr>
            <w:tcW w:w="1260" w:type="dxa"/>
            <w:vAlign w:val="bottom"/>
            <w:shd w:val="clear" w:color="auto" w:fill="99B7C6"/>
          </w:tcPr>
          <w:p>
            <w:pPr>
              <w:jc w:val="right"/>
              <w:ind w:right="155"/>
              <w:spacing w:after="0" w:line="118" w:lineRule="exact"/>
              <w:rPr>
                <w:sz w:val="20"/>
                <w:szCs w:val="20"/>
                <w:color w:val="auto"/>
              </w:rPr>
            </w:pPr>
            <w:r>
              <w:rPr>
                <w:rFonts w:ascii="Arial" w:cs="Arial" w:eastAsia="Arial" w:hAnsi="Arial"/>
                <w:sz w:val="11"/>
                <w:szCs w:val="11"/>
                <w:b w:val="1"/>
                <w:bCs w:val="1"/>
                <w:color w:val="FFFFFF"/>
              </w:rPr>
              <w:t>Termination</w:t>
            </w:r>
          </w:p>
        </w:tc>
        <w:tc>
          <w:tcPr>
            <w:tcW w:w="1140" w:type="dxa"/>
            <w:vAlign w:val="bottom"/>
            <w:vMerge w:val="continue"/>
            <w:shd w:val="clear" w:color="auto" w:fill="99B7C6"/>
          </w:tcPr>
          <w:p>
            <w:pPr>
              <w:spacing w:after="0"/>
              <w:rPr>
                <w:sz w:val="10"/>
                <w:szCs w:val="10"/>
                <w:color w:val="auto"/>
              </w:rPr>
            </w:pPr>
          </w:p>
        </w:tc>
        <w:tc>
          <w:tcPr>
            <w:tcW w:w="1140" w:type="dxa"/>
            <w:vAlign w:val="bottom"/>
            <w:vMerge w:val="continue"/>
            <w:shd w:val="clear" w:color="auto" w:fill="99B7C6"/>
          </w:tcPr>
          <w:p>
            <w:pPr>
              <w:spacing w:after="0"/>
              <w:rPr>
                <w:sz w:val="10"/>
                <w:szCs w:val="10"/>
                <w:color w:val="auto"/>
              </w:rPr>
            </w:pPr>
          </w:p>
        </w:tc>
        <w:tc>
          <w:tcPr>
            <w:tcW w:w="1080" w:type="dxa"/>
            <w:vAlign w:val="bottom"/>
            <w:vMerge w:val="continue"/>
            <w:shd w:val="clear" w:color="auto" w:fill="99B7C6"/>
          </w:tcPr>
          <w:p>
            <w:pPr>
              <w:spacing w:after="0"/>
              <w:rPr>
                <w:sz w:val="10"/>
                <w:szCs w:val="10"/>
                <w:color w:val="auto"/>
              </w:rPr>
            </w:pPr>
          </w:p>
        </w:tc>
        <w:tc>
          <w:tcPr>
            <w:tcW w:w="1200" w:type="dxa"/>
            <w:vAlign w:val="bottom"/>
            <w:shd w:val="clear" w:color="auto" w:fill="99B7C6"/>
          </w:tcPr>
          <w:p>
            <w:pPr>
              <w:jc w:val="right"/>
              <w:ind w:right="197"/>
              <w:spacing w:after="0" w:line="118" w:lineRule="exact"/>
              <w:rPr>
                <w:sz w:val="20"/>
                <w:szCs w:val="20"/>
                <w:color w:val="auto"/>
              </w:rPr>
            </w:pPr>
            <w:r>
              <w:rPr>
                <w:rFonts w:ascii="Arial" w:cs="Arial" w:eastAsia="Arial" w:hAnsi="Arial"/>
                <w:sz w:val="11"/>
                <w:szCs w:val="11"/>
                <w:b w:val="1"/>
                <w:bCs w:val="1"/>
                <w:color w:val="FFFFFF"/>
              </w:rPr>
              <w:t>Good Reason</w:t>
            </w:r>
          </w:p>
        </w:tc>
        <w:tc>
          <w:tcPr>
            <w:tcW w:w="1060" w:type="dxa"/>
            <w:vAlign w:val="bottom"/>
            <w:shd w:val="clear" w:color="auto" w:fill="99B7C6"/>
          </w:tcPr>
          <w:p>
            <w:pPr>
              <w:jc w:val="right"/>
              <w:ind w:right="135"/>
              <w:spacing w:after="0" w:line="118" w:lineRule="exact"/>
              <w:rPr>
                <w:sz w:val="20"/>
                <w:szCs w:val="20"/>
                <w:color w:val="auto"/>
              </w:rPr>
            </w:pPr>
            <w:r>
              <w:rPr>
                <w:rFonts w:ascii="Arial" w:cs="Arial" w:eastAsia="Arial" w:hAnsi="Arial"/>
                <w:sz w:val="11"/>
                <w:szCs w:val="11"/>
                <w:b w:val="1"/>
                <w:bCs w:val="1"/>
                <w:color w:val="FFFFFF"/>
              </w:rPr>
              <w:t>for Cause at</w:t>
            </w:r>
          </w:p>
        </w:tc>
        <w:tc>
          <w:tcPr>
            <w:tcW w:w="980" w:type="dxa"/>
            <w:vAlign w:val="bottom"/>
            <w:shd w:val="clear" w:color="auto" w:fill="99B7C6"/>
          </w:tcPr>
          <w:p>
            <w:pPr>
              <w:jc w:val="right"/>
              <w:ind w:right="38"/>
              <w:spacing w:after="0" w:line="118" w:lineRule="exact"/>
              <w:rPr>
                <w:sz w:val="20"/>
                <w:szCs w:val="20"/>
                <w:color w:val="auto"/>
              </w:rPr>
            </w:pPr>
            <w:r>
              <w:rPr>
                <w:rFonts w:ascii="Arial" w:cs="Arial" w:eastAsia="Arial" w:hAnsi="Arial"/>
                <w:sz w:val="11"/>
                <w:szCs w:val="11"/>
                <w:b w:val="1"/>
                <w:bCs w:val="1"/>
                <w:color w:val="FFFFFF"/>
              </w:rPr>
              <w:t>in Control at</w:t>
            </w:r>
          </w:p>
        </w:tc>
        <w:tc>
          <w:tcPr>
            <w:tcW w:w="0" w:type="dxa"/>
            <w:vAlign w:val="bottom"/>
          </w:tcPr>
          <w:p>
            <w:pPr>
              <w:spacing w:after="0"/>
              <w:rPr>
                <w:sz w:val="1"/>
                <w:szCs w:val="1"/>
                <w:color w:val="auto"/>
              </w:rPr>
            </w:pPr>
          </w:p>
        </w:tc>
      </w:tr>
      <w:tr>
        <w:trPr>
          <w:trHeight w:val="125"/>
        </w:trPr>
        <w:tc>
          <w:tcPr>
            <w:tcW w:w="3080" w:type="dxa"/>
            <w:vAlign w:val="bottom"/>
            <w:vMerge w:val="restart"/>
            <w:shd w:val="clear" w:color="auto" w:fill="99B7C6"/>
          </w:tcPr>
          <w:p>
            <w:pPr>
              <w:ind w:left="60"/>
              <w:spacing w:after="0"/>
              <w:rPr>
                <w:sz w:val="20"/>
                <w:szCs w:val="20"/>
                <w:color w:val="auto"/>
              </w:rPr>
            </w:pPr>
            <w:r>
              <w:rPr>
                <w:rFonts w:ascii="Arial" w:cs="Arial" w:eastAsia="Arial" w:hAnsi="Arial"/>
                <w:sz w:val="11"/>
                <w:szCs w:val="11"/>
                <w:b w:val="1"/>
                <w:bCs w:val="1"/>
                <w:color w:val="FFFFFF"/>
              </w:rPr>
              <w:t>Fredrik Olsson</w:t>
            </w:r>
          </w:p>
        </w:tc>
        <w:tc>
          <w:tcPr>
            <w:tcW w:w="1260" w:type="dxa"/>
            <w:vAlign w:val="bottom"/>
            <w:shd w:val="clear" w:color="auto" w:fill="99B7C6"/>
          </w:tcPr>
          <w:p>
            <w:pPr>
              <w:jc w:val="right"/>
              <w:ind w:right="155"/>
              <w:spacing w:after="0" w:line="125" w:lineRule="exact"/>
              <w:rPr>
                <w:sz w:val="20"/>
                <w:szCs w:val="20"/>
                <w:color w:val="auto"/>
              </w:rPr>
            </w:pPr>
            <w:r>
              <w:rPr>
                <w:rFonts w:ascii="Arial" w:cs="Arial" w:eastAsia="Arial" w:hAnsi="Arial"/>
                <w:sz w:val="11"/>
                <w:szCs w:val="11"/>
                <w:b w:val="1"/>
                <w:bCs w:val="1"/>
                <w:color w:val="FFFFFF"/>
              </w:rPr>
              <w:t>on February 1,</w:t>
            </w:r>
          </w:p>
        </w:tc>
        <w:tc>
          <w:tcPr>
            <w:tcW w:w="1140" w:type="dxa"/>
            <w:vAlign w:val="bottom"/>
            <w:shd w:val="clear" w:color="auto" w:fill="99B7C6"/>
          </w:tcPr>
          <w:p>
            <w:pPr>
              <w:jc w:val="right"/>
              <w:ind w:right="174"/>
              <w:spacing w:after="0" w:line="125" w:lineRule="exact"/>
              <w:rPr>
                <w:sz w:val="20"/>
                <w:szCs w:val="20"/>
                <w:color w:val="auto"/>
              </w:rPr>
            </w:pPr>
            <w:r>
              <w:rPr>
                <w:rFonts w:ascii="Arial" w:cs="Arial" w:eastAsia="Arial" w:hAnsi="Arial"/>
                <w:sz w:val="11"/>
                <w:szCs w:val="11"/>
                <w:b w:val="1"/>
                <w:bCs w:val="1"/>
                <w:color w:val="FFFFFF"/>
              </w:rPr>
              <w:t>February 1,</w:t>
            </w:r>
          </w:p>
        </w:tc>
        <w:tc>
          <w:tcPr>
            <w:tcW w:w="1140" w:type="dxa"/>
            <w:vAlign w:val="bottom"/>
            <w:shd w:val="clear" w:color="auto" w:fill="99B7C6"/>
          </w:tcPr>
          <w:p>
            <w:pPr>
              <w:jc w:val="right"/>
              <w:ind w:right="174"/>
              <w:spacing w:after="0" w:line="125" w:lineRule="exact"/>
              <w:rPr>
                <w:sz w:val="20"/>
                <w:szCs w:val="20"/>
                <w:color w:val="auto"/>
              </w:rPr>
            </w:pPr>
            <w:r>
              <w:rPr>
                <w:rFonts w:ascii="Arial" w:cs="Arial" w:eastAsia="Arial" w:hAnsi="Arial"/>
                <w:sz w:val="11"/>
                <w:szCs w:val="11"/>
                <w:b w:val="1"/>
                <w:bCs w:val="1"/>
                <w:color w:val="FFFFFF"/>
              </w:rPr>
              <w:t>February 1,</w:t>
            </w:r>
          </w:p>
        </w:tc>
        <w:tc>
          <w:tcPr>
            <w:tcW w:w="1080" w:type="dxa"/>
            <w:vAlign w:val="bottom"/>
            <w:shd w:val="clear" w:color="auto" w:fill="99B7C6"/>
          </w:tcPr>
          <w:p>
            <w:pPr>
              <w:jc w:val="right"/>
              <w:ind w:right="134"/>
              <w:spacing w:after="0" w:line="125" w:lineRule="exact"/>
              <w:rPr>
                <w:sz w:val="20"/>
                <w:szCs w:val="20"/>
                <w:color w:val="auto"/>
              </w:rPr>
            </w:pPr>
            <w:r>
              <w:rPr>
                <w:rFonts w:ascii="Arial" w:cs="Arial" w:eastAsia="Arial" w:hAnsi="Arial"/>
                <w:sz w:val="11"/>
                <w:szCs w:val="11"/>
                <w:b w:val="1"/>
                <w:bCs w:val="1"/>
                <w:color w:val="FFFFFF"/>
              </w:rPr>
              <w:t>February 1,</w:t>
            </w:r>
          </w:p>
        </w:tc>
        <w:tc>
          <w:tcPr>
            <w:tcW w:w="1200" w:type="dxa"/>
            <w:vAlign w:val="bottom"/>
            <w:shd w:val="clear" w:color="auto" w:fill="99B7C6"/>
          </w:tcPr>
          <w:p>
            <w:pPr>
              <w:jc w:val="right"/>
              <w:ind w:right="197"/>
              <w:spacing w:after="0" w:line="125" w:lineRule="exact"/>
              <w:rPr>
                <w:sz w:val="20"/>
                <w:szCs w:val="20"/>
                <w:color w:val="auto"/>
              </w:rPr>
            </w:pPr>
            <w:r>
              <w:rPr>
                <w:rFonts w:ascii="Arial" w:cs="Arial" w:eastAsia="Arial" w:hAnsi="Arial"/>
                <w:sz w:val="11"/>
                <w:szCs w:val="11"/>
                <w:b w:val="1"/>
                <w:bCs w:val="1"/>
                <w:color w:val="FFFFFF"/>
              </w:rPr>
              <w:t>on February 1,</w:t>
            </w:r>
          </w:p>
        </w:tc>
        <w:tc>
          <w:tcPr>
            <w:tcW w:w="1060" w:type="dxa"/>
            <w:vAlign w:val="bottom"/>
            <w:shd w:val="clear" w:color="auto" w:fill="99B7C6"/>
          </w:tcPr>
          <w:p>
            <w:pPr>
              <w:jc w:val="right"/>
              <w:ind w:right="135"/>
              <w:spacing w:after="0" w:line="125" w:lineRule="exact"/>
              <w:rPr>
                <w:sz w:val="20"/>
                <w:szCs w:val="20"/>
                <w:color w:val="auto"/>
              </w:rPr>
            </w:pPr>
            <w:r>
              <w:rPr>
                <w:rFonts w:ascii="Arial" w:cs="Arial" w:eastAsia="Arial" w:hAnsi="Arial"/>
                <w:sz w:val="11"/>
                <w:szCs w:val="11"/>
                <w:b w:val="1"/>
                <w:bCs w:val="1"/>
                <w:color w:val="FFFFFF"/>
              </w:rPr>
              <w:t>February 1,</w:t>
            </w:r>
          </w:p>
        </w:tc>
        <w:tc>
          <w:tcPr>
            <w:tcW w:w="980" w:type="dxa"/>
            <w:vAlign w:val="bottom"/>
            <w:shd w:val="clear" w:color="auto" w:fill="99B7C6"/>
          </w:tcPr>
          <w:p>
            <w:pPr>
              <w:jc w:val="right"/>
              <w:ind w:right="38"/>
              <w:spacing w:after="0" w:line="125" w:lineRule="exact"/>
              <w:rPr>
                <w:sz w:val="20"/>
                <w:szCs w:val="20"/>
                <w:color w:val="auto"/>
              </w:rPr>
            </w:pPr>
            <w:r>
              <w:rPr>
                <w:rFonts w:ascii="Arial" w:cs="Arial" w:eastAsia="Arial" w:hAnsi="Arial"/>
                <w:sz w:val="11"/>
                <w:szCs w:val="11"/>
                <w:b w:val="1"/>
                <w:bCs w:val="1"/>
                <w:color w:val="FFFFFF"/>
              </w:rPr>
              <w:t>February 1,</w:t>
            </w:r>
          </w:p>
        </w:tc>
        <w:tc>
          <w:tcPr>
            <w:tcW w:w="0" w:type="dxa"/>
            <w:vAlign w:val="bottom"/>
          </w:tcPr>
          <w:p>
            <w:pPr>
              <w:spacing w:after="0"/>
              <w:rPr>
                <w:sz w:val="1"/>
                <w:szCs w:val="1"/>
                <w:color w:val="auto"/>
              </w:rPr>
            </w:pPr>
          </w:p>
        </w:tc>
      </w:tr>
      <w:tr>
        <w:trPr>
          <w:trHeight w:val="170"/>
        </w:trPr>
        <w:tc>
          <w:tcPr>
            <w:tcW w:w="3080" w:type="dxa"/>
            <w:vAlign w:val="bottom"/>
            <w:vMerge w:val="continue"/>
            <w:shd w:val="clear" w:color="auto" w:fill="99B7C6"/>
          </w:tcPr>
          <w:p>
            <w:pPr>
              <w:spacing w:after="0"/>
              <w:rPr>
                <w:sz w:val="14"/>
                <w:szCs w:val="14"/>
                <w:color w:val="auto"/>
              </w:rPr>
            </w:pPr>
          </w:p>
        </w:tc>
        <w:tc>
          <w:tcPr>
            <w:tcW w:w="1260" w:type="dxa"/>
            <w:vAlign w:val="bottom"/>
            <w:shd w:val="clear" w:color="auto" w:fill="99B7C6"/>
          </w:tcPr>
          <w:p>
            <w:pPr>
              <w:jc w:val="right"/>
              <w:ind w:right="135"/>
              <w:spacing w:after="0"/>
              <w:rPr>
                <w:sz w:val="20"/>
                <w:szCs w:val="20"/>
                <w:color w:val="auto"/>
              </w:rPr>
            </w:pPr>
            <w:r>
              <w:rPr>
                <w:rFonts w:ascii="Arial" w:cs="Arial" w:eastAsia="Arial" w:hAnsi="Arial"/>
                <w:sz w:val="11"/>
                <w:szCs w:val="11"/>
                <w:b w:val="1"/>
                <w:bCs w:val="1"/>
                <w:color w:val="FFFFFF"/>
              </w:rPr>
              <w:t>2026</w:t>
            </w:r>
          </w:p>
        </w:tc>
        <w:tc>
          <w:tcPr>
            <w:tcW w:w="1140" w:type="dxa"/>
            <w:vAlign w:val="bottom"/>
            <w:shd w:val="clear" w:color="auto" w:fill="99B7C6"/>
          </w:tcPr>
          <w:p>
            <w:pPr>
              <w:jc w:val="right"/>
              <w:ind w:right="134"/>
              <w:spacing w:after="0"/>
              <w:rPr>
                <w:sz w:val="20"/>
                <w:szCs w:val="20"/>
                <w:color w:val="auto"/>
              </w:rPr>
            </w:pPr>
            <w:r>
              <w:rPr>
                <w:rFonts w:ascii="Arial" w:cs="Arial" w:eastAsia="Arial" w:hAnsi="Arial"/>
                <w:sz w:val="11"/>
                <w:szCs w:val="11"/>
                <w:b w:val="1"/>
                <w:bCs w:val="1"/>
                <w:color w:val="FFFFFF"/>
              </w:rPr>
              <w:t>2026</w:t>
            </w:r>
          </w:p>
        </w:tc>
        <w:tc>
          <w:tcPr>
            <w:tcW w:w="1140" w:type="dxa"/>
            <w:vAlign w:val="bottom"/>
            <w:shd w:val="clear" w:color="auto" w:fill="99B7C6"/>
          </w:tcPr>
          <w:p>
            <w:pPr>
              <w:jc w:val="right"/>
              <w:ind w:right="154"/>
              <w:spacing w:after="0"/>
              <w:rPr>
                <w:sz w:val="20"/>
                <w:szCs w:val="20"/>
                <w:color w:val="auto"/>
              </w:rPr>
            </w:pPr>
            <w:r>
              <w:rPr>
                <w:rFonts w:ascii="Arial" w:cs="Arial" w:eastAsia="Arial" w:hAnsi="Arial"/>
                <w:sz w:val="11"/>
                <w:szCs w:val="11"/>
                <w:b w:val="1"/>
                <w:bCs w:val="1"/>
                <w:color w:val="FFFFFF"/>
              </w:rPr>
              <w:t>2026</w:t>
            </w:r>
          </w:p>
        </w:tc>
        <w:tc>
          <w:tcPr>
            <w:tcW w:w="1080" w:type="dxa"/>
            <w:vAlign w:val="bottom"/>
            <w:shd w:val="clear" w:color="auto" w:fill="99B7C6"/>
          </w:tcPr>
          <w:p>
            <w:pPr>
              <w:jc w:val="right"/>
              <w:ind w:right="94"/>
              <w:spacing w:after="0"/>
              <w:rPr>
                <w:sz w:val="20"/>
                <w:szCs w:val="20"/>
                <w:color w:val="auto"/>
              </w:rPr>
            </w:pPr>
            <w:r>
              <w:rPr>
                <w:rFonts w:ascii="Arial" w:cs="Arial" w:eastAsia="Arial" w:hAnsi="Arial"/>
                <w:sz w:val="11"/>
                <w:szCs w:val="11"/>
                <w:b w:val="1"/>
                <w:bCs w:val="1"/>
                <w:color w:val="FFFFFF"/>
              </w:rPr>
              <w:t>2026</w:t>
            </w:r>
          </w:p>
        </w:tc>
        <w:tc>
          <w:tcPr>
            <w:tcW w:w="1200" w:type="dxa"/>
            <w:vAlign w:val="bottom"/>
            <w:shd w:val="clear" w:color="auto" w:fill="99B7C6"/>
          </w:tcPr>
          <w:p>
            <w:pPr>
              <w:jc w:val="right"/>
              <w:ind w:right="177"/>
              <w:spacing w:after="0"/>
              <w:rPr>
                <w:sz w:val="20"/>
                <w:szCs w:val="20"/>
                <w:color w:val="auto"/>
              </w:rPr>
            </w:pPr>
            <w:r>
              <w:rPr>
                <w:rFonts w:ascii="Arial" w:cs="Arial" w:eastAsia="Arial" w:hAnsi="Arial"/>
                <w:sz w:val="11"/>
                <w:szCs w:val="11"/>
                <w:b w:val="1"/>
                <w:bCs w:val="1"/>
                <w:color w:val="FFFFFF"/>
              </w:rPr>
              <w:t>2026</w:t>
            </w:r>
          </w:p>
        </w:tc>
        <w:tc>
          <w:tcPr>
            <w:tcW w:w="1060" w:type="dxa"/>
            <w:vAlign w:val="bottom"/>
            <w:shd w:val="clear" w:color="auto" w:fill="99B7C6"/>
          </w:tcPr>
          <w:p>
            <w:pPr>
              <w:jc w:val="right"/>
              <w:ind w:right="115"/>
              <w:spacing w:after="0"/>
              <w:rPr>
                <w:sz w:val="20"/>
                <w:szCs w:val="20"/>
                <w:color w:val="auto"/>
              </w:rPr>
            </w:pPr>
            <w:r>
              <w:rPr>
                <w:rFonts w:ascii="Arial" w:cs="Arial" w:eastAsia="Arial" w:hAnsi="Arial"/>
                <w:sz w:val="11"/>
                <w:szCs w:val="11"/>
                <w:b w:val="1"/>
                <w:bCs w:val="1"/>
                <w:color w:val="FFFFFF"/>
              </w:rPr>
              <w:t>2026</w:t>
            </w:r>
          </w:p>
        </w:tc>
        <w:tc>
          <w:tcPr>
            <w:tcW w:w="980" w:type="dxa"/>
            <w:vAlign w:val="bottom"/>
            <w:shd w:val="clear" w:color="auto" w:fill="99B7C6"/>
          </w:tcPr>
          <w:p>
            <w:pPr>
              <w:jc w:val="right"/>
              <w:ind w:right="38"/>
              <w:spacing w:after="0"/>
              <w:rPr>
                <w:sz w:val="20"/>
                <w:szCs w:val="20"/>
                <w:color w:val="auto"/>
              </w:rPr>
            </w:pPr>
            <w:r>
              <w:rPr>
                <w:rFonts w:ascii="Arial" w:cs="Arial" w:eastAsia="Arial" w:hAnsi="Arial"/>
                <w:sz w:val="11"/>
                <w:szCs w:val="11"/>
                <w:b w:val="1"/>
                <w:bCs w:val="1"/>
                <w:color w:val="FFFFFF"/>
              </w:rPr>
              <w:t>2026</w:t>
            </w:r>
            <w:r>
              <w:rPr>
                <w:rFonts w:ascii="Arial" w:cs="Arial" w:eastAsia="Arial" w:hAnsi="Arial"/>
                <w:sz w:val="12"/>
                <w:szCs w:val="12"/>
                <w:color w:val="FFFFFF"/>
                <w:vertAlign w:val="superscript"/>
              </w:rPr>
              <w:t>2</w:t>
            </w:r>
          </w:p>
        </w:tc>
        <w:tc>
          <w:tcPr>
            <w:tcW w:w="0" w:type="dxa"/>
            <w:vAlign w:val="bottom"/>
          </w:tcPr>
          <w:p>
            <w:pPr>
              <w:spacing w:after="0"/>
              <w:rPr>
                <w:sz w:val="1"/>
                <w:szCs w:val="1"/>
                <w:color w:val="auto"/>
              </w:rPr>
            </w:pPr>
          </w:p>
        </w:tc>
      </w:tr>
      <w:tr>
        <w:trPr>
          <w:trHeight w:val="310"/>
        </w:trPr>
        <w:tc>
          <w:tcPr>
            <w:tcW w:w="308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Severance value</w:t>
            </w:r>
            <w:r>
              <w:rPr>
                <w:rFonts w:ascii="Arial" w:cs="Arial" w:eastAsia="Arial" w:hAnsi="Arial"/>
                <w:sz w:val="16"/>
                <w:szCs w:val="16"/>
                <w:color w:val="auto"/>
                <w:vertAlign w:val="superscript"/>
              </w:rPr>
              <w:t>3,10,11</w:t>
            </w:r>
          </w:p>
        </w:tc>
        <w:tc>
          <w:tcPr>
            <w:tcW w:w="1260" w:type="dxa"/>
            <w:vAlign w:val="bottom"/>
            <w:tcBorders>
              <w:bottom w:val="single" w:sz="8" w:color="E9F0F3"/>
            </w:tcBorders>
            <w:shd w:val="clear" w:color="auto" w:fill="E9F0F3"/>
          </w:tcPr>
          <w:p>
            <w:pPr>
              <w:jc w:val="right"/>
              <w:ind w:right="135"/>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E9F0F3"/>
            </w:tcBorders>
            <w:shd w:val="clear" w:color="auto" w:fill="E9F0F3"/>
          </w:tcPr>
          <w:p>
            <w:pPr>
              <w:jc w:val="right"/>
              <w:ind w:right="134"/>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E9F0F3"/>
            </w:tcBorders>
            <w:shd w:val="clear" w:color="auto" w:fill="E9F0F3"/>
          </w:tcPr>
          <w:p>
            <w:pPr>
              <w:jc w:val="right"/>
              <w:ind w:right="154"/>
              <w:spacing w:after="0"/>
              <w:rPr>
                <w:sz w:val="20"/>
                <w:szCs w:val="20"/>
                <w:color w:val="auto"/>
              </w:rPr>
            </w:pPr>
            <w:r>
              <w:rPr>
                <w:rFonts w:ascii="Arial" w:cs="Arial" w:eastAsia="Arial" w:hAnsi="Arial"/>
                <w:sz w:val="14"/>
                <w:szCs w:val="14"/>
                <w:color w:val="auto"/>
              </w:rPr>
              <w:t>$0</w:t>
            </w:r>
          </w:p>
        </w:tc>
        <w:tc>
          <w:tcPr>
            <w:tcW w:w="1080" w:type="dxa"/>
            <w:vAlign w:val="bottom"/>
            <w:tcBorders>
              <w:bottom w:val="single" w:sz="8" w:color="E9F0F3"/>
            </w:tcBorders>
            <w:shd w:val="clear" w:color="auto" w:fill="E9F0F3"/>
          </w:tcPr>
          <w:p>
            <w:pPr>
              <w:jc w:val="right"/>
              <w:ind w:right="94"/>
              <w:spacing w:after="0"/>
              <w:rPr>
                <w:sz w:val="20"/>
                <w:szCs w:val="20"/>
                <w:color w:val="auto"/>
              </w:rPr>
            </w:pPr>
            <w:r>
              <w:rPr>
                <w:rFonts w:ascii="Arial" w:cs="Arial" w:eastAsia="Arial" w:hAnsi="Arial"/>
                <w:sz w:val="14"/>
                <w:szCs w:val="14"/>
                <w:color w:val="auto"/>
              </w:rPr>
              <w:t>$0</w:t>
            </w:r>
          </w:p>
        </w:tc>
        <w:tc>
          <w:tcPr>
            <w:tcW w:w="1200" w:type="dxa"/>
            <w:vAlign w:val="bottom"/>
            <w:tcBorders>
              <w:bottom w:val="single" w:sz="8" w:color="E9F0F3"/>
            </w:tcBorders>
            <w:shd w:val="clear" w:color="auto" w:fill="E9F0F3"/>
          </w:tcPr>
          <w:p>
            <w:pPr>
              <w:jc w:val="right"/>
              <w:ind w:right="177"/>
              <w:spacing w:after="0"/>
              <w:rPr>
                <w:sz w:val="20"/>
                <w:szCs w:val="20"/>
                <w:color w:val="auto"/>
              </w:rPr>
            </w:pPr>
            <w:r>
              <w:rPr>
                <w:rFonts w:ascii="Arial" w:cs="Arial" w:eastAsia="Arial" w:hAnsi="Arial"/>
                <w:sz w:val="14"/>
                <w:szCs w:val="14"/>
                <w:color w:val="auto"/>
              </w:rPr>
              <w:t>$2,837,129</w:t>
            </w:r>
          </w:p>
        </w:tc>
        <w:tc>
          <w:tcPr>
            <w:tcW w:w="1060" w:type="dxa"/>
            <w:vAlign w:val="bottom"/>
            <w:tcBorders>
              <w:bottom w:val="single" w:sz="8" w:color="E9F0F3"/>
            </w:tcBorders>
            <w:shd w:val="clear" w:color="auto" w:fill="E9F0F3"/>
          </w:tcPr>
          <w:p>
            <w:pPr>
              <w:jc w:val="right"/>
              <w:ind w:right="115"/>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E9F0F3"/>
            </w:tcBorders>
            <w:shd w:val="clear" w:color="auto" w:fill="E9F0F3"/>
          </w:tcPr>
          <w:p>
            <w:pPr>
              <w:jc w:val="right"/>
              <w:ind w:right="58"/>
              <w:spacing w:after="0"/>
              <w:rPr>
                <w:sz w:val="20"/>
                <w:szCs w:val="20"/>
                <w:color w:val="auto"/>
              </w:rPr>
            </w:pPr>
            <w:r>
              <w:rPr>
                <w:rFonts w:ascii="Arial" w:cs="Arial" w:eastAsia="Arial" w:hAnsi="Arial"/>
                <w:sz w:val="14"/>
                <w:szCs w:val="14"/>
                <w:color w:val="auto"/>
              </w:rPr>
              <w:t>$2,837,129</w:t>
            </w:r>
          </w:p>
        </w:tc>
        <w:tc>
          <w:tcPr>
            <w:tcW w:w="0" w:type="dxa"/>
            <w:vAlign w:val="bottom"/>
          </w:tcPr>
          <w:p>
            <w:pPr>
              <w:spacing w:after="0"/>
              <w:rPr>
                <w:sz w:val="1"/>
                <w:szCs w:val="1"/>
                <w:color w:val="auto"/>
              </w:rPr>
            </w:pPr>
          </w:p>
        </w:tc>
      </w:tr>
      <w:tr>
        <w:trPr>
          <w:trHeight w:val="279"/>
        </w:trPr>
        <w:tc>
          <w:tcPr>
            <w:tcW w:w="3080" w:type="dxa"/>
            <w:vAlign w:val="bottom"/>
          </w:tcPr>
          <w:p>
            <w:pPr>
              <w:ind w:left="60"/>
              <w:spacing w:after="0"/>
              <w:rPr>
                <w:sz w:val="20"/>
                <w:szCs w:val="20"/>
                <w:color w:val="auto"/>
              </w:rPr>
            </w:pPr>
            <w:r>
              <w:rPr>
                <w:rFonts w:ascii="Arial" w:cs="Arial" w:eastAsia="Arial" w:hAnsi="Arial"/>
                <w:sz w:val="14"/>
                <w:szCs w:val="14"/>
                <w:color w:val="auto"/>
              </w:rPr>
              <w:t>Performance Incentive Bonus Plan</w:t>
            </w:r>
            <w:r>
              <w:rPr>
                <w:rFonts w:ascii="Arial" w:cs="Arial" w:eastAsia="Arial" w:hAnsi="Arial"/>
                <w:sz w:val="16"/>
                <w:szCs w:val="16"/>
                <w:color w:val="auto"/>
                <w:vertAlign w:val="superscript"/>
              </w:rPr>
              <w:t>4</w:t>
            </w:r>
          </w:p>
        </w:tc>
        <w:tc>
          <w:tcPr>
            <w:tcW w:w="1260" w:type="dxa"/>
            <w:vAlign w:val="bottom"/>
          </w:tcPr>
          <w:p>
            <w:pPr>
              <w:jc w:val="right"/>
              <w:ind w:right="135"/>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34"/>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54"/>
              <w:spacing w:after="0"/>
              <w:rPr>
                <w:sz w:val="20"/>
                <w:szCs w:val="20"/>
                <w:color w:val="auto"/>
              </w:rPr>
            </w:pPr>
            <w:r>
              <w:rPr>
                <w:rFonts w:ascii="Arial" w:cs="Arial" w:eastAsia="Arial" w:hAnsi="Arial"/>
                <w:sz w:val="14"/>
                <w:szCs w:val="14"/>
                <w:color w:val="auto"/>
              </w:rPr>
              <w:t>0</w:t>
            </w:r>
          </w:p>
        </w:tc>
        <w:tc>
          <w:tcPr>
            <w:tcW w:w="1080" w:type="dxa"/>
            <w:vAlign w:val="bottom"/>
          </w:tcPr>
          <w:p>
            <w:pPr>
              <w:jc w:val="right"/>
              <w:ind w:right="94"/>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177"/>
              <w:spacing w:after="0"/>
              <w:rPr>
                <w:sz w:val="20"/>
                <w:szCs w:val="20"/>
                <w:color w:val="auto"/>
              </w:rPr>
            </w:pPr>
            <w:r>
              <w:rPr>
                <w:rFonts w:ascii="Arial" w:cs="Arial" w:eastAsia="Arial" w:hAnsi="Arial"/>
                <w:sz w:val="14"/>
                <w:szCs w:val="14"/>
                <w:color w:val="auto"/>
              </w:rPr>
              <w:t>0</w:t>
            </w:r>
          </w:p>
        </w:tc>
        <w:tc>
          <w:tcPr>
            <w:tcW w:w="1060" w:type="dxa"/>
            <w:vAlign w:val="bottom"/>
          </w:tcPr>
          <w:p>
            <w:pPr>
              <w:jc w:val="right"/>
              <w:ind w:right="115"/>
              <w:spacing w:after="0"/>
              <w:rPr>
                <w:sz w:val="20"/>
                <w:szCs w:val="20"/>
                <w:color w:val="auto"/>
              </w:rPr>
            </w:pPr>
            <w:r>
              <w:rPr>
                <w:rFonts w:ascii="Arial" w:cs="Arial" w:eastAsia="Arial" w:hAnsi="Arial"/>
                <w:sz w:val="14"/>
                <w:szCs w:val="14"/>
                <w:color w:val="auto"/>
              </w:rPr>
              <w:t>0</w:t>
            </w:r>
          </w:p>
        </w:tc>
        <w:tc>
          <w:tcPr>
            <w:tcW w:w="980" w:type="dxa"/>
            <w:vAlign w:val="bottom"/>
          </w:tcPr>
          <w:p>
            <w:pPr>
              <w:jc w:val="right"/>
              <w:ind w:right="5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1"/>
        </w:trPr>
        <w:tc>
          <w:tcPr>
            <w:tcW w:w="3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080" w:type="dxa"/>
            <w:vAlign w:val="bottom"/>
            <w:shd w:val="clear" w:color="auto" w:fill="E9F0F3"/>
          </w:tcPr>
          <w:p>
            <w:pPr>
              <w:ind w:left="60"/>
              <w:spacing w:after="0"/>
              <w:rPr>
                <w:sz w:val="20"/>
                <w:szCs w:val="20"/>
                <w:color w:val="auto"/>
              </w:rPr>
            </w:pPr>
            <w:r>
              <w:rPr>
                <w:rFonts w:ascii="Arial" w:cs="Arial" w:eastAsia="Arial" w:hAnsi="Arial"/>
                <w:sz w:val="14"/>
                <w:szCs w:val="14"/>
                <w:color w:val="auto"/>
              </w:rPr>
              <w:t>Value of “in the money” unexercisable stock</w:t>
            </w:r>
          </w:p>
        </w:tc>
        <w:tc>
          <w:tcPr>
            <w:tcW w:w="1260" w:type="dxa"/>
            <w:vAlign w:val="bottom"/>
            <w:shd w:val="clear" w:color="auto" w:fill="E9F0F3"/>
          </w:tcPr>
          <w:p>
            <w:pPr>
              <w:jc w:val="right"/>
              <w:ind w:right="135"/>
              <w:spacing w:after="0"/>
              <w:rPr>
                <w:sz w:val="20"/>
                <w:szCs w:val="20"/>
                <w:color w:val="auto"/>
              </w:rPr>
            </w:pPr>
            <w:r>
              <w:rPr>
                <w:rFonts w:ascii="Arial" w:cs="Arial" w:eastAsia="Arial" w:hAnsi="Arial"/>
                <w:sz w:val="14"/>
                <w:szCs w:val="14"/>
                <w:color w:val="auto"/>
              </w:rPr>
              <w:t>N/A</w:t>
            </w:r>
          </w:p>
        </w:tc>
        <w:tc>
          <w:tcPr>
            <w:tcW w:w="1140" w:type="dxa"/>
            <w:vAlign w:val="bottom"/>
            <w:shd w:val="clear" w:color="auto" w:fill="E9F0F3"/>
          </w:tcPr>
          <w:p>
            <w:pPr>
              <w:jc w:val="right"/>
              <w:ind w:right="134"/>
              <w:spacing w:after="0"/>
              <w:rPr>
                <w:sz w:val="20"/>
                <w:szCs w:val="20"/>
                <w:color w:val="auto"/>
              </w:rPr>
            </w:pPr>
            <w:r>
              <w:rPr>
                <w:rFonts w:ascii="Arial" w:cs="Arial" w:eastAsia="Arial" w:hAnsi="Arial"/>
                <w:sz w:val="14"/>
                <w:szCs w:val="14"/>
                <w:color w:val="auto"/>
              </w:rPr>
              <w:t>N/A</w:t>
            </w:r>
          </w:p>
        </w:tc>
        <w:tc>
          <w:tcPr>
            <w:tcW w:w="1140" w:type="dxa"/>
            <w:vAlign w:val="bottom"/>
            <w:shd w:val="clear" w:color="auto" w:fill="E9F0F3"/>
          </w:tcPr>
          <w:p>
            <w:pPr>
              <w:jc w:val="right"/>
              <w:ind w:right="154"/>
              <w:spacing w:after="0"/>
              <w:rPr>
                <w:sz w:val="20"/>
                <w:szCs w:val="20"/>
                <w:color w:val="auto"/>
              </w:rPr>
            </w:pPr>
            <w:r>
              <w:rPr>
                <w:rFonts w:ascii="Arial" w:cs="Arial" w:eastAsia="Arial" w:hAnsi="Arial"/>
                <w:sz w:val="14"/>
                <w:szCs w:val="14"/>
                <w:color w:val="auto"/>
              </w:rPr>
              <w:t>N/A</w:t>
            </w:r>
          </w:p>
        </w:tc>
        <w:tc>
          <w:tcPr>
            <w:tcW w:w="1080" w:type="dxa"/>
            <w:vAlign w:val="bottom"/>
            <w:shd w:val="clear" w:color="auto" w:fill="E9F0F3"/>
          </w:tcPr>
          <w:p>
            <w:pPr>
              <w:jc w:val="right"/>
              <w:ind w:right="94"/>
              <w:spacing w:after="0"/>
              <w:rPr>
                <w:sz w:val="20"/>
                <w:szCs w:val="20"/>
                <w:color w:val="auto"/>
              </w:rPr>
            </w:pPr>
            <w:r>
              <w:rPr>
                <w:rFonts w:ascii="Arial" w:cs="Arial" w:eastAsia="Arial" w:hAnsi="Arial"/>
                <w:sz w:val="14"/>
                <w:szCs w:val="14"/>
                <w:color w:val="auto"/>
              </w:rPr>
              <w:t>N/A</w:t>
            </w:r>
          </w:p>
        </w:tc>
        <w:tc>
          <w:tcPr>
            <w:tcW w:w="1200" w:type="dxa"/>
            <w:vAlign w:val="bottom"/>
            <w:shd w:val="clear" w:color="auto" w:fill="E9F0F3"/>
          </w:tcPr>
          <w:p>
            <w:pPr>
              <w:jc w:val="right"/>
              <w:ind w:right="177"/>
              <w:spacing w:after="0"/>
              <w:rPr>
                <w:sz w:val="20"/>
                <w:szCs w:val="20"/>
                <w:color w:val="auto"/>
              </w:rPr>
            </w:pPr>
            <w:r>
              <w:rPr>
                <w:rFonts w:ascii="Arial" w:cs="Arial" w:eastAsia="Arial" w:hAnsi="Arial"/>
                <w:sz w:val="14"/>
                <w:szCs w:val="14"/>
                <w:color w:val="auto"/>
              </w:rPr>
              <w:t>N/A</w:t>
            </w:r>
          </w:p>
        </w:tc>
        <w:tc>
          <w:tcPr>
            <w:tcW w:w="1060" w:type="dxa"/>
            <w:vAlign w:val="bottom"/>
            <w:shd w:val="clear" w:color="auto" w:fill="E9F0F3"/>
          </w:tcPr>
          <w:p>
            <w:pPr>
              <w:jc w:val="right"/>
              <w:ind w:right="115"/>
              <w:spacing w:after="0"/>
              <w:rPr>
                <w:sz w:val="20"/>
                <w:szCs w:val="20"/>
                <w:color w:val="auto"/>
              </w:rPr>
            </w:pPr>
            <w:r>
              <w:rPr>
                <w:rFonts w:ascii="Arial" w:cs="Arial" w:eastAsia="Arial" w:hAnsi="Arial"/>
                <w:sz w:val="14"/>
                <w:szCs w:val="14"/>
                <w:color w:val="auto"/>
              </w:rPr>
              <w:t>N/A</w:t>
            </w:r>
          </w:p>
        </w:tc>
        <w:tc>
          <w:tcPr>
            <w:tcW w:w="980" w:type="dxa"/>
            <w:vAlign w:val="bottom"/>
            <w:shd w:val="clear" w:color="auto" w:fill="E9F0F3"/>
          </w:tcPr>
          <w:p>
            <w:pPr>
              <w:jc w:val="right"/>
              <w:ind w:right="3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51"/>
        </w:trPr>
        <w:tc>
          <w:tcPr>
            <w:tcW w:w="308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options</w:t>
            </w:r>
            <w:r>
              <w:rPr>
                <w:rFonts w:ascii="Arial" w:cs="Arial" w:eastAsia="Arial" w:hAnsi="Arial"/>
                <w:sz w:val="16"/>
                <w:szCs w:val="16"/>
                <w:color w:val="auto"/>
                <w:vertAlign w:val="superscript"/>
              </w:rPr>
              <w:t>5</w:t>
            </w:r>
          </w:p>
        </w:tc>
        <w:tc>
          <w:tcPr>
            <w:tcW w:w="1260" w:type="dxa"/>
            <w:vAlign w:val="bottom"/>
            <w:tcBorders>
              <w:bottom w:val="single" w:sz="8" w:color="E9F0F3"/>
            </w:tcBorders>
            <w:shd w:val="clear" w:color="auto" w:fill="E9F0F3"/>
          </w:tcPr>
          <w:p>
            <w:pPr>
              <w:spacing w:after="0"/>
              <w:rPr>
                <w:sz w:val="21"/>
                <w:szCs w:val="21"/>
                <w:color w:val="auto"/>
              </w:rPr>
            </w:pPr>
          </w:p>
        </w:tc>
        <w:tc>
          <w:tcPr>
            <w:tcW w:w="1140" w:type="dxa"/>
            <w:vAlign w:val="bottom"/>
            <w:tcBorders>
              <w:bottom w:val="single" w:sz="8" w:color="E9F0F3"/>
            </w:tcBorders>
            <w:shd w:val="clear" w:color="auto" w:fill="E9F0F3"/>
          </w:tcPr>
          <w:p>
            <w:pPr>
              <w:spacing w:after="0"/>
              <w:rPr>
                <w:sz w:val="21"/>
                <w:szCs w:val="21"/>
                <w:color w:val="auto"/>
              </w:rPr>
            </w:pPr>
          </w:p>
        </w:tc>
        <w:tc>
          <w:tcPr>
            <w:tcW w:w="1140" w:type="dxa"/>
            <w:vAlign w:val="bottom"/>
            <w:tcBorders>
              <w:bottom w:val="single" w:sz="8" w:color="E9F0F3"/>
            </w:tcBorders>
            <w:shd w:val="clear" w:color="auto" w:fill="E9F0F3"/>
          </w:tcPr>
          <w:p>
            <w:pPr>
              <w:spacing w:after="0"/>
              <w:rPr>
                <w:sz w:val="21"/>
                <w:szCs w:val="21"/>
                <w:color w:val="auto"/>
              </w:rPr>
            </w:pPr>
          </w:p>
        </w:tc>
        <w:tc>
          <w:tcPr>
            <w:tcW w:w="1080" w:type="dxa"/>
            <w:vAlign w:val="bottom"/>
            <w:tcBorders>
              <w:bottom w:val="single" w:sz="8" w:color="E9F0F3"/>
            </w:tcBorders>
            <w:shd w:val="clear" w:color="auto" w:fill="E9F0F3"/>
          </w:tcPr>
          <w:p>
            <w:pPr>
              <w:spacing w:after="0"/>
              <w:rPr>
                <w:sz w:val="21"/>
                <w:szCs w:val="21"/>
                <w:color w:val="auto"/>
              </w:rPr>
            </w:pPr>
          </w:p>
        </w:tc>
        <w:tc>
          <w:tcPr>
            <w:tcW w:w="1200" w:type="dxa"/>
            <w:vAlign w:val="bottom"/>
            <w:tcBorders>
              <w:bottom w:val="single" w:sz="8" w:color="E9F0F3"/>
            </w:tcBorders>
            <w:shd w:val="clear" w:color="auto" w:fill="E9F0F3"/>
          </w:tcPr>
          <w:p>
            <w:pPr>
              <w:spacing w:after="0"/>
              <w:rPr>
                <w:sz w:val="21"/>
                <w:szCs w:val="21"/>
                <w:color w:val="auto"/>
              </w:rPr>
            </w:pPr>
          </w:p>
        </w:tc>
        <w:tc>
          <w:tcPr>
            <w:tcW w:w="1060" w:type="dxa"/>
            <w:vAlign w:val="bottom"/>
            <w:tcBorders>
              <w:bottom w:val="single" w:sz="8" w:color="E9F0F3"/>
            </w:tcBorders>
            <w:shd w:val="clear" w:color="auto" w:fill="E9F0F3"/>
          </w:tcPr>
          <w:p>
            <w:pPr>
              <w:spacing w:after="0"/>
              <w:rPr>
                <w:sz w:val="21"/>
                <w:szCs w:val="21"/>
                <w:color w:val="auto"/>
              </w:rPr>
            </w:pPr>
          </w:p>
        </w:tc>
        <w:tc>
          <w:tcPr>
            <w:tcW w:w="980" w:type="dxa"/>
            <w:vAlign w:val="bottom"/>
            <w:tcBorders>
              <w:bottom w:val="single" w:sz="8" w:color="E9F0F3"/>
            </w:tcBorders>
            <w:shd w:val="clear" w:color="auto" w:fill="E9F0F3"/>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3080" w:type="dxa"/>
            <w:vAlign w:val="bottom"/>
          </w:tcPr>
          <w:p>
            <w:pPr>
              <w:ind w:left="60"/>
              <w:spacing w:after="0"/>
              <w:rPr>
                <w:sz w:val="20"/>
                <w:szCs w:val="20"/>
                <w:color w:val="auto"/>
              </w:rPr>
            </w:pPr>
            <w:r>
              <w:rPr>
                <w:rFonts w:ascii="Arial" w:cs="Arial" w:eastAsia="Arial" w:hAnsi="Arial"/>
                <w:sz w:val="14"/>
                <w:szCs w:val="14"/>
                <w:color w:val="auto"/>
              </w:rPr>
              <w:t>Value of unvested RSUs</w:t>
            </w:r>
            <w:r>
              <w:rPr>
                <w:rFonts w:ascii="Arial" w:cs="Arial" w:eastAsia="Arial" w:hAnsi="Arial"/>
                <w:sz w:val="16"/>
                <w:szCs w:val="16"/>
                <w:color w:val="auto"/>
                <w:vertAlign w:val="superscript"/>
              </w:rPr>
              <w:t>6</w:t>
            </w:r>
          </w:p>
        </w:tc>
        <w:tc>
          <w:tcPr>
            <w:tcW w:w="1260" w:type="dxa"/>
            <w:vAlign w:val="bottom"/>
          </w:tcPr>
          <w:p>
            <w:pPr>
              <w:jc w:val="right"/>
              <w:ind w:right="135"/>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34"/>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54"/>
              <w:spacing w:after="0"/>
              <w:rPr>
                <w:sz w:val="20"/>
                <w:szCs w:val="20"/>
                <w:color w:val="auto"/>
              </w:rPr>
            </w:pPr>
            <w:r>
              <w:rPr>
                <w:rFonts w:ascii="Arial" w:cs="Arial" w:eastAsia="Arial" w:hAnsi="Arial"/>
                <w:sz w:val="14"/>
                <w:szCs w:val="14"/>
                <w:color w:val="auto"/>
              </w:rPr>
              <w:t>972,317</w:t>
            </w:r>
          </w:p>
        </w:tc>
        <w:tc>
          <w:tcPr>
            <w:tcW w:w="1080" w:type="dxa"/>
            <w:vAlign w:val="bottom"/>
          </w:tcPr>
          <w:p>
            <w:pPr>
              <w:jc w:val="right"/>
              <w:ind w:right="94"/>
              <w:spacing w:after="0"/>
              <w:rPr>
                <w:sz w:val="20"/>
                <w:szCs w:val="20"/>
                <w:color w:val="auto"/>
              </w:rPr>
            </w:pPr>
            <w:r>
              <w:rPr>
                <w:rFonts w:ascii="Arial" w:cs="Arial" w:eastAsia="Arial" w:hAnsi="Arial"/>
                <w:sz w:val="14"/>
                <w:szCs w:val="14"/>
                <w:color w:val="auto"/>
              </w:rPr>
              <w:t>972,317</w:t>
            </w:r>
          </w:p>
        </w:tc>
        <w:tc>
          <w:tcPr>
            <w:tcW w:w="1200" w:type="dxa"/>
            <w:vAlign w:val="bottom"/>
          </w:tcPr>
          <w:p>
            <w:pPr>
              <w:jc w:val="right"/>
              <w:ind w:right="177"/>
              <w:spacing w:after="0"/>
              <w:rPr>
                <w:sz w:val="20"/>
                <w:szCs w:val="20"/>
                <w:color w:val="auto"/>
              </w:rPr>
            </w:pPr>
            <w:r>
              <w:rPr>
                <w:rFonts w:ascii="Arial" w:cs="Arial" w:eastAsia="Arial" w:hAnsi="Arial"/>
                <w:sz w:val="14"/>
                <w:szCs w:val="14"/>
                <w:color w:val="auto"/>
              </w:rPr>
              <w:t>0</w:t>
            </w:r>
          </w:p>
        </w:tc>
        <w:tc>
          <w:tcPr>
            <w:tcW w:w="1060" w:type="dxa"/>
            <w:vAlign w:val="bottom"/>
          </w:tcPr>
          <w:p>
            <w:pPr>
              <w:jc w:val="right"/>
              <w:ind w:right="115"/>
              <w:spacing w:after="0"/>
              <w:rPr>
                <w:sz w:val="20"/>
                <w:szCs w:val="20"/>
                <w:color w:val="auto"/>
              </w:rPr>
            </w:pPr>
            <w:r>
              <w:rPr>
                <w:rFonts w:ascii="Arial" w:cs="Arial" w:eastAsia="Arial" w:hAnsi="Arial"/>
                <w:sz w:val="14"/>
                <w:szCs w:val="14"/>
                <w:color w:val="auto"/>
              </w:rPr>
              <w:t>0</w:t>
            </w:r>
          </w:p>
        </w:tc>
        <w:tc>
          <w:tcPr>
            <w:tcW w:w="980" w:type="dxa"/>
            <w:vAlign w:val="bottom"/>
          </w:tcPr>
          <w:p>
            <w:pPr>
              <w:jc w:val="right"/>
              <w:ind w:right="58"/>
              <w:spacing w:after="0"/>
              <w:rPr>
                <w:sz w:val="20"/>
                <w:szCs w:val="20"/>
                <w:color w:val="auto"/>
              </w:rPr>
            </w:pPr>
            <w:r>
              <w:rPr>
                <w:rFonts w:ascii="Arial" w:cs="Arial" w:eastAsia="Arial" w:hAnsi="Arial"/>
                <w:sz w:val="14"/>
                <w:szCs w:val="14"/>
                <w:color w:val="auto"/>
              </w:rPr>
              <w:t>972,317</w:t>
            </w:r>
          </w:p>
        </w:tc>
        <w:tc>
          <w:tcPr>
            <w:tcW w:w="0" w:type="dxa"/>
            <w:vAlign w:val="bottom"/>
          </w:tcPr>
          <w:p>
            <w:pPr>
              <w:spacing w:after="0"/>
              <w:rPr>
                <w:sz w:val="1"/>
                <w:szCs w:val="1"/>
                <w:color w:val="auto"/>
              </w:rPr>
            </w:pPr>
          </w:p>
        </w:tc>
      </w:tr>
      <w:tr>
        <w:trPr>
          <w:trHeight w:val="51"/>
        </w:trPr>
        <w:tc>
          <w:tcPr>
            <w:tcW w:w="3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308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Value of unvested PSUs</w:t>
            </w:r>
            <w:r>
              <w:rPr>
                <w:rFonts w:ascii="Arial" w:cs="Arial" w:eastAsia="Arial" w:hAnsi="Arial"/>
                <w:sz w:val="16"/>
                <w:szCs w:val="16"/>
                <w:color w:val="auto"/>
                <w:vertAlign w:val="superscript"/>
              </w:rPr>
              <w:t>7</w:t>
            </w:r>
          </w:p>
        </w:tc>
        <w:tc>
          <w:tcPr>
            <w:tcW w:w="1260" w:type="dxa"/>
            <w:vAlign w:val="bottom"/>
            <w:tcBorders>
              <w:bottom w:val="single" w:sz="8" w:color="E9F0F3"/>
            </w:tcBorders>
            <w:shd w:val="clear" w:color="auto" w:fill="E9F0F3"/>
          </w:tcPr>
          <w:p>
            <w:pPr>
              <w:jc w:val="right"/>
              <w:ind w:right="135"/>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E9F0F3"/>
            </w:tcBorders>
            <w:shd w:val="clear" w:color="auto" w:fill="E9F0F3"/>
          </w:tcPr>
          <w:p>
            <w:pPr>
              <w:jc w:val="right"/>
              <w:ind w:right="134"/>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E9F0F3"/>
            </w:tcBorders>
            <w:shd w:val="clear" w:color="auto" w:fill="E9F0F3"/>
          </w:tcPr>
          <w:p>
            <w:pPr>
              <w:jc w:val="right"/>
              <w:ind w:right="154"/>
              <w:spacing w:after="0"/>
              <w:rPr>
                <w:sz w:val="20"/>
                <w:szCs w:val="20"/>
                <w:color w:val="auto"/>
              </w:rPr>
            </w:pPr>
            <w:r>
              <w:rPr>
                <w:rFonts w:ascii="Arial" w:cs="Arial" w:eastAsia="Arial" w:hAnsi="Arial"/>
                <w:sz w:val="14"/>
                <w:szCs w:val="14"/>
                <w:color w:val="auto"/>
              </w:rPr>
              <w:t>183,317</w:t>
            </w:r>
          </w:p>
        </w:tc>
        <w:tc>
          <w:tcPr>
            <w:tcW w:w="1080" w:type="dxa"/>
            <w:vAlign w:val="bottom"/>
            <w:tcBorders>
              <w:bottom w:val="single" w:sz="8" w:color="E9F0F3"/>
            </w:tcBorders>
            <w:shd w:val="clear" w:color="auto" w:fill="E9F0F3"/>
          </w:tcPr>
          <w:p>
            <w:pPr>
              <w:jc w:val="right"/>
              <w:ind w:right="94"/>
              <w:spacing w:after="0"/>
              <w:rPr>
                <w:sz w:val="20"/>
                <w:szCs w:val="20"/>
                <w:color w:val="auto"/>
              </w:rPr>
            </w:pPr>
            <w:r>
              <w:rPr>
                <w:rFonts w:ascii="Arial" w:cs="Arial" w:eastAsia="Arial" w:hAnsi="Arial"/>
                <w:sz w:val="14"/>
                <w:szCs w:val="14"/>
                <w:color w:val="auto"/>
              </w:rPr>
              <w:t>0</w:t>
            </w:r>
          </w:p>
        </w:tc>
        <w:tc>
          <w:tcPr>
            <w:tcW w:w="1200" w:type="dxa"/>
            <w:vAlign w:val="bottom"/>
            <w:tcBorders>
              <w:bottom w:val="single" w:sz="8" w:color="E9F0F3"/>
            </w:tcBorders>
            <w:shd w:val="clear" w:color="auto" w:fill="E9F0F3"/>
          </w:tcPr>
          <w:p>
            <w:pPr>
              <w:jc w:val="right"/>
              <w:ind w:right="177"/>
              <w:spacing w:after="0"/>
              <w:rPr>
                <w:sz w:val="20"/>
                <w:szCs w:val="20"/>
                <w:color w:val="auto"/>
              </w:rPr>
            </w:pPr>
            <w:r>
              <w:rPr>
                <w:rFonts w:ascii="Arial" w:cs="Arial" w:eastAsia="Arial" w:hAnsi="Arial"/>
                <w:sz w:val="14"/>
                <w:szCs w:val="14"/>
                <w:color w:val="auto"/>
              </w:rPr>
              <w:t>0</w:t>
            </w:r>
          </w:p>
        </w:tc>
        <w:tc>
          <w:tcPr>
            <w:tcW w:w="1060" w:type="dxa"/>
            <w:vAlign w:val="bottom"/>
            <w:tcBorders>
              <w:bottom w:val="single" w:sz="8" w:color="E9F0F3"/>
            </w:tcBorders>
            <w:shd w:val="clear" w:color="auto" w:fill="E9F0F3"/>
          </w:tcPr>
          <w:p>
            <w:pPr>
              <w:jc w:val="right"/>
              <w:ind w:right="115"/>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E9F0F3"/>
            </w:tcBorders>
            <w:shd w:val="clear" w:color="auto" w:fill="E9F0F3"/>
          </w:tcPr>
          <w:p>
            <w:pPr>
              <w:jc w:val="right"/>
              <w:ind w:right="58"/>
              <w:spacing w:after="0"/>
              <w:rPr>
                <w:sz w:val="20"/>
                <w:szCs w:val="20"/>
                <w:color w:val="auto"/>
              </w:rPr>
            </w:pPr>
            <w:r>
              <w:rPr>
                <w:rFonts w:ascii="Arial" w:cs="Arial" w:eastAsia="Arial" w:hAnsi="Arial"/>
                <w:sz w:val="14"/>
                <w:szCs w:val="14"/>
                <w:color w:val="auto"/>
              </w:rPr>
              <w:t>183,317</w:t>
            </w:r>
          </w:p>
        </w:tc>
        <w:tc>
          <w:tcPr>
            <w:tcW w:w="0" w:type="dxa"/>
            <w:vAlign w:val="bottom"/>
          </w:tcPr>
          <w:p>
            <w:pPr>
              <w:spacing w:after="0"/>
              <w:rPr>
                <w:sz w:val="1"/>
                <w:szCs w:val="1"/>
                <w:color w:val="auto"/>
              </w:rPr>
            </w:pPr>
          </w:p>
        </w:tc>
      </w:tr>
      <w:tr>
        <w:trPr>
          <w:trHeight w:val="279"/>
        </w:trPr>
        <w:tc>
          <w:tcPr>
            <w:tcW w:w="3080" w:type="dxa"/>
            <w:vAlign w:val="bottom"/>
          </w:tcPr>
          <w:p>
            <w:pPr>
              <w:ind w:left="60"/>
              <w:spacing w:after="0"/>
              <w:rPr>
                <w:sz w:val="20"/>
                <w:szCs w:val="20"/>
                <w:color w:val="auto"/>
              </w:rPr>
            </w:pPr>
            <w:r>
              <w:rPr>
                <w:rFonts w:ascii="Arial" w:cs="Arial" w:eastAsia="Arial" w:hAnsi="Arial"/>
                <w:sz w:val="14"/>
                <w:szCs w:val="14"/>
                <w:color w:val="auto"/>
              </w:rPr>
              <w:t>Welfare benefits value</w:t>
            </w:r>
            <w:r>
              <w:rPr>
                <w:rFonts w:ascii="Arial" w:cs="Arial" w:eastAsia="Arial" w:hAnsi="Arial"/>
                <w:sz w:val="16"/>
                <w:szCs w:val="16"/>
                <w:color w:val="auto"/>
                <w:vertAlign w:val="superscript"/>
              </w:rPr>
              <w:t>8</w:t>
            </w:r>
          </w:p>
        </w:tc>
        <w:tc>
          <w:tcPr>
            <w:tcW w:w="1260" w:type="dxa"/>
            <w:vAlign w:val="bottom"/>
          </w:tcPr>
          <w:p>
            <w:pPr>
              <w:jc w:val="right"/>
              <w:ind w:right="135"/>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34"/>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54"/>
              <w:spacing w:after="0"/>
              <w:rPr>
                <w:sz w:val="20"/>
                <w:szCs w:val="20"/>
                <w:color w:val="auto"/>
              </w:rPr>
            </w:pPr>
            <w:r>
              <w:rPr>
                <w:rFonts w:ascii="Arial" w:cs="Arial" w:eastAsia="Arial" w:hAnsi="Arial"/>
                <w:sz w:val="14"/>
                <w:szCs w:val="14"/>
                <w:color w:val="auto"/>
              </w:rPr>
              <w:t>0</w:t>
            </w:r>
          </w:p>
        </w:tc>
        <w:tc>
          <w:tcPr>
            <w:tcW w:w="1080" w:type="dxa"/>
            <w:vAlign w:val="bottom"/>
          </w:tcPr>
          <w:p>
            <w:pPr>
              <w:jc w:val="right"/>
              <w:ind w:right="94"/>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177"/>
              <w:spacing w:after="0"/>
              <w:rPr>
                <w:sz w:val="20"/>
                <w:szCs w:val="20"/>
                <w:color w:val="auto"/>
              </w:rPr>
            </w:pPr>
            <w:r>
              <w:rPr>
                <w:rFonts w:ascii="Arial" w:cs="Arial" w:eastAsia="Arial" w:hAnsi="Arial"/>
                <w:sz w:val="14"/>
                <w:szCs w:val="14"/>
                <w:color w:val="auto"/>
              </w:rPr>
              <w:t>0</w:t>
            </w:r>
          </w:p>
        </w:tc>
        <w:tc>
          <w:tcPr>
            <w:tcW w:w="1060" w:type="dxa"/>
            <w:vAlign w:val="bottom"/>
          </w:tcPr>
          <w:p>
            <w:pPr>
              <w:jc w:val="right"/>
              <w:ind w:right="115"/>
              <w:spacing w:after="0"/>
              <w:rPr>
                <w:sz w:val="20"/>
                <w:szCs w:val="20"/>
                <w:color w:val="auto"/>
              </w:rPr>
            </w:pPr>
            <w:r>
              <w:rPr>
                <w:rFonts w:ascii="Arial" w:cs="Arial" w:eastAsia="Arial" w:hAnsi="Arial"/>
                <w:sz w:val="14"/>
                <w:szCs w:val="14"/>
                <w:color w:val="auto"/>
              </w:rPr>
              <w:t>0</w:t>
            </w:r>
          </w:p>
        </w:tc>
        <w:tc>
          <w:tcPr>
            <w:tcW w:w="980" w:type="dxa"/>
            <w:vAlign w:val="bottom"/>
          </w:tcPr>
          <w:p>
            <w:pPr>
              <w:jc w:val="right"/>
              <w:ind w:right="5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51"/>
        </w:trPr>
        <w:tc>
          <w:tcPr>
            <w:tcW w:w="3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308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Total</w:t>
            </w:r>
          </w:p>
        </w:tc>
        <w:tc>
          <w:tcPr>
            <w:tcW w:w="1260" w:type="dxa"/>
            <w:vAlign w:val="bottom"/>
            <w:shd w:val="clear" w:color="auto" w:fill="E9F0F3"/>
          </w:tcPr>
          <w:p>
            <w:pPr>
              <w:jc w:val="right"/>
              <w:ind w:right="135"/>
              <w:spacing w:after="0"/>
              <w:rPr>
                <w:sz w:val="20"/>
                <w:szCs w:val="20"/>
                <w:color w:val="auto"/>
              </w:rPr>
            </w:pPr>
            <w:r>
              <w:rPr>
                <w:rFonts w:ascii="Arial" w:cs="Arial" w:eastAsia="Arial" w:hAnsi="Arial"/>
                <w:sz w:val="14"/>
                <w:szCs w:val="14"/>
                <w:b w:val="1"/>
                <w:bCs w:val="1"/>
                <w:color w:val="auto"/>
              </w:rPr>
              <w:t>$0</w:t>
            </w:r>
          </w:p>
        </w:tc>
        <w:tc>
          <w:tcPr>
            <w:tcW w:w="1140" w:type="dxa"/>
            <w:vAlign w:val="bottom"/>
            <w:shd w:val="clear" w:color="auto" w:fill="E9F0F3"/>
          </w:tcPr>
          <w:p>
            <w:pPr>
              <w:jc w:val="right"/>
              <w:ind w:right="134"/>
              <w:spacing w:after="0"/>
              <w:rPr>
                <w:sz w:val="20"/>
                <w:szCs w:val="20"/>
                <w:color w:val="auto"/>
              </w:rPr>
            </w:pPr>
            <w:r>
              <w:rPr>
                <w:rFonts w:ascii="Arial" w:cs="Arial" w:eastAsia="Arial" w:hAnsi="Arial"/>
                <w:sz w:val="14"/>
                <w:szCs w:val="14"/>
                <w:b w:val="1"/>
                <w:bCs w:val="1"/>
                <w:color w:val="auto"/>
              </w:rPr>
              <w:t>$0</w:t>
            </w:r>
          </w:p>
        </w:tc>
        <w:tc>
          <w:tcPr>
            <w:tcW w:w="1140" w:type="dxa"/>
            <w:vAlign w:val="bottom"/>
            <w:shd w:val="clear" w:color="auto" w:fill="E9F0F3"/>
          </w:tcPr>
          <w:p>
            <w:pPr>
              <w:jc w:val="right"/>
              <w:ind w:right="154"/>
              <w:spacing w:after="0"/>
              <w:rPr>
                <w:sz w:val="20"/>
                <w:szCs w:val="20"/>
                <w:color w:val="auto"/>
              </w:rPr>
            </w:pPr>
            <w:r>
              <w:rPr>
                <w:rFonts w:ascii="Arial" w:cs="Arial" w:eastAsia="Arial" w:hAnsi="Arial"/>
                <w:sz w:val="14"/>
                <w:szCs w:val="14"/>
                <w:b w:val="1"/>
                <w:bCs w:val="1"/>
                <w:color w:val="auto"/>
              </w:rPr>
              <w:t>$1,155,634</w:t>
            </w:r>
          </w:p>
        </w:tc>
        <w:tc>
          <w:tcPr>
            <w:tcW w:w="1080" w:type="dxa"/>
            <w:vAlign w:val="bottom"/>
            <w:shd w:val="clear" w:color="auto" w:fill="E9F0F3"/>
          </w:tcPr>
          <w:p>
            <w:pPr>
              <w:jc w:val="right"/>
              <w:ind w:right="94"/>
              <w:spacing w:after="0"/>
              <w:rPr>
                <w:sz w:val="20"/>
                <w:szCs w:val="20"/>
                <w:color w:val="auto"/>
              </w:rPr>
            </w:pPr>
            <w:r>
              <w:rPr>
                <w:rFonts w:ascii="Arial" w:cs="Arial" w:eastAsia="Arial" w:hAnsi="Arial"/>
                <w:sz w:val="14"/>
                <w:szCs w:val="14"/>
                <w:b w:val="1"/>
                <w:bCs w:val="1"/>
                <w:color w:val="auto"/>
              </w:rPr>
              <w:t>$972,317</w:t>
            </w:r>
          </w:p>
        </w:tc>
        <w:tc>
          <w:tcPr>
            <w:tcW w:w="1200" w:type="dxa"/>
            <w:vAlign w:val="bottom"/>
            <w:shd w:val="clear" w:color="auto" w:fill="E9F0F3"/>
          </w:tcPr>
          <w:p>
            <w:pPr>
              <w:jc w:val="right"/>
              <w:ind w:right="177"/>
              <w:spacing w:after="0"/>
              <w:rPr>
                <w:sz w:val="20"/>
                <w:szCs w:val="20"/>
                <w:color w:val="auto"/>
              </w:rPr>
            </w:pPr>
            <w:r>
              <w:rPr>
                <w:rFonts w:ascii="Arial" w:cs="Arial" w:eastAsia="Arial" w:hAnsi="Arial"/>
                <w:sz w:val="14"/>
                <w:szCs w:val="14"/>
                <w:b w:val="1"/>
                <w:bCs w:val="1"/>
                <w:color w:val="auto"/>
              </w:rPr>
              <w:t>$2,837,129</w:t>
            </w:r>
          </w:p>
        </w:tc>
        <w:tc>
          <w:tcPr>
            <w:tcW w:w="1060" w:type="dxa"/>
            <w:vAlign w:val="bottom"/>
            <w:shd w:val="clear" w:color="auto" w:fill="E9F0F3"/>
          </w:tcPr>
          <w:p>
            <w:pPr>
              <w:jc w:val="right"/>
              <w:ind w:right="115"/>
              <w:spacing w:after="0"/>
              <w:rPr>
                <w:sz w:val="20"/>
                <w:szCs w:val="20"/>
                <w:color w:val="auto"/>
              </w:rPr>
            </w:pPr>
            <w:r>
              <w:rPr>
                <w:rFonts w:ascii="Arial" w:cs="Arial" w:eastAsia="Arial" w:hAnsi="Arial"/>
                <w:sz w:val="14"/>
                <w:szCs w:val="14"/>
                <w:b w:val="1"/>
                <w:bCs w:val="1"/>
                <w:color w:val="auto"/>
              </w:rPr>
              <w:t>$0</w:t>
            </w:r>
          </w:p>
        </w:tc>
        <w:tc>
          <w:tcPr>
            <w:tcW w:w="980" w:type="dxa"/>
            <w:vAlign w:val="bottom"/>
            <w:shd w:val="clear" w:color="auto" w:fill="E9F0F3"/>
          </w:tcPr>
          <w:p>
            <w:pPr>
              <w:jc w:val="right"/>
              <w:ind w:right="58"/>
              <w:spacing w:after="0"/>
              <w:rPr>
                <w:sz w:val="20"/>
                <w:szCs w:val="20"/>
                <w:color w:val="auto"/>
              </w:rPr>
            </w:pPr>
            <w:r>
              <w:rPr>
                <w:rFonts w:ascii="Arial" w:cs="Arial" w:eastAsia="Arial" w:hAnsi="Arial"/>
                <w:sz w:val="14"/>
                <w:szCs w:val="14"/>
                <w:b w:val="1"/>
                <w:bCs w:val="1"/>
                <w:color w:val="auto"/>
              </w:rPr>
              <w:t>$3,992,763</w:t>
            </w:r>
          </w:p>
        </w:tc>
        <w:tc>
          <w:tcPr>
            <w:tcW w:w="0" w:type="dxa"/>
            <w:vAlign w:val="bottom"/>
          </w:tcPr>
          <w:p>
            <w:pPr>
              <w:spacing w:after="0"/>
              <w:rPr>
                <w:sz w:val="1"/>
                <w:szCs w:val="1"/>
                <w:color w:val="auto"/>
              </w:rPr>
            </w:pPr>
          </w:p>
        </w:tc>
      </w:tr>
      <w:tr>
        <w:trPr>
          <w:trHeight w:val="78"/>
        </w:trPr>
        <w:tc>
          <w:tcPr>
            <w:tcW w:w="3080" w:type="dxa"/>
            <w:vAlign w:val="bottom"/>
            <w:shd w:val="clear" w:color="auto" w:fill="E9F0F3"/>
          </w:tcPr>
          <w:p>
            <w:pPr>
              <w:spacing w:after="0"/>
              <w:rPr>
                <w:sz w:val="6"/>
                <w:szCs w:val="6"/>
                <w:color w:val="auto"/>
              </w:rPr>
            </w:pPr>
          </w:p>
        </w:tc>
        <w:tc>
          <w:tcPr>
            <w:tcW w:w="1260" w:type="dxa"/>
            <w:vAlign w:val="bottom"/>
            <w:shd w:val="clear" w:color="auto" w:fill="E9F0F3"/>
          </w:tcPr>
          <w:p>
            <w:pPr>
              <w:spacing w:after="0"/>
              <w:rPr>
                <w:sz w:val="6"/>
                <w:szCs w:val="6"/>
                <w:color w:val="auto"/>
              </w:rPr>
            </w:pPr>
          </w:p>
        </w:tc>
        <w:tc>
          <w:tcPr>
            <w:tcW w:w="1140" w:type="dxa"/>
            <w:vAlign w:val="bottom"/>
            <w:shd w:val="clear" w:color="auto" w:fill="E9F0F3"/>
          </w:tcPr>
          <w:p>
            <w:pPr>
              <w:spacing w:after="0"/>
              <w:rPr>
                <w:sz w:val="6"/>
                <w:szCs w:val="6"/>
                <w:color w:val="auto"/>
              </w:rPr>
            </w:pPr>
          </w:p>
        </w:tc>
        <w:tc>
          <w:tcPr>
            <w:tcW w:w="1140" w:type="dxa"/>
            <w:vAlign w:val="bottom"/>
            <w:shd w:val="clear" w:color="auto" w:fill="E9F0F3"/>
          </w:tcPr>
          <w:p>
            <w:pPr>
              <w:spacing w:after="0"/>
              <w:rPr>
                <w:sz w:val="6"/>
                <w:szCs w:val="6"/>
                <w:color w:val="auto"/>
              </w:rPr>
            </w:pPr>
          </w:p>
        </w:tc>
        <w:tc>
          <w:tcPr>
            <w:tcW w:w="1080" w:type="dxa"/>
            <w:vAlign w:val="bottom"/>
            <w:shd w:val="clear" w:color="auto" w:fill="E9F0F3"/>
          </w:tcPr>
          <w:p>
            <w:pPr>
              <w:spacing w:after="0"/>
              <w:rPr>
                <w:sz w:val="6"/>
                <w:szCs w:val="6"/>
                <w:color w:val="auto"/>
              </w:rPr>
            </w:pPr>
          </w:p>
        </w:tc>
        <w:tc>
          <w:tcPr>
            <w:tcW w:w="1200" w:type="dxa"/>
            <w:vAlign w:val="bottom"/>
            <w:shd w:val="clear" w:color="auto" w:fill="E9F0F3"/>
          </w:tcPr>
          <w:p>
            <w:pPr>
              <w:spacing w:after="0"/>
              <w:rPr>
                <w:sz w:val="6"/>
                <w:szCs w:val="6"/>
                <w:color w:val="auto"/>
              </w:rPr>
            </w:pPr>
          </w:p>
        </w:tc>
        <w:tc>
          <w:tcPr>
            <w:tcW w:w="1060" w:type="dxa"/>
            <w:vAlign w:val="bottom"/>
            <w:shd w:val="clear" w:color="auto" w:fill="E9F0F3"/>
          </w:tcPr>
          <w:p>
            <w:pPr>
              <w:spacing w:after="0"/>
              <w:rPr>
                <w:sz w:val="6"/>
                <w:szCs w:val="6"/>
                <w:color w:val="auto"/>
              </w:rPr>
            </w:pPr>
          </w:p>
        </w:tc>
        <w:tc>
          <w:tcPr>
            <w:tcW w:w="98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080" w:type="dxa"/>
            <w:vAlign w:val="bottom"/>
            <w:shd w:val="clear" w:color="auto" w:fill="99B7C6"/>
          </w:tcPr>
          <w:p>
            <w:pPr>
              <w:spacing w:after="0"/>
              <w:rPr>
                <w:sz w:val="13"/>
                <w:szCs w:val="13"/>
                <w:color w:val="auto"/>
              </w:rPr>
            </w:pPr>
          </w:p>
        </w:tc>
        <w:tc>
          <w:tcPr>
            <w:tcW w:w="1260" w:type="dxa"/>
            <w:vAlign w:val="bottom"/>
            <w:shd w:val="clear" w:color="auto" w:fill="99B7C6"/>
          </w:tcPr>
          <w:p>
            <w:pPr>
              <w:spacing w:after="0"/>
              <w:rPr>
                <w:sz w:val="13"/>
                <w:szCs w:val="13"/>
                <w:color w:val="auto"/>
              </w:rPr>
            </w:pPr>
          </w:p>
        </w:tc>
        <w:tc>
          <w:tcPr>
            <w:tcW w:w="1140" w:type="dxa"/>
            <w:vAlign w:val="bottom"/>
            <w:shd w:val="clear" w:color="auto" w:fill="99B7C6"/>
          </w:tcPr>
          <w:p>
            <w:pPr>
              <w:spacing w:after="0"/>
              <w:rPr>
                <w:sz w:val="13"/>
                <w:szCs w:val="13"/>
                <w:color w:val="auto"/>
              </w:rPr>
            </w:pPr>
          </w:p>
        </w:tc>
        <w:tc>
          <w:tcPr>
            <w:tcW w:w="1140" w:type="dxa"/>
            <w:vAlign w:val="bottom"/>
            <w:shd w:val="clear" w:color="auto" w:fill="99B7C6"/>
          </w:tcPr>
          <w:p>
            <w:pPr>
              <w:spacing w:after="0"/>
              <w:rPr>
                <w:sz w:val="13"/>
                <w:szCs w:val="13"/>
                <w:color w:val="auto"/>
              </w:rPr>
            </w:pPr>
          </w:p>
        </w:tc>
        <w:tc>
          <w:tcPr>
            <w:tcW w:w="1080" w:type="dxa"/>
            <w:vAlign w:val="bottom"/>
            <w:shd w:val="clear" w:color="auto" w:fill="99B7C6"/>
          </w:tcPr>
          <w:p>
            <w:pPr>
              <w:spacing w:after="0"/>
              <w:rPr>
                <w:sz w:val="13"/>
                <w:szCs w:val="13"/>
                <w:color w:val="auto"/>
              </w:rPr>
            </w:pPr>
          </w:p>
        </w:tc>
        <w:tc>
          <w:tcPr>
            <w:tcW w:w="1200" w:type="dxa"/>
            <w:vAlign w:val="bottom"/>
            <w:shd w:val="clear" w:color="auto" w:fill="99B7C6"/>
          </w:tcPr>
          <w:p>
            <w:pPr>
              <w:spacing w:after="0"/>
              <w:rPr>
                <w:sz w:val="13"/>
                <w:szCs w:val="13"/>
                <w:color w:val="auto"/>
              </w:rPr>
            </w:pPr>
          </w:p>
        </w:tc>
        <w:tc>
          <w:tcPr>
            <w:tcW w:w="1060" w:type="dxa"/>
            <w:vAlign w:val="bottom"/>
            <w:shd w:val="clear" w:color="auto" w:fill="99B7C6"/>
          </w:tcPr>
          <w:p>
            <w:pPr>
              <w:spacing w:after="0"/>
              <w:rPr>
                <w:sz w:val="13"/>
                <w:szCs w:val="13"/>
                <w:color w:val="auto"/>
              </w:rPr>
            </w:pPr>
          </w:p>
        </w:tc>
        <w:tc>
          <w:tcPr>
            <w:tcW w:w="980" w:type="dxa"/>
            <w:vAlign w:val="bottom"/>
            <w:shd w:val="clear" w:color="auto" w:fill="99B7C6"/>
          </w:tcPr>
          <w:p>
            <w:pPr>
              <w:jc w:val="right"/>
              <w:ind w:right="38"/>
              <w:spacing w:after="0"/>
              <w:rPr>
                <w:sz w:val="20"/>
                <w:szCs w:val="20"/>
                <w:color w:val="auto"/>
              </w:rPr>
            </w:pPr>
            <w:r>
              <w:rPr>
                <w:rFonts w:ascii="Arial" w:cs="Arial" w:eastAsia="Arial" w:hAnsi="Arial"/>
                <w:sz w:val="11"/>
                <w:szCs w:val="11"/>
                <w:b w:val="1"/>
                <w:bCs w:val="1"/>
                <w:color w:val="FFFFFF"/>
              </w:rPr>
              <w:t>Termination</w:t>
            </w:r>
          </w:p>
        </w:tc>
        <w:tc>
          <w:tcPr>
            <w:tcW w:w="0" w:type="dxa"/>
            <w:vAlign w:val="bottom"/>
          </w:tcPr>
          <w:p>
            <w:pPr>
              <w:spacing w:after="0"/>
              <w:rPr>
                <w:sz w:val="1"/>
                <w:szCs w:val="1"/>
                <w:color w:val="auto"/>
              </w:rPr>
            </w:pPr>
          </w:p>
        </w:tc>
      </w:tr>
      <w:tr>
        <w:trPr>
          <w:trHeight w:val="118"/>
        </w:trPr>
        <w:tc>
          <w:tcPr>
            <w:tcW w:w="3080" w:type="dxa"/>
            <w:vAlign w:val="bottom"/>
            <w:shd w:val="clear" w:color="auto" w:fill="99B7C6"/>
          </w:tcPr>
          <w:p>
            <w:pPr>
              <w:spacing w:after="0"/>
              <w:rPr>
                <w:sz w:val="10"/>
                <w:szCs w:val="10"/>
                <w:color w:val="auto"/>
              </w:rPr>
            </w:pPr>
          </w:p>
        </w:tc>
        <w:tc>
          <w:tcPr>
            <w:tcW w:w="126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200" w:type="dxa"/>
            <w:vAlign w:val="bottom"/>
            <w:shd w:val="clear" w:color="auto" w:fill="99B7C6"/>
          </w:tcPr>
          <w:p>
            <w:pPr>
              <w:spacing w:after="0"/>
              <w:rPr>
                <w:sz w:val="10"/>
                <w:szCs w:val="10"/>
                <w:color w:val="auto"/>
              </w:rPr>
            </w:pPr>
          </w:p>
        </w:tc>
        <w:tc>
          <w:tcPr>
            <w:tcW w:w="1060" w:type="dxa"/>
            <w:vAlign w:val="bottom"/>
            <w:shd w:val="clear" w:color="auto" w:fill="99B7C6"/>
          </w:tcPr>
          <w:p>
            <w:pPr>
              <w:spacing w:after="0"/>
              <w:rPr>
                <w:sz w:val="10"/>
                <w:szCs w:val="10"/>
                <w:color w:val="auto"/>
              </w:rPr>
            </w:pPr>
          </w:p>
        </w:tc>
        <w:tc>
          <w:tcPr>
            <w:tcW w:w="980" w:type="dxa"/>
            <w:vAlign w:val="bottom"/>
            <w:shd w:val="clear" w:color="auto" w:fill="99B7C6"/>
          </w:tcPr>
          <w:p>
            <w:pPr>
              <w:jc w:val="right"/>
              <w:ind w:right="38"/>
              <w:spacing w:after="0" w:line="118" w:lineRule="exact"/>
              <w:rPr>
                <w:sz w:val="20"/>
                <w:szCs w:val="20"/>
                <w:color w:val="auto"/>
              </w:rPr>
            </w:pPr>
            <w:r>
              <w:rPr>
                <w:rFonts w:ascii="Arial" w:cs="Arial" w:eastAsia="Arial" w:hAnsi="Arial"/>
                <w:sz w:val="11"/>
                <w:szCs w:val="11"/>
                <w:b w:val="1"/>
                <w:bCs w:val="1"/>
                <w:color w:val="FFFFFF"/>
              </w:rPr>
              <w:t>Without</w:t>
            </w:r>
          </w:p>
        </w:tc>
        <w:tc>
          <w:tcPr>
            <w:tcW w:w="0" w:type="dxa"/>
            <w:vAlign w:val="bottom"/>
          </w:tcPr>
          <w:p>
            <w:pPr>
              <w:spacing w:after="0"/>
              <w:rPr>
                <w:sz w:val="1"/>
                <w:szCs w:val="1"/>
                <w:color w:val="auto"/>
              </w:rPr>
            </w:pPr>
          </w:p>
        </w:tc>
      </w:tr>
      <w:tr>
        <w:trPr>
          <w:trHeight w:val="121"/>
        </w:trPr>
        <w:tc>
          <w:tcPr>
            <w:tcW w:w="3080" w:type="dxa"/>
            <w:vAlign w:val="bottom"/>
            <w:shd w:val="clear" w:color="auto" w:fill="99B7C6"/>
          </w:tcPr>
          <w:p>
            <w:pPr>
              <w:spacing w:after="0"/>
              <w:rPr>
                <w:sz w:val="10"/>
                <w:szCs w:val="10"/>
                <w:color w:val="auto"/>
              </w:rPr>
            </w:pPr>
          </w:p>
        </w:tc>
        <w:tc>
          <w:tcPr>
            <w:tcW w:w="126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200" w:type="dxa"/>
            <w:vAlign w:val="bottom"/>
            <w:shd w:val="clear" w:color="auto" w:fill="99B7C6"/>
          </w:tcPr>
          <w:p>
            <w:pPr>
              <w:jc w:val="right"/>
              <w:ind w:right="197"/>
              <w:spacing w:after="0" w:line="122" w:lineRule="exact"/>
              <w:rPr>
                <w:sz w:val="20"/>
                <w:szCs w:val="20"/>
                <w:color w:val="auto"/>
              </w:rPr>
            </w:pPr>
            <w:r>
              <w:rPr>
                <w:rFonts w:ascii="Arial" w:cs="Arial" w:eastAsia="Arial" w:hAnsi="Arial"/>
                <w:sz w:val="11"/>
                <w:szCs w:val="11"/>
                <w:b w:val="1"/>
                <w:bCs w:val="1"/>
                <w:color w:val="FFFFFF"/>
              </w:rPr>
              <w:t>Termination</w:t>
            </w:r>
          </w:p>
        </w:tc>
        <w:tc>
          <w:tcPr>
            <w:tcW w:w="1060" w:type="dxa"/>
            <w:vAlign w:val="bottom"/>
            <w:shd w:val="clear" w:color="auto" w:fill="99B7C6"/>
          </w:tcPr>
          <w:p>
            <w:pPr>
              <w:spacing w:after="0"/>
              <w:rPr>
                <w:sz w:val="10"/>
                <w:szCs w:val="10"/>
                <w:color w:val="auto"/>
              </w:rPr>
            </w:pPr>
          </w:p>
        </w:tc>
        <w:tc>
          <w:tcPr>
            <w:tcW w:w="980" w:type="dxa"/>
            <w:vAlign w:val="bottom"/>
            <w:shd w:val="clear" w:color="auto" w:fill="99B7C6"/>
          </w:tcPr>
          <w:p>
            <w:pPr>
              <w:jc w:val="right"/>
              <w:ind w:right="38"/>
              <w:spacing w:after="0" w:line="122" w:lineRule="exact"/>
              <w:rPr>
                <w:sz w:val="20"/>
                <w:szCs w:val="20"/>
                <w:color w:val="auto"/>
              </w:rPr>
            </w:pPr>
            <w:r>
              <w:rPr>
                <w:rFonts w:ascii="Arial" w:cs="Arial" w:eastAsia="Arial" w:hAnsi="Arial"/>
                <w:sz w:val="11"/>
                <w:szCs w:val="11"/>
                <w:b w:val="1"/>
                <w:bCs w:val="1"/>
                <w:color w:val="FFFFFF"/>
              </w:rPr>
              <w:t>Cause or for</w:t>
            </w:r>
          </w:p>
        </w:tc>
        <w:tc>
          <w:tcPr>
            <w:tcW w:w="0" w:type="dxa"/>
            <w:vAlign w:val="bottom"/>
          </w:tcPr>
          <w:p>
            <w:pPr>
              <w:spacing w:after="0"/>
              <w:rPr>
                <w:sz w:val="1"/>
                <w:szCs w:val="1"/>
                <w:color w:val="auto"/>
              </w:rPr>
            </w:pPr>
          </w:p>
        </w:tc>
      </w:tr>
      <w:tr>
        <w:trPr>
          <w:trHeight w:val="118"/>
        </w:trPr>
        <w:tc>
          <w:tcPr>
            <w:tcW w:w="3080" w:type="dxa"/>
            <w:vAlign w:val="bottom"/>
            <w:shd w:val="clear" w:color="auto" w:fill="99B7C6"/>
          </w:tcPr>
          <w:p>
            <w:pPr>
              <w:spacing w:after="0"/>
              <w:rPr>
                <w:sz w:val="10"/>
                <w:szCs w:val="10"/>
                <w:color w:val="auto"/>
              </w:rPr>
            </w:pPr>
          </w:p>
        </w:tc>
        <w:tc>
          <w:tcPr>
            <w:tcW w:w="1260" w:type="dxa"/>
            <w:vAlign w:val="bottom"/>
            <w:vMerge w:val="restart"/>
            <w:shd w:val="clear" w:color="auto" w:fill="99B7C6"/>
          </w:tcPr>
          <w:p>
            <w:pPr>
              <w:jc w:val="right"/>
              <w:ind w:right="155"/>
              <w:spacing w:after="0"/>
              <w:rPr>
                <w:sz w:val="20"/>
                <w:szCs w:val="20"/>
                <w:color w:val="auto"/>
              </w:rPr>
            </w:pPr>
            <w:r>
              <w:rPr>
                <w:rFonts w:ascii="Arial" w:cs="Arial" w:eastAsia="Arial" w:hAnsi="Arial"/>
                <w:sz w:val="11"/>
                <w:szCs w:val="11"/>
                <w:b w:val="1"/>
                <w:bCs w:val="1"/>
                <w:color w:val="FFFFFF"/>
              </w:rPr>
              <w:t>Voluntary</w:t>
            </w:r>
          </w:p>
        </w:tc>
        <w:tc>
          <w:tcPr>
            <w:tcW w:w="1140" w:type="dxa"/>
            <w:vAlign w:val="bottom"/>
            <w:shd w:val="clear" w:color="auto" w:fill="99B7C6"/>
          </w:tcPr>
          <w:p>
            <w:pPr>
              <w:spacing w:after="0"/>
              <w:rPr>
                <w:sz w:val="10"/>
                <w:szCs w:val="10"/>
                <w:color w:val="auto"/>
              </w:rPr>
            </w:pPr>
          </w:p>
        </w:tc>
        <w:tc>
          <w:tcPr>
            <w:tcW w:w="1140" w:type="dxa"/>
            <w:vAlign w:val="bottom"/>
            <w:shd w:val="clear" w:color="auto" w:fill="99B7C6"/>
          </w:tcPr>
          <w:p>
            <w:pPr>
              <w:spacing w:after="0"/>
              <w:rPr>
                <w:sz w:val="10"/>
                <w:szCs w:val="10"/>
                <w:color w:val="auto"/>
              </w:rPr>
            </w:pPr>
          </w:p>
        </w:tc>
        <w:tc>
          <w:tcPr>
            <w:tcW w:w="1080" w:type="dxa"/>
            <w:vAlign w:val="bottom"/>
            <w:shd w:val="clear" w:color="auto" w:fill="99B7C6"/>
          </w:tcPr>
          <w:p>
            <w:pPr>
              <w:spacing w:after="0"/>
              <w:rPr>
                <w:sz w:val="10"/>
                <w:szCs w:val="10"/>
                <w:color w:val="auto"/>
              </w:rPr>
            </w:pPr>
          </w:p>
        </w:tc>
        <w:tc>
          <w:tcPr>
            <w:tcW w:w="1200" w:type="dxa"/>
            <w:vAlign w:val="bottom"/>
            <w:shd w:val="clear" w:color="auto" w:fill="99B7C6"/>
          </w:tcPr>
          <w:p>
            <w:pPr>
              <w:jc w:val="right"/>
              <w:ind w:right="197"/>
              <w:spacing w:after="0" w:line="118" w:lineRule="exact"/>
              <w:rPr>
                <w:sz w:val="20"/>
                <w:szCs w:val="20"/>
                <w:color w:val="auto"/>
              </w:rPr>
            </w:pPr>
            <w:r>
              <w:rPr>
                <w:rFonts w:ascii="Arial" w:cs="Arial" w:eastAsia="Arial" w:hAnsi="Arial"/>
                <w:sz w:val="11"/>
                <w:szCs w:val="11"/>
                <w:b w:val="1"/>
                <w:bCs w:val="1"/>
                <w:color w:val="FFFFFF"/>
              </w:rPr>
              <w:t>Without</w:t>
            </w:r>
          </w:p>
        </w:tc>
        <w:tc>
          <w:tcPr>
            <w:tcW w:w="1060" w:type="dxa"/>
            <w:vAlign w:val="bottom"/>
            <w:vMerge w:val="restart"/>
            <w:shd w:val="clear" w:color="auto" w:fill="99B7C6"/>
          </w:tcPr>
          <w:p>
            <w:pPr>
              <w:jc w:val="right"/>
              <w:ind w:right="135"/>
              <w:spacing w:after="0"/>
              <w:rPr>
                <w:sz w:val="20"/>
                <w:szCs w:val="20"/>
                <w:color w:val="auto"/>
              </w:rPr>
            </w:pPr>
            <w:r>
              <w:rPr>
                <w:rFonts w:ascii="Arial" w:cs="Arial" w:eastAsia="Arial" w:hAnsi="Arial"/>
                <w:sz w:val="11"/>
                <w:szCs w:val="11"/>
                <w:b w:val="1"/>
                <w:bCs w:val="1"/>
                <w:color w:val="FFFFFF"/>
              </w:rPr>
              <w:t>Termination</w:t>
            </w:r>
          </w:p>
        </w:tc>
        <w:tc>
          <w:tcPr>
            <w:tcW w:w="980" w:type="dxa"/>
            <w:vAlign w:val="bottom"/>
            <w:shd w:val="clear" w:color="auto" w:fill="99B7C6"/>
          </w:tcPr>
          <w:p>
            <w:pPr>
              <w:jc w:val="right"/>
              <w:ind w:right="38"/>
              <w:spacing w:after="0" w:line="118" w:lineRule="exact"/>
              <w:rPr>
                <w:sz w:val="20"/>
                <w:szCs w:val="20"/>
                <w:color w:val="auto"/>
              </w:rPr>
            </w:pPr>
            <w:r>
              <w:rPr>
                <w:rFonts w:ascii="Arial" w:cs="Arial" w:eastAsia="Arial" w:hAnsi="Arial"/>
                <w:sz w:val="11"/>
                <w:szCs w:val="11"/>
                <w:b w:val="1"/>
                <w:bCs w:val="1"/>
                <w:color w:val="FFFFFF"/>
              </w:rPr>
              <w:t>Good Reason</w:t>
            </w:r>
          </w:p>
        </w:tc>
        <w:tc>
          <w:tcPr>
            <w:tcW w:w="0" w:type="dxa"/>
            <w:vAlign w:val="bottom"/>
          </w:tcPr>
          <w:p>
            <w:pPr>
              <w:spacing w:after="0"/>
              <w:rPr>
                <w:sz w:val="1"/>
                <w:szCs w:val="1"/>
                <w:color w:val="auto"/>
              </w:rPr>
            </w:pPr>
          </w:p>
        </w:tc>
      </w:tr>
      <w:tr>
        <w:trPr>
          <w:trHeight w:val="118"/>
        </w:trPr>
        <w:tc>
          <w:tcPr>
            <w:tcW w:w="3080" w:type="dxa"/>
            <w:vAlign w:val="bottom"/>
            <w:shd w:val="clear" w:color="auto" w:fill="99B7C6"/>
          </w:tcPr>
          <w:p>
            <w:pPr>
              <w:spacing w:after="0"/>
              <w:rPr>
                <w:sz w:val="10"/>
                <w:szCs w:val="10"/>
                <w:color w:val="auto"/>
              </w:rPr>
            </w:pPr>
          </w:p>
        </w:tc>
        <w:tc>
          <w:tcPr>
            <w:tcW w:w="1260" w:type="dxa"/>
            <w:vAlign w:val="bottom"/>
            <w:vMerge w:val="continue"/>
            <w:shd w:val="clear" w:color="auto" w:fill="99B7C6"/>
          </w:tcPr>
          <w:p>
            <w:pPr>
              <w:spacing w:after="0"/>
              <w:rPr>
                <w:sz w:val="10"/>
                <w:szCs w:val="10"/>
                <w:color w:val="auto"/>
              </w:rPr>
            </w:pPr>
          </w:p>
        </w:tc>
        <w:tc>
          <w:tcPr>
            <w:tcW w:w="1140" w:type="dxa"/>
            <w:vAlign w:val="bottom"/>
            <w:vMerge w:val="restart"/>
            <w:shd w:val="clear" w:color="auto" w:fill="99B7C6"/>
          </w:tcPr>
          <w:p>
            <w:pPr>
              <w:jc w:val="right"/>
              <w:ind w:right="174"/>
              <w:spacing w:after="0"/>
              <w:rPr>
                <w:sz w:val="20"/>
                <w:szCs w:val="20"/>
                <w:color w:val="auto"/>
              </w:rPr>
            </w:pPr>
            <w:r>
              <w:rPr>
                <w:rFonts w:ascii="Arial" w:cs="Arial" w:eastAsia="Arial" w:hAnsi="Arial"/>
                <w:sz w:val="11"/>
                <w:szCs w:val="11"/>
                <w:b w:val="1"/>
                <w:bCs w:val="1"/>
                <w:color w:val="FFFFFF"/>
              </w:rPr>
              <w:t>Retirement at</w:t>
            </w:r>
          </w:p>
        </w:tc>
        <w:tc>
          <w:tcPr>
            <w:tcW w:w="1140" w:type="dxa"/>
            <w:vAlign w:val="bottom"/>
            <w:vMerge w:val="restart"/>
            <w:shd w:val="clear" w:color="auto" w:fill="99B7C6"/>
          </w:tcPr>
          <w:p>
            <w:pPr>
              <w:jc w:val="right"/>
              <w:ind w:right="174"/>
              <w:spacing w:after="0"/>
              <w:rPr>
                <w:sz w:val="20"/>
                <w:szCs w:val="20"/>
                <w:color w:val="auto"/>
              </w:rPr>
            </w:pPr>
            <w:r>
              <w:rPr>
                <w:rFonts w:ascii="Arial" w:cs="Arial" w:eastAsia="Arial" w:hAnsi="Arial"/>
                <w:sz w:val="11"/>
                <w:szCs w:val="11"/>
                <w:b w:val="1"/>
                <w:bCs w:val="1"/>
                <w:color w:val="FFFFFF"/>
              </w:rPr>
              <w:t>Death at</w:t>
            </w:r>
          </w:p>
        </w:tc>
        <w:tc>
          <w:tcPr>
            <w:tcW w:w="1080" w:type="dxa"/>
            <w:vAlign w:val="bottom"/>
            <w:vMerge w:val="restart"/>
            <w:shd w:val="clear" w:color="auto" w:fill="99B7C6"/>
          </w:tcPr>
          <w:p>
            <w:pPr>
              <w:jc w:val="right"/>
              <w:ind w:right="134"/>
              <w:spacing w:after="0"/>
              <w:rPr>
                <w:sz w:val="20"/>
                <w:szCs w:val="20"/>
                <w:color w:val="auto"/>
              </w:rPr>
            </w:pPr>
            <w:r>
              <w:rPr>
                <w:rFonts w:ascii="Arial" w:cs="Arial" w:eastAsia="Arial" w:hAnsi="Arial"/>
                <w:sz w:val="11"/>
                <w:szCs w:val="11"/>
                <w:b w:val="1"/>
                <w:bCs w:val="1"/>
                <w:color w:val="FFFFFF"/>
              </w:rPr>
              <w:t>Disability at</w:t>
            </w:r>
          </w:p>
        </w:tc>
        <w:tc>
          <w:tcPr>
            <w:tcW w:w="1200" w:type="dxa"/>
            <w:vAlign w:val="bottom"/>
            <w:shd w:val="clear" w:color="auto" w:fill="99B7C6"/>
          </w:tcPr>
          <w:p>
            <w:pPr>
              <w:jc w:val="right"/>
              <w:ind w:right="197"/>
              <w:spacing w:after="0" w:line="118" w:lineRule="exact"/>
              <w:rPr>
                <w:sz w:val="20"/>
                <w:szCs w:val="20"/>
                <w:color w:val="auto"/>
              </w:rPr>
            </w:pPr>
            <w:r>
              <w:rPr>
                <w:rFonts w:ascii="Arial" w:cs="Arial" w:eastAsia="Arial" w:hAnsi="Arial"/>
                <w:sz w:val="11"/>
                <w:szCs w:val="11"/>
                <w:b w:val="1"/>
                <w:bCs w:val="1"/>
                <w:color w:val="FFFFFF"/>
              </w:rPr>
              <w:t>Cause or for</w:t>
            </w:r>
          </w:p>
        </w:tc>
        <w:tc>
          <w:tcPr>
            <w:tcW w:w="1060" w:type="dxa"/>
            <w:vAlign w:val="bottom"/>
            <w:vMerge w:val="continue"/>
            <w:shd w:val="clear" w:color="auto" w:fill="99B7C6"/>
          </w:tcPr>
          <w:p>
            <w:pPr>
              <w:spacing w:after="0"/>
              <w:rPr>
                <w:sz w:val="10"/>
                <w:szCs w:val="10"/>
                <w:color w:val="auto"/>
              </w:rPr>
            </w:pPr>
          </w:p>
        </w:tc>
        <w:tc>
          <w:tcPr>
            <w:tcW w:w="980" w:type="dxa"/>
            <w:vAlign w:val="bottom"/>
            <w:shd w:val="clear" w:color="auto" w:fill="99B7C6"/>
          </w:tcPr>
          <w:p>
            <w:pPr>
              <w:jc w:val="right"/>
              <w:ind w:right="38"/>
              <w:spacing w:after="0" w:line="118" w:lineRule="exact"/>
              <w:rPr>
                <w:sz w:val="20"/>
                <w:szCs w:val="20"/>
                <w:color w:val="auto"/>
              </w:rPr>
            </w:pPr>
            <w:r>
              <w:rPr>
                <w:rFonts w:ascii="Arial" w:cs="Arial" w:eastAsia="Arial" w:hAnsi="Arial"/>
                <w:sz w:val="11"/>
                <w:szCs w:val="11"/>
                <w:b w:val="1"/>
                <w:bCs w:val="1"/>
                <w:color w:val="FFFFFF"/>
              </w:rPr>
              <w:t>Upon Change</w:t>
            </w:r>
          </w:p>
        </w:tc>
        <w:tc>
          <w:tcPr>
            <w:tcW w:w="0" w:type="dxa"/>
            <w:vAlign w:val="bottom"/>
          </w:tcPr>
          <w:p>
            <w:pPr>
              <w:spacing w:after="0"/>
              <w:rPr>
                <w:sz w:val="1"/>
                <w:szCs w:val="1"/>
                <w:color w:val="auto"/>
              </w:rPr>
            </w:pPr>
          </w:p>
        </w:tc>
      </w:tr>
      <w:tr>
        <w:trPr>
          <w:trHeight w:val="118"/>
        </w:trPr>
        <w:tc>
          <w:tcPr>
            <w:tcW w:w="3080" w:type="dxa"/>
            <w:vAlign w:val="bottom"/>
            <w:shd w:val="clear" w:color="auto" w:fill="99B7C6"/>
          </w:tcPr>
          <w:p>
            <w:pPr>
              <w:spacing w:after="0"/>
              <w:rPr>
                <w:sz w:val="10"/>
                <w:szCs w:val="10"/>
                <w:color w:val="auto"/>
              </w:rPr>
            </w:pPr>
          </w:p>
        </w:tc>
        <w:tc>
          <w:tcPr>
            <w:tcW w:w="1260" w:type="dxa"/>
            <w:vAlign w:val="bottom"/>
            <w:shd w:val="clear" w:color="auto" w:fill="99B7C6"/>
          </w:tcPr>
          <w:p>
            <w:pPr>
              <w:jc w:val="right"/>
              <w:ind w:right="155"/>
              <w:spacing w:after="0" w:line="118" w:lineRule="exact"/>
              <w:rPr>
                <w:sz w:val="20"/>
                <w:szCs w:val="20"/>
                <w:color w:val="auto"/>
              </w:rPr>
            </w:pPr>
            <w:r>
              <w:rPr>
                <w:rFonts w:ascii="Arial" w:cs="Arial" w:eastAsia="Arial" w:hAnsi="Arial"/>
                <w:sz w:val="11"/>
                <w:szCs w:val="11"/>
                <w:b w:val="1"/>
                <w:bCs w:val="1"/>
                <w:color w:val="FFFFFF"/>
              </w:rPr>
              <w:t>Termination</w:t>
            </w:r>
          </w:p>
        </w:tc>
        <w:tc>
          <w:tcPr>
            <w:tcW w:w="1140" w:type="dxa"/>
            <w:vAlign w:val="bottom"/>
            <w:vMerge w:val="continue"/>
            <w:shd w:val="clear" w:color="auto" w:fill="99B7C6"/>
          </w:tcPr>
          <w:p>
            <w:pPr>
              <w:spacing w:after="0"/>
              <w:rPr>
                <w:sz w:val="10"/>
                <w:szCs w:val="10"/>
                <w:color w:val="auto"/>
              </w:rPr>
            </w:pPr>
          </w:p>
        </w:tc>
        <w:tc>
          <w:tcPr>
            <w:tcW w:w="1140" w:type="dxa"/>
            <w:vAlign w:val="bottom"/>
            <w:vMerge w:val="continue"/>
            <w:shd w:val="clear" w:color="auto" w:fill="99B7C6"/>
          </w:tcPr>
          <w:p>
            <w:pPr>
              <w:spacing w:after="0"/>
              <w:rPr>
                <w:sz w:val="10"/>
                <w:szCs w:val="10"/>
                <w:color w:val="auto"/>
              </w:rPr>
            </w:pPr>
          </w:p>
        </w:tc>
        <w:tc>
          <w:tcPr>
            <w:tcW w:w="1080" w:type="dxa"/>
            <w:vAlign w:val="bottom"/>
            <w:vMerge w:val="continue"/>
            <w:shd w:val="clear" w:color="auto" w:fill="99B7C6"/>
          </w:tcPr>
          <w:p>
            <w:pPr>
              <w:spacing w:after="0"/>
              <w:rPr>
                <w:sz w:val="10"/>
                <w:szCs w:val="10"/>
                <w:color w:val="auto"/>
              </w:rPr>
            </w:pPr>
          </w:p>
        </w:tc>
        <w:tc>
          <w:tcPr>
            <w:tcW w:w="1200" w:type="dxa"/>
            <w:vAlign w:val="bottom"/>
            <w:shd w:val="clear" w:color="auto" w:fill="99B7C6"/>
          </w:tcPr>
          <w:p>
            <w:pPr>
              <w:jc w:val="right"/>
              <w:ind w:right="197"/>
              <w:spacing w:after="0" w:line="118" w:lineRule="exact"/>
              <w:rPr>
                <w:sz w:val="20"/>
                <w:szCs w:val="20"/>
                <w:color w:val="auto"/>
              </w:rPr>
            </w:pPr>
            <w:r>
              <w:rPr>
                <w:rFonts w:ascii="Arial" w:cs="Arial" w:eastAsia="Arial" w:hAnsi="Arial"/>
                <w:sz w:val="11"/>
                <w:szCs w:val="11"/>
                <w:b w:val="1"/>
                <w:bCs w:val="1"/>
                <w:color w:val="FFFFFF"/>
              </w:rPr>
              <w:t>Good Reason</w:t>
            </w:r>
          </w:p>
        </w:tc>
        <w:tc>
          <w:tcPr>
            <w:tcW w:w="1060" w:type="dxa"/>
            <w:vAlign w:val="bottom"/>
            <w:shd w:val="clear" w:color="auto" w:fill="99B7C6"/>
          </w:tcPr>
          <w:p>
            <w:pPr>
              <w:jc w:val="right"/>
              <w:ind w:right="135"/>
              <w:spacing w:after="0" w:line="118" w:lineRule="exact"/>
              <w:rPr>
                <w:sz w:val="20"/>
                <w:szCs w:val="20"/>
                <w:color w:val="auto"/>
              </w:rPr>
            </w:pPr>
            <w:r>
              <w:rPr>
                <w:rFonts w:ascii="Arial" w:cs="Arial" w:eastAsia="Arial" w:hAnsi="Arial"/>
                <w:sz w:val="11"/>
                <w:szCs w:val="11"/>
                <w:b w:val="1"/>
                <w:bCs w:val="1"/>
                <w:color w:val="FFFFFF"/>
              </w:rPr>
              <w:t>for Cause at</w:t>
            </w:r>
          </w:p>
        </w:tc>
        <w:tc>
          <w:tcPr>
            <w:tcW w:w="980" w:type="dxa"/>
            <w:vAlign w:val="bottom"/>
            <w:shd w:val="clear" w:color="auto" w:fill="99B7C6"/>
          </w:tcPr>
          <w:p>
            <w:pPr>
              <w:jc w:val="right"/>
              <w:ind w:right="38"/>
              <w:spacing w:after="0" w:line="118" w:lineRule="exact"/>
              <w:rPr>
                <w:sz w:val="20"/>
                <w:szCs w:val="20"/>
                <w:color w:val="auto"/>
              </w:rPr>
            </w:pPr>
            <w:r>
              <w:rPr>
                <w:rFonts w:ascii="Arial" w:cs="Arial" w:eastAsia="Arial" w:hAnsi="Arial"/>
                <w:sz w:val="11"/>
                <w:szCs w:val="11"/>
                <w:b w:val="1"/>
                <w:bCs w:val="1"/>
                <w:color w:val="FFFFFF"/>
              </w:rPr>
              <w:t>in Control at</w:t>
            </w:r>
          </w:p>
        </w:tc>
        <w:tc>
          <w:tcPr>
            <w:tcW w:w="0" w:type="dxa"/>
            <w:vAlign w:val="bottom"/>
          </w:tcPr>
          <w:p>
            <w:pPr>
              <w:spacing w:after="0"/>
              <w:rPr>
                <w:sz w:val="1"/>
                <w:szCs w:val="1"/>
                <w:color w:val="auto"/>
              </w:rPr>
            </w:pPr>
          </w:p>
        </w:tc>
      </w:tr>
      <w:tr>
        <w:trPr>
          <w:trHeight w:val="125"/>
        </w:trPr>
        <w:tc>
          <w:tcPr>
            <w:tcW w:w="3080" w:type="dxa"/>
            <w:vAlign w:val="bottom"/>
            <w:vMerge w:val="restart"/>
            <w:shd w:val="clear" w:color="auto" w:fill="99B7C6"/>
          </w:tcPr>
          <w:p>
            <w:pPr>
              <w:ind w:left="60"/>
              <w:spacing w:after="0"/>
              <w:rPr>
                <w:sz w:val="20"/>
                <w:szCs w:val="20"/>
                <w:color w:val="auto"/>
              </w:rPr>
            </w:pPr>
            <w:r>
              <w:rPr>
                <w:rFonts w:ascii="Arial" w:cs="Arial" w:eastAsia="Arial" w:hAnsi="Arial"/>
                <w:sz w:val="11"/>
                <w:szCs w:val="11"/>
                <w:b w:val="1"/>
                <w:bCs w:val="1"/>
                <w:color w:val="FFFFFF"/>
              </w:rPr>
              <w:t>David Savman</w:t>
            </w:r>
          </w:p>
        </w:tc>
        <w:tc>
          <w:tcPr>
            <w:tcW w:w="1260" w:type="dxa"/>
            <w:vAlign w:val="bottom"/>
            <w:shd w:val="clear" w:color="auto" w:fill="99B7C6"/>
          </w:tcPr>
          <w:p>
            <w:pPr>
              <w:jc w:val="right"/>
              <w:ind w:right="155"/>
              <w:spacing w:after="0" w:line="125" w:lineRule="exact"/>
              <w:rPr>
                <w:sz w:val="20"/>
                <w:szCs w:val="20"/>
                <w:color w:val="auto"/>
              </w:rPr>
            </w:pPr>
            <w:r>
              <w:rPr>
                <w:rFonts w:ascii="Arial" w:cs="Arial" w:eastAsia="Arial" w:hAnsi="Arial"/>
                <w:sz w:val="11"/>
                <w:szCs w:val="11"/>
                <w:b w:val="1"/>
                <w:bCs w:val="1"/>
                <w:color w:val="FFFFFF"/>
              </w:rPr>
              <w:t>on February 1,</w:t>
            </w:r>
          </w:p>
        </w:tc>
        <w:tc>
          <w:tcPr>
            <w:tcW w:w="1140" w:type="dxa"/>
            <w:vAlign w:val="bottom"/>
            <w:shd w:val="clear" w:color="auto" w:fill="99B7C6"/>
          </w:tcPr>
          <w:p>
            <w:pPr>
              <w:jc w:val="right"/>
              <w:ind w:right="174"/>
              <w:spacing w:after="0" w:line="125" w:lineRule="exact"/>
              <w:rPr>
                <w:sz w:val="20"/>
                <w:szCs w:val="20"/>
                <w:color w:val="auto"/>
              </w:rPr>
            </w:pPr>
            <w:r>
              <w:rPr>
                <w:rFonts w:ascii="Arial" w:cs="Arial" w:eastAsia="Arial" w:hAnsi="Arial"/>
                <w:sz w:val="11"/>
                <w:szCs w:val="11"/>
                <w:b w:val="1"/>
                <w:bCs w:val="1"/>
                <w:color w:val="FFFFFF"/>
              </w:rPr>
              <w:t>February 1,</w:t>
            </w:r>
          </w:p>
        </w:tc>
        <w:tc>
          <w:tcPr>
            <w:tcW w:w="1140" w:type="dxa"/>
            <w:vAlign w:val="bottom"/>
            <w:shd w:val="clear" w:color="auto" w:fill="99B7C6"/>
          </w:tcPr>
          <w:p>
            <w:pPr>
              <w:jc w:val="right"/>
              <w:ind w:right="174"/>
              <w:spacing w:after="0" w:line="125" w:lineRule="exact"/>
              <w:rPr>
                <w:sz w:val="20"/>
                <w:szCs w:val="20"/>
                <w:color w:val="auto"/>
              </w:rPr>
            </w:pPr>
            <w:r>
              <w:rPr>
                <w:rFonts w:ascii="Arial" w:cs="Arial" w:eastAsia="Arial" w:hAnsi="Arial"/>
                <w:sz w:val="11"/>
                <w:szCs w:val="11"/>
                <w:b w:val="1"/>
                <w:bCs w:val="1"/>
                <w:color w:val="FFFFFF"/>
              </w:rPr>
              <w:t>February 1,</w:t>
            </w:r>
          </w:p>
        </w:tc>
        <w:tc>
          <w:tcPr>
            <w:tcW w:w="1080" w:type="dxa"/>
            <w:vAlign w:val="bottom"/>
            <w:shd w:val="clear" w:color="auto" w:fill="99B7C6"/>
          </w:tcPr>
          <w:p>
            <w:pPr>
              <w:jc w:val="right"/>
              <w:ind w:right="134"/>
              <w:spacing w:after="0" w:line="125" w:lineRule="exact"/>
              <w:rPr>
                <w:sz w:val="20"/>
                <w:szCs w:val="20"/>
                <w:color w:val="auto"/>
              </w:rPr>
            </w:pPr>
            <w:r>
              <w:rPr>
                <w:rFonts w:ascii="Arial" w:cs="Arial" w:eastAsia="Arial" w:hAnsi="Arial"/>
                <w:sz w:val="11"/>
                <w:szCs w:val="11"/>
                <w:b w:val="1"/>
                <w:bCs w:val="1"/>
                <w:color w:val="FFFFFF"/>
              </w:rPr>
              <w:t>February 1,</w:t>
            </w:r>
          </w:p>
        </w:tc>
        <w:tc>
          <w:tcPr>
            <w:tcW w:w="1200" w:type="dxa"/>
            <w:vAlign w:val="bottom"/>
            <w:shd w:val="clear" w:color="auto" w:fill="99B7C6"/>
          </w:tcPr>
          <w:p>
            <w:pPr>
              <w:jc w:val="right"/>
              <w:ind w:right="197"/>
              <w:spacing w:after="0" w:line="125" w:lineRule="exact"/>
              <w:rPr>
                <w:sz w:val="20"/>
                <w:szCs w:val="20"/>
                <w:color w:val="auto"/>
              </w:rPr>
            </w:pPr>
            <w:r>
              <w:rPr>
                <w:rFonts w:ascii="Arial" w:cs="Arial" w:eastAsia="Arial" w:hAnsi="Arial"/>
                <w:sz w:val="11"/>
                <w:szCs w:val="11"/>
                <w:b w:val="1"/>
                <w:bCs w:val="1"/>
                <w:color w:val="FFFFFF"/>
              </w:rPr>
              <w:t>on February 1,</w:t>
            </w:r>
          </w:p>
        </w:tc>
        <w:tc>
          <w:tcPr>
            <w:tcW w:w="1060" w:type="dxa"/>
            <w:vAlign w:val="bottom"/>
            <w:shd w:val="clear" w:color="auto" w:fill="99B7C6"/>
          </w:tcPr>
          <w:p>
            <w:pPr>
              <w:jc w:val="right"/>
              <w:ind w:right="135"/>
              <w:spacing w:after="0" w:line="125" w:lineRule="exact"/>
              <w:rPr>
                <w:sz w:val="20"/>
                <w:szCs w:val="20"/>
                <w:color w:val="auto"/>
              </w:rPr>
            </w:pPr>
            <w:r>
              <w:rPr>
                <w:rFonts w:ascii="Arial" w:cs="Arial" w:eastAsia="Arial" w:hAnsi="Arial"/>
                <w:sz w:val="11"/>
                <w:szCs w:val="11"/>
                <w:b w:val="1"/>
                <w:bCs w:val="1"/>
                <w:color w:val="FFFFFF"/>
              </w:rPr>
              <w:t>February 1,</w:t>
            </w:r>
          </w:p>
        </w:tc>
        <w:tc>
          <w:tcPr>
            <w:tcW w:w="980" w:type="dxa"/>
            <w:vAlign w:val="bottom"/>
            <w:shd w:val="clear" w:color="auto" w:fill="99B7C6"/>
          </w:tcPr>
          <w:p>
            <w:pPr>
              <w:jc w:val="right"/>
              <w:ind w:right="38"/>
              <w:spacing w:after="0" w:line="125" w:lineRule="exact"/>
              <w:rPr>
                <w:sz w:val="20"/>
                <w:szCs w:val="20"/>
                <w:color w:val="auto"/>
              </w:rPr>
            </w:pPr>
            <w:r>
              <w:rPr>
                <w:rFonts w:ascii="Arial" w:cs="Arial" w:eastAsia="Arial" w:hAnsi="Arial"/>
                <w:sz w:val="11"/>
                <w:szCs w:val="11"/>
                <w:b w:val="1"/>
                <w:bCs w:val="1"/>
                <w:color w:val="FFFFFF"/>
              </w:rPr>
              <w:t>February 1,</w:t>
            </w:r>
          </w:p>
        </w:tc>
        <w:tc>
          <w:tcPr>
            <w:tcW w:w="0" w:type="dxa"/>
            <w:vAlign w:val="bottom"/>
          </w:tcPr>
          <w:p>
            <w:pPr>
              <w:spacing w:after="0"/>
              <w:rPr>
                <w:sz w:val="1"/>
                <w:szCs w:val="1"/>
                <w:color w:val="auto"/>
              </w:rPr>
            </w:pPr>
          </w:p>
        </w:tc>
      </w:tr>
      <w:tr>
        <w:trPr>
          <w:trHeight w:val="170"/>
        </w:trPr>
        <w:tc>
          <w:tcPr>
            <w:tcW w:w="3080" w:type="dxa"/>
            <w:vAlign w:val="bottom"/>
            <w:vMerge w:val="continue"/>
            <w:shd w:val="clear" w:color="auto" w:fill="99B7C6"/>
          </w:tcPr>
          <w:p>
            <w:pPr>
              <w:spacing w:after="0"/>
              <w:rPr>
                <w:sz w:val="14"/>
                <w:szCs w:val="14"/>
                <w:color w:val="auto"/>
              </w:rPr>
            </w:pPr>
          </w:p>
        </w:tc>
        <w:tc>
          <w:tcPr>
            <w:tcW w:w="1260" w:type="dxa"/>
            <w:vAlign w:val="bottom"/>
            <w:shd w:val="clear" w:color="auto" w:fill="99B7C6"/>
          </w:tcPr>
          <w:p>
            <w:pPr>
              <w:jc w:val="right"/>
              <w:ind w:right="135"/>
              <w:spacing w:after="0"/>
              <w:rPr>
                <w:sz w:val="20"/>
                <w:szCs w:val="20"/>
                <w:color w:val="auto"/>
              </w:rPr>
            </w:pPr>
            <w:r>
              <w:rPr>
                <w:rFonts w:ascii="Arial" w:cs="Arial" w:eastAsia="Arial" w:hAnsi="Arial"/>
                <w:sz w:val="11"/>
                <w:szCs w:val="11"/>
                <w:b w:val="1"/>
                <w:bCs w:val="1"/>
                <w:color w:val="FFFFFF"/>
              </w:rPr>
              <w:t>2026</w:t>
            </w:r>
          </w:p>
        </w:tc>
        <w:tc>
          <w:tcPr>
            <w:tcW w:w="1140" w:type="dxa"/>
            <w:vAlign w:val="bottom"/>
            <w:shd w:val="clear" w:color="auto" w:fill="99B7C6"/>
          </w:tcPr>
          <w:p>
            <w:pPr>
              <w:jc w:val="right"/>
              <w:ind w:right="134"/>
              <w:spacing w:after="0"/>
              <w:rPr>
                <w:sz w:val="20"/>
                <w:szCs w:val="20"/>
                <w:color w:val="auto"/>
              </w:rPr>
            </w:pPr>
            <w:r>
              <w:rPr>
                <w:rFonts w:ascii="Arial" w:cs="Arial" w:eastAsia="Arial" w:hAnsi="Arial"/>
                <w:sz w:val="11"/>
                <w:szCs w:val="11"/>
                <w:b w:val="1"/>
                <w:bCs w:val="1"/>
                <w:color w:val="FFFFFF"/>
              </w:rPr>
              <w:t>2026</w:t>
            </w:r>
          </w:p>
        </w:tc>
        <w:tc>
          <w:tcPr>
            <w:tcW w:w="1140" w:type="dxa"/>
            <w:vAlign w:val="bottom"/>
            <w:shd w:val="clear" w:color="auto" w:fill="99B7C6"/>
          </w:tcPr>
          <w:p>
            <w:pPr>
              <w:jc w:val="right"/>
              <w:ind w:right="154"/>
              <w:spacing w:after="0"/>
              <w:rPr>
                <w:sz w:val="20"/>
                <w:szCs w:val="20"/>
                <w:color w:val="auto"/>
              </w:rPr>
            </w:pPr>
            <w:r>
              <w:rPr>
                <w:rFonts w:ascii="Arial" w:cs="Arial" w:eastAsia="Arial" w:hAnsi="Arial"/>
                <w:sz w:val="11"/>
                <w:szCs w:val="11"/>
                <w:b w:val="1"/>
                <w:bCs w:val="1"/>
                <w:color w:val="FFFFFF"/>
              </w:rPr>
              <w:t>2026</w:t>
            </w:r>
          </w:p>
        </w:tc>
        <w:tc>
          <w:tcPr>
            <w:tcW w:w="1080" w:type="dxa"/>
            <w:vAlign w:val="bottom"/>
            <w:shd w:val="clear" w:color="auto" w:fill="99B7C6"/>
          </w:tcPr>
          <w:p>
            <w:pPr>
              <w:jc w:val="right"/>
              <w:ind w:right="94"/>
              <w:spacing w:after="0"/>
              <w:rPr>
                <w:sz w:val="20"/>
                <w:szCs w:val="20"/>
                <w:color w:val="auto"/>
              </w:rPr>
            </w:pPr>
            <w:r>
              <w:rPr>
                <w:rFonts w:ascii="Arial" w:cs="Arial" w:eastAsia="Arial" w:hAnsi="Arial"/>
                <w:sz w:val="11"/>
                <w:szCs w:val="11"/>
                <w:b w:val="1"/>
                <w:bCs w:val="1"/>
                <w:color w:val="FFFFFF"/>
              </w:rPr>
              <w:t>2026</w:t>
            </w:r>
          </w:p>
        </w:tc>
        <w:tc>
          <w:tcPr>
            <w:tcW w:w="1200" w:type="dxa"/>
            <w:vAlign w:val="bottom"/>
            <w:shd w:val="clear" w:color="auto" w:fill="99B7C6"/>
          </w:tcPr>
          <w:p>
            <w:pPr>
              <w:jc w:val="right"/>
              <w:ind w:right="177"/>
              <w:spacing w:after="0"/>
              <w:rPr>
                <w:sz w:val="20"/>
                <w:szCs w:val="20"/>
                <w:color w:val="auto"/>
              </w:rPr>
            </w:pPr>
            <w:r>
              <w:rPr>
                <w:rFonts w:ascii="Arial" w:cs="Arial" w:eastAsia="Arial" w:hAnsi="Arial"/>
                <w:sz w:val="11"/>
                <w:szCs w:val="11"/>
                <w:b w:val="1"/>
                <w:bCs w:val="1"/>
                <w:color w:val="FFFFFF"/>
              </w:rPr>
              <w:t>2026</w:t>
            </w:r>
          </w:p>
        </w:tc>
        <w:tc>
          <w:tcPr>
            <w:tcW w:w="1060" w:type="dxa"/>
            <w:vAlign w:val="bottom"/>
            <w:shd w:val="clear" w:color="auto" w:fill="99B7C6"/>
          </w:tcPr>
          <w:p>
            <w:pPr>
              <w:jc w:val="right"/>
              <w:ind w:right="115"/>
              <w:spacing w:after="0"/>
              <w:rPr>
                <w:sz w:val="20"/>
                <w:szCs w:val="20"/>
                <w:color w:val="auto"/>
              </w:rPr>
            </w:pPr>
            <w:r>
              <w:rPr>
                <w:rFonts w:ascii="Arial" w:cs="Arial" w:eastAsia="Arial" w:hAnsi="Arial"/>
                <w:sz w:val="11"/>
                <w:szCs w:val="11"/>
                <w:b w:val="1"/>
                <w:bCs w:val="1"/>
                <w:color w:val="FFFFFF"/>
              </w:rPr>
              <w:t>2026</w:t>
            </w:r>
          </w:p>
        </w:tc>
        <w:tc>
          <w:tcPr>
            <w:tcW w:w="980" w:type="dxa"/>
            <w:vAlign w:val="bottom"/>
            <w:shd w:val="clear" w:color="auto" w:fill="99B7C6"/>
          </w:tcPr>
          <w:p>
            <w:pPr>
              <w:jc w:val="right"/>
              <w:ind w:right="38"/>
              <w:spacing w:after="0"/>
              <w:rPr>
                <w:sz w:val="20"/>
                <w:szCs w:val="20"/>
                <w:color w:val="auto"/>
              </w:rPr>
            </w:pPr>
            <w:r>
              <w:rPr>
                <w:rFonts w:ascii="Arial" w:cs="Arial" w:eastAsia="Arial" w:hAnsi="Arial"/>
                <w:sz w:val="11"/>
                <w:szCs w:val="11"/>
                <w:b w:val="1"/>
                <w:bCs w:val="1"/>
                <w:color w:val="FFFFFF"/>
              </w:rPr>
              <w:t>2026</w:t>
            </w:r>
            <w:r>
              <w:rPr>
                <w:rFonts w:ascii="Arial" w:cs="Arial" w:eastAsia="Arial" w:hAnsi="Arial"/>
                <w:sz w:val="12"/>
                <w:szCs w:val="12"/>
                <w:color w:val="FFFFFF"/>
                <w:vertAlign w:val="superscript"/>
              </w:rPr>
              <w:t>2</w:t>
            </w:r>
          </w:p>
        </w:tc>
        <w:tc>
          <w:tcPr>
            <w:tcW w:w="0" w:type="dxa"/>
            <w:vAlign w:val="bottom"/>
          </w:tcPr>
          <w:p>
            <w:pPr>
              <w:spacing w:after="0"/>
              <w:rPr>
                <w:sz w:val="1"/>
                <w:szCs w:val="1"/>
                <w:color w:val="auto"/>
              </w:rPr>
            </w:pPr>
          </w:p>
        </w:tc>
      </w:tr>
      <w:tr>
        <w:trPr>
          <w:trHeight w:val="310"/>
        </w:trPr>
        <w:tc>
          <w:tcPr>
            <w:tcW w:w="308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Severance value</w:t>
            </w:r>
            <w:r>
              <w:rPr>
                <w:rFonts w:ascii="Arial" w:cs="Arial" w:eastAsia="Arial" w:hAnsi="Arial"/>
                <w:sz w:val="16"/>
                <w:szCs w:val="16"/>
                <w:color w:val="auto"/>
                <w:vertAlign w:val="superscript"/>
              </w:rPr>
              <w:t>3</w:t>
            </w:r>
          </w:p>
        </w:tc>
        <w:tc>
          <w:tcPr>
            <w:tcW w:w="1260" w:type="dxa"/>
            <w:vAlign w:val="bottom"/>
            <w:tcBorders>
              <w:bottom w:val="single" w:sz="8" w:color="E9F0F3"/>
            </w:tcBorders>
            <w:shd w:val="clear" w:color="auto" w:fill="E9F0F3"/>
          </w:tcPr>
          <w:p>
            <w:pPr>
              <w:jc w:val="right"/>
              <w:ind w:right="135"/>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E9F0F3"/>
            </w:tcBorders>
            <w:shd w:val="clear" w:color="auto" w:fill="E9F0F3"/>
          </w:tcPr>
          <w:p>
            <w:pPr>
              <w:jc w:val="right"/>
              <w:ind w:right="134"/>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E9F0F3"/>
            </w:tcBorders>
            <w:shd w:val="clear" w:color="auto" w:fill="E9F0F3"/>
          </w:tcPr>
          <w:p>
            <w:pPr>
              <w:jc w:val="right"/>
              <w:ind w:right="154"/>
              <w:spacing w:after="0"/>
              <w:rPr>
                <w:sz w:val="20"/>
                <w:szCs w:val="20"/>
                <w:color w:val="auto"/>
              </w:rPr>
            </w:pPr>
            <w:r>
              <w:rPr>
                <w:rFonts w:ascii="Arial" w:cs="Arial" w:eastAsia="Arial" w:hAnsi="Arial"/>
                <w:sz w:val="14"/>
                <w:szCs w:val="14"/>
                <w:color w:val="auto"/>
              </w:rPr>
              <w:t>$0</w:t>
            </w:r>
          </w:p>
        </w:tc>
        <w:tc>
          <w:tcPr>
            <w:tcW w:w="1080" w:type="dxa"/>
            <w:vAlign w:val="bottom"/>
            <w:tcBorders>
              <w:bottom w:val="single" w:sz="8" w:color="E9F0F3"/>
            </w:tcBorders>
            <w:shd w:val="clear" w:color="auto" w:fill="E9F0F3"/>
          </w:tcPr>
          <w:p>
            <w:pPr>
              <w:jc w:val="right"/>
              <w:ind w:right="94"/>
              <w:spacing w:after="0"/>
              <w:rPr>
                <w:sz w:val="20"/>
                <w:szCs w:val="20"/>
                <w:color w:val="auto"/>
              </w:rPr>
            </w:pPr>
            <w:r>
              <w:rPr>
                <w:rFonts w:ascii="Arial" w:cs="Arial" w:eastAsia="Arial" w:hAnsi="Arial"/>
                <w:sz w:val="14"/>
                <w:szCs w:val="14"/>
                <w:color w:val="auto"/>
              </w:rPr>
              <w:t>$0</w:t>
            </w:r>
          </w:p>
        </w:tc>
        <w:tc>
          <w:tcPr>
            <w:tcW w:w="1200" w:type="dxa"/>
            <w:vAlign w:val="bottom"/>
            <w:tcBorders>
              <w:bottom w:val="single" w:sz="8" w:color="E9F0F3"/>
            </w:tcBorders>
            <w:shd w:val="clear" w:color="auto" w:fill="E9F0F3"/>
          </w:tcPr>
          <w:p>
            <w:pPr>
              <w:jc w:val="right"/>
              <w:ind w:right="177"/>
              <w:spacing w:after="0"/>
              <w:rPr>
                <w:sz w:val="20"/>
                <w:szCs w:val="20"/>
                <w:color w:val="auto"/>
              </w:rPr>
            </w:pPr>
            <w:r>
              <w:rPr>
                <w:rFonts w:ascii="Arial" w:cs="Arial" w:eastAsia="Arial" w:hAnsi="Arial"/>
                <w:sz w:val="14"/>
                <w:szCs w:val="14"/>
                <w:color w:val="auto"/>
              </w:rPr>
              <w:t>$3,300,000</w:t>
            </w:r>
          </w:p>
        </w:tc>
        <w:tc>
          <w:tcPr>
            <w:tcW w:w="1060" w:type="dxa"/>
            <w:vAlign w:val="bottom"/>
            <w:tcBorders>
              <w:bottom w:val="single" w:sz="8" w:color="E9F0F3"/>
            </w:tcBorders>
            <w:shd w:val="clear" w:color="auto" w:fill="E9F0F3"/>
          </w:tcPr>
          <w:p>
            <w:pPr>
              <w:jc w:val="right"/>
              <w:ind w:right="115"/>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E9F0F3"/>
            </w:tcBorders>
            <w:shd w:val="clear" w:color="auto" w:fill="E9F0F3"/>
          </w:tcPr>
          <w:p>
            <w:pPr>
              <w:jc w:val="right"/>
              <w:ind w:right="58"/>
              <w:spacing w:after="0"/>
              <w:rPr>
                <w:sz w:val="20"/>
                <w:szCs w:val="20"/>
                <w:color w:val="auto"/>
              </w:rPr>
            </w:pPr>
            <w:r>
              <w:rPr>
                <w:rFonts w:ascii="Arial" w:cs="Arial" w:eastAsia="Arial" w:hAnsi="Arial"/>
                <w:sz w:val="14"/>
                <w:szCs w:val="14"/>
                <w:color w:val="auto"/>
              </w:rPr>
              <w:t>$3,300,000</w:t>
            </w:r>
          </w:p>
        </w:tc>
        <w:tc>
          <w:tcPr>
            <w:tcW w:w="0" w:type="dxa"/>
            <w:vAlign w:val="bottom"/>
          </w:tcPr>
          <w:p>
            <w:pPr>
              <w:spacing w:after="0"/>
              <w:rPr>
                <w:sz w:val="1"/>
                <w:szCs w:val="1"/>
                <w:color w:val="auto"/>
              </w:rPr>
            </w:pPr>
          </w:p>
        </w:tc>
      </w:tr>
      <w:tr>
        <w:trPr>
          <w:trHeight w:val="290"/>
        </w:trPr>
        <w:tc>
          <w:tcPr>
            <w:tcW w:w="3080" w:type="dxa"/>
            <w:vAlign w:val="bottom"/>
          </w:tcPr>
          <w:p>
            <w:pPr>
              <w:ind w:left="60"/>
              <w:spacing w:after="0"/>
              <w:rPr>
                <w:sz w:val="20"/>
                <w:szCs w:val="20"/>
                <w:color w:val="auto"/>
              </w:rPr>
            </w:pPr>
            <w:r>
              <w:rPr>
                <w:rFonts w:ascii="Arial" w:cs="Arial" w:eastAsia="Arial" w:hAnsi="Arial"/>
                <w:sz w:val="14"/>
                <w:szCs w:val="14"/>
                <w:color w:val="auto"/>
              </w:rPr>
              <w:t>Performance Incentive Bonus Plan</w:t>
            </w:r>
            <w:r>
              <w:rPr>
                <w:rFonts w:ascii="Arial" w:cs="Arial" w:eastAsia="Arial" w:hAnsi="Arial"/>
                <w:sz w:val="16"/>
                <w:szCs w:val="16"/>
                <w:color w:val="auto"/>
                <w:vertAlign w:val="superscript"/>
              </w:rPr>
              <w:t>4</w:t>
            </w:r>
          </w:p>
        </w:tc>
        <w:tc>
          <w:tcPr>
            <w:tcW w:w="1260" w:type="dxa"/>
            <w:vAlign w:val="bottom"/>
          </w:tcPr>
          <w:p>
            <w:pPr>
              <w:jc w:val="right"/>
              <w:ind w:right="135"/>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34"/>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54"/>
              <w:spacing w:after="0"/>
              <w:rPr>
                <w:sz w:val="20"/>
                <w:szCs w:val="20"/>
                <w:color w:val="auto"/>
              </w:rPr>
            </w:pPr>
            <w:r>
              <w:rPr>
                <w:rFonts w:ascii="Arial" w:cs="Arial" w:eastAsia="Arial" w:hAnsi="Arial"/>
                <w:sz w:val="14"/>
                <w:szCs w:val="14"/>
                <w:color w:val="auto"/>
              </w:rPr>
              <w:t>0</w:t>
            </w:r>
          </w:p>
        </w:tc>
        <w:tc>
          <w:tcPr>
            <w:tcW w:w="1080" w:type="dxa"/>
            <w:vAlign w:val="bottom"/>
          </w:tcPr>
          <w:p>
            <w:pPr>
              <w:jc w:val="right"/>
              <w:ind w:right="94"/>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177"/>
              <w:spacing w:after="0"/>
              <w:rPr>
                <w:sz w:val="20"/>
                <w:szCs w:val="20"/>
                <w:color w:val="auto"/>
              </w:rPr>
            </w:pPr>
            <w:r>
              <w:rPr>
                <w:rFonts w:ascii="Arial" w:cs="Arial" w:eastAsia="Arial" w:hAnsi="Arial"/>
                <w:sz w:val="14"/>
                <w:szCs w:val="14"/>
                <w:color w:val="auto"/>
              </w:rPr>
              <w:t>0</w:t>
            </w:r>
          </w:p>
        </w:tc>
        <w:tc>
          <w:tcPr>
            <w:tcW w:w="1060" w:type="dxa"/>
            <w:vAlign w:val="bottom"/>
          </w:tcPr>
          <w:p>
            <w:pPr>
              <w:jc w:val="right"/>
              <w:ind w:right="115"/>
              <w:spacing w:after="0"/>
              <w:rPr>
                <w:sz w:val="20"/>
                <w:szCs w:val="20"/>
                <w:color w:val="auto"/>
              </w:rPr>
            </w:pPr>
            <w:r>
              <w:rPr>
                <w:rFonts w:ascii="Arial" w:cs="Arial" w:eastAsia="Arial" w:hAnsi="Arial"/>
                <w:sz w:val="14"/>
                <w:szCs w:val="14"/>
                <w:color w:val="auto"/>
              </w:rPr>
              <w:t>0</w:t>
            </w:r>
          </w:p>
        </w:tc>
        <w:tc>
          <w:tcPr>
            <w:tcW w:w="980" w:type="dxa"/>
            <w:vAlign w:val="bottom"/>
          </w:tcPr>
          <w:p>
            <w:pPr>
              <w:jc w:val="right"/>
              <w:ind w:right="5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39"/>
        </w:trPr>
        <w:tc>
          <w:tcPr>
            <w:tcW w:w="3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3080" w:type="dxa"/>
            <w:vAlign w:val="bottom"/>
            <w:shd w:val="clear" w:color="auto" w:fill="E9F0F3"/>
          </w:tcPr>
          <w:p>
            <w:pPr>
              <w:ind w:left="60"/>
              <w:spacing w:after="0"/>
              <w:rPr>
                <w:sz w:val="20"/>
                <w:szCs w:val="20"/>
                <w:color w:val="auto"/>
              </w:rPr>
            </w:pPr>
            <w:r>
              <w:rPr>
                <w:rFonts w:ascii="Arial" w:cs="Arial" w:eastAsia="Arial" w:hAnsi="Arial"/>
                <w:sz w:val="14"/>
                <w:szCs w:val="14"/>
                <w:color w:val="auto"/>
              </w:rPr>
              <w:t>Value of “in the money” unexercisable stock</w:t>
            </w:r>
          </w:p>
        </w:tc>
        <w:tc>
          <w:tcPr>
            <w:tcW w:w="1260" w:type="dxa"/>
            <w:vAlign w:val="bottom"/>
            <w:shd w:val="clear" w:color="auto" w:fill="E9F0F3"/>
          </w:tcPr>
          <w:p>
            <w:pPr>
              <w:jc w:val="right"/>
              <w:ind w:right="135"/>
              <w:spacing w:after="0"/>
              <w:rPr>
                <w:sz w:val="20"/>
                <w:szCs w:val="20"/>
                <w:color w:val="auto"/>
              </w:rPr>
            </w:pPr>
            <w:r>
              <w:rPr>
                <w:rFonts w:ascii="Arial" w:cs="Arial" w:eastAsia="Arial" w:hAnsi="Arial"/>
                <w:sz w:val="14"/>
                <w:szCs w:val="14"/>
                <w:color w:val="auto"/>
              </w:rPr>
              <w:t>N/A</w:t>
            </w:r>
          </w:p>
        </w:tc>
        <w:tc>
          <w:tcPr>
            <w:tcW w:w="1140" w:type="dxa"/>
            <w:vAlign w:val="bottom"/>
            <w:shd w:val="clear" w:color="auto" w:fill="E9F0F3"/>
          </w:tcPr>
          <w:p>
            <w:pPr>
              <w:jc w:val="right"/>
              <w:ind w:right="134"/>
              <w:spacing w:after="0"/>
              <w:rPr>
                <w:sz w:val="20"/>
                <w:szCs w:val="20"/>
                <w:color w:val="auto"/>
              </w:rPr>
            </w:pPr>
            <w:r>
              <w:rPr>
                <w:rFonts w:ascii="Arial" w:cs="Arial" w:eastAsia="Arial" w:hAnsi="Arial"/>
                <w:sz w:val="14"/>
                <w:szCs w:val="14"/>
                <w:color w:val="auto"/>
              </w:rPr>
              <w:t>N/A</w:t>
            </w:r>
          </w:p>
        </w:tc>
        <w:tc>
          <w:tcPr>
            <w:tcW w:w="1140" w:type="dxa"/>
            <w:vAlign w:val="bottom"/>
            <w:shd w:val="clear" w:color="auto" w:fill="E9F0F3"/>
          </w:tcPr>
          <w:p>
            <w:pPr>
              <w:jc w:val="right"/>
              <w:ind w:right="154"/>
              <w:spacing w:after="0"/>
              <w:rPr>
                <w:sz w:val="20"/>
                <w:szCs w:val="20"/>
                <w:color w:val="auto"/>
              </w:rPr>
            </w:pPr>
            <w:r>
              <w:rPr>
                <w:rFonts w:ascii="Arial" w:cs="Arial" w:eastAsia="Arial" w:hAnsi="Arial"/>
                <w:sz w:val="14"/>
                <w:szCs w:val="14"/>
                <w:color w:val="auto"/>
              </w:rPr>
              <w:t>N/A</w:t>
            </w:r>
          </w:p>
        </w:tc>
        <w:tc>
          <w:tcPr>
            <w:tcW w:w="1080" w:type="dxa"/>
            <w:vAlign w:val="bottom"/>
            <w:shd w:val="clear" w:color="auto" w:fill="E9F0F3"/>
          </w:tcPr>
          <w:p>
            <w:pPr>
              <w:jc w:val="right"/>
              <w:ind w:right="94"/>
              <w:spacing w:after="0"/>
              <w:rPr>
                <w:sz w:val="20"/>
                <w:szCs w:val="20"/>
                <w:color w:val="auto"/>
              </w:rPr>
            </w:pPr>
            <w:r>
              <w:rPr>
                <w:rFonts w:ascii="Arial" w:cs="Arial" w:eastAsia="Arial" w:hAnsi="Arial"/>
                <w:sz w:val="14"/>
                <w:szCs w:val="14"/>
                <w:color w:val="auto"/>
              </w:rPr>
              <w:t>N/A</w:t>
            </w:r>
          </w:p>
        </w:tc>
        <w:tc>
          <w:tcPr>
            <w:tcW w:w="1200" w:type="dxa"/>
            <w:vAlign w:val="bottom"/>
            <w:shd w:val="clear" w:color="auto" w:fill="E9F0F3"/>
          </w:tcPr>
          <w:p>
            <w:pPr>
              <w:jc w:val="right"/>
              <w:ind w:right="177"/>
              <w:spacing w:after="0"/>
              <w:rPr>
                <w:sz w:val="20"/>
                <w:szCs w:val="20"/>
                <w:color w:val="auto"/>
              </w:rPr>
            </w:pPr>
            <w:r>
              <w:rPr>
                <w:rFonts w:ascii="Arial" w:cs="Arial" w:eastAsia="Arial" w:hAnsi="Arial"/>
                <w:sz w:val="14"/>
                <w:szCs w:val="14"/>
                <w:color w:val="auto"/>
              </w:rPr>
              <w:t>N/A</w:t>
            </w:r>
          </w:p>
        </w:tc>
        <w:tc>
          <w:tcPr>
            <w:tcW w:w="1060" w:type="dxa"/>
            <w:vAlign w:val="bottom"/>
            <w:shd w:val="clear" w:color="auto" w:fill="E9F0F3"/>
          </w:tcPr>
          <w:p>
            <w:pPr>
              <w:jc w:val="right"/>
              <w:ind w:right="115"/>
              <w:spacing w:after="0"/>
              <w:rPr>
                <w:sz w:val="20"/>
                <w:szCs w:val="20"/>
                <w:color w:val="auto"/>
              </w:rPr>
            </w:pPr>
            <w:r>
              <w:rPr>
                <w:rFonts w:ascii="Arial" w:cs="Arial" w:eastAsia="Arial" w:hAnsi="Arial"/>
                <w:sz w:val="14"/>
                <w:szCs w:val="14"/>
                <w:color w:val="auto"/>
              </w:rPr>
              <w:t>N/A</w:t>
            </w:r>
          </w:p>
        </w:tc>
        <w:tc>
          <w:tcPr>
            <w:tcW w:w="980" w:type="dxa"/>
            <w:vAlign w:val="bottom"/>
            <w:shd w:val="clear" w:color="auto" w:fill="E9F0F3"/>
          </w:tcPr>
          <w:p>
            <w:pPr>
              <w:jc w:val="right"/>
              <w:ind w:right="3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40"/>
        </w:trPr>
        <w:tc>
          <w:tcPr>
            <w:tcW w:w="308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options</w:t>
            </w:r>
            <w:r>
              <w:rPr>
                <w:rFonts w:ascii="Arial" w:cs="Arial" w:eastAsia="Arial" w:hAnsi="Arial"/>
                <w:sz w:val="16"/>
                <w:szCs w:val="16"/>
                <w:color w:val="auto"/>
                <w:vertAlign w:val="superscript"/>
              </w:rPr>
              <w:t>5</w:t>
            </w:r>
          </w:p>
        </w:tc>
        <w:tc>
          <w:tcPr>
            <w:tcW w:w="1260" w:type="dxa"/>
            <w:vAlign w:val="bottom"/>
            <w:tcBorders>
              <w:bottom w:val="single" w:sz="8" w:color="E9F0F3"/>
            </w:tcBorders>
            <w:shd w:val="clear" w:color="auto" w:fill="E9F0F3"/>
          </w:tcPr>
          <w:p>
            <w:pPr>
              <w:spacing w:after="0"/>
              <w:rPr>
                <w:sz w:val="20"/>
                <w:szCs w:val="20"/>
                <w:color w:val="auto"/>
              </w:rPr>
            </w:pPr>
          </w:p>
        </w:tc>
        <w:tc>
          <w:tcPr>
            <w:tcW w:w="1140" w:type="dxa"/>
            <w:vAlign w:val="bottom"/>
            <w:tcBorders>
              <w:bottom w:val="single" w:sz="8" w:color="E9F0F3"/>
            </w:tcBorders>
            <w:shd w:val="clear" w:color="auto" w:fill="E9F0F3"/>
          </w:tcPr>
          <w:p>
            <w:pPr>
              <w:spacing w:after="0"/>
              <w:rPr>
                <w:sz w:val="20"/>
                <w:szCs w:val="20"/>
                <w:color w:val="auto"/>
              </w:rPr>
            </w:pPr>
          </w:p>
        </w:tc>
        <w:tc>
          <w:tcPr>
            <w:tcW w:w="1140" w:type="dxa"/>
            <w:vAlign w:val="bottom"/>
            <w:tcBorders>
              <w:bottom w:val="single" w:sz="8" w:color="E9F0F3"/>
            </w:tcBorders>
            <w:shd w:val="clear" w:color="auto" w:fill="E9F0F3"/>
          </w:tcPr>
          <w:p>
            <w:pPr>
              <w:spacing w:after="0"/>
              <w:rPr>
                <w:sz w:val="20"/>
                <w:szCs w:val="20"/>
                <w:color w:val="auto"/>
              </w:rPr>
            </w:pPr>
          </w:p>
        </w:tc>
        <w:tc>
          <w:tcPr>
            <w:tcW w:w="1080" w:type="dxa"/>
            <w:vAlign w:val="bottom"/>
            <w:tcBorders>
              <w:bottom w:val="single" w:sz="8" w:color="E9F0F3"/>
            </w:tcBorders>
            <w:shd w:val="clear" w:color="auto" w:fill="E9F0F3"/>
          </w:tcPr>
          <w:p>
            <w:pPr>
              <w:spacing w:after="0"/>
              <w:rPr>
                <w:sz w:val="20"/>
                <w:szCs w:val="20"/>
                <w:color w:val="auto"/>
              </w:rPr>
            </w:pPr>
          </w:p>
        </w:tc>
        <w:tc>
          <w:tcPr>
            <w:tcW w:w="1200" w:type="dxa"/>
            <w:vAlign w:val="bottom"/>
            <w:tcBorders>
              <w:bottom w:val="single" w:sz="8" w:color="E9F0F3"/>
            </w:tcBorders>
            <w:shd w:val="clear" w:color="auto" w:fill="E9F0F3"/>
          </w:tcPr>
          <w:p>
            <w:pPr>
              <w:spacing w:after="0"/>
              <w:rPr>
                <w:sz w:val="20"/>
                <w:szCs w:val="20"/>
                <w:color w:val="auto"/>
              </w:rPr>
            </w:pPr>
          </w:p>
        </w:tc>
        <w:tc>
          <w:tcPr>
            <w:tcW w:w="1060" w:type="dxa"/>
            <w:vAlign w:val="bottom"/>
            <w:tcBorders>
              <w:bottom w:val="single" w:sz="8" w:color="E9F0F3"/>
            </w:tcBorders>
            <w:shd w:val="clear" w:color="auto" w:fill="E9F0F3"/>
          </w:tcPr>
          <w:p>
            <w:pPr>
              <w:spacing w:after="0"/>
              <w:rPr>
                <w:sz w:val="20"/>
                <w:szCs w:val="20"/>
                <w:color w:val="auto"/>
              </w:rPr>
            </w:pPr>
          </w:p>
        </w:tc>
        <w:tc>
          <w:tcPr>
            <w:tcW w:w="980" w:type="dxa"/>
            <w:vAlign w:val="bottom"/>
            <w:tcBorders>
              <w:bottom w:val="single" w:sz="8" w:color="E9F0F3"/>
            </w:tcBorders>
            <w:shd w:val="clear" w:color="auto" w:fill="E9F0F3"/>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080" w:type="dxa"/>
            <w:vAlign w:val="bottom"/>
          </w:tcPr>
          <w:p>
            <w:pPr>
              <w:ind w:left="60"/>
              <w:spacing w:after="0"/>
              <w:rPr>
                <w:sz w:val="20"/>
                <w:szCs w:val="20"/>
                <w:color w:val="auto"/>
              </w:rPr>
            </w:pPr>
            <w:r>
              <w:rPr>
                <w:rFonts w:ascii="Arial" w:cs="Arial" w:eastAsia="Arial" w:hAnsi="Arial"/>
                <w:sz w:val="14"/>
                <w:szCs w:val="14"/>
                <w:color w:val="auto"/>
              </w:rPr>
              <w:t>Value of unvested RSUs</w:t>
            </w:r>
            <w:r>
              <w:rPr>
                <w:rFonts w:ascii="Arial" w:cs="Arial" w:eastAsia="Arial" w:hAnsi="Arial"/>
                <w:sz w:val="16"/>
                <w:szCs w:val="16"/>
                <w:color w:val="auto"/>
                <w:vertAlign w:val="superscript"/>
              </w:rPr>
              <w:t>6</w:t>
            </w:r>
          </w:p>
        </w:tc>
        <w:tc>
          <w:tcPr>
            <w:tcW w:w="1260" w:type="dxa"/>
            <w:vAlign w:val="bottom"/>
          </w:tcPr>
          <w:p>
            <w:pPr>
              <w:jc w:val="right"/>
              <w:ind w:right="135"/>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34"/>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54"/>
              <w:spacing w:after="0"/>
              <w:rPr>
                <w:sz w:val="20"/>
                <w:szCs w:val="20"/>
                <w:color w:val="auto"/>
              </w:rPr>
            </w:pPr>
            <w:r>
              <w:rPr>
                <w:rFonts w:ascii="Arial" w:cs="Arial" w:eastAsia="Arial" w:hAnsi="Arial"/>
                <w:sz w:val="14"/>
                <w:szCs w:val="14"/>
                <w:color w:val="auto"/>
              </w:rPr>
              <w:t>1,107,950</w:t>
            </w:r>
          </w:p>
        </w:tc>
        <w:tc>
          <w:tcPr>
            <w:tcW w:w="1080" w:type="dxa"/>
            <w:vAlign w:val="bottom"/>
          </w:tcPr>
          <w:p>
            <w:pPr>
              <w:jc w:val="right"/>
              <w:ind w:right="94"/>
              <w:spacing w:after="0"/>
              <w:rPr>
                <w:sz w:val="20"/>
                <w:szCs w:val="20"/>
                <w:color w:val="auto"/>
              </w:rPr>
            </w:pPr>
            <w:r>
              <w:rPr>
                <w:rFonts w:ascii="Arial" w:cs="Arial" w:eastAsia="Arial" w:hAnsi="Arial"/>
                <w:sz w:val="14"/>
                <w:szCs w:val="14"/>
                <w:color w:val="auto"/>
              </w:rPr>
              <w:t>1,107,950</w:t>
            </w:r>
          </w:p>
        </w:tc>
        <w:tc>
          <w:tcPr>
            <w:tcW w:w="1200" w:type="dxa"/>
            <w:vAlign w:val="bottom"/>
          </w:tcPr>
          <w:p>
            <w:pPr>
              <w:jc w:val="right"/>
              <w:ind w:right="177"/>
              <w:spacing w:after="0"/>
              <w:rPr>
                <w:sz w:val="20"/>
                <w:szCs w:val="20"/>
                <w:color w:val="auto"/>
              </w:rPr>
            </w:pPr>
            <w:r>
              <w:rPr>
                <w:rFonts w:ascii="Arial" w:cs="Arial" w:eastAsia="Arial" w:hAnsi="Arial"/>
                <w:sz w:val="14"/>
                <w:szCs w:val="14"/>
                <w:color w:val="auto"/>
              </w:rPr>
              <w:t>0</w:t>
            </w:r>
          </w:p>
        </w:tc>
        <w:tc>
          <w:tcPr>
            <w:tcW w:w="1060" w:type="dxa"/>
            <w:vAlign w:val="bottom"/>
          </w:tcPr>
          <w:p>
            <w:pPr>
              <w:jc w:val="right"/>
              <w:ind w:right="115"/>
              <w:spacing w:after="0"/>
              <w:rPr>
                <w:sz w:val="20"/>
                <w:szCs w:val="20"/>
                <w:color w:val="auto"/>
              </w:rPr>
            </w:pPr>
            <w:r>
              <w:rPr>
                <w:rFonts w:ascii="Arial" w:cs="Arial" w:eastAsia="Arial" w:hAnsi="Arial"/>
                <w:sz w:val="14"/>
                <w:szCs w:val="14"/>
                <w:color w:val="auto"/>
              </w:rPr>
              <w:t>0</w:t>
            </w:r>
          </w:p>
        </w:tc>
        <w:tc>
          <w:tcPr>
            <w:tcW w:w="980" w:type="dxa"/>
            <w:vAlign w:val="bottom"/>
          </w:tcPr>
          <w:p>
            <w:pPr>
              <w:jc w:val="right"/>
              <w:ind w:right="58"/>
              <w:spacing w:after="0"/>
              <w:rPr>
                <w:sz w:val="20"/>
                <w:szCs w:val="20"/>
                <w:color w:val="auto"/>
              </w:rPr>
            </w:pPr>
            <w:r>
              <w:rPr>
                <w:rFonts w:ascii="Arial" w:cs="Arial" w:eastAsia="Arial" w:hAnsi="Arial"/>
                <w:sz w:val="14"/>
                <w:szCs w:val="14"/>
                <w:color w:val="auto"/>
              </w:rPr>
              <w:t>1,107,950</w:t>
            </w:r>
          </w:p>
        </w:tc>
        <w:tc>
          <w:tcPr>
            <w:tcW w:w="0" w:type="dxa"/>
            <w:vAlign w:val="bottom"/>
          </w:tcPr>
          <w:p>
            <w:pPr>
              <w:spacing w:after="0"/>
              <w:rPr>
                <w:sz w:val="1"/>
                <w:szCs w:val="1"/>
                <w:color w:val="auto"/>
              </w:rPr>
            </w:pPr>
          </w:p>
        </w:tc>
      </w:tr>
      <w:tr>
        <w:trPr>
          <w:trHeight w:val="39"/>
        </w:trPr>
        <w:tc>
          <w:tcPr>
            <w:tcW w:w="3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0"/>
        </w:trPr>
        <w:tc>
          <w:tcPr>
            <w:tcW w:w="308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Value of unvested PSUs</w:t>
            </w:r>
            <w:r>
              <w:rPr>
                <w:rFonts w:ascii="Arial" w:cs="Arial" w:eastAsia="Arial" w:hAnsi="Arial"/>
                <w:sz w:val="16"/>
                <w:szCs w:val="16"/>
                <w:color w:val="auto"/>
                <w:vertAlign w:val="superscript"/>
              </w:rPr>
              <w:t>7</w:t>
            </w:r>
          </w:p>
        </w:tc>
        <w:tc>
          <w:tcPr>
            <w:tcW w:w="1260" w:type="dxa"/>
            <w:vAlign w:val="bottom"/>
            <w:tcBorders>
              <w:bottom w:val="single" w:sz="8" w:color="E9F0F3"/>
            </w:tcBorders>
            <w:shd w:val="clear" w:color="auto" w:fill="E9F0F3"/>
          </w:tcPr>
          <w:p>
            <w:pPr>
              <w:jc w:val="right"/>
              <w:ind w:right="135"/>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E9F0F3"/>
            </w:tcBorders>
            <w:shd w:val="clear" w:color="auto" w:fill="E9F0F3"/>
          </w:tcPr>
          <w:p>
            <w:pPr>
              <w:jc w:val="right"/>
              <w:ind w:right="134"/>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E9F0F3"/>
            </w:tcBorders>
            <w:shd w:val="clear" w:color="auto" w:fill="E9F0F3"/>
          </w:tcPr>
          <w:p>
            <w:pPr>
              <w:jc w:val="right"/>
              <w:ind w:right="154"/>
              <w:spacing w:after="0"/>
              <w:rPr>
                <w:sz w:val="20"/>
                <w:szCs w:val="20"/>
                <w:color w:val="auto"/>
              </w:rPr>
            </w:pPr>
            <w:r>
              <w:rPr>
                <w:rFonts w:ascii="Arial" w:cs="Arial" w:eastAsia="Arial" w:hAnsi="Arial"/>
                <w:sz w:val="14"/>
                <w:szCs w:val="14"/>
                <w:color w:val="auto"/>
              </w:rPr>
              <w:t>558,874</w:t>
            </w:r>
          </w:p>
        </w:tc>
        <w:tc>
          <w:tcPr>
            <w:tcW w:w="1080" w:type="dxa"/>
            <w:vAlign w:val="bottom"/>
            <w:tcBorders>
              <w:bottom w:val="single" w:sz="8" w:color="E9F0F3"/>
            </w:tcBorders>
            <w:shd w:val="clear" w:color="auto" w:fill="E9F0F3"/>
          </w:tcPr>
          <w:p>
            <w:pPr>
              <w:jc w:val="right"/>
              <w:ind w:right="94"/>
              <w:spacing w:after="0"/>
              <w:rPr>
                <w:sz w:val="20"/>
                <w:szCs w:val="20"/>
                <w:color w:val="auto"/>
              </w:rPr>
            </w:pPr>
            <w:r>
              <w:rPr>
                <w:rFonts w:ascii="Arial" w:cs="Arial" w:eastAsia="Arial" w:hAnsi="Arial"/>
                <w:sz w:val="14"/>
                <w:szCs w:val="14"/>
                <w:color w:val="auto"/>
              </w:rPr>
              <w:t>253,009</w:t>
            </w:r>
          </w:p>
        </w:tc>
        <w:tc>
          <w:tcPr>
            <w:tcW w:w="1200" w:type="dxa"/>
            <w:vAlign w:val="bottom"/>
            <w:tcBorders>
              <w:bottom w:val="single" w:sz="8" w:color="E9F0F3"/>
            </w:tcBorders>
            <w:shd w:val="clear" w:color="auto" w:fill="E9F0F3"/>
          </w:tcPr>
          <w:p>
            <w:pPr>
              <w:jc w:val="right"/>
              <w:ind w:right="177"/>
              <w:spacing w:after="0"/>
              <w:rPr>
                <w:sz w:val="20"/>
                <w:szCs w:val="20"/>
                <w:color w:val="auto"/>
              </w:rPr>
            </w:pPr>
            <w:r>
              <w:rPr>
                <w:rFonts w:ascii="Arial" w:cs="Arial" w:eastAsia="Arial" w:hAnsi="Arial"/>
                <w:sz w:val="14"/>
                <w:szCs w:val="14"/>
                <w:color w:val="auto"/>
              </w:rPr>
              <w:t>253,009</w:t>
            </w:r>
          </w:p>
        </w:tc>
        <w:tc>
          <w:tcPr>
            <w:tcW w:w="1060" w:type="dxa"/>
            <w:vAlign w:val="bottom"/>
            <w:tcBorders>
              <w:bottom w:val="single" w:sz="8" w:color="E9F0F3"/>
            </w:tcBorders>
            <w:shd w:val="clear" w:color="auto" w:fill="E9F0F3"/>
          </w:tcPr>
          <w:p>
            <w:pPr>
              <w:jc w:val="right"/>
              <w:ind w:right="115"/>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E9F0F3"/>
            </w:tcBorders>
            <w:shd w:val="clear" w:color="auto" w:fill="E9F0F3"/>
          </w:tcPr>
          <w:p>
            <w:pPr>
              <w:jc w:val="right"/>
              <w:ind w:right="58"/>
              <w:spacing w:after="0"/>
              <w:rPr>
                <w:sz w:val="20"/>
                <w:szCs w:val="20"/>
                <w:color w:val="auto"/>
              </w:rPr>
            </w:pPr>
            <w:r>
              <w:rPr>
                <w:rFonts w:ascii="Arial" w:cs="Arial" w:eastAsia="Arial" w:hAnsi="Arial"/>
                <w:sz w:val="14"/>
                <w:szCs w:val="14"/>
                <w:color w:val="auto"/>
              </w:rPr>
              <w:t>558,874</w:t>
            </w:r>
          </w:p>
        </w:tc>
        <w:tc>
          <w:tcPr>
            <w:tcW w:w="0" w:type="dxa"/>
            <w:vAlign w:val="bottom"/>
          </w:tcPr>
          <w:p>
            <w:pPr>
              <w:spacing w:after="0"/>
              <w:rPr>
                <w:sz w:val="1"/>
                <w:szCs w:val="1"/>
                <w:color w:val="auto"/>
              </w:rPr>
            </w:pPr>
          </w:p>
        </w:tc>
      </w:tr>
      <w:tr>
        <w:trPr>
          <w:trHeight w:val="290"/>
        </w:trPr>
        <w:tc>
          <w:tcPr>
            <w:tcW w:w="3080" w:type="dxa"/>
            <w:vAlign w:val="bottom"/>
          </w:tcPr>
          <w:p>
            <w:pPr>
              <w:ind w:left="60"/>
              <w:spacing w:after="0"/>
              <w:rPr>
                <w:sz w:val="20"/>
                <w:szCs w:val="20"/>
                <w:color w:val="auto"/>
              </w:rPr>
            </w:pPr>
            <w:r>
              <w:rPr>
                <w:rFonts w:ascii="Arial" w:cs="Arial" w:eastAsia="Arial" w:hAnsi="Arial"/>
                <w:sz w:val="14"/>
                <w:szCs w:val="14"/>
                <w:color w:val="auto"/>
              </w:rPr>
              <w:t>Welfare benefits value</w:t>
            </w:r>
            <w:r>
              <w:rPr>
                <w:rFonts w:ascii="Arial" w:cs="Arial" w:eastAsia="Arial" w:hAnsi="Arial"/>
                <w:sz w:val="16"/>
                <w:szCs w:val="16"/>
                <w:color w:val="auto"/>
                <w:vertAlign w:val="superscript"/>
              </w:rPr>
              <w:t>8</w:t>
            </w:r>
          </w:p>
        </w:tc>
        <w:tc>
          <w:tcPr>
            <w:tcW w:w="1260" w:type="dxa"/>
            <w:vAlign w:val="bottom"/>
          </w:tcPr>
          <w:p>
            <w:pPr>
              <w:jc w:val="right"/>
              <w:ind w:right="135"/>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34"/>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154"/>
              <w:spacing w:after="0"/>
              <w:rPr>
                <w:sz w:val="20"/>
                <w:szCs w:val="20"/>
                <w:color w:val="auto"/>
              </w:rPr>
            </w:pPr>
            <w:r>
              <w:rPr>
                <w:rFonts w:ascii="Arial" w:cs="Arial" w:eastAsia="Arial" w:hAnsi="Arial"/>
                <w:sz w:val="14"/>
                <w:szCs w:val="14"/>
                <w:color w:val="auto"/>
              </w:rPr>
              <w:t>0</w:t>
            </w:r>
          </w:p>
        </w:tc>
        <w:tc>
          <w:tcPr>
            <w:tcW w:w="1080" w:type="dxa"/>
            <w:vAlign w:val="bottom"/>
          </w:tcPr>
          <w:p>
            <w:pPr>
              <w:jc w:val="right"/>
              <w:ind w:right="94"/>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177"/>
              <w:spacing w:after="0"/>
              <w:rPr>
                <w:sz w:val="20"/>
                <w:szCs w:val="20"/>
                <w:color w:val="auto"/>
              </w:rPr>
            </w:pPr>
            <w:r>
              <w:rPr>
                <w:rFonts w:ascii="Arial" w:cs="Arial" w:eastAsia="Arial" w:hAnsi="Arial"/>
                <w:sz w:val="14"/>
                <w:szCs w:val="14"/>
                <w:color w:val="auto"/>
              </w:rPr>
              <w:t>51,622</w:t>
            </w:r>
          </w:p>
        </w:tc>
        <w:tc>
          <w:tcPr>
            <w:tcW w:w="1060" w:type="dxa"/>
            <w:vAlign w:val="bottom"/>
          </w:tcPr>
          <w:p>
            <w:pPr>
              <w:jc w:val="right"/>
              <w:ind w:right="115"/>
              <w:spacing w:after="0"/>
              <w:rPr>
                <w:sz w:val="20"/>
                <w:szCs w:val="20"/>
                <w:color w:val="auto"/>
              </w:rPr>
            </w:pPr>
            <w:r>
              <w:rPr>
                <w:rFonts w:ascii="Arial" w:cs="Arial" w:eastAsia="Arial" w:hAnsi="Arial"/>
                <w:sz w:val="14"/>
                <w:szCs w:val="14"/>
                <w:color w:val="auto"/>
              </w:rPr>
              <w:t>0</w:t>
            </w:r>
          </w:p>
        </w:tc>
        <w:tc>
          <w:tcPr>
            <w:tcW w:w="980" w:type="dxa"/>
            <w:vAlign w:val="bottom"/>
          </w:tcPr>
          <w:p>
            <w:pPr>
              <w:jc w:val="right"/>
              <w:ind w:right="58"/>
              <w:spacing w:after="0"/>
              <w:rPr>
                <w:sz w:val="20"/>
                <w:szCs w:val="20"/>
                <w:color w:val="auto"/>
              </w:rPr>
            </w:pPr>
            <w:r>
              <w:rPr>
                <w:rFonts w:ascii="Arial" w:cs="Arial" w:eastAsia="Arial" w:hAnsi="Arial"/>
                <w:sz w:val="14"/>
                <w:szCs w:val="14"/>
                <w:color w:val="auto"/>
              </w:rPr>
              <w:t>51,622</w:t>
            </w:r>
          </w:p>
        </w:tc>
        <w:tc>
          <w:tcPr>
            <w:tcW w:w="0" w:type="dxa"/>
            <w:vAlign w:val="bottom"/>
          </w:tcPr>
          <w:p>
            <w:pPr>
              <w:spacing w:after="0"/>
              <w:rPr>
                <w:sz w:val="1"/>
                <w:szCs w:val="1"/>
                <w:color w:val="auto"/>
              </w:rPr>
            </w:pPr>
          </w:p>
        </w:tc>
      </w:tr>
      <w:tr>
        <w:trPr>
          <w:trHeight w:val="39"/>
        </w:trPr>
        <w:tc>
          <w:tcPr>
            <w:tcW w:w="3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308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Total</w:t>
            </w:r>
          </w:p>
        </w:tc>
        <w:tc>
          <w:tcPr>
            <w:tcW w:w="1260" w:type="dxa"/>
            <w:vAlign w:val="bottom"/>
            <w:shd w:val="clear" w:color="auto" w:fill="E9F0F3"/>
          </w:tcPr>
          <w:p>
            <w:pPr>
              <w:jc w:val="right"/>
              <w:ind w:right="135"/>
              <w:spacing w:after="0"/>
              <w:rPr>
                <w:sz w:val="20"/>
                <w:szCs w:val="20"/>
                <w:color w:val="auto"/>
              </w:rPr>
            </w:pPr>
            <w:r>
              <w:rPr>
                <w:rFonts w:ascii="Arial" w:cs="Arial" w:eastAsia="Arial" w:hAnsi="Arial"/>
                <w:sz w:val="14"/>
                <w:szCs w:val="14"/>
                <w:b w:val="1"/>
                <w:bCs w:val="1"/>
                <w:color w:val="auto"/>
              </w:rPr>
              <w:t>$0</w:t>
            </w:r>
          </w:p>
        </w:tc>
        <w:tc>
          <w:tcPr>
            <w:tcW w:w="1140" w:type="dxa"/>
            <w:vAlign w:val="bottom"/>
            <w:shd w:val="clear" w:color="auto" w:fill="E9F0F3"/>
          </w:tcPr>
          <w:p>
            <w:pPr>
              <w:jc w:val="right"/>
              <w:ind w:right="134"/>
              <w:spacing w:after="0"/>
              <w:rPr>
                <w:sz w:val="20"/>
                <w:szCs w:val="20"/>
                <w:color w:val="auto"/>
              </w:rPr>
            </w:pPr>
            <w:r>
              <w:rPr>
                <w:rFonts w:ascii="Arial" w:cs="Arial" w:eastAsia="Arial" w:hAnsi="Arial"/>
                <w:sz w:val="14"/>
                <w:szCs w:val="14"/>
                <w:b w:val="1"/>
                <w:bCs w:val="1"/>
                <w:color w:val="auto"/>
              </w:rPr>
              <w:t>$0</w:t>
            </w:r>
          </w:p>
        </w:tc>
        <w:tc>
          <w:tcPr>
            <w:tcW w:w="1140" w:type="dxa"/>
            <w:vAlign w:val="bottom"/>
            <w:shd w:val="clear" w:color="auto" w:fill="E9F0F3"/>
          </w:tcPr>
          <w:p>
            <w:pPr>
              <w:jc w:val="right"/>
              <w:ind w:right="154"/>
              <w:spacing w:after="0"/>
              <w:rPr>
                <w:sz w:val="20"/>
                <w:szCs w:val="20"/>
                <w:color w:val="auto"/>
              </w:rPr>
            </w:pPr>
            <w:r>
              <w:rPr>
                <w:rFonts w:ascii="Arial" w:cs="Arial" w:eastAsia="Arial" w:hAnsi="Arial"/>
                <w:sz w:val="14"/>
                <w:szCs w:val="14"/>
                <w:b w:val="1"/>
                <w:bCs w:val="1"/>
                <w:color w:val="auto"/>
              </w:rPr>
              <w:t>$1,666,824</w:t>
            </w:r>
          </w:p>
        </w:tc>
        <w:tc>
          <w:tcPr>
            <w:tcW w:w="1080" w:type="dxa"/>
            <w:vAlign w:val="bottom"/>
            <w:shd w:val="clear" w:color="auto" w:fill="E9F0F3"/>
          </w:tcPr>
          <w:p>
            <w:pPr>
              <w:jc w:val="right"/>
              <w:ind w:right="94"/>
              <w:spacing w:after="0"/>
              <w:rPr>
                <w:sz w:val="20"/>
                <w:szCs w:val="20"/>
                <w:color w:val="auto"/>
              </w:rPr>
            </w:pPr>
            <w:r>
              <w:rPr>
                <w:rFonts w:ascii="Arial" w:cs="Arial" w:eastAsia="Arial" w:hAnsi="Arial"/>
                <w:sz w:val="14"/>
                <w:szCs w:val="14"/>
                <w:b w:val="1"/>
                <w:bCs w:val="1"/>
                <w:color w:val="auto"/>
              </w:rPr>
              <w:t>$1,360,960</w:t>
            </w:r>
          </w:p>
        </w:tc>
        <w:tc>
          <w:tcPr>
            <w:tcW w:w="1200" w:type="dxa"/>
            <w:vAlign w:val="bottom"/>
            <w:shd w:val="clear" w:color="auto" w:fill="E9F0F3"/>
          </w:tcPr>
          <w:p>
            <w:pPr>
              <w:jc w:val="right"/>
              <w:ind w:right="177"/>
              <w:spacing w:after="0"/>
              <w:rPr>
                <w:sz w:val="20"/>
                <w:szCs w:val="20"/>
                <w:color w:val="auto"/>
              </w:rPr>
            </w:pPr>
            <w:r>
              <w:rPr>
                <w:rFonts w:ascii="Arial" w:cs="Arial" w:eastAsia="Arial" w:hAnsi="Arial"/>
                <w:sz w:val="14"/>
                <w:szCs w:val="14"/>
                <w:b w:val="1"/>
                <w:bCs w:val="1"/>
                <w:color w:val="auto"/>
              </w:rPr>
              <w:t>$3,604,631</w:t>
            </w:r>
          </w:p>
        </w:tc>
        <w:tc>
          <w:tcPr>
            <w:tcW w:w="1060" w:type="dxa"/>
            <w:vAlign w:val="bottom"/>
            <w:shd w:val="clear" w:color="auto" w:fill="E9F0F3"/>
          </w:tcPr>
          <w:p>
            <w:pPr>
              <w:jc w:val="right"/>
              <w:ind w:right="115"/>
              <w:spacing w:after="0"/>
              <w:rPr>
                <w:sz w:val="20"/>
                <w:szCs w:val="20"/>
                <w:color w:val="auto"/>
              </w:rPr>
            </w:pPr>
            <w:r>
              <w:rPr>
                <w:rFonts w:ascii="Arial" w:cs="Arial" w:eastAsia="Arial" w:hAnsi="Arial"/>
                <w:sz w:val="14"/>
                <w:szCs w:val="14"/>
                <w:b w:val="1"/>
                <w:bCs w:val="1"/>
                <w:color w:val="auto"/>
              </w:rPr>
              <w:t>$0</w:t>
            </w:r>
          </w:p>
        </w:tc>
        <w:tc>
          <w:tcPr>
            <w:tcW w:w="980" w:type="dxa"/>
            <w:vAlign w:val="bottom"/>
            <w:shd w:val="clear" w:color="auto" w:fill="E9F0F3"/>
          </w:tcPr>
          <w:p>
            <w:pPr>
              <w:jc w:val="right"/>
              <w:ind w:right="58"/>
              <w:spacing w:after="0"/>
              <w:rPr>
                <w:sz w:val="20"/>
                <w:szCs w:val="20"/>
                <w:color w:val="auto"/>
              </w:rPr>
            </w:pPr>
            <w:r>
              <w:rPr>
                <w:rFonts w:ascii="Arial" w:cs="Arial" w:eastAsia="Arial" w:hAnsi="Arial"/>
                <w:sz w:val="14"/>
                <w:szCs w:val="14"/>
                <w:b w:val="1"/>
                <w:bCs w:val="1"/>
                <w:color w:val="auto"/>
              </w:rPr>
              <w:t>$5,018,446</w:t>
            </w:r>
          </w:p>
        </w:tc>
        <w:tc>
          <w:tcPr>
            <w:tcW w:w="0" w:type="dxa"/>
            <w:vAlign w:val="bottom"/>
          </w:tcPr>
          <w:p>
            <w:pPr>
              <w:spacing w:after="0"/>
              <w:rPr>
                <w:sz w:val="1"/>
                <w:szCs w:val="1"/>
                <w:color w:val="auto"/>
              </w:rPr>
            </w:pPr>
          </w:p>
        </w:tc>
      </w:tr>
      <w:tr>
        <w:trPr>
          <w:trHeight w:val="66"/>
        </w:trPr>
        <w:tc>
          <w:tcPr>
            <w:tcW w:w="3080" w:type="dxa"/>
            <w:vAlign w:val="bottom"/>
            <w:shd w:val="clear" w:color="auto" w:fill="E9F0F3"/>
          </w:tcPr>
          <w:p>
            <w:pPr>
              <w:spacing w:after="0"/>
              <w:rPr>
                <w:sz w:val="5"/>
                <w:szCs w:val="5"/>
                <w:color w:val="auto"/>
              </w:rPr>
            </w:pPr>
          </w:p>
        </w:tc>
        <w:tc>
          <w:tcPr>
            <w:tcW w:w="1260" w:type="dxa"/>
            <w:vAlign w:val="bottom"/>
            <w:shd w:val="clear" w:color="auto" w:fill="E9F0F3"/>
          </w:tcPr>
          <w:p>
            <w:pPr>
              <w:spacing w:after="0"/>
              <w:rPr>
                <w:sz w:val="5"/>
                <w:szCs w:val="5"/>
                <w:color w:val="auto"/>
              </w:rPr>
            </w:pPr>
          </w:p>
        </w:tc>
        <w:tc>
          <w:tcPr>
            <w:tcW w:w="1140" w:type="dxa"/>
            <w:vAlign w:val="bottom"/>
            <w:shd w:val="clear" w:color="auto" w:fill="E9F0F3"/>
          </w:tcPr>
          <w:p>
            <w:pPr>
              <w:spacing w:after="0"/>
              <w:rPr>
                <w:sz w:val="5"/>
                <w:szCs w:val="5"/>
                <w:color w:val="auto"/>
              </w:rPr>
            </w:pPr>
          </w:p>
        </w:tc>
        <w:tc>
          <w:tcPr>
            <w:tcW w:w="1140" w:type="dxa"/>
            <w:vAlign w:val="bottom"/>
            <w:shd w:val="clear" w:color="auto" w:fill="E9F0F3"/>
          </w:tcPr>
          <w:p>
            <w:pPr>
              <w:spacing w:after="0"/>
              <w:rPr>
                <w:sz w:val="5"/>
                <w:szCs w:val="5"/>
                <w:color w:val="auto"/>
              </w:rPr>
            </w:pPr>
          </w:p>
        </w:tc>
        <w:tc>
          <w:tcPr>
            <w:tcW w:w="1080" w:type="dxa"/>
            <w:vAlign w:val="bottom"/>
            <w:shd w:val="clear" w:color="auto" w:fill="E9F0F3"/>
          </w:tcPr>
          <w:p>
            <w:pPr>
              <w:spacing w:after="0"/>
              <w:rPr>
                <w:sz w:val="5"/>
                <w:szCs w:val="5"/>
                <w:color w:val="auto"/>
              </w:rPr>
            </w:pPr>
          </w:p>
        </w:tc>
        <w:tc>
          <w:tcPr>
            <w:tcW w:w="1200" w:type="dxa"/>
            <w:vAlign w:val="bottom"/>
            <w:shd w:val="clear" w:color="auto" w:fill="E9F0F3"/>
          </w:tcPr>
          <w:p>
            <w:pPr>
              <w:spacing w:after="0"/>
              <w:rPr>
                <w:sz w:val="5"/>
                <w:szCs w:val="5"/>
                <w:color w:val="auto"/>
              </w:rPr>
            </w:pPr>
          </w:p>
        </w:tc>
        <w:tc>
          <w:tcPr>
            <w:tcW w:w="1060" w:type="dxa"/>
            <w:vAlign w:val="bottom"/>
            <w:shd w:val="clear" w:color="auto" w:fill="E9F0F3"/>
          </w:tcPr>
          <w:p>
            <w:pPr>
              <w:spacing w:after="0"/>
              <w:rPr>
                <w:sz w:val="5"/>
                <w:szCs w:val="5"/>
                <w:color w:val="auto"/>
              </w:rPr>
            </w:pPr>
          </w:p>
        </w:tc>
        <w:tc>
          <w:tcPr>
            <w:tcW w:w="98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 xml:space="preserve">78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60" w:top="293" w:right="49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50"/>
        </w:trPr>
        <w:tc>
          <w:tcPr>
            <w:tcW w:w="5860" w:type="dxa"/>
            <w:vAlign w:val="bottom"/>
            <w:shd w:val="clear" w:color="auto" w:fill="99B7C6"/>
          </w:tcPr>
          <w:p>
            <w:pPr>
              <w:spacing w:after="0"/>
              <w:rPr>
                <w:sz w:val="13"/>
                <w:szCs w:val="13"/>
                <w:color w:val="auto"/>
              </w:rPr>
            </w:pPr>
          </w:p>
        </w:tc>
        <w:tc>
          <w:tcPr>
            <w:tcW w:w="5080" w:type="dxa"/>
            <w:vAlign w:val="bottom"/>
            <w:shd w:val="clear" w:color="auto" w:fill="99B7C6"/>
          </w:tcPr>
          <w:p>
            <w:pPr>
              <w:jc w:val="right"/>
              <w:spacing w:after="0"/>
              <w:rPr>
                <w:sz w:val="20"/>
                <w:szCs w:val="20"/>
                <w:color w:val="auto"/>
              </w:rPr>
            </w:pPr>
            <w:r>
              <w:rPr>
                <w:rFonts w:ascii="Arial" w:cs="Arial" w:eastAsia="Arial" w:hAnsi="Arial"/>
                <w:sz w:val="11"/>
                <w:szCs w:val="11"/>
                <w:b w:val="1"/>
                <w:bCs w:val="1"/>
                <w:color w:val="FFFFFF"/>
              </w:rPr>
              <w:t>Voluntary</w:t>
            </w:r>
          </w:p>
        </w:tc>
        <w:tc>
          <w:tcPr>
            <w:tcW w:w="0" w:type="dxa"/>
            <w:vAlign w:val="bottom"/>
          </w:tcPr>
          <w:p>
            <w:pPr>
              <w:spacing w:after="0"/>
              <w:rPr>
                <w:sz w:val="1"/>
                <w:szCs w:val="1"/>
                <w:color w:val="auto"/>
              </w:rPr>
            </w:pPr>
          </w:p>
        </w:tc>
      </w:tr>
      <w:tr>
        <w:trPr>
          <w:trHeight w:val="118"/>
        </w:trPr>
        <w:tc>
          <w:tcPr>
            <w:tcW w:w="5860" w:type="dxa"/>
            <w:vAlign w:val="bottom"/>
            <w:shd w:val="clear" w:color="auto" w:fill="99B7C6"/>
          </w:tcPr>
          <w:p>
            <w:pPr>
              <w:spacing w:after="0"/>
              <w:rPr>
                <w:sz w:val="10"/>
                <w:szCs w:val="10"/>
                <w:color w:val="auto"/>
              </w:rPr>
            </w:pPr>
          </w:p>
        </w:tc>
        <w:tc>
          <w:tcPr>
            <w:tcW w:w="5080" w:type="dxa"/>
            <w:vAlign w:val="bottom"/>
            <w:shd w:val="clear" w:color="auto" w:fill="99B7C6"/>
          </w:tcPr>
          <w:p>
            <w:pPr>
              <w:jc w:val="right"/>
              <w:spacing w:after="0" w:line="118" w:lineRule="exact"/>
              <w:rPr>
                <w:sz w:val="20"/>
                <w:szCs w:val="20"/>
                <w:color w:val="auto"/>
              </w:rPr>
            </w:pPr>
            <w:r>
              <w:rPr>
                <w:rFonts w:ascii="Arial" w:cs="Arial" w:eastAsia="Arial" w:hAnsi="Arial"/>
                <w:sz w:val="11"/>
                <w:szCs w:val="11"/>
                <w:b w:val="1"/>
                <w:bCs w:val="1"/>
                <w:color w:val="FFFFFF"/>
              </w:rPr>
              <w:t>Termination</w:t>
            </w:r>
          </w:p>
        </w:tc>
        <w:tc>
          <w:tcPr>
            <w:tcW w:w="0" w:type="dxa"/>
            <w:vAlign w:val="bottom"/>
          </w:tcPr>
          <w:p>
            <w:pPr>
              <w:spacing w:after="0"/>
              <w:rPr>
                <w:sz w:val="1"/>
                <w:szCs w:val="1"/>
                <w:color w:val="auto"/>
              </w:rPr>
            </w:pPr>
          </w:p>
        </w:tc>
      </w:tr>
      <w:tr>
        <w:trPr>
          <w:trHeight w:val="118"/>
        </w:trPr>
        <w:tc>
          <w:tcPr>
            <w:tcW w:w="5860" w:type="dxa"/>
            <w:vAlign w:val="bottom"/>
            <w:vMerge w:val="restart"/>
            <w:shd w:val="clear" w:color="auto" w:fill="99B7C6"/>
          </w:tcPr>
          <w:p>
            <w:pPr>
              <w:ind w:left="60"/>
              <w:spacing w:after="0"/>
              <w:rPr>
                <w:sz w:val="20"/>
                <w:szCs w:val="20"/>
                <w:color w:val="auto"/>
              </w:rPr>
            </w:pPr>
            <w:r>
              <w:rPr>
                <w:rFonts w:ascii="Arial" w:cs="Arial" w:eastAsia="Arial" w:hAnsi="Arial"/>
                <w:sz w:val="11"/>
                <w:szCs w:val="11"/>
                <w:b w:val="1"/>
                <w:bCs w:val="1"/>
                <w:color w:val="FFFFFF"/>
              </w:rPr>
              <w:t>Zachary J. Coughlin</w:t>
            </w:r>
          </w:p>
        </w:tc>
        <w:tc>
          <w:tcPr>
            <w:tcW w:w="5080" w:type="dxa"/>
            <w:vAlign w:val="bottom"/>
            <w:shd w:val="clear" w:color="auto" w:fill="99B7C6"/>
          </w:tcPr>
          <w:p>
            <w:pPr>
              <w:jc w:val="right"/>
              <w:spacing w:after="0" w:line="118" w:lineRule="exact"/>
              <w:rPr>
                <w:sz w:val="20"/>
                <w:szCs w:val="20"/>
                <w:color w:val="auto"/>
              </w:rPr>
            </w:pPr>
            <w:r>
              <w:rPr>
                <w:rFonts w:ascii="Arial" w:cs="Arial" w:eastAsia="Arial" w:hAnsi="Arial"/>
                <w:sz w:val="11"/>
                <w:szCs w:val="11"/>
                <w:b w:val="1"/>
                <w:bCs w:val="1"/>
                <w:color w:val="FFFFFF"/>
              </w:rPr>
              <w:t>on December 31,</w:t>
            </w:r>
          </w:p>
        </w:tc>
        <w:tc>
          <w:tcPr>
            <w:tcW w:w="0" w:type="dxa"/>
            <w:vAlign w:val="bottom"/>
          </w:tcPr>
          <w:p>
            <w:pPr>
              <w:spacing w:after="0"/>
              <w:rPr>
                <w:sz w:val="1"/>
                <w:szCs w:val="1"/>
                <w:color w:val="auto"/>
              </w:rPr>
            </w:pPr>
          </w:p>
        </w:tc>
      </w:tr>
      <w:tr>
        <w:trPr>
          <w:trHeight w:val="168"/>
        </w:trPr>
        <w:tc>
          <w:tcPr>
            <w:tcW w:w="5860" w:type="dxa"/>
            <w:vAlign w:val="bottom"/>
            <w:vMerge w:val="continue"/>
            <w:shd w:val="clear" w:color="auto" w:fill="99B7C6"/>
          </w:tcPr>
          <w:p>
            <w:pPr>
              <w:spacing w:after="0"/>
              <w:rPr>
                <w:sz w:val="14"/>
                <w:szCs w:val="14"/>
                <w:color w:val="auto"/>
              </w:rPr>
            </w:pPr>
          </w:p>
        </w:tc>
        <w:tc>
          <w:tcPr>
            <w:tcW w:w="5080" w:type="dxa"/>
            <w:vAlign w:val="bottom"/>
            <w:shd w:val="clear" w:color="auto" w:fill="99B7C6"/>
          </w:tcPr>
          <w:p>
            <w:pPr>
              <w:jc w:val="right"/>
              <w:spacing w:after="0"/>
              <w:rPr>
                <w:sz w:val="20"/>
                <w:szCs w:val="20"/>
                <w:color w:val="auto"/>
              </w:rPr>
            </w:pPr>
            <w:r>
              <w:rPr>
                <w:rFonts w:ascii="Arial" w:cs="Arial" w:eastAsia="Arial" w:hAnsi="Arial"/>
                <w:sz w:val="11"/>
                <w:szCs w:val="11"/>
                <w:b w:val="1"/>
                <w:bCs w:val="1"/>
                <w:color w:val="FFFFFF"/>
              </w:rPr>
              <w:t>2025</w:t>
            </w:r>
          </w:p>
        </w:tc>
        <w:tc>
          <w:tcPr>
            <w:tcW w:w="0" w:type="dxa"/>
            <w:vAlign w:val="bottom"/>
          </w:tcPr>
          <w:p>
            <w:pPr>
              <w:spacing w:after="0"/>
              <w:rPr>
                <w:sz w:val="1"/>
                <w:szCs w:val="1"/>
                <w:color w:val="auto"/>
              </w:rPr>
            </w:pPr>
          </w:p>
        </w:tc>
      </w:tr>
      <w:tr>
        <w:trPr>
          <w:trHeight w:val="256"/>
        </w:trPr>
        <w:tc>
          <w:tcPr>
            <w:tcW w:w="5860" w:type="dxa"/>
            <w:vAlign w:val="bottom"/>
            <w:shd w:val="clear" w:color="auto" w:fill="E9F0F3"/>
          </w:tcPr>
          <w:p>
            <w:pPr>
              <w:ind w:left="60"/>
              <w:spacing w:after="0"/>
              <w:rPr>
                <w:sz w:val="20"/>
                <w:szCs w:val="20"/>
                <w:color w:val="auto"/>
              </w:rPr>
            </w:pPr>
            <w:r>
              <w:rPr>
                <w:rFonts w:ascii="Arial" w:cs="Arial" w:eastAsia="Arial" w:hAnsi="Arial"/>
                <w:sz w:val="14"/>
                <w:szCs w:val="14"/>
                <w:color w:val="auto"/>
              </w:rPr>
              <w:t>Severance Value</w:t>
            </w:r>
          </w:p>
        </w:tc>
        <w:tc>
          <w:tcPr>
            <w:tcW w:w="5080" w:type="dxa"/>
            <w:vAlign w:val="bottom"/>
            <w:shd w:val="clear" w:color="auto" w:fill="E9F0F3"/>
          </w:tcPr>
          <w:p>
            <w:pPr>
              <w:jc w:val="right"/>
              <w:ind w:right="5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4"/>
        </w:trPr>
        <w:tc>
          <w:tcPr>
            <w:tcW w:w="5860" w:type="dxa"/>
            <w:vAlign w:val="bottom"/>
            <w:shd w:val="clear" w:color="auto" w:fill="E9F0F3"/>
          </w:tcPr>
          <w:p>
            <w:pPr>
              <w:spacing w:after="0"/>
              <w:rPr>
                <w:sz w:val="6"/>
                <w:szCs w:val="6"/>
                <w:color w:val="auto"/>
              </w:rPr>
            </w:pPr>
          </w:p>
        </w:tc>
        <w:tc>
          <w:tcPr>
            <w:tcW w:w="508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5860" w:type="dxa"/>
            <w:vAlign w:val="bottom"/>
          </w:tcPr>
          <w:p>
            <w:pPr>
              <w:ind w:left="60"/>
              <w:spacing w:after="0"/>
              <w:rPr>
                <w:sz w:val="20"/>
                <w:szCs w:val="20"/>
                <w:color w:val="auto"/>
              </w:rPr>
            </w:pPr>
            <w:r>
              <w:rPr>
                <w:rFonts w:ascii="Arial" w:cs="Arial" w:eastAsia="Arial" w:hAnsi="Arial"/>
                <w:sz w:val="14"/>
                <w:szCs w:val="14"/>
                <w:color w:val="auto"/>
              </w:rPr>
              <w:t>Value of accelerated PSUs</w:t>
            </w:r>
          </w:p>
        </w:tc>
        <w:tc>
          <w:tcPr>
            <w:tcW w:w="5080" w:type="dxa"/>
            <w:vAlign w:val="bottom"/>
          </w:tcPr>
          <w:p>
            <w:pPr>
              <w:jc w:val="right"/>
              <w:ind w:right="58"/>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74"/>
        </w:trPr>
        <w:tc>
          <w:tcPr>
            <w:tcW w:w="5860" w:type="dxa"/>
            <w:vAlign w:val="bottom"/>
          </w:tcPr>
          <w:p>
            <w:pPr>
              <w:spacing w:after="0"/>
              <w:rPr>
                <w:sz w:val="6"/>
                <w:szCs w:val="6"/>
                <w:color w:val="auto"/>
              </w:rPr>
            </w:pPr>
          </w:p>
        </w:tc>
        <w:tc>
          <w:tcPr>
            <w:tcW w:w="5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5860" w:type="dxa"/>
            <w:vAlign w:val="bottom"/>
            <w:shd w:val="clear" w:color="auto" w:fill="E9F0F3"/>
          </w:tcPr>
          <w:p>
            <w:pPr>
              <w:ind w:left="60"/>
              <w:spacing w:after="0"/>
              <w:rPr>
                <w:sz w:val="20"/>
                <w:szCs w:val="20"/>
                <w:color w:val="auto"/>
              </w:rPr>
            </w:pPr>
            <w:r>
              <w:rPr>
                <w:rFonts w:ascii="Arial" w:cs="Arial" w:eastAsia="Arial" w:hAnsi="Arial"/>
                <w:sz w:val="14"/>
                <w:szCs w:val="14"/>
                <w:color w:val="auto"/>
              </w:rPr>
              <w:t>Welfare benefits value</w:t>
            </w:r>
          </w:p>
        </w:tc>
        <w:tc>
          <w:tcPr>
            <w:tcW w:w="5080" w:type="dxa"/>
            <w:vAlign w:val="bottom"/>
            <w:shd w:val="clear" w:color="auto" w:fill="E9F0F3"/>
          </w:tcPr>
          <w:p>
            <w:pPr>
              <w:jc w:val="right"/>
              <w:ind w:right="58"/>
              <w:spacing w:after="0"/>
              <w:rPr>
                <w:sz w:val="20"/>
                <w:szCs w:val="20"/>
                <w:color w:val="auto"/>
              </w:rPr>
            </w:pPr>
            <w:r>
              <w:rPr>
                <w:rFonts w:ascii="Arial" w:cs="Arial" w:eastAsia="Arial" w:hAnsi="Arial"/>
                <w:sz w:val="14"/>
                <w:szCs w:val="14"/>
                <w:color w:val="auto"/>
              </w:rPr>
              <w:t>23,609</w:t>
            </w:r>
          </w:p>
        </w:tc>
        <w:tc>
          <w:tcPr>
            <w:tcW w:w="0" w:type="dxa"/>
            <w:vAlign w:val="bottom"/>
          </w:tcPr>
          <w:p>
            <w:pPr>
              <w:spacing w:after="0"/>
              <w:rPr>
                <w:sz w:val="1"/>
                <w:szCs w:val="1"/>
                <w:color w:val="auto"/>
              </w:rPr>
            </w:pPr>
          </w:p>
        </w:tc>
      </w:tr>
      <w:tr>
        <w:trPr>
          <w:trHeight w:val="74"/>
        </w:trPr>
        <w:tc>
          <w:tcPr>
            <w:tcW w:w="5860" w:type="dxa"/>
            <w:vAlign w:val="bottom"/>
            <w:shd w:val="clear" w:color="auto" w:fill="E9F0F3"/>
          </w:tcPr>
          <w:p>
            <w:pPr>
              <w:spacing w:after="0"/>
              <w:rPr>
                <w:sz w:val="6"/>
                <w:szCs w:val="6"/>
                <w:color w:val="auto"/>
              </w:rPr>
            </w:pPr>
          </w:p>
        </w:tc>
        <w:tc>
          <w:tcPr>
            <w:tcW w:w="508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860" w:type="dxa"/>
            <w:vAlign w:val="bottom"/>
          </w:tcPr>
          <w:p>
            <w:pPr>
              <w:ind w:left="60"/>
              <w:spacing w:after="0"/>
              <w:rPr>
                <w:sz w:val="20"/>
                <w:szCs w:val="20"/>
                <w:color w:val="auto"/>
              </w:rPr>
            </w:pPr>
            <w:r>
              <w:rPr>
                <w:rFonts w:ascii="Arial" w:cs="Arial" w:eastAsia="Arial" w:hAnsi="Arial"/>
                <w:sz w:val="14"/>
                <w:szCs w:val="14"/>
                <w:color w:val="auto"/>
              </w:rPr>
              <w:t>Total</w:t>
            </w:r>
          </w:p>
        </w:tc>
        <w:tc>
          <w:tcPr>
            <w:tcW w:w="5080" w:type="dxa"/>
            <w:vAlign w:val="bottom"/>
          </w:tcPr>
          <w:p>
            <w:pPr>
              <w:jc w:val="right"/>
              <w:ind w:right="58"/>
              <w:spacing w:after="0"/>
              <w:rPr>
                <w:sz w:val="20"/>
                <w:szCs w:val="20"/>
                <w:color w:val="auto"/>
              </w:rPr>
            </w:pPr>
            <w:r>
              <w:rPr>
                <w:rFonts w:ascii="Arial" w:cs="Arial" w:eastAsia="Arial" w:hAnsi="Arial"/>
                <w:sz w:val="14"/>
                <w:szCs w:val="14"/>
                <w:b w:val="1"/>
                <w:bCs w:val="1"/>
                <w:color w:val="auto"/>
              </w:rPr>
              <w:t>$23,609</w:t>
            </w:r>
          </w:p>
        </w:tc>
        <w:tc>
          <w:tcPr>
            <w:tcW w:w="0" w:type="dxa"/>
            <w:vAlign w:val="bottom"/>
          </w:tcPr>
          <w:p>
            <w:pPr>
              <w:spacing w:after="0"/>
              <w:rPr>
                <w:sz w:val="1"/>
                <w:szCs w:val="1"/>
                <w:color w:val="auto"/>
              </w:rPr>
            </w:pPr>
          </w:p>
        </w:tc>
      </w:tr>
      <w:tr>
        <w:trPr>
          <w:trHeight w:val="231"/>
        </w:trPr>
        <w:tc>
          <w:tcPr>
            <w:tcW w:w="58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5860" w:type="dxa"/>
            <w:vAlign w:val="bottom"/>
            <w:shd w:val="clear" w:color="auto" w:fill="99B7C6"/>
          </w:tcPr>
          <w:p>
            <w:pPr>
              <w:spacing w:after="0"/>
              <w:rPr>
                <w:sz w:val="13"/>
                <w:szCs w:val="13"/>
                <w:color w:val="auto"/>
              </w:rPr>
            </w:pPr>
          </w:p>
        </w:tc>
        <w:tc>
          <w:tcPr>
            <w:tcW w:w="5080" w:type="dxa"/>
            <w:vAlign w:val="bottom"/>
            <w:shd w:val="clear" w:color="auto" w:fill="99B7C6"/>
          </w:tcPr>
          <w:p>
            <w:pPr>
              <w:jc w:val="right"/>
              <w:spacing w:after="0"/>
              <w:rPr>
                <w:sz w:val="20"/>
                <w:szCs w:val="20"/>
                <w:color w:val="auto"/>
              </w:rPr>
            </w:pPr>
            <w:r>
              <w:rPr>
                <w:rFonts w:ascii="Arial" w:cs="Arial" w:eastAsia="Arial" w:hAnsi="Arial"/>
                <w:sz w:val="11"/>
                <w:szCs w:val="11"/>
                <w:b w:val="1"/>
                <w:bCs w:val="1"/>
                <w:color w:val="FFFFFF"/>
              </w:rPr>
              <w:t>Termination</w:t>
            </w:r>
          </w:p>
        </w:tc>
        <w:tc>
          <w:tcPr>
            <w:tcW w:w="0" w:type="dxa"/>
            <w:vAlign w:val="bottom"/>
          </w:tcPr>
          <w:p>
            <w:pPr>
              <w:spacing w:after="0"/>
              <w:rPr>
                <w:sz w:val="1"/>
                <w:szCs w:val="1"/>
                <w:color w:val="auto"/>
              </w:rPr>
            </w:pPr>
          </w:p>
        </w:tc>
      </w:tr>
      <w:tr>
        <w:trPr>
          <w:trHeight w:val="118"/>
        </w:trPr>
        <w:tc>
          <w:tcPr>
            <w:tcW w:w="5860" w:type="dxa"/>
            <w:vAlign w:val="bottom"/>
            <w:shd w:val="clear" w:color="auto" w:fill="99B7C6"/>
          </w:tcPr>
          <w:p>
            <w:pPr>
              <w:spacing w:after="0"/>
              <w:rPr>
                <w:sz w:val="10"/>
                <w:szCs w:val="10"/>
                <w:color w:val="auto"/>
              </w:rPr>
            </w:pPr>
          </w:p>
        </w:tc>
        <w:tc>
          <w:tcPr>
            <w:tcW w:w="5080" w:type="dxa"/>
            <w:vAlign w:val="bottom"/>
            <w:shd w:val="clear" w:color="auto" w:fill="99B7C6"/>
          </w:tcPr>
          <w:p>
            <w:pPr>
              <w:jc w:val="right"/>
              <w:spacing w:after="0" w:line="118" w:lineRule="exact"/>
              <w:rPr>
                <w:sz w:val="20"/>
                <w:szCs w:val="20"/>
                <w:color w:val="auto"/>
              </w:rPr>
            </w:pPr>
            <w:r>
              <w:rPr>
                <w:rFonts w:ascii="Arial" w:cs="Arial" w:eastAsia="Arial" w:hAnsi="Arial"/>
                <w:sz w:val="11"/>
                <w:szCs w:val="11"/>
                <w:b w:val="1"/>
                <w:bCs w:val="1"/>
                <w:color w:val="FFFFFF"/>
              </w:rPr>
              <w:t>without</w:t>
            </w:r>
          </w:p>
        </w:tc>
        <w:tc>
          <w:tcPr>
            <w:tcW w:w="0" w:type="dxa"/>
            <w:vAlign w:val="bottom"/>
          </w:tcPr>
          <w:p>
            <w:pPr>
              <w:spacing w:after="0"/>
              <w:rPr>
                <w:sz w:val="1"/>
                <w:szCs w:val="1"/>
                <w:color w:val="auto"/>
              </w:rPr>
            </w:pPr>
          </w:p>
        </w:tc>
      </w:tr>
      <w:tr>
        <w:trPr>
          <w:trHeight w:val="118"/>
        </w:trPr>
        <w:tc>
          <w:tcPr>
            <w:tcW w:w="5860" w:type="dxa"/>
            <w:vAlign w:val="bottom"/>
            <w:shd w:val="clear" w:color="auto" w:fill="99B7C6"/>
          </w:tcPr>
          <w:p>
            <w:pPr>
              <w:spacing w:after="0"/>
              <w:rPr>
                <w:sz w:val="10"/>
                <w:szCs w:val="10"/>
                <w:color w:val="auto"/>
              </w:rPr>
            </w:pPr>
          </w:p>
        </w:tc>
        <w:tc>
          <w:tcPr>
            <w:tcW w:w="5080" w:type="dxa"/>
            <w:vAlign w:val="bottom"/>
            <w:shd w:val="clear" w:color="auto" w:fill="99B7C6"/>
          </w:tcPr>
          <w:p>
            <w:pPr>
              <w:jc w:val="right"/>
              <w:spacing w:after="0" w:line="118" w:lineRule="exact"/>
              <w:rPr>
                <w:sz w:val="20"/>
                <w:szCs w:val="20"/>
                <w:color w:val="auto"/>
              </w:rPr>
            </w:pPr>
            <w:r>
              <w:rPr>
                <w:rFonts w:ascii="Arial" w:cs="Arial" w:eastAsia="Arial" w:hAnsi="Arial"/>
                <w:sz w:val="11"/>
                <w:szCs w:val="11"/>
                <w:b w:val="1"/>
                <w:bCs w:val="1"/>
                <w:color w:val="FFFFFF"/>
              </w:rPr>
              <w:t>cause or for</w:t>
            </w:r>
          </w:p>
        </w:tc>
        <w:tc>
          <w:tcPr>
            <w:tcW w:w="0" w:type="dxa"/>
            <w:vAlign w:val="bottom"/>
          </w:tcPr>
          <w:p>
            <w:pPr>
              <w:spacing w:after="0"/>
              <w:rPr>
                <w:sz w:val="1"/>
                <w:szCs w:val="1"/>
                <w:color w:val="auto"/>
              </w:rPr>
            </w:pPr>
          </w:p>
        </w:tc>
      </w:tr>
      <w:tr>
        <w:trPr>
          <w:trHeight w:val="118"/>
        </w:trPr>
        <w:tc>
          <w:tcPr>
            <w:tcW w:w="5860" w:type="dxa"/>
            <w:vAlign w:val="bottom"/>
            <w:shd w:val="clear" w:color="auto" w:fill="99B7C6"/>
          </w:tcPr>
          <w:p>
            <w:pPr>
              <w:spacing w:after="0"/>
              <w:rPr>
                <w:sz w:val="10"/>
                <w:szCs w:val="10"/>
                <w:color w:val="auto"/>
              </w:rPr>
            </w:pPr>
          </w:p>
        </w:tc>
        <w:tc>
          <w:tcPr>
            <w:tcW w:w="5080" w:type="dxa"/>
            <w:vAlign w:val="bottom"/>
            <w:shd w:val="clear" w:color="auto" w:fill="99B7C6"/>
          </w:tcPr>
          <w:p>
            <w:pPr>
              <w:jc w:val="right"/>
              <w:spacing w:after="0" w:line="118" w:lineRule="exact"/>
              <w:rPr>
                <w:sz w:val="20"/>
                <w:szCs w:val="20"/>
                <w:color w:val="auto"/>
              </w:rPr>
            </w:pPr>
            <w:r>
              <w:rPr>
                <w:rFonts w:ascii="Arial" w:cs="Arial" w:eastAsia="Arial" w:hAnsi="Arial"/>
                <w:sz w:val="11"/>
                <w:szCs w:val="11"/>
                <w:b w:val="1"/>
                <w:bCs w:val="1"/>
                <w:color w:val="FFFFFF"/>
              </w:rPr>
              <w:t>good reason</w:t>
            </w:r>
          </w:p>
        </w:tc>
        <w:tc>
          <w:tcPr>
            <w:tcW w:w="0" w:type="dxa"/>
            <w:vAlign w:val="bottom"/>
          </w:tcPr>
          <w:p>
            <w:pPr>
              <w:spacing w:after="0"/>
              <w:rPr>
                <w:sz w:val="1"/>
                <w:szCs w:val="1"/>
                <w:color w:val="auto"/>
              </w:rPr>
            </w:pPr>
          </w:p>
        </w:tc>
      </w:tr>
      <w:tr>
        <w:trPr>
          <w:trHeight w:val="118"/>
        </w:trPr>
        <w:tc>
          <w:tcPr>
            <w:tcW w:w="5860" w:type="dxa"/>
            <w:vAlign w:val="bottom"/>
            <w:vMerge w:val="restart"/>
            <w:shd w:val="clear" w:color="auto" w:fill="99B7C6"/>
          </w:tcPr>
          <w:p>
            <w:pPr>
              <w:ind w:left="60"/>
              <w:spacing w:after="0"/>
              <w:rPr>
                <w:sz w:val="20"/>
                <w:szCs w:val="20"/>
                <w:color w:val="auto"/>
              </w:rPr>
            </w:pPr>
            <w:r>
              <w:rPr>
                <w:rFonts w:ascii="Arial" w:cs="Arial" w:eastAsia="Arial" w:hAnsi="Arial"/>
                <w:sz w:val="11"/>
                <w:szCs w:val="11"/>
                <w:b w:val="1"/>
                <w:bCs w:val="1"/>
                <w:color w:val="FFFFFF"/>
              </w:rPr>
              <w:t>Eva Serrano</w:t>
            </w:r>
          </w:p>
        </w:tc>
        <w:tc>
          <w:tcPr>
            <w:tcW w:w="5080" w:type="dxa"/>
            <w:vAlign w:val="bottom"/>
            <w:shd w:val="clear" w:color="auto" w:fill="99B7C6"/>
          </w:tcPr>
          <w:p>
            <w:pPr>
              <w:jc w:val="right"/>
              <w:spacing w:after="0" w:line="118" w:lineRule="exact"/>
              <w:rPr>
                <w:sz w:val="20"/>
                <w:szCs w:val="20"/>
                <w:color w:val="auto"/>
              </w:rPr>
            </w:pPr>
            <w:r>
              <w:rPr>
                <w:rFonts w:ascii="Arial" w:cs="Arial" w:eastAsia="Arial" w:hAnsi="Arial"/>
                <w:sz w:val="11"/>
                <w:szCs w:val="11"/>
                <w:b w:val="1"/>
                <w:bCs w:val="1"/>
                <w:color w:val="FFFFFF"/>
              </w:rPr>
              <w:t>on December 31,</w:t>
            </w:r>
          </w:p>
        </w:tc>
        <w:tc>
          <w:tcPr>
            <w:tcW w:w="0" w:type="dxa"/>
            <w:vAlign w:val="bottom"/>
          </w:tcPr>
          <w:p>
            <w:pPr>
              <w:spacing w:after="0"/>
              <w:rPr>
                <w:sz w:val="1"/>
                <w:szCs w:val="1"/>
                <w:color w:val="auto"/>
              </w:rPr>
            </w:pPr>
          </w:p>
        </w:tc>
      </w:tr>
      <w:tr>
        <w:trPr>
          <w:trHeight w:val="168"/>
        </w:trPr>
        <w:tc>
          <w:tcPr>
            <w:tcW w:w="5860" w:type="dxa"/>
            <w:vAlign w:val="bottom"/>
            <w:vMerge w:val="continue"/>
            <w:shd w:val="clear" w:color="auto" w:fill="99B7C6"/>
          </w:tcPr>
          <w:p>
            <w:pPr>
              <w:spacing w:after="0"/>
              <w:rPr>
                <w:sz w:val="14"/>
                <w:szCs w:val="14"/>
                <w:color w:val="auto"/>
              </w:rPr>
            </w:pPr>
          </w:p>
        </w:tc>
        <w:tc>
          <w:tcPr>
            <w:tcW w:w="5080" w:type="dxa"/>
            <w:vAlign w:val="bottom"/>
            <w:shd w:val="clear" w:color="auto" w:fill="99B7C6"/>
          </w:tcPr>
          <w:p>
            <w:pPr>
              <w:jc w:val="right"/>
              <w:spacing w:after="0"/>
              <w:rPr>
                <w:sz w:val="20"/>
                <w:szCs w:val="20"/>
                <w:color w:val="auto"/>
              </w:rPr>
            </w:pPr>
            <w:r>
              <w:rPr>
                <w:rFonts w:ascii="Arial" w:cs="Arial" w:eastAsia="Arial" w:hAnsi="Arial"/>
                <w:sz w:val="11"/>
                <w:szCs w:val="11"/>
                <w:b w:val="1"/>
                <w:bCs w:val="1"/>
                <w:color w:val="FFFFFF"/>
              </w:rPr>
              <w:t>2025</w:t>
            </w:r>
          </w:p>
        </w:tc>
        <w:tc>
          <w:tcPr>
            <w:tcW w:w="0" w:type="dxa"/>
            <w:vAlign w:val="bottom"/>
          </w:tcPr>
          <w:p>
            <w:pPr>
              <w:spacing w:after="0"/>
              <w:rPr>
                <w:sz w:val="1"/>
                <w:szCs w:val="1"/>
                <w:color w:val="auto"/>
              </w:rPr>
            </w:pPr>
          </w:p>
        </w:tc>
      </w:tr>
      <w:tr>
        <w:trPr>
          <w:trHeight w:val="244"/>
        </w:trPr>
        <w:tc>
          <w:tcPr>
            <w:tcW w:w="5860" w:type="dxa"/>
            <w:vAlign w:val="bottom"/>
            <w:shd w:val="clear" w:color="auto" w:fill="E9F0F3"/>
          </w:tcPr>
          <w:p>
            <w:pPr>
              <w:ind w:left="60"/>
              <w:spacing w:after="0"/>
              <w:rPr>
                <w:sz w:val="20"/>
                <w:szCs w:val="20"/>
                <w:color w:val="auto"/>
              </w:rPr>
            </w:pPr>
            <w:r>
              <w:rPr>
                <w:rFonts w:ascii="Arial" w:cs="Arial" w:eastAsia="Arial" w:hAnsi="Arial"/>
                <w:sz w:val="14"/>
                <w:szCs w:val="14"/>
                <w:color w:val="auto"/>
              </w:rPr>
              <w:t>Severance value</w:t>
            </w:r>
          </w:p>
        </w:tc>
        <w:tc>
          <w:tcPr>
            <w:tcW w:w="5080" w:type="dxa"/>
            <w:vAlign w:val="bottom"/>
            <w:shd w:val="clear" w:color="auto" w:fill="E9F0F3"/>
          </w:tcPr>
          <w:p>
            <w:pPr>
              <w:jc w:val="right"/>
              <w:ind w:right="58"/>
              <w:spacing w:after="0"/>
              <w:rPr>
                <w:sz w:val="20"/>
                <w:szCs w:val="20"/>
                <w:color w:val="auto"/>
              </w:rPr>
            </w:pPr>
            <w:r>
              <w:rPr>
                <w:rFonts w:ascii="Arial" w:cs="Arial" w:eastAsia="Arial" w:hAnsi="Arial"/>
                <w:sz w:val="14"/>
                <w:szCs w:val="14"/>
                <w:color w:val="auto"/>
              </w:rPr>
              <w:t>$3,400,000</w:t>
            </w:r>
          </w:p>
        </w:tc>
        <w:tc>
          <w:tcPr>
            <w:tcW w:w="0" w:type="dxa"/>
            <w:vAlign w:val="bottom"/>
          </w:tcPr>
          <w:p>
            <w:pPr>
              <w:spacing w:after="0"/>
              <w:rPr>
                <w:sz w:val="1"/>
                <w:szCs w:val="1"/>
                <w:color w:val="auto"/>
              </w:rPr>
            </w:pPr>
          </w:p>
        </w:tc>
      </w:tr>
      <w:tr>
        <w:trPr>
          <w:trHeight w:val="86"/>
        </w:trPr>
        <w:tc>
          <w:tcPr>
            <w:tcW w:w="5860" w:type="dxa"/>
            <w:vAlign w:val="bottom"/>
            <w:shd w:val="clear" w:color="auto" w:fill="E9F0F3"/>
          </w:tcPr>
          <w:p>
            <w:pPr>
              <w:spacing w:after="0"/>
              <w:rPr>
                <w:sz w:val="7"/>
                <w:szCs w:val="7"/>
                <w:color w:val="auto"/>
              </w:rPr>
            </w:pPr>
          </w:p>
        </w:tc>
        <w:tc>
          <w:tcPr>
            <w:tcW w:w="5080" w:type="dxa"/>
            <w:vAlign w:val="bottom"/>
            <w:shd w:val="clear" w:color="auto" w:fill="E9F0F3"/>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5860" w:type="dxa"/>
            <w:vAlign w:val="bottom"/>
          </w:tcPr>
          <w:p>
            <w:pPr>
              <w:ind w:left="60"/>
              <w:spacing w:after="0"/>
              <w:rPr>
                <w:sz w:val="20"/>
                <w:szCs w:val="20"/>
                <w:color w:val="auto"/>
              </w:rPr>
            </w:pPr>
            <w:r>
              <w:rPr>
                <w:rFonts w:ascii="Arial" w:cs="Arial" w:eastAsia="Arial" w:hAnsi="Arial"/>
                <w:sz w:val="14"/>
                <w:szCs w:val="14"/>
                <w:color w:val="auto"/>
              </w:rPr>
              <w:t>Value of accelerated PSUs</w:t>
            </w:r>
          </w:p>
        </w:tc>
        <w:tc>
          <w:tcPr>
            <w:tcW w:w="5080" w:type="dxa"/>
            <w:vAlign w:val="bottom"/>
          </w:tcPr>
          <w:p>
            <w:pPr>
              <w:jc w:val="right"/>
              <w:ind w:right="58"/>
              <w:spacing w:after="0"/>
              <w:rPr>
                <w:sz w:val="20"/>
                <w:szCs w:val="20"/>
                <w:color w:val="auto"/>
              </w:rPr>
            </w:pPr>
            <w:r>
              <w:rPr>
                <w:rFonts w:ascii="Arial" w:cs="Arial" w:eastAsia="Arial" w:hAnsi="Arial"/>
                <w:sz w:val="14"/>
                <w:szCs w:val="14"/>
                <w:color w:val="auto"/>
              </w:rPr>
              <w:t>82,225</w:t>
            </w:r>
          </w:p>
        </w:tc>
        <w:tc>
          <w:tcPr>
            <w:tcW w:w="0" w:type="dxa"/>
            <w:vAlign w:val="bottom"/>
          </w:tcPr>
          <w:p>
            <w:pPr>
              <w:spacing w:after="0"/>
              <w:rPr>
                <w:sz w:val="1"/>
                <w:szCs w:val="1"/>
                <w:color w:val="auto"/>
              </w:rPr>
            </w:pPr>
          </w:p>
        </w:tc>
      </w:tr>
      <w:tr>
        <w:trPr>
          <w:trHeight w:val="86"/>
        </w:trPr>
        <w:tc>
          <w:tcPr>
            <w:tcW w:w="5860" w:type="dxa"/>
            <w:vAlign w:val="bottom"/>
          </w:tcPr>
          <w:p>
            <w:pPr>
              <w:spacing w:after="0"/>
              <w:rPr>
                <w:sz w:val="7"/>
                <w:szCs w:val="7"/>
                <w:color w:val="auto"/>
              </w:rPr>
            </w:pPr>
          </w:p>
        </w:tc>
        <w:tc>
          <w:tcPr>
            <w:tcW w:w="5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5860" w:type="dxa"/>
            <w:vAlign w:val="bottom"/>
            <w:shd w:val="clear" w:color="auto" w:fill="E9F0F3"/>
          </w:tcPr>
          <w:p>
            <w:pPr>
              <w:ind w:left="60"/>
              <w:spacing w:after="0"/>
              <w:rPr>
                <w:sz w:val="20"/>
                <w:szCs w:val="20"/>
                <w:color w:val="auto"/>
              </w:rPr>
            </w:pPr>
            <w:r>
              <w:rPr>
                <w:rFonts w:ascii="Arial" w:cs="Arial" w:eastAsia="Arial" w:hAnsi="Arial"/>
                <w:sz w:val="14"/>
                <w:szCs w:val="14"/>
                <w:color w:val="auto"/>
              </w:rPr>
              <w:t>Welfare benefits value</w:t>
            </w:r>
          </w:p>
        </w:tc>
        <w:tc>
          <w:tcPr>
            <w:tcW w:w="5080" w:type="dxa"/>
            <w:vAlign w:val="bottom"/>
            <w:shd w:val="clear" w:color="auto" w:fill="E9F0F3"/>
          </w:tcPr>
          <w:p>
            <w:pPr>
              <w:jc w:val="right"/>
              <w:ind w:right="58"/>
              <w:spacing w:after="0"/>
              <w:rPr>
                <w:sz w:val="20"/>
                <w:szCs w:val="20"/>
                <w:color w:val="auto"/>
              </w:rPr>
            </w:pPr>
            <w:r>
              <w:rPr>
                <w:rFonts w:ascii="Arial" w:cs="Arial" w:eastAsia="Arial" w:hAnsi="Arial"/>
                <w:sz w:val="14"/>
                <w:szCs w:val="14"/>
                <w:color w:val="auto"/>
              </w:rPr>
              <w:t>128,402</w:t>
            </w:r>
          </w:p>
        </w:tc>
        <w:tc>
          <w:tcPr>
            <w:tcW w:w="0" w:type="dxa"/>
            <w:vAlign w:val="bottom"/>
          </w:tcPr>
          <w:p>
            <w:pPr>
              <w:spacing w:after="0"/>
              <w:rPr>
                <w:sz w:val="1"/>
                <w:szCs w:val="1"/>
                <w:color w:val="auto"/>
              </w:rPr>
            </w:pPr>
          </w:p>
        </w:tc>
      </w:tr>
      <w:tr>
        <w:trPr>
          <w:trHeight w:val="86"/>
        </w:trPr>
        <w:tc>
          <w:tcPr>
            <w:tcW w:w="5860" w:type="dxa"/>
            <w:vAlign w:val="bottom"/>
            <w:shd w:val="clear" w:color="auto" w:fill="E9F0F3"/>
          </w:tcPr>
          <w:p>
            <w:pPr>
              <w:spacing w:after="0"/>
              <w:rPr>
                <w:sz w:val="7"/>
                <w:szCs w:val="7"/>
                <w:color w:val="auto"/>
              </w:rPr>
            </w:pPr>
          </w:p>
        </w:tc>
        <w:tc>
          <w:tcPr>
            <w:tcW w:w="5080" w:type="dxa"/>
            <w:vAlign w:val="bottom"/>
            <w:shd w:val="clear" w:color="auto" w:fill="E9F0F3"/>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586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5080" w:type="dxa"/>
            <w:vAlign w:val="bottom"/>
          </w:tcPr>
          <w:p>
            <w:pPr>
              <w:jc w:val="right"/>
              <w:ind w:right="58"/>
              <w:spacing w:after="0"/>
              <w:rPr>
                <w:sz w:val="20"/>
                <w:szCs w:val="20"/>
                <w:color w:val="auto"/>
              </w:rPr>
            </w:pPr>
            <w:r>
              <w:rPr>
                <w:rFonts w:ascii="Arial" w:cs="Arial" w:eastAsia="Arial" w:hAnsi="Arial"/>
                <w:sz w:val="14"/>
                <w:szCs w:val="14"/>
                <w:b w:val="1"/>
                <w:bCs w:val="1"/>
                <w:color w:val="auto"/>
              </w:rPr>
              <w:t>$3,610,627</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0" w:right="100"/>
        <w:spacing w:after="0" w:line="258" w:lineRule="auto"/>
        <w:rPr>
          <w:sz w:val="20"/>
          <w:szCs w:val="20"/>
          <w:color w:val="auto"/>
        </w:rPr>
      </w:pPr>
      <w:r>
        <w:rPr>
          <w:rFonts w:ascii="Arial" w:cs="Arial" w:eastAsia="Arial" w:hAnsi="Arial"/>
          <w:sz w:val="14"/>
          <w:szCs w:val="14"/>
          <w:color w:val="auto"/>
        </w:rPr>
        <w:t>Ms. Serrano became entitled to severance pursuant to the provision of her employment agreement governing termination of employment by PVH without cause or by Ms. Serrano for good reason. See the discussion under the heading “Employment Contracts” beginning on page 64. Among other things, Ms. Serrano is entitled to receive severance equal to two times the sum of her base salary plus her target bonus amount; severance is payable over a two-year period. She also was entitled to receive medical coverage through December 31, 2025.</w:t>
      </w:r>
    </w:p>
    <w:p>
      <w:pPr>
        <w:spacing w:after="0" w:line="78" w:lineRule="exact"/>
        <w:rPr>
          <w:sz w:val="20"/>
          <w:szCs w:val="20"/>
          <w:color w:val="auto"/>
        </w:rPr>
      </w:pPr>
    </w:p>
    <w:p>
      <w:pPr>
        <w:ind w:left="160" w:right="20" w:hanging="149"/>
        <w:spacing w:after="0" w:line="236" w:lineRule="auto"/>
        <w:tabs>
          <w:tab w:leader="none" w:pos="167" w:val="left"/>
        </w:tabs>
        <w:numPr>
          <w:ilvl w:val="0"/>
          <w:numId w:val="132"/>
        </w:numPr>
        <w:rPr>
          <w:rFonts w:ascii="Arial" w:cs="Arial" w:eastAsia="Arial" w:hAnsi="Arial"/>
          <w:sz w:val="13"/>
          <w:szCs w:val="13"/>
          <w:color w:val="auto"/>
        </w:rPr>
      </w:pPr>
      <w:r>
        <w:rPr>
          <w:rFonts w:ascii="Arial" w:cs="Arial" w:eastAsia="Arial" w:hAnsi="Arial"/>
          <w:sz w:val="13"/>
          <w:szCs w:val="13"/>
          <w:color w:val="auto"/>
        </w:rPr>
        <w:t>Amounts payable under the Severance Plan upon termination of employment following a change in control are subject to reduction (“cutback”) to eliminate any loss of deduction for the company, and any imposition of excise tax on the executive, pursuant to Sections 280G and 4999 of the Internal Revenue Code, respectively. The cutback would reduce severance and other benefits to the maximum amount that could be paid without exceeding the Section 280G threshold and will apply if the net after-tax amount received by the executive exceeds the net after-tax amount the executive would receive if the full benefits were paid and the excise tax imposed. Amounts shown in the table do not reflect the impact of the potential cutback.</w:t>
      </w:r>
    </w:p>
    <w:p>
      <w:pPr>
        <w:spacing w:after="0" w:line="24" w:lineRule="exact"/>
        <w:rPr>
          <w:sz w:val="20"/>
          <w:szCs w:val="20"/>
          <w:color w:val="auto"/>
        </w:rPr>
      </w:pPr>
    </w:p>
    <w:p>
      <w:pPr>
        <w:ind w:left="160" w:right="220" w:hanging="149"/>
        <w:spacing w:after="0" w:line="239" w:lineRule="auto"/>
        <w:tabs>
          <w:tab w:leader="none" w:pos="167" w:val="left"/>
        </w:tabs>
        <w:numPr>
          <w:ilvl w:val="0"/>
          <w:numId w:val="133"/>
        </w:numPr>
        <w:rPr>
          <w:rFonts w:ascii="Arial" w:cs="Arial" w:eastAsia="Arial" w:hAnsi="Arial"/>
          <w:sz w:val="13"/>
          <w:szCs w:val="13"/>
          <w:color w:val="auto"/>
        </w:rPr>
      </w:pPr>
      <w:r>
        <w:rPr>
          <w:rFonts w:ascii="Arial" w:cs="Arial" w:eastAsia="Arial" w:hAnsi="Arial"/>
          <w:sz w:val="13"/>
          <w:szCs w:val="13"/>
          <w:color w:val="auto"/>
        </w:rPr>
        <w:t>In the event of a change in control with no termination of employment in which the equity awards are not assumed by the acquirer, the NEO would be entitled to all amounts (if any) set forth in this column, except for the amounts set forth on the rows entitled Severance value and Welfare benefits value. In the event of a change in control with no termination of employment in which equity awards are assumed by the acquirer, the NEO would not be entitled to receive any of the amounts set forth in this column.</w:t>
      </w:r>
    </w:p>
    <w:p>
      <w:pPr>
        <w:spacing w:after="0" w:line="24" w:lineRule="exact"/>
        <w:rPr>
          <w:sz w:val="20"/>
          <w:szCs w:val="20"/>
          <w:color w:val="auto"/>
        </w:rPr>
      </w:pPr>
    </w:p>
    <w:p>
      <w:pPr>
        <w:ind w:left="160" w:right="180" w:hanging="149"/>
        <w:spacing w:after="0" w:line="239" w:lineRule="auto"/>
        <w:tabs>
          <w:tab w:leader="none" w:pos="167" w:val="left"/>
        </w:tabs>
        <w:numPr>
          <w:ilvl w:val="0"/>
          <w:numId w:val="134"/>
        </w:numPr>
        <w:rPr>
          <w:rFonts w:ascii="Arial" w:cs="Arial" w:eastAsia="Arial" w:hAnsi="Arial"/>
          <w:sz w:val="13"/>
          <w:szCs w:val="13"/>
          <w:color w:val="auto"/>
        </w:rPr>
      </w:pPr>
      <w:r>
        <w:rPr>
          <w:rFonts w:ascii="Arial" w:cs="Arial" w:eastAsia="Arial" w:hAnsi="Arial"/>
          <w:sz w:val="13"/>
          <w:szCs w:val="13"/>
          <w:color w:val="auto"/>
        </w:rPr>
        <w:t>Severance is calculated in accordance with the applicable NEO’s employment agreement and for termination without cause or for good reason, is equal to a multiple of the sum of the NEO’s base salary plus an amount equal to the bonus that would be payable if target level performance were achieved. In the event of their disability, Ms. Rytz Goldman and Mr. Olsson are entitled to receive statutory payments under Dutch law. See pages 65-66 for applicable multiples and further detail.</w:t>
      </w:r>
    </w:p>
    <w:p>
      <w:pPr>
        <w:spacing w:after="0" w:line="24" w:lineRule="exact"/>
        <w:rPr>
          <w:sz w:val="20"/>
          <w:szCs w:val="20"/>
          <w:color w:val="auto"/>
        </w:rPr>
      </w:pPr>
    </w:p>
    <w:p>
      <w:pPr>
        <w:ind w:left="160" w:right="120" w:hanging="149"/>
        <w:spacing w:after="0" w:line="239" w:lineRule="auto"/>
        <w:tabs>
          <w:tab w:leader="none" w:pos="167" w:val="left"/>
        </w:tabs>
        <w:numPr>
          <w:ilvl w:val="0"/>
          <w:numId w:val="135"/>
        </w:numPr>
        <w:rPr>
          <w:rFonts w:ascii="Arial" w:cs="Arial" w:eastAsia="Arial" w:hAnsi="Arial"/>
          <w:sz w:val="13"/>
          <w:szCs w:val="13"/>
          <w:color w:val="auto"/>
        </w:rPr>
      </w:pPr>
      <w:r>
        <w:rPr>
          <w:rFonts w:ascii="Arial" w:cs="Arial" w:eastAsia="Arial" w:hAnsi="Arial"/>
          <w:sz w:val="13"/>
          <w:szCs w:val="13"/>
          <w:color w:val="auto"/>
        </w:rPr>
        <w:t>If a participant is employed by PVH on the last day of the applicable performance cycle the participant would receive a bonus under our Performance Incentive Bonus Plan. Therefore, if a termination of employment or change in control had occurred on February 1, 2026, each NEO would have been entitled to receive his or her actual bonus and the termination event or change in control would not have triggered a payment.</w:t>
      </w:r>
    </w:p>
    <w:p>
      <w:pPr>
        <w:spacing w:after="0" w:line="24" w:lineRule="exact"/>
        <w:rPr>
          <w:sz w:val="20"/>
          <w:szCs w:val="20"/>
          <w:color w:val="auto"/>
        </w:rPr>
      </w:pPr>
    </w:p>
    <w:p>
      <w:pPr>
        <w:ind w:left="160" w:right="40" w:hanging="149"/>
        <w:spacing w:after="0" w:line="239" w:lineRule="auto"/>
        <w:tabs>
          <w:tab w:leader="none" w:pos="167" w:val="left"/>
        </w:tabs>
        <w:numPr>
          <w:ilvl w:val="0"/>
          <w:numId w:val="136"/>
        </w:numPr>
        <w:rPr>
          <w:rFonts w:ascii="Arial" w:cs="Arial" w:eastAsia="Arial" w:hAnsi="Arial"/>
          <w:sz w:val="13"/>
          <w:szCs w:val="13"/>
          <w:color w:val="auto"/>
        </w:rPr>
      </w:pPr>
      <w:r>
        <w:rPr>
          <w:rFonts w:ascii="Arial" w:cs="Arial" w:eastAsia="Arial" w:hAnsi="Arial"/>
          <w:sz w:val="13"/>
          <w:szCs w:val="13"/>
          <w:color w:val="auto"/>
        </w:rPr>
        <w:t>Represents the value of unexercisable “in the money” stock options outstanding as of February 1, 2026, the vesting of which would accelerate upon death, disability, a change in control or retirement. The value is equal to the difference between the closing price of our common stock on January 30, 2026, the last business day of 2025, and the per share exercise price of each stock option that would become exercisable, multiplied by the number of shares of our common stock receivable upon exercise.</w:t>
      </w:r>
    </w:p>
    <w:p>
      <w:pPr>
        <w:spacing w:after="0" w:line="24" w:lineRule="exact"/>
        <w:rPr>
          <w:sz w:val="20"/>
          <w:szCs w:val="20"/>
          <w:color w:val="auto"/>
        </w:rPr>
      </w:pPr>
    </w:p>
    <w:p>
      <w:pPr>
        <w:ind w:left="160" w:right="100" w:hanging="149"/>
        <w:spacing w:after="0" w:line="239" w:lineRule="auto"/>
        <w:tabs>
          <w:tab w:leader="none" w:pos="167" w:val="left"/>
        </w:tabs>
        <w:numPr>
          <w:ilvl w:val="0"/>
          <w:numId w:val="137"/>
        </w:numPr>
        <w:rPr>
          <w:rFonts w:ascii="Arial" w:cs="Arial" w:eastAsia="Arial" w:hAnsi="Arial"/>
          <w:sz w:val="13"/>
          <w:szCs w:val="13"/>
          <w:color w:val="auto"/>
        </w:rPr>
      </w:pPr>
      <w:r>
        <w:rPr>
          <w:rFonts w:ascii="Arial" w:cs="Arial" w:eastAsia="Arial" w:hAnsi="Arial"/>
          <w:sz w:val="13"/>
          <w:szCs w:val="13"/>
          <w:color w:val="auto"/>
        </w:rPr>
        <w:t>Represents the value of unvested RSUs as of February 1, 2026, the vesting of which would accelerate upon death, disability, a termination of employment without cause or for good reason after a change in control, or retirement. The value is equal to the closing price of our common stock on January 30, 2026, the last business day of 2025, multiplied by the number of shares of our common stock receivable upon vesting.</w:t>
      </w:r>
    </w:p>
    <w:p>
      <w:pPr>
        <w:spacing w:after="0" w:line="24" w:lineRule="exact"/>
        <w:rPr>
          <w:sz w:val="20"/>
          <w:szCs w:val="20"/>
          <w:color w:val="auto"/>
        </w:rPr>
      </w:pPr>
    </w:p>
    <w:p>
      <w:pPr>
        <w:ind w:left="160" w:right="80" w:hanging="149"/>
        <w:spacing w:after="0" w:line="253" w:lineRule="auto"/>
        <w:tabs>
          <w:tab w:leader="none" w:pos="167" w:val="left"/>
        </w:tabs>
        <w:numPr>
          <w:ilvl w:val="0"/>
          <w:numId w:val="138"/>
        </w:numPr>
        <w:rPr>
          <w:rFonts w:ascii="Arial" w:cs="Arial" w:eastAsia="Arial" w:hAnsi="Arial"/>
          <w:sz w:val="12"/>
          <w:szCs w:val="12"/>
          <w:color w:val="auto"/>
        </w:rPr>
      </w:pPr>
      <w:r>
        <w:rPr>
          <w:rFonts w:ascii="Arial" w:cs="Arial" w:eastAsia="Arial" w:hAnsi="Arial"/>
          <w:sz w:val="12"/>
          <w:szCs w:val="12"/>
          <w:color w:val="auto"/>
        </w:rPr>
        <w:t>Represents the payout levels (discussed below) of the unvested PSUs as of February 1, 2026, multiplied by the closing price of our common stock on January 30, 2026, the last business day of 2025. In the event of death or a change in control, the amounts shown are based on the amounts that would otherwise have been payable for the performance cycle if the target level of performance had been achieved. In the event of retirement, disability or termination without cause or for good reason, the amounts shown are based on estimated performance as of February 1, 2026, as the actual performance for the entire performance period was not known as of February 1, 2026. In the event of (i) death, (ii) disability, (iii) change in control or (iv) termination without cause or for good reason for PSU awards granted in 2023 and 2024, the amounts payable in respect of the PSU awards granted during 2023, 2024 and 2025 are prorated approximately 94%, 60% and 27%, respectively, representing the portion of the relevant performance cycle actually worked by our NEOs as of February 1, 2026. In the event of a termination without cause or for good reason, no amounts are reflected for the PSU awards granted in 2025, as a participant whose employment is terminated before the first anniversary of grant will not receive a payout.</w:t>
      </w:r>
    </w:p>
    <w:p>
      <w:pPr>
        <w:spacing w:after="0" w:line="18" w:lineRule="exact"/>
        <w:rPr>
          <w:sz w:val="20"/>
          <w:szCs w:val="20"/>
          <w:color w:val="auto"/>
        </w:rPr>
      </w:pPr>
    </w:p>
    <w:p>
      <w:pPr>
        <w:jc w:val="both"/>
        <w:ind w:left="160" w:right="100" w:hanging="149"/>
        <w:spacing w:after="0" w:line="239" w:lineRule="auto"/>
        <w:tabs>
          <w:tab w:leader="none" w:pos="167" w:val="left"/>
        </w:tabs>
        <w:numPr>
          <w:ilvl w:val="0"/>
          <w:numId w:val="139"/>
        </w:numPr>
        <w:rPr>
          <w:rFonts w:ascii="Arial" w:cs="Arial" w:eastAsia="Arial" w:hAnsi="Arial"/>
          <w:sz w:val="13"/>
          <w:szCs w:val="13"/>
          <w:color w:val="auto"/>
        </w:rPr>
      </w:pPr>
      <w:r>
        <w:rPr>
          <w:rFonts w:ascii="Arial" w:cs="Arial" w:eastAsia="Arial" w:hAnsi="Arial"/>
          <w:sz w:val="13"/>
          <w:szCs w:val="13"/>
          <w:color w:val="auto"/>
        </w:rPr>
        <w:t>The amounts shown represent the cost of welfare benefits, including medical, dental, life and disability coverage, that our NEOs would have received under their employment agreements if their employment had been terminated without cause or for good reason on February 1, 2026. Such benefits are not receivable if their employment is terminated for any other reason. Those benefits would continue for two years.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9  A participant generally must be employed by PVH on the payout date to receive a bonus under our Annual Management Bonus Plan.</w:t>
      </w:r>
    </w:p>
    <w:p>
      <w:pPr>
        <w:spacing w:after="0" w:line="39" w:lineRule="exact"/>
        <w:rPr>
          <w:sz w:val="20"/>
          <w:szCs w:val="20"/>
          <w:color w:val="auto"/>
        </w:rPr>
      </w:pPr>
    </w:p>
    <w:p>
      <w:pPr>
        <w:ind w:left="160" w:right="280" w:hanging="156"/>
        <w:spacing w:after="0" w:line="252" w:lineRule="auto"/>
        <w:rPr>
          <w:sz w:val="20"/>
          <w:szCs w:val="20"/>
          <w:color w:val="auto"/>
        </w:rPr>
      </w:pPr>
      <w:r>
        <w:rPr>
          <w:rFonts w:ascii="Arial" w:cs="Arial" w:eastAsia="Arial" w:hAnsi="Arial"/>
          <w:sz w:val="13"/>
          <w:szCs w:val="13"/>
          <w:color w:val="auto"/>
        </w:rPr>
        <w:t>10 Potential severance payments upon termination for Ms. Rytz Goldman and Mr. Olsson have been translated at the euro-to-U.S. dollar exchange rate of 1.1851, which was the closing rate on January 31, 2026, the last business day of 2025.</w:t>
      </w:r>
    </w:p>
    <w:p>
      <w:pPr>
        <w:spacing w:after="0" w:line="16" w:lineRule="exact"/>
        <w:rPr>
          <w:sz w:val="20"/>
          <w:szCs w:val="20"/>
          <w:color w:val="auto"/>
        </w:rPr>
      </w:pPr>
    </w:p>
    <w:p>
      <w:pPr>
        <w:ind w:left="160" w:right="320" w:hanging="156"/>
        <w:spacing w:after="0" w:line="252" w:lineRule="auto"/>
        <w:rPr>
          <w:sz w:val="20"/>
          <w:szCs w:val="20"/>
          <w:color w:val="auto"/>
        </w:rPr>
      </w:pPr>
      <w:r>
        <w:rPr>
          <w:rFonts w:ascii="Arial" w:cs="Arial" w:eastAsia="Arial" w:hAnsi="Arial"/>
          <w:sz w:val="13"/>
          <w:szCs w:val="13"/>
          <w:color w:val="auto"/>
        </w:rPr>
        <w:t>11 Mr. Olsson is entitled to a severance payment of a multiple of 1.67 times the sum of his base salary for twelve months and an amount equal to the bonus that would be payable if target-level achievement was achieved under the annual bonus plan in which Mr. Olsson participates which for the purpose of this chart would equate to $3,562,411.</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EXECUTIVE COMPENSATION TABLES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293" w:right="479" w:bottom="1440" w:gutter="0" w:footer="0" w:header="0"/>
        </w:sectPr>
      </w:pPr>
    </w:p>
    <w:bookmarkStart w:id="82" w:name="page83"/>
    <w:bookmarkEnd w:id="82"/>
    <w:p>
      <w:pPr>
        <w:ind w:left="9"/>
        <w:spacing w:after="0"/>
        <w:rPr>
          <w:sz w:val="20"/>
          <w:szCs w:val="20"/>
          <w:color w:val="auto"/>
        </w:rPr>
      </w:pPr>
      <w:r>
        <w:rPr>
          <w:rFonts w:ascii="Arial" w:cs="Arial" w:eastAsia="Arial" w:hAnsi="Arial"/>
          <w:sz w:val="41"/>
          <w:szCs w:val="41"/>
          <w:b w:val="1"/>
          <w:bCs w:val="1"/>
          <w:color w:val="auto"/>
        </w:rPr>
        <w:t>CEO Pay Ratio</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 w:right="40"/>
        <w:spacing w:after="0" w:line="258" w:lineRule="auto"/>
        <w:rPr>
          <w:sz w:val="20"/>
          <w:szCs w:val="20"/>
          <w:color w:val="auto"/>
        </w:rPr>
      </w:pPr>
      <w:r>
        <w:rPr>
          <w:rFonts w:ascii="Arial" w:cs="Arial" w:eastAsia="Arial" w:hAnsi="Arial"/>
          <w:sz w:val="14"/>
          <w:szCs w:val="14"/>
          <w:color w:val="auto"/>
        </w:rPr>
        <w:t>We are required to provide the ratio of the annual total compensation paid to Mr. Larsson, the Chief Executive Officer in 2025, to the annual total compensation of our median associate, excluding Mr. Larsson’s compensation. SEC rules permit us to use the same median associate identified in our pay ratio disclosure in 2025, subject to certain exceptions. In our case, the median associate had a significant change in circumstance and, as a result, we determined that it is not appropriate to use the same associate for this year’s disclosure. We did not otherwise have a significant change in our associate population or compensation arrangements.</w:t>
      </w:r>
    </w:p>
    <w:p>
      <w:pPr>
        <w:spacing w:after="0" w:line="73" w:lineRule="exact"/>
        <w:rPr>
          <w:sz w:val="20"/>
          <w:szCs w:val="20"/>
          <w:color w:val="auto"/>
        </w:rPr>
      </w:pPr>
    </w:p>
    <w:p>
      <w:pPr>
        <w:jc w:val="both"/>
        <w:ind w:left="9" w:right="60"/>
        <w:spacing w:after="0" w:line="258" w:lineRule="auto"/>
        <w:rPr>
          <w:sz w:val="20"/>
          <w:szCs w:val="20"/>
          <w:color w:val="auto"/>
        </w:rPr>
      </w:pPr>
      <w:r>
        <w:rPr>
          <w:rFonts w:ascii="Arial" w:cs="Arial" w:eastAsia="Arial" w:hAnsi="Arial"/>
          <w:sz w:val="14"/>
          <w:szCs w:val="14"/>
          <w:color w:val="auto"/>
        </w:rPr>
        <w:t>We selected November 3, 2025, as the determination date for identifying our median associate. As of that date, we had 27,325 associates, with 8,412 associates based in the United States and 18,913 associates located outside of the United States. Of these associates, approximately 30% worked in or were assigned to offices, approximately 63% worked in retail stores and approximately 7% worked in warehouse and distribution facilities. Approximately 42% of our workforce is part-time. Our use of seasonal workers is not significant to our overall population. We do not use a significant number of temporary associates.</w:t>
      </w:r>
    </w:p>
    <w:p>
      <w:pPr>
        <w:spacing w:after="0" w:line="108" w:lineRule="exact"/>
        <w:rPr>
          <w:sz w:val="20"/>
          <w:szCs w:val="20"/>
          <w:color w:val="auto"/>
        </w:rPr>
      </w:pPr>
    </w:p>
    <w:p>
      <w:pPr>
        <w:ind w:left="9"/>
        <w:spacing w:after="0"/>
        <w:rPr>
          <w:sz w:val="20"/>
          <w:szCs w:val="20"/>
          <w:color w:val="auto"/>
        </w:rPr>
      </w:pPr>
      <w:r>
        <w:rPr>
          <w:rFonts w:ascii="Arial" w:cs="Arial" w:eastAsia="Arial" w:hAnsi="Arial"/>
          <w:sz w:val="28"/>
          <w:szCs w:val="28"/>
          <w:b w:val="1"/>
          <w:bCs w:val="1"/>
          <w:color w:val="6D98AD"/>
        </w:rPr>
        <w:t>Methodology</w:t>
      </w:r>
    </w:p>
    <w:p>
      <w:pPr>
        <w:spacing w:after="0" w:line="114" w:lineRule="exact"/>
        <w:rPr>
          <w:sz w:val="20"/>
          <w:szCs w:val="20"/>
          <w:color w:val="auto"/>
        </w:rPr>
      </w:pPr>
    </w:p>
    <w:p>
      <w:pPr>
        <w:jc w:val="both"/>
        <w:ind w:left="9" w:right="60"/>
        <w:spacing w:after="0" w:line="282" w:lineRule="auto"/>
        <w:rPr>
          <w:sz w:val="20"/>
          <w:szCs w:val="20"/>
          <w:color w:val="auto"/>
        </w:rPr>
      </w:pPr>
      <w:r>
        <w:rPr>
          <w:rFonts w:ascii="Arial" w:cs="Arial" w:eastAsia="Arial" w:hAnsi="Arial"/>
          <w:sz w:val="14"/>
          <w:szCs w:val="14"/>
          <w:color w:val="auto"/>
        </w:rPr>
        <w:t>The methodology and the material assumptions, adjustments and estimates that we used to identify the median of the annual total compensation of all our associates, as well as to determine the annual total compensation of the median associate for purposes of this disclosure, were as follows:</w:t>
      </w:r>
    </w:p>
    <w:p>
      <w:pPr>
        <w:spacing w:after="0" w:line="69" w:lineRule="exact"/>
        <w:rPr>
          <w:sz w:val="20"/>
          <w:szCs w:val="20"/>
          <w:color w:val="auto"/>
        </w:rPr>
      </w:pPr>
    </w:p>
    <w:p>
      <w:pPr>
        <w:ind w:left="149" w:right="180" w:hanging="149"/>
        <w:spacing w:after="0" w:line="280" w:lineRule="auto"/>
        <w:tabs>
          <w:tab w:leader="none" w:pos="151" w:val="left"/>
        </w:tabs>
        <w:numPr>
          <w:ilvl w:val="0"/>
          <w:numId w:val="140"/>
        </w:numPr>
        <w:rPr>
          <w:rFonts w:ascii="Arial" w:cs="Arial" w:eastAsia="Arial" w:hAnsi="Arial"/>
          <w:sz w:val="14"/>
          <w:szCs w:val="14"/>
          <w:color w:val="auto"/>
        </w:rPr>
      </w:pPr>
      <w:r>
        <w:rPr>
          <w:rFonts w:ascii="Arial" w:cs="Arial" w:eastAsia="Arial" w:hAnsi="Arial"/>
          <w:sz w:val="14"/>
          <w:szCs w:val="14"/>
          <w:color w:val="auto"/>
        </w:rPr>
        <w:t>We identified the median associate by using the actual earnings of our full-time, part-time, seasonal and temporary associates, which consisted of cash compensation, as compiled from our payroll records.</w:t>
      </w:r>
    </w:p>
    <w:p>
      <w:pPr>
        <w:spacing w:after="0" w:line="1" w:lineRule="exact"/>
        <w:rPr>
          <w:rFonts w:ascii="Arial" w:cs="Arial" w:eastAsia="Arial" w:hAnsi="Arial"/>
          <w:sz w:val="14"/>
          <w:szCs w:val="14"/>
          <w:color w:val="auto"/>
        </w:rPr>
      </w:pPr>
    </w:p>
    <w:p>
      <w:pPr>
        <w:ind w:left="149" w:hanging="149"/>
        <w:spacing w:after="0"/>
        <w:tabs>
          <w:tab w:leader="none" w:pos="149" w:val="left"/>
        </w:tabs>
        <w:numPr>
          <w:ilvl w:val="0"/>
          <w:numId w:val="140"/>
        </w:numPr>
        <w:rPr>
          <w:rFonts w:ascii="Arial" w:cs="Arial" w:eastAsia="Arial" w:hAnsi="Arial"/>
          <w:sz w:val="14"/>
          <w:szCs w:val="14"/>
          <w:color w:val="auto"/>
        </w:rPr>
      </w:pPr>
      <w:r>
        <w:rPr>
          <w:rFonts w:ascii="Arial" w:cs="Arial" w:eastAsia="Arial" w:hAnsi="Arial"/>
          <w:sz w:val="14"/>
          <w:szCs w:val="14"/>
          <w:color w:val="auto"/>
        </w:rPr>
        <w:t>We measured associate earnings using the one-year period ended October 31, 2025.</w:t>
      </w:r>
    </w:p>
    <w:p>
      <w:pPr>
        <w:spacing w:after="0" w:line="51" w:lineRule="exact"/>
        <w:rPr>
          <w:rFonts w:ascii="Arial" w:cs="Arial" w:eastAsia="Arial" w:hAnsi="Arial"/>
          <w:sz w:val="14"/>
          <w:szCs w:val="14"/>
          <w:color w:val="auto"/>
        </w:rPr>
      </w:pPr>
    </w:p>
    <w:p>
      <w:pPr>
        <w:ind w:left="149" w:hanging="149"/>
        <w:spacing w:after="0"/>
        <w:tabs>
          <w:tab w:leader="none" w:pos="149" w:val="left"/>
        </w:tabs>
        <w:numPr>
          <w:ilvl w:val="0"/>
          <w:numId w:val="140"/>
        </w:numPr>
        <w:rPr>
          <w:rFonts w:ascii="Arial" w:cs="Arial" w:eastAsia="Arial" w:hAnsi="Arial"/>
          <w:sz w:val="14"/>
          <w:szCs w:val="14"/>
          <w:color w:val="auto"/>
        </w:rPr>
      </w:pPr>
      <w:r>
        <w:rPr>
          <w:rFonts w:ascii="Arial" w:cs="Arial" w:eastAsia="Arial" w:hAnsi="Arial"/>
          <w:sz w:val="14"/>
          <w:szCs w:val="14"/>
          <w:color w:val="auto"/>
        </w:rPr>
        <w:t>Compensation paid in foreign currencies was converted to U.S. dollars using the foreign exchange rate monthly average for November 2025.</w:t>
      </w:r>
    </w:p>
    <w:p>
      <w:pPr>
        <w:spacing w:after="0" w:line="51" w:lineRule="exact"/>
        <w:rPr>
          <w:rFonts w:ascii="Arial" w:cs="Arial" w:eastAsia="Arial" w:hAnsi="Arial"/>
          <w:sz w:val="14"/>
          <w:szCs w:val="14"/>
          <w:color w:val="auto"/>
        </w:rPr>
      </w:pPr>
    </w:p>
    <w:p>
      <w:pPr>
        <w:ind w:left="149" w:right="20" w:hanging="149"/>
        <w:spacing w:after="0" w:line="280" w:lineRule="auto"/>
        <w:tabs>
          <w:tab w:leader="none" w:pos="151" w:val="left"/>
        </w:tabs>
        <w:numPr>
          <w:ilvl w:val="0"/>
          <w:numId w:val="140"/>
        </w:numPr>
        <w:rPr>
          <w:rFonts w:ascii="Arial" w:cs="Arial" w:eastAsia="Arial" w:hAnsi="Arial"/>
          <w:sz w:val="14"/>
          <w:szCs w:val="14"/>
          <w:color w:val="auto"/>
        </w:rPr>
      </w:pPr>
      <w:r>
        <w:rPr>
          <w:rFonts w:ascii="Arial" w:cs="Arial" w:eastAsia="Arial" w:hAnsi="Arial"/>
          <w:sz w:val="14"/>
          <w:szCs w:val="14"/>
          <w:color w:val="auto"/>
        </w:rPr>
        <w:t>As permitted under SEC rules, we excluded all of our associates in Brazil (398), Ireland (360), Malaysia (238), New Zealand (230), and Czechia (56) who were employed on November 3, 2025 and collectively constituted less than 5% of our total associate populations.</w:t>
      </w:r>
    </w:p>
    <w:p>
      <w:pPr>
        <w:spacing w:after="0" w:line="1" w:lineRule="exact"/>
        <w:rPr>
          <w:rFonts w:ascii="Arial" w:cs="Arial" w:eastAsia="Arial" w:hAnsi="Arial"/>
          <w:sz w:val="14"/>
          <w:szCs w:val="14"/>
          <w:color w:val="auto"/>
        </w:rPr>
      </w:pPr>
    </w:p>
    <w:p>
      <w:pPr>
        <w:ind w:left="149" w:hanging="149"/>
        <w:spacing w:after="0"/>
        <w:tabs>
          <w:tab w:leader="none" w:pos="149" w:val="left"/>
        </w:tabs>
        <w:numPr>
          <w:ilvl w:val="0"/>
          <w:numId w:val="140"/>
        </w:numPr>
        <w:rPr>
          <w:rFonts w:ascii="Arial" w:cs="Arial" w:eastAsia="Arial" w:hAnsi="Arial"/>
          <w:sz w:val="14"/>
          <w:szCs w:val="14"/>
          <w:color w:val="auto"/>
        </w:rPr>
      </w:pPr>
      <w:r>
        <w:rPr>
          <w:rFonts w:ascii="Arial" w:cs="Arial" w:eastAsia="Arial" w:hAnsi="Arial"/>
          <w:sz w:val="14"/>
          <w:szCs w:val="14"/>
          <w:color w:val="auto"/>
        </w:rPr>
        <w:t>After giving effect to the exclusion, 8,412 associates in the United States and 17,631 outside of the United States were considered to identify the median associate.</w:t>
      </w:r>
    </w:p>
    <w:p>
      <w:pPr>
        <w:spacing w:after="0" w:line="145" w:lineRule="exact"/>
        <w:rPr>
          <w:sz w:val="20"/>
          <w:szCs w:val="20"/>
          <w:color w:val="auto"/>
        </w:rPr>
      </w:pPr>
    </w:p>
    <w:p>
      <w:pPr>
        <w:ind w:left="9"/>
        <w:spacing w:after="0"/>
        <w:rPr>
          <w:sz w:val="20"/>
          <w:szCs w:val="20"/>
          <w:color w:val="auto"/>
        </w:rPr>
      </w:pPr>
      <w:r>
        <w:rPr>
          <w:rFonts w:ascii="Arial" w:cs="Arial" w:eastAsia="Arial" w:hAnsi="Arial"/>
          <w:sz w:val="28"/>
          <w:szCs w:val="28"/>
          <w:b w:val="1"/>
          <w:bCs w:val="1"/>
          <w:color w:val="6D98AD"/>
        </w:rPr>
        <w:t>Calculation</w:t>
      </w:r>
    </w:p>
    <w:p>
      <w:pPr>
        <w:spacing w:after="0" w:line="114" w:lineRule="exact"/>
        <w:rPr>
          <w:sz w:val="20"/>
          <w:szCs w:val="20"/>
          <w:color w:val="auto"/>
        </w:rPr>
      </w:pPr>
    </w:p>
    <w:p>
      <w:pPr>
        <w:ind w:left="9"/>
        <w:spacing w:after="0" w:line="264" w:lineRule="auto"/>
        <w:rPr>
          <w:sz w:val="20"/>
          <w:szCs w:val="20"/>
          <w:color w:val="auto"/>
        </w:rPr>
      </w:pPr>
      <w:r>
        <w:rPr>
          <w:rFonts w:ascii="Arial" w:cs="Arial" w:eastAsia="Arial" w:hAnsi="Arial"/>
          <w:sz w:val="14"/>
          <w:szCs w:val="14"/>
          <w:color w:val="auto"/>
        </w:rPr>
        <w:t>We determined that our median associate was a part-time, hourly retail store sales associate who works in Torino, Italy. The 2025 annual total compensation for our median associate was $23,461. The 2025 annual total compensation as determined under Item 402 of Regulation S-K for our CEO was $16,165,385. The estimated ratio of our CEO’s annual total compensation to our median associate’s total compensation for 2025 is 689 to 1.</w:t>
      </w:r>
    </w:p>
    <w:p>
      <w:pPr>
        <w:spacing w:after="0" w:line="149"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 xml:space="preserve">80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09"/>
          </w:cols>
          <w:pgMar w:left="471" w:top="94" w:right="519" w:bottom="1440" w:gutter="0" w:footer="0" w:header="0"/>
        </w:sectPr>
      </w:pPr>
    </w:p>
    <w:bookmarkStart w:id="83" w:name="page84"/>
    <w:bookmarkEnd w:id="83"/>
    <w:p>
      <w:pPr>
        <w:ind w:left="20"/>
        <w:spacing w:after="0"/>
        <w:rPr>
          <w:sz w:val="20"/>
          <w:szCs w:val="20"/>
          <w:color w:val="auto"/>
        </w:rPr>
      </w:pPr>
      <w:r>
        <w:rPr>
          <w:rFonts w:ascii="Arial" w:cs="Arial" w:eastAsia="Arial" w:hAnsi="Arial"/>
          <w:sz w:val="41"/>
          <w:szCs w:val="41"/>
          <w:b w:val="1"/>
          <w:bCs w:val="1"/>
          <w:color w:val="auto"/>
        </w:rPr>
        <w:t>Pay Versus Performance Table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right="20"/>
        <w:spacing w:after="0" w:line="255" w:lineRule="auto"/>
        <w:rPr>
          <w:sz w:val="20"/>
          <w:szCs w:val="20"/>
          <w:color w:val="auto"/>
        </w:rPr>
      </w:pPr>
      <w:r>
        <w:rPr>
          <w:rFonts w:ascii="Arial" w:cs="Arial" w:eastAsia="Arial" w:hAnsi="Arial"/>
          <w:sz w:val="14"/>
          <w:szCs w:val="14"/>
          <w:color w:val="auto"/>
        </w:rPr>
        <w:t>In accordance with SEC rules, the following table sets forth information with respect to how “compensation actually paid” (“CAP”) to our NEOs aligns with company performance. CAP is an SEC-defined term that does not necessarily reflect the amounts ultimately realized by the NEOs or how the Compensation Committee views the link between company performance and NEO compensation. In addition, a significant portion of CAP relates to changes in the fair value of unvested equity awards over the course of each year. Unvested equity awards remain subject to risk from forfeiture and vesting conditions and potential future declines in value based on changes in the price of our common stock. The ultimate values actually realized by our NEOs from unvested equity awards cannot be determined until the awards vest.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40" w:type="dxa"/>
            <w:vAlign w:val="bottom"/>
            <w:shd w:val="clear" w:color="auto" w:fill="83A8B9"/>
          </w:tcPr>
          <w:p>
            <w:pPr>
              <w:ind w:left="60"/>
              <w:spacing w:after="0"/>
              <w:rPr>
                <w:sz w:val="20"/>
                <w:szCs w:val="20"/>
                <w:color w:val="auto"/>
              </w:rPr>
            </w:pPr>
            <w:r>
              <w:rPr>
                <w:rFonts w:ascii="Arial" w:cs="Arial" w:eastAsia="Arial" w:hAnsi="Arial"/>
                <w:sz w:val="11"/>
                <w:szCs w:val="11"/>
                <w:b w:val="1"/>
                <w:bCs w:val="1"/>
                <w:color w:val="FFFFFF"/>
              </w:rPr>
              <w:t>(a)</w:t>
            </w:r>
          </w:p>
        </w:tc>
        <w:tc>
          <w:tcPr>
            <w:tcW w:w="1500" w:type="dxa"/>
            <w:vAlign w:val="bottom"/>
            <w:shd w:val="clear" w:color="auto" w:fill="83A8B9"/>
          </w:tcPr>
          <w:p>
            <w:pPr>
              <w:jc w:val="right"/>
              <w:ind w:right="217"/>
              <w:spacing w:after="0"/>
              <w:rPr>
                <w:sz w:val="20"/>
                <w:szCs w:val="20"/>
                <w:color w:val="auto"/>
              </w:rPr>
            </w:pPr>
            <w:r>
              <w:rPr>
                <w:rFonts w:ascii="Arial" w:cs="Arial" w:eastAsia="Arial" w:hAnsi="Arial"/>
                <w:sz w:val="11"/>
                <w:szCs w:val="11"/>
                <w:b w:val="1"/>
                <w:bCs w:val="1"/>
                <w:color w:val="FFFFFF"/>
              </w:rPr>
              <w:t>(b)</w:t>
            </w:r>
          </w:p>
        </w:tc>
        <w:tc>
          <w:tcPr>
            <w:tcW w:w="1220" w:type="dxa"/>
            <w:vAlign w:val="bottom"/>
            <w:shd w:val="clear" w:color="auto" w:fill="83A8B9"/>
          </w:tcPr>
          <w:p>
            <w:pPr>
              <w:jc w:val="right"/>
              <w:ind w:right="137"/>
              <w:spacing w:after="0"/>
              <w:rPr>
                <w:sz w:val="20"/>
                <w:szCs w:val="20"/>
                <w:color w:val="auto"/>
              </w:rPr>
            </w:pPr>
            <w:r>
              <w:rPr>
                <w:rFonts w:ascii="Arial" w:cs="Arial" w:eastAsia="Arial" w:hAnsi="Arial"/>
                <w:sz w:val="11"/>
                <w:szCs w:val="11"/>
                <w:b w:val="1"/>
                <w:bCs w:val="1"/>
                <w:color w:val="FFFFFF"/>
              </w:rPr>
              <w:t>(c)</w:t>
            </w:r>
          </w:p>
        </w:tc>
        <w:tc>
          <w:tcPr>
            <w:tcW w:w="1500" w:type="dxa"/>
            <w:vAlign w:val="bottom"/>
            <w:shd w:val="clear" w:color="auto" w:fill="83A8B9"/>
          </w:tcPr>
          <w:p>
            <w:pPr>
              <w:jc w:val="right"/>
              <w:ind w:right="97"/>
              <w:spacing w:after="0"/>
              <w:rPr>
                <w:sz w:val="20"/>
                <w:szCs w:val="20"/>
                <w:color w:val="auto"/>
              </w:rPr>
            </w:pPr>
            <w:r>
              <w:rPr>
                <w:rFonts w:ascii="Arial" w:cs="Arial" w:eastAsia="Arial" w:hAnsi="Arial"/>
                <w:sz w:val="11"/>
                <w:szCs w:val="11"/>
                <w:b w:val="1"/>
                <w:bCs w:val="1"/>
                <w:color w:val="FFFFFF"/>
              </w:rPr>
              <w:t>(d)</w:t>
            </w:r>
          </w:p>
        </w:tc>
        <w:tc>
          <w:tcPr>
            <w:tcW w:w="1440" w:type="dxa"/>
            <w:vAlign w:val="bottom"/>
            <w:shd w:val="clear" w:color="auto" w:fill="83A8B9"/>
          </w:tcPr>
          <w:p>
            <w:pPr>
              <w:jc w:val="right"/>
              <w:spacing w:after="0"/>
              <w:rPr>
                <w:sz w:val="20"/>
                <w:szCs w:val="20"/>
                <w:color w:val="auto"/>
              </w:rPr>
            </w:pPr>
            <w:r>
              <w:rPr>
                <w:rFonts w:ascii="Arial" w:cs="Arial" w:eastAsia="Arial" w:hAnsi="Arial"/>
                <w:sz w:val="11"/>
                <w:szCs w:val="11"/>
                <w:b w:val="1"/>
                <w:bCs w:val="1"/>
                <w:color w:val="FFFFFF"/>
              </w:rPr>
              <w:t>(e)</w:t>
            </w:r>
          </w:p>
        </w:tc>
        <w:tc>
          <w:tcPr>
            <w:tcW w:w="1140" w:type="dxa"/>
            <w:vAlign w:val="bottom"/>
            <w:shd w:val="clear" w:color="auto" w:fill="83A8B9"/>
          </w:tcPr>
          <w:p>
            <w:pPr>
              <w:jc w:val="right"/>
              <w:ind w:right="79"/>
              <w:spacing w:after="0"/>
              <w:rPr>
                <w:sz w:val="20"/>
                <w:szCs w:val="20"/>
                <w:color w:val="auto"/>
              </w:rPr>
            </w:pPr>
            <w:r>
              <w:rPr>
                <w:rFonts w:ascii="Arial" w:cs="Arial" w:eastAsia="Arial" w:hAnsi="Arial"/>
                <w:sz w:val="11"/>
                <w:szCs w:val="11"/>
                <w:b w:val="1"/>
                <w:bCs w:val="1"/>
                <w:color w:val="FFFFFF"/>
              </w:rPr>
              <w:t>(f)</w:t>
            </w:r>
          </w:p>
        </w:tc>
        <w:tc>
          <w:tcPr>
            <w:tcW w:w="1060" w:type="dxa"/>
            <w:vAlign w:val="bottom"/>
            <w:shd w:val="clear" w:color="auto" w:fill="83A8B9"/>
          </w:tcPr>
          <w:p>
            <w:pPr>
              <w:jc w:val="right"/>
              <w:spacing w:after="0"/>
              <w:rPr>
                <w:sz w:val="20"/>
                <w:szCs w:val="20"/>
                <w:color w:val="auto"/>
              </w:rPr>
            </w:pPr>
            <w:r>
              <w:rPr>
                <w:rFonts w:ascii="Arial" w:cs="Arial" w:eastAsia="Arial" w:hAnsi="Arial"/>
                <w:sz w:val="11"/>
                <w:szCs w:val="11"/>
                <w:b w:val="1"/>
                <w:bCs w:val="1"/>
                <w:color w:val="FFFFFF"/>
              </w:rPr>
              <w:t>(g)</w:t>
            </w:r>
          </w:p>
        </w:tc>
        <w:tc>
          <w:tcPr>
            <w:tcW w:w="1200" w:type="dxa"/>
            <w:vAlign w:val="bottom"/>
            <w:shd w:val="clear" w:color="auto" w:fill="83A8B9"/>
          </w:tcPr>
          <w:p>
            <w:pPr>
              <w:jc w:val="right"/>
              <w:spacing w:after="0"/>
              <w:rPr>
                <w:sz w:val="20"/>
                <w:szCs w:val="20"/>
                <w:color w:val="auto"/>
              </w:rPr>
            </w:pPr>
            <w:r>
              <w:rPr>
                <w:rFonts w:ascii="Arial" w:cs="Arial" w:eastAsia="Arial" w:hAnsi="Arial"/>
                <w:sz w:val="11"/>
                <w:szCs w:val="11"/>
                <w:b w:val="1"/>
                <w:bCs w:val="1"/>
                <w:color w:val="FFFFFF"/>
              </w:rPr>
              <w:t>(h)</w:t>
            </w:r>
          </w:p>
        </w:tc>
        <w:tc>
          <w:tcPr>
            <w:tcW w:w="1240" w:type="dxa"/>
            <w:vAlign w:val="bottom"/>
            <w:shd w:val="clear" w:color="auto" w:fill="83A8B9"/>
          </w:tcPr>
          <w:p>
            <w:pPr>
              <w:jc w:val="right"/>
              <w:ind w:right="57"/>
              <w:spacing w:after="0"/>
              <w:rPr>
                <w:sz w:val="20"/>
                <w:szCs w:val="20"/>
                <w:color w:val="auto"/>
              </w:rPr>
            </w:pPr>
            <w:r>
              <w:rPr>
                <w:rFonts w:ascii="Arial" w:cs="Arial" w:eastAsia="Arial" w:hAnsi="Arial"/>
                <w:sz w:val="11"/>
                <w:szCs w:val="11"/>
                <w:b w:val="1"/>
                <w:bCs w:val="1"/>
                <w:color w:val="FFFFFF"/>
              </w:rPr>
              <w:t>(i)</w:t>
            </w:r>
          </w:p>
        </w:tc>
        <w:tc>
          <w:tcPr>
            <w:tcW w:w="0" w:type="dxa"/>
            <w:vAlign w:val="bottom"/>
          </w:tcPr>
          <w:p>
            <w:pPr>
              <w:spacing w:after="0"/>
              <w:rPr>
                <w:sz w:val="1"/>
                <w:szCs w:val="1"/>
                <w:color w:val="auto"/>
              </w:rPr>
            </w:pPr>
          </w:p>
        </w:tc>
      </w:tr>
      <w:tr>
        <w:trPr>
          <w:trHeight w:val="160"/>
        </w:trPr>
        <w:tc>
          <w:tcPr>
            <w:tcW w:w="640" w:type="dxa"/>
            <w:vAlign w:val="bottom"/>
            <w:shd w:val="clear" w:color="auto" w:fill="99B7C6"/>
          </w:tcPr>
          <w:p>
            <w:pPr>
              <w:spacing w:after="0"/>
              <w:rPr>
                <w:sz w:val="13"/>
                <w:szCs w:val="13"/>
                <w:color w:val="auto"/>
              </w:rPr>
            </w:pPr>
          </w:p>
        </w:tc>
        <w:tc>
          <w:tcPr>
            <w:tcW w:w="1500" w:type="dxa"/>
            <w:vAlign w:val="bottom"/>
            <w:shd w:val="clear" w:color="auto" w:fill="99B7C6"/>
          </w:tcPr>
          <w:p>
            <w:pPr>
              <w:spacing w:after="0"/>
              <w:rPr>
                <w:sz w:val="13"/>
                <w:szCs w:val="13"/>
                <w:color w:val="auto"/>
              </w:rPr>
            </w:pPr>
          </w:p>
        </w:tc>
        <w:tc>
          <w:tcPr>
            <w:tcW w:w="1220" w:type="dxa"/>
            <w:vAlign w:val="bottom"/>
            <w:shd w:val="clear" w:color="auto" w:fill="99B7C6"/>
          </w:tcPr>
          <w:p>
            <w:pPr>
              <w:spacing w:after="0"/>
              <w:rPr>
                <w:sz w:val="13"/>
                <w:szCs w:val="13"/>
                <w:color w:val="auto"/>
              </w:rPr>
            </w:pPr>
          </w:p>
        </w:tc>
        <w:tc>
          <w:tcPr>
            <w:tcW w:w="1500" w:type="dxa"/>
            <w:vAlign w:val="bottom"/>
            <w:shd w:val="clear" w:color="auto" w:fill="99B7C6"/>
          </w:tcPr>
          <w:p>
            <w:pPr>
              <w:spacing w:after="0"/>
              <w:rPr>
                <w:sz w:val="13"/>
                <w:szCs w:val="13"/>
                <w:color w:val="auto"/>
              </w:rPr>
            </w:pPr>
          </w:p>
        </w:tc>
        <w:tc>
          <w:tcPr>
            <w:tcW w:w="1440" w:type="dxa"/>
            <w:vAlign w:val="bottom"/>
            <w:shd w:val="clear" w:color="auto" w:fill="99B7C6"/>
          </w:tcPr>
          <w:p>
            <w:pPr>
              <w:spacing w:after="0"/>
              <w:rPr>
                <w:sz w:val="13"/>
                <w:szCs w:val="13"/>
                <w:color w:val="auto"/>
              </w:rPr>
            </w:pPr>
          </w:p>
        </w:tc>
        <w:tc>
          <w:tcPr>
            <w:tcW w:w="2200" w:type="dxa"/>
            <w:vAlign w:val="bottom"/>
            <w:gridSpan w:val="2"/>
            <w:shd w:val="clear" w:color="auto" w:fill="6D98AD"/>
          </w:tcPr>
          <w:p>
            <w:pPr>
              <w:jc w:val="right"/>
              <w:ind w:right="577"/>
              <w:spacing w:after="0"/>
              <w:rPr>
                <w:sz w:val="20"/>
                <w:szCs w:val="20"/>
                <w:color w:val="auto"/>
              </w:rPr>
            </w:pPr>
            <w:r>
              <w:rPr>
                <w:rFonts w:ascii="Arial" w:cs="Arial" w:eastAsia="Arial" w:hAnsi="Arial"/>
                <w:sz w:val="11"/>
                <w:szCs w:val="11"/>
                <w:b w:val="1"/>
                <w:bCs w:val="1"/>
                <w:color w:val="FFFFFF"/>
              </w:rPr>
              <w:t>Value of initial fixed</w:t>
            </w:r>
          </w:p>
        </w:tc>
        <w:tc>
          <w:tcPr>
            <w:tcW w:w="1200" w:type="dxa"/>
            <w:vAlign w:val="bottom"/>
            <w:shd w:val="clear" w:color="auto" w:fill="99B7C6"/>
          </w:tcPr>
          <w:p>
            <w:pPr>
              <w:spacing w:after="0"/>
              <w:rPr>
                <w:sz w:val="13"/>
                <w:szCs w:val="13"/>
                <w:color w:val="auto"/>
              </w:rPr>
            </w:pPr>
          </w:p>
        </w:tc>
        <w:tc>
          <w:tcPr>
            <w:tcW w:w="1240" w:type="dxa"/>
            <w:vAlign w:val="bottom"/>
            <w:shd w:val="clear" w:color="auto" w:fill="99B7C6"/>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40" w:type="dxa"/>
            <w:vAlign w:val="bottom"/>
            <w:shd w:val="clear" w:color="auto" w:fill="99B7C6"/>
          </w:tcPr>
          <w:p>
            <w:pPr>
              <w:spacing w:after="0"/>
              <w:rPr>
                <w:sz w:val="14"/>
                <w:szCs w:val="14"/>
                <w:color w:val="auto"/>
              </w:rPr>
            </w:pPr>
          </w:p>
        </w:tc>
        <w:tc>
          <w:tcPr>
            <w:tcW w:w="1500" w:type="dxa"/>
            <w:vAlign w:val="bottom"/>
            <w:shd w:val="clear" w:color="auto" w:fill="99B7C6"/>
          </w:tcPr>
          <w:p>
            <w:pPr>
              <w:spacing w:after="0"/>
              <w:rPr>
                <w:sz w:val="14"/>
                <w:szCs w:val="14"/>
                <w:color w:val="auto"/>
              </w:rPr>
            </w:pPr>
          </w:p>
        </w:tc>
        <w:tc>
          <w:tcPr>
            <w:tcW w:w="1220" w:type="dxa"/>
            <w:vAlign w:val="bottom"/>
            <w:shd w:val="clear" w:color="auto" w:fill="99B7C6"/>
          </w:tcPr>
          <w:p>
            <w:pPr>
              <w:spacing w:after="0"/>
              <w:rPr>
                <w:sz w:val="14"/>
                <w:szCs w:val="14"/>
                <w:color w:val="auto"/>
              </w:rPr>
            </w:pPr>
          </w:p>
        </w:tc>
        <w:tc>
          <w:tcPr>
            <w:tcW w:w="1500" w:type="dxa"/>
            <w:vAlign w:val="bottom"/>
            <w:shd w:val="clear" w:color="auto" w:fill="99B7C6"/>
          </w:tcPr>
          <w:p>
            <w:pPr>
              <w:spacing w:after="0"/>
              <w:rPr>
                <w:sz w:val="14"/>
                <w:szCs w:val="14"/>
                <w:color w:val="auto"/>
              </w:rPr>
            </w:pPr>
          </w:p>
        </w:tc>
        <w:tc>
          <w:tcPr>
            <w:tcW w:w="1440" w:type="dxa"/>
            <w:vAlign w:val="bottom"/>
            <w:shd w:val="clear" w:color="auto" w:fill="99B7C6"/>
          </w:tcPr>
          <w:p>
            <w:pPr>
              <w:spacing w:after="0"/>
              <w:rPr>
                <w:sz w:val="14"/>
                <w:szCs w:val="14"/>
                <w:color w:val="auto"/>
              </w:rPr>
            </w:pPr>
          </w:p>
        </w:tc>
        <w:tc>
          <w:tcPr>
            <w:tcW w:w="2200" w:type="dxa"/>
            <w:vAlign w:val="bottom"/>
            <w:gridSpan w:val="2"/>
            <w:shd w:val="clear" w:color="auto" w:fill="6D98AD"/>
          </w:tcPr>
          <w:p>
            <w:pPr>
              <w:jc w:val="right"/>
              <w:ind w:right="357"/>
              <w:spacing w:after="0"/>
              <w:rPr>
                <w:sz w:val="20"/>
                <w:szCs w:val="20"/>
                <w:color w:val="auto"/>
              </w:rPr>
            </w:pPr>
            <w:r>
              <w:rPr>
                <w:rFonts w:ascii="Arial" w:cs="Arial" w:eastAsia="Arial" w:hAnsi="Arial"/>
                <w:sz w:val="11"/>
                <w:szCs w:val="11"/>
                <w:b w:val="1"/>
                <w:bCs w:val="1"/>
                <w:color w:val="FFFFFF"/>
              </w:rPr>
              <w:t>$100 investment based on</w:t>
            </w:r>
            <w:r>
              <w:rPr>
                <w:rFonts w:ascii="Arial" w:cs="Arial" w:eastAsia="Arial" w:hAnsi="Arial"/>
                <w:sz w:val="12"/>
                <w:szCs w:val="12"/>
                <w:b w:val="1"/>
                <w:bCs w:val="1"/>
                <w:color w:val="FFFFFF"/>
                <w:vertAlign w:val="superscript"/>
              </w:rPr>
              <w:t>4</w:t>
            </w:r>
          </w:p>
        </w:tc>
        <w:tc>
          <w:tcPr>
            <w:tcW w:w="1200" w:type="dxa"/>
            <w:vAlign w:val="bottom"/>
            <w:shd w:val="clear" w:color="auto" w:fill="99B7C6"/>
          </w:tcPr>
          <w:p>
            <w:pPr>
              <w:spacing w:after="0"/>
              <w:rPr>
                <w:sz w:val="14"/>
                <w:szCs w:val="14"/>
                <w:color w:val="auto"/>
              </w:rPr>
            </w:pPr>
          </w:p>
        </w:tc>
        <w:tc>
          <w:tcPr>
            <w:tcW w:w="1240" w:type="dxa"/>
            <w:vAlign w:val="bottom"/>
            <w:shd w:val="clear" w:color="auto" w:fill="99B7C6"/>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40" w:type="dxa"/>
            <w:vAlign w:val="bottom"/>
            <w:shd w:val="clear" w:color="auto" w:fill="99B7C6"/>
          </w:tcPr>
          <w:p>
            <w:pPr>
              <w:spacing w:after="0"/>
              <w:rPr>
                <w:sz w:val="13"/>
                <w:szCs w:val="13"/>
                <w:color w:val="auto"/>
              </w:rPr>
            </w:pPr>
          </w:p>
        </w:tc>
        <w:tc>
          <w:tcPr>
            <w:tcW w:w="1500" w:type="dxa"/>
            <w:vAlign w:val="bottom"/>
            <w:shd w:val="clear" w:color="auto" w:fill="99B7C6"/>
          </w:tcPr>
          <w:p>
            <w:pPr>
              <w:jc w:val="right"/>
              <w:ind w:right="217"/>
              <w:spacing w:after="0"/>
              <w:rPr>
                <w:sz w:val="20"/>
                <w:szCs w:val="20"/>
                <w:color w:val="auto"/>
              </w:rPr>
            </w:pPr>
            <w:r>
              <w:rPr>
                <w:rFonts w:ascii="Arial" w:cs="Arial" w:eastAsia="Arial" w:hAnsi="Arial"/>
                <w:sz w:val="11"/>
                <w:szCs w:val="11"/>
                <w:b w:val="1"/>
                <w:bCs w:val="1"/>
                <w:color w:val="FFFFFF"/>
              </w:rPr>
              <w:t>Summary</w:t>
            </w:r>
          </w:p>
        </w:tc>
        <w:tc>
          <w:tcPr>
            <w:tcW w:w="1220" w:type="dxa"/>
            <w:vAlign w:val="bottom"/>
            <w:shd w:val="clear" w:color="auto" w:fill="99B7C6"/>
          </w:tcPr>
          <w:p>
            <w:pPr>
              <w:jc w:val="right"/>
              <w:ind w:right="137"/>
              <w:spacing w:after="0"/>
              <w:rPr>
                <w:sz w:val="20"/>
                <w:szCs w:val="20"/>
                <w:color w:val="auto"/>
              </w:rPr>
            </w:pPr>
            <w:r>
              <w:rPr>
                <w:rFonts w:ascii="Arial" w:cs="Arial" w:eastAsia="Arial" w:hAnsi="Arial"/>
                <w:sz w:val="11"/>
                <w:szCs w:val="11"/>
                <w:b w:val="1"/>
                <w:bCs w:val="1"/>
                <w:color w:val="FFFFFF"/>
              </w:rPr>
              <w:t>Compensation</w:t>
            </w:r>
          </w:p>
        </w:tc>
        <w:tc>
          <w:tcPr>
            <w:tcW w:w="1500" w:type="dxa"/>
            <w:vAlign w:val="bottom"/>
            <w:shd w:val="clear" w:color="auto" w:fill="99B7C6"/>
          </w:tcPr>
          <w:p>
            <w:pPr>
              <w:jc w:val="right"/>
              <w:ind w:right="97"/>
              <w:spacing w:after="0"/>
              <w:rPr>
                <w:sz w:val="20"/>
                <w:szCs w:val="20"/>
                <w:color w:val="auto"/>
              </w:rPr>
            </w:pPr>
            <w:r>
              <w:rPr>
                <w:rFonts w:ascii="Arial" w:cs="Arial" w:eastAsia="Arial" w:hAnsi="Arial"/>
                <w:sz w:val="11"/>
                <w:szCs w:val="11"/>
                <w:b w:val="1"/>
                <w:bCs w:val="1"/>
                <w:color w:val="FFFFFF"/>
              </w:rPr>
              <w:t>Average Summary</w:t>
            </w:r>
          </w:p>
        </w:tc>
        <w:tc>
          <w:tcPr>
            <w:tcW w:w="1440" w:type="dxa"/>
            <w:vAlign w:val="bottom"/>
            <w:shd w:val="clear" w:color="auto" w:fill="99B7C6"/>
          </w:tcPr>
          <w:p>
            <w:pPr>
              <w:jc w:val="right"/>
              <w:spacing w:after="0"/>
              <w:rPr>
                <w:sz w:val="20"/>
                <w:szCs w:val="20"/>
                <w:color w:val="auto"/>
              </w:rPr>
            </w:pPr>
            <w:r>
              <w:rPr>
                <w:rFonts w:ascii="Arial" w:cs="Arial" w:eastAsia="Arial" w:hAnsi="Arial"/>
                <w:sz w:val="11"/>
                <w:szCs w:val="11"/>
                <w:b w:val="1"/>
                <w:bCs w:val="1"/>
                <w:color w:val="FFFFFF"/>
              </w:rPr>
              <w:t>Average Compensation</w:t>
            </w:r>
          </w:p>
        </w:tc>
        <w:tc>
          <w:tcPr>
            <w:tcW w:w="1140" w:type="dxa"/>
            <w:vAlign w:val="bottom"/>
            <w:shd w:val="clear" w:color="auto" w:fill="A7C1CE"/>
          </w:tcPr>
          <w:p>
            <w:pPr>
              <w:jc w:val="right"/>
              <w:ind w:right="79"/>
              <w:spacing w:after="0"/>
              <w:rPr>
                <w:sz w:val="20"/>
                <w:szCs w:val="20"/>
                <w:color w:val="auto"/>
              </w:rPr>
            </w:pPr>
            <w:r>
              <w:rPr>
                <w:rFonts w:ascii="Arial" w:cs="Arial" w:eastAsia="Arial" w:hAnsi="Arial"/>
                <w:sz w:val="11"/>
                <w:szCs w:val="11"/>
                <w:b w:val="1"/>
                <w:bCs w:val="1"/>
                <w:color w:val="FFFFFF"/>
              </w:rPr>
              <w:t>PVH Total</w:t>
            </w:r>
          </w:p>
        </w:tc>
        <w:tc>
          <w:tcPr>
            <w:tcW w:w="1060" w:type="dxa"/>
            <w:vAlign w:val="bottom"/>
            <w:shd w:val="clear" w:color="auto" w:fill="A7C1CE"/>
          </w:tcPr>
          <w:p>
            <w:pPr>
              <w:jc w:val="right"/>
              <w:spacing w:after="0"/>
              <w:rPr>
                <w:sz w:val="20"/>
                <w:szCs w:val="20"/>
                <w:color w:val="auto"/>
              </w:rPr>
            </w:pPr>
            <w:r>
              <w:rPr>
                <w:rFonts w:ascii="Arial" w:cs="Arial" w:eastAsia="Arial" w:hAnsi="Arial"/>
                <w:sz w:val="11"/>
                <w:szCs w:val="11"/>
                <w:b w:val="1"/>
                <w:bCs w:val="1"/>
                <w:color w:val="FFFFFF"/>
              </w:rPr>
              <w:t>Peer Group Total</w:t>
            </w:r>
          </w:p>
        </w:tc>
        <w:tc>
          <w:tcPr>
            <w:tcW w:w="1200" w:type="dxa"/>
            <w:vAlign w:val="bottom"/>
            <w:shd w:val="clear" w:color="auto" w:fill="99B7C6"/>
          </w:tcPr>
          <w:p>
            <w:pPr>
              <w:spacing w:after="0"/>
              <w:rPr>
                <w:sz w:val="13"/>
                <w:szCs w:val="13"/>
                <w:color w:val="auto"/>
              </w:rPr>
            </w:pPr>
          </w:p>
        </w:tc>
        <w:tc>
          <w:tcPr>
            <w:tcW w:w="1240" w:type="dxa"/>
            <w:vAlign w:val="bottom"/>
            <w:shd w:val="clear" w:color="auto" w:fill="99B7C6"/>
          </w:tcPr>
          <w:p>
            <w:pPr>
              <w:jc w:val="center"/>
              <w:ind w:left="397"/>
              <w:spacing w:after="0"/>
              <w:rPr>
                <w:sz w:val="20"/>
                <w:szCs w:val="20"/>
                <w:color w:val="auto"/>
              </w:rPr>
            </w:pPr>
            <w:r>
              <w:rPr>
                <w:rFonts w:ascii="Arial" w:cs="Arial" w:eastAsia="Arial" w:hAnsi="Arial"/>
                <w:sz w:val="11"/>
                <w:szCs w:val="11"/>
                <w:b w:val="1"/>
                <w:bCs w:val="1"/>
                <w:color w:val="FFFFFF"/>
              </w:rPr>
              <w:t>Non-GAAP</w:t>
            </w:r>
          </w:p>
        </w:tc>
        <w:tc>
          <w:tcPr>
            <w:tcW w:w="0" w:type="dxa"/>
            <w:vAlign w:val="bottom"/>
          </w:tcPr>
          <w:p>
            <w:pPr>
              <w:spacing w:after="0"/>
              <w:rPr>
                <w:sz w:val="1"/>
                <w:szCs w:val="1"/>
                <w:color w:val="auto"/>
              </w:rPr>
            </w:pPr>
          </w:p>
        </w:tc>
      </w:tr>
      <w:tr>
        <w:trPr>
          <w:trHeight w:val="125"/>
        </w:trPr>
        <w:tc>
          <w:tcPr>
            <w:tcW w:w="640" w:type="dxa"/>
            <w:vAlign w:val="bottom"/>
            <w:shd w:val="clear" w:color="auto" w:fill="99B7C6"/>
          </w:tcPr>
          <w:p>
            <w:pPr>
              <w:spacing w:after="0"/>
              <w:rPr>
                <w:sz w:val="10"/>
                <w:szCs w:val="10"/>
                <w:color w:val="auto"/>
              </w:rPr>
            </w:pPr>
          </w:p>
        </w:tc>
        <w:tc>
          <w:tcPr>
            <w:tcW w:w="1500" w:type="dxa"/>
            <w:vAlign w:val="bottom"/>
            <w:shd w:val="clear" w:color="auto" w:fill="99B7C6"/>
          </w:tcPr>
          <w:p>
            <w:pPr>
              <w:jc w:val="right"/>
              <w:ind w:right="217"/>
              <w:spacing w:after="0" w:line="125" w:lineRule="exact"/>
              <w:rPr>
                <w:sz w:val="20"/>
                <w:szCs w:val="20"/>
                <w:color w:val="auto"/>
              </w:rPr>
            </w:pPr>
            <w:r>
              <w:rPr>
                <w:rFonts w:ascii="Arial" w:cs="Arial" w:eastAsia="Arial" w:hAnsi="Arial"/>
                <w:sz w:val="11"/>
                <w:szCs w:val="11"/>
                <w:b w:val="1"/>
                <w:bCs w:val="1"/>
                <w:color w:val="FFFFFF"/>
              </w:rPr>
              <w:t>Compensation</w:t>
            </w:r>
          </w:p>
        </w:tc>
        <w:tc>
          <w:tcPr>
            <w:tcW w:w="1220" w:type="dxa"/>
            <w:vAlign w:val="bottom"/>
            <w:shd w:val="clear" w:color="auto" w:fill="99B7C6"/>
          </w:tcPr>
          <w:p>
            <w:pPr>
              <w:jc w:val="right"/>
              <w:ind w:right="137"/>
              <w:spacing w:after="0" w:line="125" w:lineRule="exact"/>
              <w:rPr>
                <w:sz w:val="20"/>
                <w:szCs w:val="20"/>
                <w:color w:val="auto"/>
              </w:rPr>
            </w:pPr>
            <w:r>
              <w:rPr>
                <w:rFonts w:ascii="Arial" w:cs="Arial" w:eastAsia="Arial" w:hAnsi="Arial"/>
                <w:sz w:val="11"/>
                <w:szCs w:val="11"/>
                <w:b w:val="1"/>
                <w:bCs w:val="1"/>
                <w:color w:val="FFFFFF"/>
              </w:rPr>
              <w:t>Actually Paid</w:t>
            </w:r>
          </w:p>
        </w:tc>
        <w:tc>
          <w:tcPr>
            <w:tcW w:w="1500" w:type="dxa"/>
            <w:vAlign w:val="bottom"/>
            <w:shd w:val="clear" w:color="auto" w:fill="99B7C6"/>
          </w:tcPr>
          <w:p>
            <w:pPr>
              <w:jc w:val="right"/>
              <w:ind w:right="97"/>
              <w:spacing w:after="0" w:line="125" w:lineRule="exact"/>
              <w:rPr>
                <w:sz w:val="20"/>
                <w:szCs w:val="20"/>
                <w:color w:val="auto"/>
              </w:rPr>
            </w:pPr>
            <w:r>
              <w:rPr>
                <w:rFonts w:ascii="Arial" w:cs="Arial" w:eastAsia="Arial" w:hAnsi="Arial"/>
                <w:sz w:val="11"/>
                <w:szCs w:val="11"/>
                <w:b w:val="1"/>
                <w:bCs w:val="1"/>
                <w:color w:val="FFFFFF"/>
              </w:rPr>
              <w:t>Compensation Table</w:t>
            </w:r>
          </w:p>
        </w:tc>
        <w:tc>
          <w:tcPr>
            <w:tcW w:w="1440" w:type="dxa"/>
            <w:vAlign w:val="bottom"/>
            <w:shd w:val="clear" w:color="auto" w:fill="99B7C6"/>
          </w:tcPr>
          <w:p>
            <w:pPr>
              <w:jc w:val="right"/>
              <w:ind w:right="37"/>
              <w:spacing w:after="0" w:line="125" w:lineRule="exact"/>
              <w:rPr>
                <w:sz w:val="20"/>
                <w:szCs w:val="20"/>
                <w:color w:val="auto"/>
              </w:rPr>
            </w:pPr>
            <w:r>
              <w:rPr>
                <w:rFonts w:ascii="Arial" w:cs="Arial" w:eastAsia="Arial" w:hAnsi="Arial"/>
                <w:sz w:val="11"/>
                <w:szCs w:val="11"/>
                <w:b w:val="1"/>
                <w:bCs w:val="1"/>
                <w:color w:val="FFFFFF"/>
              </w:rPr>
              <w:t>Actually Paid to</w:t>
            </w:r>
          </w:p>
        </w:tc>
        <w:tc>
          <w:tcPr>
            <w:tcW w:w="1140" w:type="dxa"/>
            <w:vAlign w:val="bottom"/>
            <w:shd w:val="clear" w:color="auto" w:fill="A7C1CE"/>
          </w:tcPr>
          <w:p>
            <w:pPr>
              <w:jc w:val="right"/>
              <w:ind w:right="79"/>
              <w:spacing w:after="0" w:line="125" w:lineRule="exact"/>
              <w:rPr>
                <w:sz w:val="20"/>
                <w:szCs w:val="20"/>
                <w:color w:val="auto"/>
              </w:rPr>
            </w:pPr>
            <w:r>
              <w:rPr>
                <w:rFonts w:ascii="Arial" w:cs="Arial" w:eastAsia="Arial" w:hAnsi="Arial"/>
                <w:sz w:val="11"/>
                <w:szCs w:val="11"/>
                <w:b w:val="1"/>
                <w:bCs w:val="1"/>
                <w:color w:val="FFFFFF"/>
              </w:rPr>
              <w:t>Shareholder</w:t>
            </w:r>
          </w:p>
        </w:tc>
        <w:tc>
          <w:tcPr>
            <w:tcW w:w="1060" w:type="dxa"/>
            <w:vAlign w:val="bottom"/>
            <w:shd w:val="clear" w:color="auto" w:fill="A7C1CE"/>
          </w:tcPr>
          <w:p>
            <w:pPr>
              <w:jc w:val="right"/>
              <w:spacing w:after="0" w:line="125" w:lineRule="exact"/>
              <w:rPr>
                <w:sz w:val="20"/>
                <w:szCs w:val="20"/>
                <w:color w:val="auto"/>
              </w:rPr>
            </w:pPr>
            <w:r>
              <w:rPr>
                <w:rFonts w:ascii="Arial" w:cs="Arial" w:eastAsia="Arial" w:hAnsi="Arial"/>
                <w:sz w:val="11"/>
                <w:szCs w:val="11"/>
                <w:b w:val="1"/>
                <w:bCs w:val="1"/>
                <w:color w:val="FFFFFF"/>
              </w:rPr>
              <w:t>Shareholder</w:t>
            </w:r>
          </w:p>
        </w:tc>
        <w:tc>
          <w:tcPr>
            <w:tcW w:w="1200" w:type="dxa"/>
            <w:vAlign w:val="bottom"/>
            <w:vMerge w:val="restart"/>
            <w:shd w:val="clear" w:color="auto" w:fill="99B7C6"/>
          </w:tcPr>
          <w:p>
            <w:pPr>
              <w:jc w:val="right"/>
              <w:spacing w:after="0"/>
              <w:rPr>
                <w:sz w:val="20"/>
                <w:szCs w:val="20"/>
                <w:color w:val="auto"/>
              </w:rPr>
            </w:pPr>
            <w:r>
              <w:rPr>
                <w:rFonts w:ascii="Arial" w:cs="Arial" w:eastAsia="Arial" w:hAnsi="Arial"/>
                <w:sz w:val="11"/>
                <w:szCs w:val="11"/>
                <w:b w:val="1"/>
                <w:bCs w:val="1"/>
                <w:color w:val="FFFFFF"/>
              </w:rPr>
              <w:t>Net Income</w:t>
            </w:r>
            <w:r>
              <w:rPr>
                <w:rFonts w:ascii="Arial" w:cs="Arial" w:eastAsia="Arial" w:hAnsi="Arial"/>
                <w:sz w:val="12"/>
                <w:szCs w:val="12"/>
                <w:b w:val="1"/>
                <w:bCs w:val="1"/>
                <w:color w:val="FFFFFF"/>
                <w:vertAlign w:val="superscript"/>
              </w:rPr>
              <w:t>5</w:t>
            </w:r>
          </w:p>
        </w:tc>
        <w:tc>
          <w:tcPr>
            <w:tcW w:w="1240" w:type="dxa"/>
            <w:vAlign w:val="bottom"/>
            <w:shd w:val="clear" w:color="auto" w:fill="99B7C6"/>
          </w:tcPr>
          <w:p>
            <w:pPr>
              <w:jc w:val="right"/>
              <w:ind w:right="57"/>
              <w:spacing w:after="0" w:line="125" w:lineRule="exact"/>
              <w:rPr>
                <w:sz w:val="20"/>
                <w:szCs w:val="20"/>
                <w:color w:val="auto"/>
              </w:rPr>
            </w:pPr>
            <w:r>
              <w:rPr>
                <w:rFonts w:ascii="Arial" w:cs="Arial" w:eastAsia="Arial" w:hAnsi="Arial"/>
                <w:sz w:val="11"/>
                <w:szCs w:val="11"/>
                <w:b w:val="1"/>
                <w:bCs w:val="1"/>
                <w:color w:val="FFFFFF"/>
              </w:rPr>
              <w:t>Earnings Before</w:t>
            </w:r>
          </w:p>
        </w:tc>
        <w:tc>
          <w:tcPr>
            <w:tcW w:w="0" w:type="dxa"/>
            <w:vAlign w:val="bottom"/>
          </w:tcPr>
          <w:p>
            <w:pPr>
              <w:spacing w:after="0"/>
              <w:rPr>
                <w:sz w:val="1"/>
                <w:szCs w:val="1"/>
                <w:color w:val="auto"/>
              </w:rPr>
            </w:pPr>
          </w:p>
        </w:tc>
      </w:tr>
      <w:tr>
        <w:trPr>
          <w:trHeight w:val="119"/>
        </w:trPr>
        <w:tc>
          <w:tcPr>
            <w:tcW w:w="640" w:type="dxa"/>
            <w:vAlign w:val="bottom"/>
            <w:vMerge w:val="restart"/>
            <w:shd w:val="clear" w:color="auto" w:fill="99B7C6"/>
          </w:tcPr>
          <w:p>
            <w:pPr>
              <w:ind w:left="60"/>
              <w:spacing w:after="0"/>
              <w:rPr>
                <w:sz w:val="20"/>
                <w:szCs w:val="20"/>
                <w:color w:val="auto"/>
              </w:rPr>
            </w:pPr>
            <w:r>
              <w:rPr>
                <w:rFonts w:ascii="Arial" w:cs="Arial" w:eastAsia="Arial" w:hAnsi="Arial"/>
                <w:sz w:val="11"/>
                <w:szCs w:val="11"/>
                <w:b w:val="1"/>
                <w:bCs w:val="1"/>
                <w:color w:val="FFFFFF"/>
              </w:rPr>
              <w:t>Year</w:t>
            </w:r>
          </w:p>
        </w:tc>
        <w:tc>
          <w:tcPr>
            <w:tcW w:w="1500" w:type="dxa"/>
            <w:vAlign w:val="bottom"/>
            <w:shd w:val="clear" w:color="auto" w:fill="99B7C6"/>
          </w:tcPr>
          <w:p>
            <w:pPr>
              <w:jc w:val="right"/>
              <w:ind w:right="217"/>
              <w:spacing w:after="0" w:line="120" w:lineRule="exact"/>
              <w:rPr>
                <w:sz w:val="20"/>
                <w:szCs w:val="20"/>
                <w:color w:val="auto"/>
              </w:rPr>
            </w:pPr>
            <w:r>
              <w:rPr>
                <w:rFonts w:ascii="Arial" w:cs="Arial" w:eastAsia="Arial" w:hAnsi="Arial"/>
                <w:sz w:val="11"/>
                <w:szCs w:val="11"/>
                <w:b w:val="1"/>
                <w:bCs w:val="1"/>
                <w:color w:val="FFFFFF"/>
              </w:rPr>
              <w:t>Table Total for CEO</w:t>
            </w:r>
            <w:r>
              <w:rPr>
                <w:rFonts w:ascii="Arial" w:cs="Arial" w:eastAsia="Arial" w:hAnsi="Arial"/>
                <w:sz w:val="12"/>
                <w:szCs w:val="12"/>
                <w:b w:val="1"/>
                <w:bCs w:val="1"/>
                <w:color w:val="FFFFFF"/>
                <w:vertAlign w:val="superscript"/>
              </w:rPr>
              <w:t>1</w:t>
            </w:r>
          </w:p>
        </w:tc>
        <w:tc>
          <w:tcPr>
            <w:tcW w:w="1220" w:type="dxa"/>
            <w:vAlign w:val="bottom"/>
            <w:shd w:val="clear" w:color="auto" w:fill="99B7C6"/>
          </w:tcPr>
          <w:p>
            <w:pPr>
              <w:jc w:val="right"/>
              <w:ind w:right="137"/>
              <w:spacing w:after="0" w:line="120" w:lineRule="exact"/>
              <w:rPr>
                <w:sz w:val="20"/>
                <w:szCs w:val="20"/>
                <w:color w:val="auto"/>
              </w:rPr>
            </w:pPr>
            <w:r>
              <w:rPr>
                <w:rFonts w:ascii="Arial" w:cs="Arial" w:eastAsia="Arial" w:hAnsi="Arial"/>
                <w:sz w:val="11"/>
                <w:szCs w:val="11"/>
                <w:b w:val="1"/>
                <w:bCs w:val="1"/>
                <w:color w:val="FFFFFF"/>
              </w:rPr>
              <w:t>to CEO</w:t>
            </w:r>
            <w:r>
              <w:rPr>
                <w:rFonts w:ascii="Arial" w:cs="Arial" w:eastAsia="Arial" w:hAnsi="Arial"/>
                <w:sz w:val="12"/>
                <w:szCs w:val="12"/>
                <w:b w:val="1"/>
                <w:bCs w:val="1"/>
                <w:color w:val="FFFFFF"/>
                <w:vertAlign w:val="superscript"/>
              </w:rPr>
              <w:t>2</w:t>
            </w:r>
          </w:p>
        </w:tc>
        <w:tc>
          <w:tcPr>
            <w:tcW w:w="1500" w:type="dxa"/>
            <w:vAlign w:val="bottom"/>
            <w:shd w:val="clear" w:color="auto" w:fill="99B7C6"/>
          </w:tcPr>
          <w:p>
            <w:pPr>
              <w:jc w:val="right"/>
              <w:ind w:right="97"/>
              <w:spacing w:after="0" w:line="120" w:lineRule="exact"/>
              <w:rPr>
                <w:sz w:val="20"/>
                <w:szCs w:val="20"/>
                <w:color w:val="auto"/>
              </w:rPr>
            </w:pPr>
            <w:r>
              <w:rPr>
                <w:rFonts w:ascii="Arial" w:cs="Arial" w:eastAsia="Arial" w:hAnsi="Arial"/>
                <w:sz w:val="11"/>
                <w:szCs w:val="11"/>
                <w:b w:val="1"/>
                <w:bCs w:val="1"/>
                <w:color w:val="FFFFFF"/>
              </w:rPr>
              <w:t>Total for Other NEOs</w:t>
            </w:r>
            <w:r>
              <w:rPr>
                <w:rFonts w:ascii="Arial" w:cs="Arial" w:eastAsia="Arial" w:hAnsi="Arial"/>
                <w:sz w:val="12"/>
                <w:szCs w:val="12"/>
                <w:b w:val="1"/>
                <w:bCs w:val="1"/>
                <w:color w:val="FFFFFF"/>
                <w:vertAlign w:val="superscript"/>
              </w:rPr>
              <w:t>1</w:t>
            </w:r>
          </w:p>
        </w:tc>
        <w:tc>
          <w:tcPr>
            <w:tcW w:w="1440" w:type="dxa"/>
            <w:vAlign w:val="bottom"/>
            <w:shd w:val="clear" w:color="auto" w:fill="99B7C6"/>
          </w:tcPr>
          <w:p>
            <w:pPr>
              <w:jc w:val="right"/>
              <w:spacing w:after="0" w:line="120" w:lineRule="exact"/>
              <w:rPr>
                <w:sz w:val="20"/>
                <w:szCs w:val="20"/>
                <w:color w:val="auto"/>
              </w:rPr>
            </w:pPr>
            <w:r>
              <w:rPr>
                <w:rFonts w:ascii="Arial" w:cs="Arial" w:eastAsia="Arial" w:hAnsi="Arial"/>
                <w:sz w:val="11"/>
                <w:szCs w:val="11"/>
                <w:b w:val="1"/>
                <w:bCs w:val="1"/>
                <w:color w:val="FFFFFF"/>
              </w:rPr>
              <w:t>Other NEOs</w:t>
            </w:r>
            <w:r>
              <w:rPr>
                <w:rFonts w:ascii="Arial" w:cs="Arial" w:eastAsia="Arial" w:hAnsi="Arial"/>
                <w:sz w:val="12"/>
                <w:szCs w:val="12"/>
                <w:b w:val="1"/>
                <w:bCs w:val="1"/>
                <w:color w:val="FFFFFF"/>
                <w:vertAlign w:val="superscript"/>
              </w:rPr>
              <w:t>3</w:t>
            </w:r>
          </w:p>
        </w:tc>
        <w:tc>
          <w:tcPr>
            <w:tcW w:w="1140" w:type="dxa"/>
            <w:vAlign w:val="bottom"/>
            <w:shd w:val="clear" w:color="auto" w:fill="A7C1CE"/>
          </w:tcPr>
          <w:p>
            <w:pPr>
              <w:jc w:val="right"/>
              <w:ind w:right="79"/>
              <w:spacing w:after="0" w:line="119" w:lineRule="exact"/>
              <w:rPr>
                <w:sz w:val="20"/>
                <w:szCs w:val="20"/>
                <w:color w:val="auto"/>
              </w:rPr>
            </w:pPr>
            <w:r>
              <w:rPr>
                <w:rFonts w:ascii="Arial" w:cs="Arial" w:eastAsia="Arial" w:hAnsi="Arial"/>
                <w:sz w:val="11"/>
                <w:szCs w:val="11"/>
                <w:b w:val="1"/>
                <w:bCs w:val="1"/>
                <w:color w:val="FFFFFF"/>
              </w:rPr>
              <w:t>Return</w:t>
            </w:r>
          </w:p>
        </w:tc>
        <w:tc>
          <w:tcPr>
            <w:tcW w:w="1060" w:type="dxa"/>
            <w:vAlign w:val="bottom"/>
            <w:shd w:val="clear" w:color="auto" w:fill="A7C1CE"/>
          </w:tcPr>
          <w:p>
            <w:pPr>
              <w:jc w:val="right"/>
              <w:spacing w:after="0" w:line="119" w:lineRule="exact"/>
              <w:rPr>
                <w:sz w:val="20"/>
                <w:szCs w:val="20"/>
                <w:color w:val="auto"/>
              </w:rPr>
            </w:pPr>
            <w:r>
              <w:rPr>
                <w:rFonts w:ascii="Arial" w:cs="Arial" w:eastAsia="Arial" w:hAnsi="Arial"/>
                <w:sz w:val="11"/>
                <w:szCs w:val="11"/>
                <w:b w:val="1"/>
                <w:bCs w:val="1"/>
                <w:color w:val="FFFFFF"/>
              </w:rPr>
              <w:t>Return</w:t>
            </w:r>
          </w:p>
        </w:tc>
        <w:tc>
          <w:tcPr>
            <w:tcW w:w="1200" w:type="dxa"/>
            <w:vAlign w:val="bottom"/>
            <w:vMerge w:val="continue"/>
            <w:shd w:val="clear" w:color="auto" w:fill="99B7C6"/>
          </w:tcPr>
          <w:p>
            <w:pPr>
              <w:spacing w:after="0"/>
              <w:rPr>
                <w:sz w:val="10"/>
                <w:szCs w:val="10"/>
                <w:color w:val="auto"/>
              </w:rPr>
            </w:pPr>
          </w:p>
        </w:tc>
        <w:tc>
          <w:tcPr>
            <w:tcW w:w="1240" w:type="dxa"/>
            <w:vAlign w:val="bottom"/>
            <w:shd w:val="clear" w:color="auto" w:fill="99B7C6"/>
          </w:tcPr>
          <w:p>
            <w:pPr>
              <w:jc w:val="right"/>
              <w:ind w:right="17"/>
              <w:spacing w:after="0" w:line="120" w:lineRule="exact"/>
              <w:rPr>
                <w:sz w:val="20"/>
                <w:szCs w:val="20"/>
                <w:color w:val="auto"/>
              </w:rPr>
            </w:pPr>
            <w:r>
              <w:rPr>
                <w:rFonts w:ascii="Arial" w:cs="Arial" w:eastAsia="Arial" w:hAnsi="Arial"/>
                <w:sz w:val="11"/>
                <w:szCs w:val="11"/>
                <w:b w:val="1"/>
                <w:bCs w:val="1"/>
                <w:color w:val="FFFFFF"/>
              </w:rPr>
              <w:t>Interest and Taxes</w:t>
            </w:r>
            <w:r>
              <w:rPr>
                <w:rFonts w:ascii="Arial" w:cs="Arial" w:eastAsia="Arial" w:hAnsi="Arial"/>
                <w:sz w:val="12"/>
                <w:szCs w:val="12"/>
                <w:b w:val="1"/>
                <w:bCs w:val="1"/>
                <w:color w:val="FFFFFF"/>
                <w:vertAlign w:val="superscript"/>
              </w:rPr>
              <w:t>6</w:t>
            </w:r>
          </w:p>
        </w:tc>
        <w:tc>
          <w:tcPr>
            <w:tcW w:w="0" w:type="dxa"/>
            <w:vAlign w:val="bottom"/>
          </w:tcPr>
          <w:p>
            <w:pPr>
              <w:spacing w:after="0"/>
              <w:rPr>
                <w:sz w:val="1"/>
                <w:szCs w:val="1"/>
                <w:color w:val="auto"/>
              </w:rPr>
            </w:pPr>
          </w:p>
        </w:tc>
      </w:tr>
      <w:tr>
        <w:trPr>
          <w:trHeight w:val="168"/>
        </w:trPr>
        <w:tc>
          <w:tcPr>
            <w:tcW w:w="640" w:type="dxa"/>
            <w:vAlign w:val="bottom"/>
            <w:vMerge w:val="continue"/>
            <w:shd w:val="clear" w:color="auto" w:fill="99B7C6"/>
          </w:tcPr>
          <w:p>
            <w:pPr>
              <w:spacing w:after="0"/>
              <w:rPr>
                <w:sz w:val="14"/>
                <w:szCs w:val="14"/>
                <w:color w:val="auto"/>
              </w:rPr>
            </w:pPr>
          </w:p>
        </w:tc>
        <w:tc>
          <w:tcPr>
            <w:tcW w:w="1500" w:type="dxa"/>
            <w:vAlign w:val="bottom"/>
            <w:shd w:val="clear" w:color="auto" w:fill="99B7C6"/>
          </w:tcPr>
          <w:p>
            <w:pPr>
              <w:jc w:val="right"/>
              <w:ind w:right="217"/>
              <w:spacing w:after="0"/>
              <w:rPr>
                <w:sz w:val="20"/>
                <w:szCs w:val="20"/>
                <w:color w:val="auto"/>
              </w:rPr>
            </w:pPr>
            <w:r>
              <w:rPr>
                <w:rFonts w:ascii="Arial" w:cs="Arial" w:eastAsia="Arial" w:hAnsi="Arial"/>
                <w:sz w:val="11"/>
                <w:szCs w:val="11"/>
                <w:b w:val="1"/>
                <w:bCs w:val="1"/>
                <w:color w:val="FFFFFF"/>
              </w:rPr>
              <w:t>($)</w:t>
            </w:r>
          </w:p>
        </w:tc>
        <w:tc>
          <w:tcPr>
            <w:tcW w:w="1220" w:type="dxa"/>
            <w:vAlign w:val="bottom"/>
            <w:shd w:val="clear" w:color="auto" w:fill="99B7C6"/>
          </w:tcPr>
          <w:p>
            <w:pPr>
              <w:jc w:val="right"/>
              <w:ind w:right="137"/>
              <w:spacing w:after="0"/>
              <w:rPr>
                <w:sz w:val="20"/>
                <w:szCs w:val="20"/>
                <w:color w:val="auto"/>
              </w:rPr>
            </w:pPr>
            <w:r>
              <w:rPr>
                <w:rFonts w:ascii="Arial" w:cs="Arial" w:eastAsia="Arial" w:hAnsi="Arial"/>
                <w:sz w:val="11"/>
                <w:szCs w:val="11"/>
                <w:b w:val="1"/>
                <w:bCs w:val="1"/>
                <w:color w:val="FFFFFF"/>
              </w:rPr>
              <w:t>($)</w:t>
            </w:r>
          </w:p>
        </w:tc>
        <w:tc>
          <w:tcPr>
            <w:tcW w:w="1500" w:type="dxa"/>
            <w:vAlign w:val="bottom"/>
            <w:shd w:val="clear" w:color="auto" w:fill="99B7C6"/>
          </w:tcPr>
          <w:p>
            <w:pPr>
              <w:jc w:val="right"/>
              <w:ind w:right="97"/>
              <w:spacing w:after="0"/>
              <w:rPr>
                <w:sz w:val="20"/>
                <w:szCs w:val="20"/>
                <w:color w:val="auto"/>
              </w:rPr>
            </w:pPr>
            <w:r>
              <w:rPr>
                <w:rFonts w:ascii="Arial" w:cs="Arial" w:eastAsia="Arial" w:hAnsi="Arial"/>
                <w:sz w:val="11"/>
                <w:szCs w:val="11"/>
                <w:b w:val="1"/>
                <w:bCs w:val="1"/>
                <w:color w:val="FFFFFF"/>
              </w:rPr>
              <w:t>($)</w:t>
            </w:r>
          </w:p>
        </w:tc>
        <w:tc>
          <w:tcPr>
            <w:tcW w:w="1440" w:type="dxa"/>
            <w:vAlign w:val="bottom"/>
            <w:shd w:val="clear" w:color="auto" w:fill="99B7C6"/>
          </w:tcPr>
          <w:p>
            <w:pPr>
              <w:jc w:val="right"/>
              <w:spacing w:after="0"/>
              <w:rPr>
                <w:sz w:val="20"/>
                <w:szCs w:val="20"/>
                <w:color w:val="auto"/>
              </w:rPr>
            </w:pPr>
            <w:r>
              <w:rPr>
                <w:rFonts w:ascii="Arial" w:cs="Arial" w:eastAsia="Arial" w:hAnsi="Arial"/>
                <w:sz w:val="11"/>
                <w:szCs w:val="11"/>
                <w:b w:val="1"/>
                <w:bCs w:val="1"/>
                <w:color w:val="FFFFFF"/>
              </w:rPr>
              <w:t>($)</w:t>
            </w:r>
          </w:p>
        </w:tc>
        <w:tc>
          <w:tcPr>
            <w:tcW w:w="1140" w:type="dxa"/>
            <w:vAlign w:val="bottom"/>
            <w:shd w:val="clear" w:color="auto" w:fill="A7C1CE"/>
          </w:tcPr>
          <w:p>
            <w:pPr>
              <w:jc w:val="right"/>
              <w:ind w:right="79"/>
              <w:spacing w:after="0"/>
              <w:rPr>
                <w:sz w:val="20"/>
                <w:szCs w:val="20"/>
                <w:color w:val="auto"/>
              </w:rPr>
            </w:pPr>
            <w:r>
              <w:rPr>
                <w:rFonts w:ascii="Arial" w:cs="Arial" w:eastAsia="Arial" w:hAnsi="Arial"/>
                <w:sz w:val="11"/>
                <w:szCs w:val="11"/>
                <w:b w:val="1"/>
                <w:bCs w:val="1"/>
                <w:color w:val="FFFFFF"/>
              </w:rPr>
              <w:t>($)</w:t>
            </w:r>
          </w:p>
        </w:tc>
        <w:tc>
          <w:tcPr>
            <w:tcW w:w="1060" w:type="dxa"/>
            <w:vAlign w:val="bottom"/>
            <w:shd w:val="clear" w:color="auto" w:fill="A7C1CE"/>
          </w:tcPr>
          <w:p>
            <w:pPr>
              <w:jc w:val="right"/>
              <w:spacing w:after="0"/>
              <w:rPr>
                <w:sz w:val="20"/>
                <w:szCs w:val="20"/>
                <w:color w:val="auto"/>
              </w:rPr>
            </w:pPr>
            <w:r>
              <w:rPr>
                <w:rFonts w:ascii="Arial" w:cs="Arial" w:eastAsia="Arial" w:hAnsi="Arial"/>
                <w:sz w:val="11"/>
                <w:szCs w:val="11"/>
                <w:b w:val="1"/>
                <w:bCs w:val="1"/>
                <w:color w:val="FFFFFF"/>
              </w:rPr>
              <w:t>($)</w:t>
            </w:r>
          </w:p>
        </w:tc>
        <w:tc>
          <w:tcPr>
            <w:tcW w:w="1200" w:type="dxa"/>
            <w:vAlign w:val="bottom"/>
            <w:shd w:val="clear" w:color="auto" w:fill="99B7C6"/>
          </w:tcPr>
          <w:p>
            <w:pPr>
              <w:jc w:val="right"/>
              <w:spacing w:after="0"/>
              <w:rPr>
                <w:sz w:val="20"/>
                <w:szCs w:val="20"/>
                <w:color w:val="auto"/>
              </w:rPr>
            </w:pPr>
            <w:r>
              <w:rPr>
                <w:rFonts w:ascii="Arial" w:cs="Arial" w:eastAsia="Arial" w:hAnsi="Arial"/>
                <w:sz w:val="11"/>
                <w:szCs w:val="11"/>
                <w:b w:val="1"/>
                <w:bCs w:val="1"/>
                <w:color w:val="FFFFFF"/>
              </w:rPr>
              <w:t>($ thousands)</w:t>
            </w:r>
          </w:p>
        </w:tc>
        <w:tc>
          <w:tcPr>
            <w:tcW w:w="1240" w:type="dxa"/>
            <w:vAlign w:val="bottom"/>
            <w:shd w:val="clear" w:color="auto" w:fill="99B7C6"/>
          </w:tcPr>
          <w:p>
            <w:pPr>
              <w:jc w:val="right"/>
              <w:ind w:right="57"/>
              <w:spacing w:after="0"/>
              <w:rPr>
                <w:sz w:val="20"/>
                <w:szCs w:val="20"/>
                <w:color w:val="auto"/>
              </w:rPr>
            </w:pPr>
            <w:r>
              <w:rPr>
                <w:rFonts w:ascii="Arial" w:cs="Arial" w:eastAsia="Arial" w:hAnsi="Arial"/>
                <w:sz w:val="11"/>
                <w:szCs w:val="11"/>
                <w:b w:val="1"/>
                <w:bCs w:val="1"/>
                <w:color w:val="FFFFFF"/>
              </w:rPr>
              <w:t>($ thousands)</w:t>
            </w:r>
          </w:p>
        </w:tc>
        <w:tc>
          <w:tcPr>
            <w:tcW w:w="0" w:type="dxa"/>
            <w:vAlign w:val="bottom"/>
          </w:tcPr>
          <w:p>
            <w:pPr>
              <w:spacing w:after="0"/>
              <w:rPr>
                <w:sz w:val="1"/>
                <w:szCs w:val="1"/>
                <w:color w:val="auto"/>
              </w:rPr>
            </w:pPr>
          </w:p>
        </w:tc>
      </w:tr>
      <w:tr>
        <w:trPr>
          <w:trHeight w:val="229"/>
        </w:trPr>
        <w:tc>
          <w:tcPr>
            <w:tcW w:w="64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2025</w:t>
            </w:r>
          </w:p>
        </w:tc>
        <w:tc>
          <w:tcPr>
            <w:tcW w:w="1500" w:type="dxa"/>
            <w:vAlign w:val="bottom"/>
            <w:shd w:val="clear" w:color="auto" w:fill="E9F0F3"/>
          </w:tcPr>
          <w:p>
            <w:pPr>
              <w:jc w:val="right"/>
              <w:ind w:right="217"/>
              <w:spacing w:after="0"/>
              <w:rPr>
                <w:sz w:val="20"/>
                <w:szCs w:val="20"/>
                <w:color w:val="auto"/>
              </w:rPr>
            </w:pPr>
            <w:r>
              <w:rPr>
                <w:rFonts w:ascii="Arial" w:cs="Arial" w:eastAsia="Arial" w:hAnsi="Arial"/>
                <w:sz w:val="14"/>
                <w:szCs w:val="14"/>
                <w:color w:val="auto"/>
              </w:rPr>
              <w:t>16,165,385</w:t>
            </w:r>
          </w:p>
        </w:tc>
        <w:tc>
          <w:tcPr>
            <w:tcW w:w="1220" w:type="dxa"/>
            <w:vAlign w:val="bottom"/>
            <w:shd w:val="clear" w:color="auto" w:fill="E9F0F3"/>
          </w:tcPr>
          <w:p>
            <w:pPr>
              <w:jc w:val="right"/>
              <w:ind w:right="137"/>
              <w:spacing w:after="0"/>
              <w:rPr>
                <w:sz w:val="20"/>
                <w:szCs w:val="20"/>
                <w:color w:val="auto"/>
              </w:rPr>
            </w:pPr>
            <w:r>
              <w:rPr>
                <w:rFonts w:ascii="Arial" w:cs="Arial" w:eastAsia="Arial" w:hAnsi="Arial"/>
                <w:sz w:val="14"/>
                <w:szCs w:val="14"/>
                <w:color w:val="auto"/>
              </w:rPr>
              <w:t>(1,144,750)</w:t>
            </w:r>
          </w:p>
        </w:tc>
        <w:tc>
          <w:tcPr>
            <w:tcW w:w="1500" w:type="dxa"/>
            <w:vAlign w:val="bottom"/>
            <w:shd w:val="clear" w:color="auto" w:fill="E9F0F3"/>
          </w:tcPr>
          <w:p>
            <w:pPr>
              <w:jc w:val="right"/>
              <w:ind w:right="97"/>
              <w:spacing w:after="0"/>
              <w:rPr>
                <w:sz w:val="20"/>
                <w:szCs w:val="20"/>
                <w:color w:val="auto"/>
              </w:rPr>
            </w:pPr>
            <w:r>
              <w:rPr>
                <w:rFonts w:ascii="Arial" w:cs="Arial" w:eastAsia="Arial" w:hAnsi="Arial"/>
                <w:sz w:val="14"/>
                <w:szCs w:val="14"/>
                <w:color w:val="auto"/>
              </w:rPr>
              <w:t>4,272,028</w:t>
            </w:r>
          </w:p>
        </w:tc>
        <w:tc>
          <w:tcPr>
            <w:tcW w:w="14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952,540</w:t>
            </w:r>
          </w:p>
        </w:tc>
        <w:tc>
          <w:tcPr>
            <w:tcW w:w="1140" w:type="dxa"/>
            <w:vAlign w:val="bottom"/>
            <w:shd w:val="clear" w:color="auto" w:fill="E9F0F3"/>
          </w:tcPr>
          <w:p>
            <w:pPr>
              <w:jc w:val="right"/>
              <w:ind w:right="79"/>
              <w:spacing w:after="0"/>
              <w:rPr>
                <w:sz w:val="20"/>
                <w:szCs w:val="20"/>
                <w:color w:val="auto"/>
              </w:rPr>
            </w:pPr>
            <w:r>
              <w:rPr>
                <w:rFonts w:ascii="Arial" w:cs="Arial" w:eastAsia="Arial" w:hAnsi="Arial"/>
                <w:sz w:val="14"/>
                <w:szCs w:val="14"/>
                <w:color w:val="auto"/>
              </w:rPr>
              <w:t>73.70</w:t>
            </w:r>
          </w:p>
        </w:tc>
        <w:tc>
          <w:tcPr>
            <w:tcW w:w="10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68.73</w:t>
            </w:r>
          </w:p>
        </w:tc>
        <w:tc>
          <w:tcPr>
            <w:tcW w:w="1200" w:type="dxa"/>
            <w:vAlign w:val="bottom"/>
            <w:shd w:val="clear" w:color="auto" w:fill="E9F0F3"/>
          </w:tcPr>
          <w:p>
            <w:pPr>
              <w:jc w:val="right"/>
              <w:spacing w:after="0"/>
              <w:rPr>
                <w:sz w:val="20"/>
                <w:szCs w:val="20"/>
                <w:color w:val="auto"/>
              </w:rPr>
            </w:pPr>
            <w:r>
              <w:rPr>
                <w:rFonts w:ascii="Arial" w:cs="Arial" w:eastAsia="Arial" w:hAnsi="Arial"/>
                <w:sz w:val="14"/>
                <w:szCs w:val="14"/>
                <w:color w:val="auto"/>
              </w:rPr>
              <w:t>25,300</w:t>
            </w:r>
          </w:p>
        </w:tc>
        <w:tc>
          <w:tcPr>
            <w:tcW w:w="1240" w:type="dxa"/>
            <w:vAlign w:val="bottom"/>
            <w:shd w:val="clear" w:color="auto" w:fill="E9F0F3"/>
          </w:tcPr>
          <w:p>
            <w:pPr>
              <w:jc w:val="center"/>
              <w:ind w:left="417"/>
              <w:spacing w:after="0"/>
              <w:rPr>
                <w:sz w:val="20"/>
                <w:szCs w:val="20"/>
                <w:color w:val="auto"/>
              </w:rPr>
            </w:pPr>
            <w:r>
              <w:rPr>
                <w:rFonts w:ascii="Arial" w:cs="Arial" w:eastAsia="Arial" w:hAnsi="Arial"/>
                <w:sz w:val="14"/>
                <w:szCs w:val="14"/>
                <w:color w:val="auto"/>
              </w:rPr>
              <w:t>790,535</w:t>
            </w:r>
          </w:p>
        </w:tc>
        <w:tc>
          <w:tcPr>
            <w:tcW w:w="0" w:type="dxa"/>
            <w:vAlign w:val="bottom"/>
          </w:tcPr>
          <w:p>
            <w:pPr>
              <w:spacing w:after="0"/>
              <w:rPr>
                <w:sz w:val="1"/>
                <w:szCs w:val="1"/>
                <w:color w:val="auto"/>
              </w:rPr>
            </w:pPr>
          </w:p>
        </w:tc>
      </w:tr>
      <w:tr>
        <w:trPr>
          <w:trHeight w:val="66"/>
        </w:trPr>
        <w:tc>
          <w:tcPr>
            <w:tcW w:w="640" w:type="dxa"/>
            <w:vAlign w:val="bottom"/>
            <w:shd w:val="clear" w:color="auto" w:fill="E9F0F3"/>
          </w:tcPr>
          <w:p>
            <w:pPr>
              <w:spacing w:after="0"/>
              <w:rPr>
                <w:sz w:val="5"/>
                <w:szCs w:val="5"/>
                <w:color w:val="auto"/>
              </w:rPr>
            </w:pPr>
          </w:p>
        </w:tc>
        <w:tc>
          <w:tcPr>
            <w:tcW w:w="1500" w:type="dxa"/>
            <w:vAlign w:val="bottom"/>
            <w:shd w:val="clear" w:color="auto" w:fill="E9F0F3"/>
          </w:tcPr>
          <w:p>
            <w:pPr>
              <w:spacing w:after="0"/>
              <w:rPr>
                <w:sz w:val="5"/>
                <w:szCs w:val="5"/>
                <w:color w:val="auto"/>
              </w:rPr>
            </w:pPr>
          </w:p>
        </w:tc>
        <w:tc>
          <w:tcPr>
            <w:tcW w:w="1220" w:type="dxa"/>
            <w:vAlign w:val="bottom"/>
            <w:shd w:val="clear" w:color="auto" w:fill="E9F0F3"/>
          </w:tcPr>
          <w:p>
            <w:pPr>
              <w:spacing w:after="0"/>
              <w:rPr>
                <w:sz w:val="5"/>
                <w:szCs w:val="5"/>
                <w:color w:val="auto"/>
              </w:rPr>
            </w:pPr>
          </w:p>
        </w:tc>
        <w:tc>
          <w:tcPr>
            <w:tcW w:w="1500" w:type="dxa"/>
            <w:vAlign w:val="bottom"/>
            <w:shd w:val="clear" w:color="auto" w:fill="E9F0F3"/>
          </w:tcPr>
          <w:p>
            <w:pPr>
              <w:spacing w:after="0"/>
              <w:rPr>
                <w:sz w:val="5"/>
                <w:szCs w:val="5"/>
                <w:color w:val="auto"/>
              </w:rPr>
            </w:pPr>
          </w:p>
        </w:tc>
        <w:tc>
          <w:tcPr>
            <w:tcW w:w="1440" w:type="dxa"/>
            <w:vAlign w:val="bottom"/>
            <w:shd w:val="clear" w:color="auto" w:fill="E9F0F3"/>
          </w:tcPr>
          <w:p>
            <w:pPr>
              <w:spacing w:after="0"/>
              <w:rPr>
                <w:sz w:val="5"/>
                <w:szCs w:val="5"/>
                <w:color w:val="auto"/>
              </w:rPr>
            </w:pPr>
          </w:p>
        </w:tc>
        <w:tc>
          <w:tcPr>
            <w:tcW w:w="1140" w:type="dxa"/>
            <w:vAlign w:val="bottom"/>
            <w:shd w:val="clear" w:color="auto" w:fill="E9F0F3"/>
          </w:tcPr>
          <w:p>
            <w:pPr>
              <w:spacing w:after="0"/>
              <w:rPr>
                <w:sz w:val="5"/>
                <w:szCs w:val="5"/>
                <w:color w:val="auto"/>
              </w:rPr>
            </w:pPr>
          </w:p>
        </w:tc>
        <w:tc>
          <w:tcPr>
            <w:tcW w:w="1060" w:type="dxa"/>
            <w:vAlign w:val="bottom"/>
            <w:shd w:val="clear" w:color="auto" w:fill="E9F0F3"/>
          </w:tcPr>
          <w:p>
            <w:pPr>
              <w:spacing w:after="0"/>
              <w:rPr>
                <w:sz w:val="5"/>
                <w:szCs w:val="5"/>
                <w:color w:val="auto"/>
              </w:rPr>
            </w:pPr>
          </w:p>
        </w:tc>
        <w:tc>
          <w:tcPr>
            <w:tcW w:w="1200" w:type="dxa"/>
            <w:vAlign w:val="bottom"/>
            <w:shd w:val="clear" w:color="auto" w:fill="E9F0F3"/>
          </w:tcPr>
          <w:p>
            <w:pPr>
              <w:spacing w:after="0"/>
              <w:rPr>
                <w:sz w:val="5"/>
                <w:szCs w:val="5"/>
                <w:color w:val="auto"/>
              </w:rPr>
            </w:pPr>
          </w:p>
        </w:tc>
        <w:tc>
          <w:tcPr>
            <w:tcW w:w="124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2024</w:t>
            </w:r>
          </w:p>
        </w:tc>
        <w:tc>
          <w:tcPr>
            <w:tcW w:w="1500" w:type="dxa"/>
            <w:vAlign w:val="bottom"/>
          </w:tcPr>
          <w:p>
            <w:pPr>
              <w:jc w:val="right"/>
              <w:ind w:right="217"/>
              <w:spacing w:after="0"/>
              <w:rPr>
                <w:sz w:val="20"/>
                <w:szCs w:val="20"/>
                <w:color w:val="auto"/>
              </w:rPr>
            </w:pPr>
            <w:r>
              <w:rPr>
                <w:rFonts w:ascii="Arial" w:cs="Arial" w:eastAsia="Arial" w:hAnsi="Arial"/>
                <w:sz w:val="14"/>
                <w:szCs w:val="14"/>
                <w:color w:val="auto"/>
              </w:rPr>
              <w:t>16,278,038</w:t>
            </w:r>
          </w:p>
        </w:tc>
        <w:tc>
          <w:tcPr>
            <w:tcW w:w="1220" w:type="dxa"/>
            <w:vAlign w:val="bottom"/>
          </w:tcPr>
          <w:p>
            <w:pPr>
              <w:jc w:val="right"/>
              <w:ind w:right="137"/>
              <w:spacing w:after="0"/>
              <w:rPr>
                <w:sz w:val="20"/>
                <w:szCs w:val="20"/>
                <w:color w:val="auto"/>
              </w:rPr>
            </w:pPr>
            <w:r>
              <w:rPr>
                <w:rFonts w:ascii="Arial" w:cs="Arial" w:eastAsia="Arial" w:hAnsi="Arial"/>
                <w:sz w:val="14"/>
                <w:szCs w:val="14"/>
                <w:color w:val="auto"/>
              </w:rPr>
              <w:t>1,029,384</w:t>
            </w:r>
          </w:p>
        </w:tc>
        <w:tc>
          <w:tcPr>
            <w:tcW w:w="1500" w:type="dxa"/>
            <w:vAlign w:val="bottom"/>
          </w:tcPr>
          <w:p>
            <w:pPr>
              <w:jc w:val="right"/>
              <w:ind w:right="97"/>
              <w:spacing w:after="0"/>
              <w:rPr>
                <w:sz w:val="20"/>
                <w:szCs w:val="20"/>
                <w:color w:val="auto"/>
              </w:rPr>
            </w:pPr>
            <w:r>
              <w:rPr>
                <w:rFonts w:ascii="Arial" w:cs="Arial" w:eastAsia="Arial" w:hAnsi="Arial"/>
                <w:sz w:val="14"/>
                <w:szCs w:val="14"/>
                <w:color w:val="auto"/>
              </w:rPr>
              <w:t>4,353,536</w:t>
            </w:r>
          </w:p>
        </w:tc>
        <w:tc>
          <w:tcPr>
            <w:tcW w:w="1440" w:type="dxa"/>
            <w:vAlign w:val="bottom"/>
          </w:tcPr>
          <w:p>
            <w:pPr>
              <w:jc w:val="right"/>
              <w:spacing w:after="0"/>
              <w:rPr>
                <w:sz w:val="20"/>
                <w:szCs w:val="20"/>
                <w:color w:val="auto"/>
              </w:rPr>
            </w:pPr>
            <w:r>
              <w:rPr>
                <w:rFonts w:ascii="Arial" w:cs="Arial" w:eastAsia="Arial" w:hAnsi="Arial"/>
                <w:sz w:val="14"/>
                <w:szCs w:val="14"/>
                <w:color w:val="auto"/>
              </w:rPr>
              <w:t>2,403,575</w:t>
            </w:r>
          </w:p>
        </w:tc>
        <w:tc>
          <w:tcPr>
            <w:tcW w:w="1140" w:type="dxa"/>
            <w:vAlign w:val="bottom"/>
          </w:tcPr>
          <w:p>
            <w:pPr>
              <w:jc w:val="right"/>
              <w:ind w:right="79"/>
              <w:spacing w:after="0"/>
              <w:rPr>
                <w:sz w:val="20"/>
                <w:szCs w:val="20"/>
                <w:color w:val="auto"/>
              </w:rPr>
            </w:pPr>
            <w:r>
              <w:rPr>
                <w:rFonts w:ascii="Arial" w:cs="Arial" w:eastAsia="Arial" w:hAnsi="Arial"/>
                <w:sz w:val="14"/>
                <w:szCs w:val="14"/>
                <w:color w:val="auto"/>
              </w:rPr>
              <w:t>103.49</w:t>
            </w:r>
          </w:p>
        </w:tc>
        <w:tc>
          <w:tcPr>
            <w:tcW w:w="1060" w:type="dxa"/>
            <w:vAlign w:val="bottom"/>
          </w:tcPr>
          <w:p>
            <w:pPr>
              <w:jc w:val="right"/>
              <w:spacing w:after="0"/>
              <w:rPr>
                <w:sz w:val="20"/>
                <w:szCs w:val="20"/>
                <w:color w:val="auto"/>
              </w:rPr>
            </w:pPr>
            <w:r>
              <w:rPr>
                <w:rFonts w:ascii="Arial" w:cs="Arial" w:eastAsia="Arial" w:hAnsi="Arial"/>
                <w:sz w:val="14"/>
                <w:szCs w:val="14"/>
                <w:color w:val="auto"/>
              </w:rPr>
              <w:t>84.99</w:t>
            </w:r>
          </w:p>
        </w:tc>
        <w:tc>
          <w:tcPr>
            <w:tcW w:w="1200" w:type="dxa"/>
            <w:vAlign w:val="bottom"/>
          </w:tcPr>
          <w:p>
            <w:pPr>
              <w:jc w:val="right"/>
              <w:spacing w:after="0"/>
              <w:rPr>
                <w:sz w:val="20"/>
                <w:szCs w:val="20"/>
                <w:color w:val="auto"/>
              </w:rPr>
            </w:pPr>
            <w:r>
              <w:rPr>
                <w:rFonts w:ascii="Arial" w:cs="Arial" w:eastAsia="Arial" w:hAnsi="Arial"/>
                <w:sz w:val="14"/>
                <w:szCs w:val="14"/>
                <w:color w:val="auto"/>
              </w:rPr>
              <w:t>598,500</w:t>
            </w:r>
          </w:p>
        </w:tc>
        <w:tc>
          <w:tcPr>
            <w:tcW w:w="1240" w:type="dxa"/>
            <w:vAlign w:val="bottom"/>
          </w:tcPr>
          <w:p>
            <w:pPr>
              <w:jc w:val="center"/>
              <w:ind w:left="417"/>
              <w:spacing w:after="0"/>
              <w:rPr>
                <w:sz w:val="20"/>
                <w:szCs w:val="20"/>
                <w:color w:val="auto"/>
              </w:rPr>
            </w:pPr>
            <w:r>
              <w:rPr>
                <w:rFonts w:ascii="Arial" w:cs="Arial" w:eastAsia="Arial" w:hAnsi="Arial"/>
                <w:sz w:val="14"/>
                <w:szCs w:val="14"/>
                <w:color w:val="auto"/>
              </w:rPr>
              <w:t>865,200</w:t>
            </w:r>
          </w:p>
        </w:tc>
        <w:tc>
          <w:tcPr>
            <w:tcW w:w="0" w:type="dxa"/>
            <w:vAlign w:val="bottom"/>
          </w:tcPr>
          <w:p>
            <w:pPr>
              <w:spacing w:after="0"/>
              <w:rPr>
                <w:sz w:val="1"/>
                <w:szCs w:val="1"/>
                <w:color w:val="auto"/>
              </w:rPr>
            </w:pPr>
          </w:p>
        </w:tc>
      </w:tr>
      <w:tr>
        <w:trPr>
          <w:trHeight w:val="66"/>
        </w:trPr>
        <w:tc>
          <w:tcPr>
            <w:tcW w:w="6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4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2023</w:t>
            </w:r>
          </w:p>
        </w:tc>
        <w:tc>
          <w:tcPr>
            <w:tcW w:w="1500" w:type="dxa"/>
            <w:vAlign w:val="bottom"/>
            <w:shd w:val="clear" w:color="auto" w:fill="E9F0F3"/>
          </w:tcPr>
          <w:p>
            <w:pPr>
              <w:jc w:val="right"/>
              <w:ind w:right="217"/>
              <w:spacing w:after="0"/>
              <w:rPr>
                <w:sz w:val="20"/>
                <w:szCs w:val="20"/>
                <w:color w:val="auto"/>
              </w:rPr>
            </w:pPr>
            <w:r>
              <w:rPr>
                <w:rFonts w:ascii="Arial" w:cs="Arial" w:eastAsia="Arial" w:hAnsi="Arial"/>
                <w:sz w:val="14"/>
                <w:szCs w:val="14"/>
                <w:color w:val="auto"/>
              </w:rPr>
              <w:t>15,613,904</w:t>
            </w:r>
          </w:p>
        </w:tc>
        <w:tc>
          <w:tcPr>
            <w:tcW w:w="1220" w:type="dxa"/>
            <w:vAlign w:val="bottom"/>
            <w:shd w:val="clear" w:color="auto" w:fill="E9F0F3"/>
          </w:tcPr>
          <w:p>
            <w:pPr>
              <w:jc w:val="right"/>
              <w:ind w:right="137"/>
              <w:spacing w:after="0"/>
              <w:rPr>
                <w:sz w:val="20"/>
                <w:szCs w:val="20"/>
                <w:color w:val="auto"/>
              </w:rPr>
            </w:pPr>
            <w:r>
              <w:rPr>
                <w:rFonts w:ascii="Arial" w:cs="Arial" w:eastAsia="Arial" w:hAnsi="Arial"/>
                <w:sz w:val="14"/>
                <w:szCs w:val="14"/>
                <w:color w:val="auto"/>
              </w:rPr>
              <w:t>31,275,630</w:t>
            </w:r>
          </w:p>
        </w:tc>
        <w:tc>
          <w:tcPr>
            <w:tcW w:w="1500" w:type="dxa"/>
            <w:vAlign w:val="bottom"/>
            <w:shd w:val="clear" w:color="auto" w:fill="E9F0F3"/>
          </w:tcPr>
          <w:p>
            <w:pPr>
              <w:jc w:val="right"/>
              <w:ind w:right="97"/>
              <w:spacing w:after="0"/>
              <w:rPr>
                <w:sz w:val="20"/>
                <w:szCs w:val="20"/>
                <w:color w:val="auto"/>
              </w:rPr>
            </w:pPr>
            <w:r>
              <w:rPr>
                <w:rFonts w:ascii="Arial" w:cs="Arial" w:eastAsia="Arial" w:hAnsi="Arial"/>
                <w:sz w:val="14"/>
                <w:szCs w:val="14"/>
                <w:color w:val="auto"/>
              </w:rPr>
              <w:t>4,868,455</w:t>
            </w:r>
          </w:p>
        </w:tc>
        <w:tc>
          <w:tcPr>
            <w:tcW w:w="14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6,435,205</w:t>
            </w:r>
          </w:p>
        </w:tc>
        <w:tc>
          <w:tcPr>
            <w:tcW w:w="1140" w:type="dxa"/>
            <w:vAlign w:val="bottom"/>
            <w:shd w:val="clear" w:color="auto" w:fill="E9F0F3"/>
          </w:tcPr>
          <w:p>
            <w:pPr>
              <w:jc w:val="right"/>
              <w:ind w:right="79"/>
              <w:spacing w:after="0"/>
              <w:rPr>
                <w:sz w:val="20"/>
                <w:szCs w:val="20"/>
                <w:color w:val="auto"/>
              </w:rPr>
            </w:pPr>
            <w:r>
              <w:rPr>
                <w:rFonts w:ascii="Arial" w:cs="Arial" w:eastAsia="Arial" w:hAnsi="Arial"/>
                <w:sz w:val="14"/>
                <w:szCs w:val="14"/>
                <w:color w:val="auto"/>
              </w:rPr>
              <w:t>140.02</w:t>
            </w:r>
          </w:p>
        </w:tc>
        <w:tc>
          <w:tcPr>
            <w:tcW w:w="10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78.65</w:t>
            </w:r>
          </w:p>
        </w:tc>
        <w:tc>
          <w:tcPr>
            <w:tcW w:w="1200" w:type="dxa"/>
            <w:vAlign w:val="bottom"/>
            <w:shd w:val="clear" w:color="auto" w:fill="E9F0F3"/>
          </w:tcPr>
          <w:p>
            <w:pPr>
              <w:jc w:val="right"/>
              <w:spacing w:after="0"/>
              <w:rPr>
                <w:sz w:val="20"/>
                <w:szCs w:val="20"/>
                <w:color w:val="auto"/>
              </w:rPr>
            </w:pPr>
            <w:r>
              <w:rPr>
                <w:rFonts w:ascii="Arial" w:cs="Arial" w:eastAsia="Arial" w:hAnsi="Arial"/>
                <w:sz w:val="14"/>
                <w:szCs w:val="14"/>
                <w:color w:val="auto"/>
              </w:rPr>
              <w:t>663,600</w:t>
            </w:r>
          </w:p>
        </w:tc>
        <w:tc>
          <w:tcPr>
            <w:tcW w:w="1240" w:type="dxa"/>
            <w:vAlign w:val="bottom"/>
            <w:shd w:val="clear" w:color="auto" w:fill="E9F0F3"/>
          </w:tcPr>
          <w:p>
            <w:pPr>
              <w:jc w:val="center"/>
              <w:ind w:left="417"/>
              <w:spacing w:after="0"/>
              <w:rPr>
                <w:sz w:val="20"/>
                <w:szCs w:val="20"/>
                <w:color w:val="auto"/>
              </w:rPr>
            </w:pPr>
            <w:r>
              <w:rPr>
                <w:rFonts w:ascii="Arial" w:cs="Arial" w:eastAsia="Arial" w:hAnsi="Arial"/>
                <w:sz w:val="14"/>
                <w:szCs w:val="14"/>
                <w:color w:val="auto"/>
              </w:rPr>
              <w:t>951,795</w:t>
            </w:r>
          </w:p>
        </w:tc>
        <w:tc>
          <w:tcPr>
            <w:tcW w:w="0" w:type="dxa"/>
            <w:vAlign w:val="bottom"/>
          </w:tcPr>
          <w:p>
            <w:pPr>
              <w:spacing w:after="0"/>
              <w:rPr>
                <w:sz w:val="1"/>
                <w:szCs w:val="1"/>
                <w:color w:val="auto"/>
              </w:rPr>
            </w:pPr>
          </w:p>
        </w:tc>
      </w:tr>
      <w:tr>
        <w:trPr>
          <w:trHeight w:val="66"/>
        </w:trPr>
        <w:tc>
          <w:tcPr>
            <w:tcW w:w="640" w:type="dxa"/>
            <w:vAlign w:val="bottom"/>
            <w:shd w:val="clear" w:color="auto" w:fill="E9F0F3"/>
          </w:tcPr>
          <w:p>
            <w:pPr>
              <w:spacing w:after="0"/>
              <w:rPr>
                <w:sz w:val="5"/>
                <w:szCs w:val="5"/>
                <w:color w:val="auto"/>
              </w:rPr>
            </w:pPr>
          </w:p>
        </w:tc>
        <w:tc>
          <w:tcPr>
            <w:tcW w:w="1500" w:type="dxa"/>
            <w:vAlign w:val="bottom"/>
            <w:shd w:val="clear" w:color="auto" w:fill="E9F0F3"/>
          </w:tcPr>
          <w:p>
            <w:pPr>
              <w:spacing w:after="0"/>
              <w:rPr>
                <w:sz w:val="5"/>
                <w:szCs w:val="5"/>
                <w:color w:val="auto"/>
              </w:rPr>
            </w:pPr>
          </w:p>
        </w:tc>
        <w:tc>
          <w:tcPr>
            <w:tcW w:w="1220" w:type="dxa"/>
            <w:vAlign w:val="bottom"/>
            <w:shd w:val="clear" w:color="auto" w:fill="E9F0F3"/>
          </w:tcPr>
          <w:p>
            <w:pPr>
              <w:spacing w:after="0"/>
              <w:rPr>
                <w:sz w:val="5"/>
                <w:szCs w:val="5"/>
                <w:color w:val="auto"/>
              </w:rPr>
            </w:pPr>
          </w:p>
        </w:tc>
        <w:tc>
          <w:tcPr>
            <w:tcW w:w="1500" w:type="dxa"/>
            <w:vAlign w:val="bottom"/>
            <w:shd w:val="clear" w:color="auto" w:fill="E9F0F3"/>
          </w:tcPr>
          <w:p>
            <w:pPr>
              <w:spacing w:after="0"/>
              <w:rPr>
                <w:sz w:val="5"/>
                <w:szCs w:val="5"/>
                <w:color w:val="auto"/>
              </w:rPr>
            </w:pPr>
          </w:p>
        </w:tc>
        <w:tc>
          <w:tcPr>
            <w:tcW w:w="1440" w:type="dxa"/>
            <w:vAlign w:val="bottom"/>
            <w:shd w:val="clear" w:color="auto" w:fill="E9F0F3"/>
          </w:tcPr>
          <w:p>
            <w:pPr>
              <w:spacing w:after="0"/>
              <w:rPr>
                <w:sz w:val="5"/>
                <w:szCs w:val="5"/>
                <w:color w:val="auto"/>
              </w:rPr>
            </w:pPr>
          </w:p>
        </w:tc>
        <w:tc>
          <w:tcPr>
            <w:tcW w:w="1140" w:type="dxa"/>
            <w:vAlign w:val="bottom"/>
            <w:shd w:val="clear" w:color="auto" w:fill="E9F0F3"/>
          </w:tcPr>
          <w:p>
            <w:pPr>
              <w:spacing w:after="0"/>
              <w:rPr>
                <w:sz w:val="5"/>
                <w:szCs w:val="5"/>
                <w:color w:val="auto"/>
              </w:rPr>
            </w:pPr>
          </w:p>
        </w:tc>
        <w:tc>
          <w:tcPr>
            <w:tcW w:w="1060" w:type="dxa"/>
            <w:vAlign w:val="bottom"/>
            <w:shd w:val="clear" w:color="auto" w:fill="E9F0F3"/>
          </w:tcPr>
          <w:p>
            <w:pPr>
              <w:spacing w:after="0"/>
              <w:rPr>
                <w:sz w:val="5"/>
                <w:szCs w:val="5"/>
                <w:color w:val="auto"/>
              </w:rPr>
            </w:pPr>
          </w:p>
        </w:tc>
        <w:tc>
          <w:tcPr>
            <w:tcW w:w="1200" w:type="dxa"/>
            <w:vAlign w:val="bottom"/>
            <w:shd w:val="clear" w:color="auto" w:fill="E9F0F3"/>
          </w:tcPr>
          <w:p>
            <w:pPr>
              <w:spacing w:after="0"/>
              <w:rPr>
                <w:sz w:val="5"/>
                <w:szCs w:val="5"/>
                <w:color w:val="auto"/>
              </w:rPr>
            </w:pPr>
          </w:p>
        </w:tc>
        <w:tc>
          <w:tcPr>
            <w:tcW w:w="124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2022</w:t>
            </w:r>
          </w:p>
        </w:tc>
        <w:tc>
          <w:tcPr>
            <w:tcW w:w="1500" w:type="dxa"/>
            <w:vAlign w:val="bottom"/>
          </w:tcPr>
          <w:p>
            <w:pPr>
              <w:jc w:val="right"/>
              <w:ind w:right="217"/>
              <w:spacing w:after="0"/>
              <w:rPr>
                <w:sz w:val="20"/>
                <w:szCs w:val="20"/>
                <w:color w:val="auto"/>
              </w:rPr>
            </w:pPr>
            <w:r>
              <w:rPr>
                <w:rFonts w:ascii="Arial" w:cs="Arial" w:eastAsia="Arial" w:hAnsi="Arial"/>
                <w:sz w:val="14"/>
                <w:szCs w:val="14"/>
                <w:color w:val="auto"/>
              </w:rPr>
              <w:t>12,139,075</w:t>
            </w:r>
          </w:p>
        </w:tc>
        <w:tc>
          <w:tcPr>
            <w:tcW w:w="1220" w:type="dxa"/>
            <w:vAlign w:val="bottom"/>
          </w:tcPr>
          <w:p>
            <w:pPr>
              <w:jc w:val="right"/>
              <w:ind w:right="137"/>
              <w:spacing w:after="0"/>
              <w:rPr>
                <w:sz w:val="20"/>
                <w:szCs w:val="20"/>
                <w:color w:val="auto"/>
              </w:rPr>
            </w:pPr>
            <w:r>
              <w:rPr>
                <w:rFonts w:ascii="Arial" w:cs="Arial" w:eastAsia="Arial" w:hAnsi="Arial"/>
                <w:sz w:val="14"/>
                <w:szCs w:val="14"/>
                <w:color w:val="auto"/>
              </w:rPr>
              <w:t>9,531,057</w:t>
            </w:r>
          </w:p>
        </w:tc>
        <w:tc>
          <w:tcPr>
            <w:tcW w:w="1500" w:type="dxa"/>
            <w:vAlign w:val="bottom"/>
          </w:tcPr>
          <w:p>
            <w:pPr>
              <w:jc w:val="right"/>
              <w:ind w:right="97"/>
              <w:spacing w:after="0"/>
              <w:rPr>
                <w:sz w:val="20"/>
                <w:szCs w:val="20"/>
                <w:color w:val="auto"/>
              </w:rPr>
            </w:pPr>
            <w:r>
              <w:rPr>
                <w:rFonts w:ascii="Arial" w:cs="Arial" w:eastAsia="Arial" w:hAnsi="Arial"/>
                <w:sz w:val="14"/>
                <w:szCs w:val="14"/>
                <w:color w:val="auto"/>
              </w:rPr>
              <w:t>3,912,972</w:t>
            </w:r>
          </w:p>
        </w:tc>
        <w:tc>
          <w:tcPr>
            <w:tcW w:w="1440" w:type="dxa"/>
            <w:vAlign w:val="bottom"/>
          </w:tcPr>
          <w:p>
            <w:pPr>
              <w:jc w:val="right"/>
              <w:spacing w:after="0"/>
              <w:rPr>
                <w:sz w:val="20"/>
                <w:szCs w:val="20"/>
                <w:color w:val="auto"/>
              </w:rPr>
            </w:pPr>
            <w:r>
              <w:rPr>
                <w:rFonts w:ascii="Arial" w:cs="Arial" w:eastAsia="Arial" w:hAnsi="Arial"/>
                <w:sz w:val="14"/>
                <w:szCs w:val="14"/>
                <w:color w:val="auto"/>
              </w:rPr>
              <w:t>3,363,964</w:t>
            </w:r>
          </w:p>
        </w:tc>
        <w:tc>
          <w:tcPr>
            <w:tcW w:w="1140" w:type="dxa"/>
            <w:vAlign w:val="bottom"/>
          </w:tcPr>
          <w:p>
            <w:pPr>
              <w:jc w:val="right"/>
              <w:ind w:right="79"/>
              <w:spacing w:after="0"/>
              <w:rPr>
                <w:sz w:val="20"/>
                <w:szCs w:val="20"/>
                <w:color w:val="auto"/>
              </w:rPr>
            </w:pPr>
            <w:r>
              <w:rPr>
                <w:rFonts w:ascii="Arial" w:cs="Arial" w:eastAsia="Arial" w:hAnsi="Arial"/>
                <w:sz w:val="14"/>
                <w:szCs w:val="14"/>
                <w:color w:val="auto"/>
              </w:rPr>
              <w:t>101.26</w:t>
            </w:r>
          </w:p>
        </w:tc>
        <w:tc>
          <w:tcPr>
            <w:tcW w:w="1060" w:type="dxa"/>
            <w:vAlign w:val="bottom"/>
          </w:tcPr>
          <w:p>
            <w:pPr>
              <w:jc w:val="right"/>
              <w:spacing w:after="0"/>
              <w:rPr>
                <w:sz w:val="20"/>
                <w:szCs w:val="20"/>
                <w:color w:val="auto"/>
              </w:rPr>
            </w:pPr>
            <w:r>
              <w:rPr>
                <w:rFonts w:ascii="Arial" w:cs="Arial" w:eastAsia="Arial" w:hAnsi="Arial"/>
                <w:sz w:val="14"/>
                <w:szCs w:val="14"/>
                <w:color w:val="auto"/>
              </w:rPr>
              <w:t>89.13</w:t>
            </w:r>
          </w:p>
        </w:tc>
        <w:tc>
          <w:tcPr>
            <w:tcW w:w="1200" w:type="dxa"/>
            <w:vAlign w:val="bottom"/>
          </w:tcPr>
          <w:p>
            <w:pPr>
              <w:jc w:val="right"/>
              <w:spacing w:after="0"/>
              <w:rPr>
                <w:sz w:val="20"/>
                <w:szCs w:val="20"/>
                <w:color w:val="auto"/>
              </w:rPr>
            </w:pPr>
            <w:r>
              <w:rPr>
                <w:rFonts w:ascii="Arial" w:cs="Arial" w:eastAsia="Arial" w:hAnsi="Arial"/>
                <w:sz w:val="14"/>
                <w:szCs w:val="14"/>
                <w:color w:val="auto"/>
              </w:rPr>
              <w:t>200,400</w:t>
            </w:r>
          </w:p>
        </w:tc>
        <w:tc>
          <w:tcPr>
            <w:tcW w:w="1240" w:type="dxa"/>
            <w:vAlign w:val="bottom"/>
          </w:tcPr>
          <w:p>
            <w:pPr>
              <w:jc w:val="center"/>
              <w:ind w:left="417"/>
              <w:spacing w:after="0"/>
              <w:rPr>
                <w:sz w:val="20"/>
                <w:szCs w:val="20"/>
                <w:color w:val="auto"/>
              </w:rPr>
            </w:pPr>
            <w:r>
              <w:rPr>
                <w:rFonts w:ascii="Arial" w:cs="Arial" w:eastAsia="Arial" w:hAnsi="Arial"/>
                <w:sz w:val="14"/>
                <w:szCs w:val="14"/>
                <w:color w:val="auto"/>
              </w:rPr>
              <w:t>908,543</w:t>
            </w:r>
          </w:p>
        </w:tc>
        <w:tc>
          <w:tcPr>
            <w:tcW w:w="0" w:type="dxa"/>
            <w:vAlign w:val="bottom"/>
          </w:tcPr>
          <w:p>
            <w:pPr>
              <w:spacing w:after="0"/>
              <w:rPr>
                <w:sz w:val="1"/>
                <w:szCs w:val="1"/>
                <w:color w:val="auto"/>
              </w:rPr>
            </w:pPr>
          </w:p>
        </w:tc>
      </w:tr>
      <w:tr>
        <w:trPr>
          <w:trHeight w:val="66"/>
        </w:trPr>
        <w:tc>
          <w:tcPr>
            <w:tcW w:w="6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4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2021</w:t>
            </w:r>
          </w:p>
        </w:tc>
        <w:tc>
          <w:tcPr>
            <w:tcW w:w="1500" w:type="dxa"/>
            <w:vAlign w:val="bottom"/>
            <w:shd w:val="clear" w:color="auto" w:fill="E9F0F3"/>
          </w:tcPr>
          <w:p>
            <w:pPr>
              <w:jc w:val="right"/>
              <w:ind w:right="217"/>
              <w:spacing w:after="0"/>
              <w:rPr>
                <w:sz w:val="20"/>
                <w:szCs w:val="20"/>
                <w:color w:val="auto"/>
              </w:rPr>
            </w:pPr>
            <w:r>
              <w:rPr>
                <w:rFonts w:ascii="Arial" w:cs="Arial" w:eastAsia="Arial" w:hAnsi="Arial"/>
                <w:sz w:val="14"/>
                <w:szCs w:val="14"/>
                <w:color w:val="auto"/>
              </w:rPr>
              <w:t>14,714,208</w:t>
            </w:r>
          </w:p>
        </w:tc>
        <w:tc>
          <w:tcPr>
            <w:tcW w:w="1220" w:type="dxa"/>
            <w:vAlign w:val="bottom"/>
            <w:shd w:val="clear" w:color="auto" w:fill="E9F0F3"/>
          </w:tcPr>
          <w:p>
            <w:pPr>
              <w:jc w:val="right"/>
              <w:ind w:right="137"/>
              <w:spacing w:after="0"/>
              <w:rPr>
                <w:sz w:val="20"/>
                <w:szCs w:val="20"/>
                <w:color w:val="auto"/>
              </w:rPr>
            </w:pPr>
            <w:r>
              <w:rPr>
                <w:rFonts w:ascii="Arial" w:cs="Arial" w:eastAsia="Arial" w:hAnsi="Arial"/>
                <w:sz w:val="14"/>
                <w:szCs w:val="14"/>
                <w:color w:val="auto"/>
              </w:rPr>
              <w:t>15,456,925</w:t>
            </w:r>
          </w:p>
        </w:tc>
        <w:tc>
          <w:tcPr>
            <w:tcW w:w="1500" w:type="dxa"/>
            <w:vAlign w:val="bottom"/>
            <w:shd w:val="clear" w:color="auto" w:fill="E9F0F3"/>
          </w:tcPr>
          <w:p>
            <w:pPr>
              <w:jc w:val="right"/>
              <w:ind w:right="97"/>
              <w:spacing w:after="0"/>
              <w:rPr>
                <w:sz w:val="20"/>
                <w:szCs w:val="20"/>
                <w:color w:val="auto"/>
              </w:rPr>
            </w:pPr>
            <w:r>
              <w:rPr>
                <w:rFonts w:ascii="Arial" w:cs="Arial" w:eastAsia="Arial" w:hAnsi="Arial"/>
                <w:sz w:val="14"/>
                <w:szCs w:val="14"/>
                <w:color w:val="auto"/>
              </w:rPr>
              <w:t>5,199,568</w:t>
            </w:r>
          </w:p>
        </w:tc>
        <w:tc>
          <w:tcPr>
            <w:tcW w:w="14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3,543,319</w:t>
            </w:r>
          </w:p>
        </w:tc>
        <w:tc>
          <w:tcPr>
            <w:tcW w:w="1140" w:type="dxa"/>
            <w:vAlign w:val="bottom"/>
            <w:shd w:val="clear" w:color="auto" w:fill="E9F0F3"/>
          </w:tcPr>
          <w:p>
            <w:pPr>
              <w:jc w:val="right"/>
              <w:ind w:right="79"/>
              <w:spacing w:after="0"/>
              <w:rPr>
                <w:sz w:val="20"/>
                <w:szCs w:val="20"/>
                <w:color w:val="auto"/>
              </w:rPr>
            </w:pPr>
            <w:r>
              <w:rPr>
                <w:rFonts w:ascii="Arial" w:cs="Arial" w:eastAsia="Arial" w:hAnsi="Arial"/>
                <w:sz w:val="14"/>
                <w:szCs w:val="14"/>
                <w:color w:val="auto"/>
              </w:rPr>
              <w:t>106.89</w:t>
            </w:r>
          </w:p>
        </w:tc>
        <w:tc>
          <w:tcPr>
            <w:tcW w:w="10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96.33</w:t>
            </w:r>
          </w:p>
        </w:tc>
        <w:tc>
          <w:tcPr>
            <w:tcW w:w="1200" w:type="dxa"/>
            <w:vAlign w:val="bottom"/>
            <w:shd w:val="clear" w:color="auto" w:fill="E9F0F3"/>
          </w:tcPr>
          <w:p>
            <w:pPr>
              <w:jc w:val="right"/>
              <w:spacing w:after="0"/>
              <w:rPr>
                <w:sz w:val="20"/>
                <w:szCs w:val="20"/>
                <w:color w:val="auto"/>
              </w:rPr>
            </w:pPr>
            <w:r>
              <w:rPr>
                <w:rFonts w:ascii="Arial" w:cs="Arial" w:eastAsia="Arial" w:hAnsi="Arial"/>
                <w:sz w:val="14"/>
                <w:szCs w:val="14"/>
                <w:color w:val="auto"/>
              </w:rPr>
              <w:t>952,300</w:t>
            </w:r>
          </w:p>
        </w:tc>
        <w:tc>
          <w:tcPr>
            <w:tcW w:w="1240" w:type="dxa"/>
            <w:vAlign w:val="bottom"/>
            <w:shd w:val="clear" w:color="auto" w:fill="E9F0F3"/>
          </w:tcPr>
          <w:p>
            <w:pPr>
              <w:jc w:val="center"/>
              <w:ind w:left="417"/>
              <w:spacing w:after="0"/>
              <w:rPr>
                <w:sz w:val="20"/>
                <w:szCs w:val="20"/>
                <w:color w:val="auto"/>
              </w:rPr>
            </w:pPr>
            <w:r>
              <w:rPr>
                <w:rFonts w:ascii="Arial" w:cs="Arial" w:eastAsia="Arial" w:hAnsi="Arial"/>
                <w:sz w:val="14"/>
                <w:szCs w:val="14"/>
                <w:color w:val="auto"/>
              </w:rPr>
              <w:t>983,494</w:t>
            </w:r>
          </w:p>
        </w:tc>
        <w:tc>
          <w:tcPr>
            <w:tcW w:w="0" w:type="dxa"/>
            <w:vAlign w:val="bottom"/>
          </w:tcPr>
          <w:p>
            <w:pPr>
              <w:spacing w:after="0"/>
              <w:rPr>
                <w:sz w:val="1"/>
                <w:szCs w:val="1"/>
                <w:color w:val="auto"/>
              </w:rPr>
            </w:pPr>
          </w:p>
        </w:tc>
      </w:tr>
      <w:tr>
        <w:trPr>
          <w:trHeight w:val="66"/>
        </w:trPr>
        <w:tc>
          <w:tcPr>
            <w:tcW w:w="640" w:type="dxa"/>
            <w:vAlign w:val="bottom"/>
            <w:shd w:val="clear" w:color="auto" w:fill="E9F0F3"/>
          </w:tcPr>
          <w:p>
            <w:pPr>
              <w:spacing w:after="0"/>
              <w:rPr>
                <w:sz w:val="5"/>
                <w:szCs w:val="5"/>
                <w:color w:val="auto"/>
              </w:rPr>
            </w:pPr>
          </w:p>
        </w:tc>
        <w:tc>
          <w:tcPr>
            <w:tcW w:w="1500" w:type="dxa"/>
            <w:vAlign w:val="bottom"/>
            <w:shd w:val="clear" w:color="auto" w:fill="E9F0F3"/>
          </w:tcPr>
          <w:p>
            <w:pPr>
              <w:spacing w:after="0"/>
              <w:rPr>
                <w:sz w:val="5"/>
                <w:szCs w:val="5"/>
                <w:color w:val="auto"/>
              </w:rPr>
            </w:pPr>
          </w:p>
        </w:tc>
        <w:tc>
          <w:tcPr>
            <w:tcW w:w="1220" w:type="dxa"/>
            <w:vAlign w:val="bottom"/>
            <w:shd w:val="clear" w:color="auto" w:fill="E9F0F3"/>
          </w:tcPr>
          <w:p>
            <w:pPr>
              <w:spacing w:after="0"/>
              <w:rPr>
                <w:sz w:val="5"/>
                <w:szCs w:val="5"/>
                <w:color w:val="auto"/>
              </w:rPr>
            </w:pPr>
          </w:p>
        </w:tc>
        <w:tc>
          <w:tcPr>
            <w:tcW w:w="1500" w:type="dxa"/>
            <w:vAlign w:val="bottom"/>
            <w:shd w:val="clear" w:color="auto" w:fill="E9F0F3"/>
          </w:tcPr>
          <w:p>
            <w:pPr>
              <w:spacing w:after="0"/>
              <w:rPr>
                <w:sz w:val="5"/>
                <w:szCs w:val="5"/>
                <w:color w:val="auto"/>
              </w:rPr>
            </w:pPr>
          </w:p>
        </w:tc>
        <w:tc>
          <w:tcPr>
            <w:tcW w:w="1440" w:type="dxa"/>
            <w:vAlign w:val="bottom"/>
            <w:shd w:val="clear" w:color="auto" w:fill="E9F0F3"/>
          </w:tcPr>
          <w:p>
            <w:pPr>
              <w:spacing w:after="0"/>
              <w:rPr>
                <w:sz w:val="5"/>
                <w:szCs w:val="5"/>
                <w:color w:val="auto"/>
              </w:rPr>
            </w:pPr>
          </w:p>
        </w:tc>
        <w:tc>
          <w:tcPr>
            <w:tcW w:w="1140" w:type="dxa"/>
            <w:vAlign w:val="bottom"/>
            <w:shd w:val="clear" w:color="auto" w:fill="E9F0F3"/>
          </w:tcPr>
          <w:p>
            <w:pPr>
              <w:spacing w:after="0"/>
              <w:rPr>
                <w:sz w:val="5"/>
                <w:szCs w:val="5"/>
                <w:color w:val="auto"/>
              </w:rPr>
            </w:pPr>
          </w:p>
        </w:tc>
        <w:tc>
          <w:tcPr>
            <w:tcW w:w="1060" w:type="dxa"/>
            <w:vAlign w:val="bottom"/>
            <w:shd w:val="clear" w:color="auto" w:fill="E9F0F3"/>
          </w:tcPr>
          <w:p>
            <w:pPr>
              <w:spacing w:after="0"/>
              <w:rPr>
                <w:sz w:val="5"/>
                <w:szCs w:val="5"/>
                <w:color w:val="auto"/>
              </w:rPr>
            </w:pPr>
          </w:p>
        </w:tc>
        <w:tc>
          <w:tcPr>
            <w:tcW w:w="1200" w:type="dxa"/>
            <w:vAlign w:val="bottom"/>
            <w:shd w:val="clear" w:color="auto" w:fill="E9F0F3"/>
          </w:tcPr>
          <w:p>
            <w:pPr>
              <w:spacing w:after="0"/>
              <w:rPr>
                <w:sz w:val="5"/>
                <w:szCs w:val="5"/>
                <w:color w:val="auto"/>
              </w:rPr>
            </w:pPr>
          </w:p>
        </w:tc>
        <w:tc>
          <w:tcPr>
            <w:tcW w:w="124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60" w:right="60" w:hanging="149"/>
        <w:spacing w:after="0" w:line="239" w:lineRule="auto"/>
        <w:tabs>
          <w:tab w:leader="none" w:pos="167" w:val="left"/>
        </w:tabs>
        <w:numPr>
          <w:ilvl w:val="0"/>
          <w:numId w:val="141"/>
        </w:numPr>
        <w:rPr>
          <w:rFonts w:ascii="Arial" w:cs="Arial" w:eastAsia="Arial" w:hAnsi="Arial"/>
          <w:sz w:val="13"/>
          <w:szCs w:val="13"/>
          <w:color w:val="auto"/>
        </w:rPr>
      </w:pPr>
      <w:r>
        <w:rPr>
          <w:rFonts w:ascii="Arial" w:cs="Arial" w:eastAsia="Arial" w:hAnsi="Arial"/>
          <w:sz w:val="13"/>
          <w:szCs w:val="13"/>
          <w:color w:val="auto"/>
        </w:rPr>
        <w:t>Column (b) contains compensation amounts reported in the “Total” column of the Summary Compensation Table (“SCT”) for Mr. Larsson, our Chief Executive Officer. Column (d) contains the average of the compensation amounts reported in the “Total” column of the SCT for our NEOs other than our Chief Executive Officer (“Other NEOs”) for each of the years listed. The Other NEOs are as follows:</w:t>
      </w:r>
    </w:p>
    <w:p>
      <w:pPr>
        <w:spacing w:after="0" w:line="24" w:lineRule="exact"/>
        <w:rPr>
          <w:rFonts w:ascii="Arial" w:cs="Arial" w:eastAsia="Arial" w:hAnsi="Arial"/>
          <w:sz w:val="13"/>
          <w:szCs w:val="13"/>
          <w:color w:val="auto"/>
        </w:rPr>
      </w:pPr>
    </w:p>
    <w:p>
      <w:pPr>
        <w:ind w:left="320" w:hanging="136"/>
        <w:spacing w:after="0"/>
        <w:tabs>
          <w:tab w:leader="none" w:pos="320" w:val="left"/>
        </w:tabs>
        <w:numPr>
          <w:ilvl w:val="1"/>
          <w:numId w:val="141"/>
        </w:numPr>
        <w:rPr>
          <w:rFonts w:ascii="Arial" w:cs="Arial" w:eastAsia="Arial" w:hAnsi="Arial"/>
          <w:sz w:val="13"/>
          <w:szCs w:val="13"/>
          <w:color w:val="auto"/>
        </w:rPr>
      </w:pPr>
      <w:r>
        <w:rPr>
          <w:rFonts w:ascii="Arial" w:cs="Arial" w:eastAsia="Arial" w:hAnsi="Arial"/>
          <w:sz w:val="13"/>
          <w:szCs w:val="13"/>
          <w:color w:val="auto"/>
        </w:rPr>
        <w:t>2025: Messrs. Coughlin, Savman and Olsson, and Mses. Rytz Goldman, Stone and Serrano;</w:t>
      </w:r>
    </w:p>
    <w:p>
      <w:pPr>
        <w:spacing w:after="0" w:line="38" w:lineRule="exact"/>
        <w:rPr>
          <w:rFonts w:ascii="Arial" w:cs="Arial" w:eastAsia="Arial" w:hAnsi="Arial"/>
          <w:sz w:val="13"/>
          <w:szCs w:val="13"/>
          <w:color w:val="auto"/>
        </w:rPr>
      </w:pPr>
    </w:p>
    <w:p>
      <w:pPr>
        <w:ind w:left="320" w:hanging="136"/>
        <w:spacing w:after="0"/>
        <w:tabs>
          <w:tab w:leader="none" w:pos="320" w:val="left"/>
        </w:tabs>
        <w:numPr>
          <w:ilvl w:val="1"/>
          <w:numId w:val="141"/>
        </w:numPr>
        <w:rPr>
          <w:rFonts w:ascii="Arial" w:cs="Arial" w:eastAsia="Arial" w:hAnsi="Arial"/>
          <w:sz w:val="13"/>
          <w:szCs w:val="13"/>
          <w:color w:val="auto"/>
        </w:rPr>
      </w:pPr>
      <w:r>
        <w:rPr>
          <w:rFonts w:ascii="Arial" w:cs="Arial" w:eastAsia="Arial" w:hAnsi="Arial"/>
          <w:sz w:val="13"/>
          <w:szCs w:val="13"/>
          <w:color w:val="auto"/>
        </w:rPr>
        <w:t>2024: Messrs. Coughlin and Savman and Martijn Hagman, our former Chief Executive Officer, PVH Europe, and Mses. Rytz Goldman and Serrano;</w:t>
      </w:r>
    </w:p>
    <w:p>
      <w:pPr>
        <w:spacing w:after="0" w:line="38" w:lineRule="exact"/>
        <w:rPr>
          <w:rFonts w:ascii="Arial" w:cs="Arial" w:eastAsia="Arial" w:hAnsi="Arial"/>
          <w:sz w:val="13"/>
          <w:szCs w:val="13"/>
          <w:color w:val="auto"/>
        </w:rPr>
      </w:pPr>
    </w:p>
    <w:p>
      <w:pPr>
        <w:ind w:left="320" w:hanging="136"/>
        <w:spacing w:after="0"/>
        <w:tabs>
          <w:tab w:leader="none" w:pos="320" w:val="left"/>
        </w:tabs>
        <w:numPr>
          <w:ilvl w:val="1"/>
          <w:numId w:val="141"/>
        </w:numPr>
        <w:rPr>
          <w:rFonts w:ascii="Arial" w:cs="Arial" w:eastAsia="Arial" w:hAnsi="Arial"/>
          <w:sz w:val="13"/>
          <w:szCs w:val="13"/>
          <w:color w:val="auto"/>
        </w:rPr>
      </w:pPr>
      <w:r>
        <w:rPr>
          <w:rFonts w:ascii="Arial" w:cs="Arial" w:eastAsia="Arial" w:hAnsi="Arial"/>
          <w:sz w:val="13"/>
          <w:szCs w:val="13"/>
          <w:color w:val="auto"/>
        </w:rPr>
        <w:t>2023: Messrs. Coughlin and Hagman, and Ms. Serrano and Julie A. Fuller, our former Executive Vice President, Chief People Officer;</w:t>
      </w:r>
    </w:p>
    <w:p>
      <w:pPr>
        <w:spacing w:after="0" w:line="38" w:lineRule="exact"/>
        <w:rPr>
          <w:rFonts w:ascii="Arial" w:cs="Arial" w:eastAsia="Arial" w:hAnsi="Arial"/>
          <w:sz w:val="13"/>
          <w:szCs w:val="13"/>
          <w:color w:val="auto"/>
        </w:rPr>
      </w:pPr>
    </w:p>
    <w:p>
      <w:pPr>
        <w:ind w:left="320" w:right="340" w:hanging="136"/>
        <w:spacing w:after="0" w:line="252" w:lineRule="auto"/>
        <w:tabs>
          <w:tab w:leader="none" w:pos="317" w:val="left"/>
        </w:tabs>
        <w:numPr>
          <w:ilvl w:val="1"/>
          <w:numId w:val="141"/>
        </w:numPr>
        <w:rPr>
          <w:rFonts w:ascii="Arial" w:cs="Arial" w:eastAsia="Arial" w:hAnsi="Arial"/>
          <w:sz w:val="13"/>
          <w:szCs w:val="13"/>
          <w:color w:val="auto"/>
        </w:rPr>
      </w:pPr>
      <w:r>
        <w:rPr>
          <w:rFonts w:ascii="Arial" w:cs="Arial" w:eastAsia="Arial" w:hAnsi="Arial"/>
          <w:sz w:val="13"/>
          <w:szCs w:val="13"/>
          <w:color w:val="auto"/>
        </w:rPr>
        <w:t>2022: Messrs. Coughlin and Hagman, Ms. Fuller, James W. Holmes, previously our Interim CFO, Mark D. Fischer, Executive Vice President, General Counsel and Secretary, and Patricia Donnelly, our former CEO PVH Americas and CK Global;</w:t>
      </w:r>
    </w:p>
    <w:p>
      <w:pPr>
        <w:spacing w:after="0" w:line="15" w:lineRule="exact"/>
        <w:rPr>
          <w:rFonts w:ascii="Arial" w:cs="Arial" w:eastAsia="Arial" w:hAnsi="Arial"/>
          <w:sz w:val="13"/>
          <w:szCs w:val="13"/>
          <w:color w:val="auto"/>
        </w:rPr>
      </w:pPr>
    </w:p>
    <w:p>
      <w:pPr>
        <w:ind w:left="320" w:right="420" w:hanging="136"/>
        <w:spacing w:after="0" w:line="252" w:lineRule="auto"/>
        <w:tabs>
          <w:tab w:leader="none" w:pos="317" w:val="left"/>
        </w:tabs>
        <w:numPr>
          <w:ilvl w:val="1"/>
          <w:numId w:val="141"/>
        </w:numPr>
        <w:rPr>
          <w:rFonts w:ascii="Arial" w:cs="Arial" w:eastAsia="Arial" w:hAnsi="Arial"/>
          <w:sz w:val="13"/>
          <w:szCs w:val="13"/>
          <w:color w:val="auto"/>
        </w:rPr>
      </w:pPr>
      <w:r>
        <w:rPr>
          <w:rFonts w:ascii="Arial" w:cs="Arial" w:eastAsia="Arial" w:hAnsi="Arial"/>
          <w:sz w:val="13"/>
          <w:szCs w:val="13"/>
          <w:color w:val="auto"/>
        </w:rPr>
        <w:t>2021: Messrs. Holmes and Coughlin, Mses. Fuller and Donnelly, Michael A. Shaffer, our former Chief Operating &amp; Financial Officer, and Cheryl Abel-Hodges, our former Chief Executive Officer, Calvin Klein.</w:t>
      </w:r>
    </w:p>
    <w:p>
      <w:pPr>
        <w:spacing w:after="0" w:line="16" w:lineRule="exact"/>
        <w:rPr>
          <w:sz w:val="20"/>
          <w:szCs w:val="20"/>
          <w:color w:val="auto"/>
        </w:rPr>
      </w:pPr>
    </w:p>
    <w:p>
      <w:pPr>
        <w:ind w:left="160" w:right="160" w:hanging="149"/>
        <w:spacing w:after="0" w:line="239" w:lineRule="auto"/>
        <w:tabs>
          <w:tab w:leader="none" w:pos="167" w:val="left"/>
        </w:tabs>
        <w:numPr>
          <w:ilvl w:val="0"/>
          <w:numId w:val="142"/>
        </w:numPr>
        <w:rPr>
          <w:rFonts w:ascii="Arial" w:cs="Arial" w:eastAsia="Arial" w:hAnsi="Arial"/>
          <w:sz w:val="13"/>
          <w:szCs w:val="13"/>
          <w:color w:val="auto"/>
        </w:rPr>
      </w:pPr>
      <w:r>
        <w:rPr>
          <w:rFonts w:ascii="Arial" w:cs="Arial" w:eastAsia="Arial" w:hAnsi="Arial"/>
          <w:sz w:val="13"/>
          <w:szCs w:val="13"/>
          <w:color w:val="auto"/>
        </w:rPr>
        <w:t>Compensation actually paid to our CEO in each of the years listed reflects the respective amounts set forth in column (b) of the table above, adjusted in accordance with SEC rules. The adjustments for 2025 are set forth in the table below. The dollar amounts in column (b) of the table above do not reflect the actual amount of compensation earned by or paid to our CEO during the applicable year.</w:t>
      </w:r>
    </w:p>
    <w:p>
      <w:pPr>
        <w:spacing w:after="0" w:line="24" w:lineRule="exact"/>
        <w:rPr>
          <w:rFonts w:ascii="Arial" w:cs="Arial" w:eastAsia="Arial" w:hAnsi="Arial"/>
          <w:sz w:val="13"/>
          <w:szCs w:val="13"/>
          <w:color w:val="auto"/>
        </w:rPr>
      </w:pPr>
    </w:p>
    <w:p>
      <w:pPr>
        <w:ind w:left="160"/>
        <w:spacing w:after="0"/>
        <w:rPr>
          <w:rFonts w:ascii="Arial" w:cs="Arial" w:eastAsia="Arial" w:hAnsi="Arial"/>
          <w:sz w:val="13"/>
          <w:szCs w:val="13"/>
          <w:color w:val="auto"/>
        </w:rPr>
      </w:pPr>
      <w:r>
        <w:rPr>
          <w:rFonts w:ascii="Arial" w:cs="Arial" w:eastAsia="Arial" w:hAnsi="Arial"/>
          <w:sz w:val="13"/>
          <w:szCs w:val="13"/>
          <w:color w:val="auto"/>
        </w:rPr>
        <w:t>Adjustments to determine CAP to the Chief Executive Officer for 2025:</w:t>
      </w:r>
    </w:p>
    <w:p>
      <w:pPr>
        <w:spacing w:after="0" w:line="159" w:lineRule="exact"/>
        <w:rPr>
          <w:sz w:val="20"/>
          <w:szCs w:val="20"/>
          <w:color w:val="auto"/>
        </w:rPr>
      </w:pPr>
    </w:p>
    <w:tbl>
      <w:tblPr>
        <w:tblLayout w:type="fixed"/>
        <w:tblInd w:w="240" w:type="dxa"/>
        <w:tblCellMar>
          <w:top w:w="0" w:type="dxa"/>
          <w:left w:w="0" w:type="dxa"/>
          <w:bottom w:w="0" w:type="dxa"/>
          <w:right w:w="0" w:type="dxa"/>
        </w:tblCellMar>
      </w:tblPr>
      <w:tr>
        <w:trPr>
          <w:trHeight w:val="174"/>
        </w:trPr>
        <w:tc>
          <w:tcPr>
            <w:tcW w:w="9080" w:type="dxa"/>
            <w:vAlign w:val="bottom"/>
            <w:tcBorders>
              <w:bottom w:val="single" w:sz="8" w:color="D1D3D4"/>
            </w:tcBorders>
            <w:shd w:val="clear" w:color="auto" w:fill="D1D3D4"/>
          </w:tcPr>
          <w:p>
            <w:pPr>
              <w:spacing w:after="0"/>
              <w:rPr>
                <w:sz w:val="15"/>
                <w:szCs w:val="15"/>
                <w:color w:val="auto"/>
              </w:rPr>
            </w:pPr>
          </w:p>
        </w:tc>
        <w:tc>
          <w:tcPr>
            <w:tcW w:w="1620" w:type="dxa"/>
            <w:vAlign w:val="bottom"/>
            <w:tcBorders>
              <w:bottom w:val="single" w:sz="8" w:color="D1D3D4"/>
            </w:tcBorders>
            <w:shd w:val="clear" w:color="auto" w:fill="D1D3D4"/>
          </w:tcPr>
          <w:p>
            <w:pPr>
              <w:jc w:val="right"/>
              <w:spacing w:after="0"/>
              <w:rPr>
                <w:sz w:val="20"/>
                <w:szCs w:val="20"/>
                <w:color w:val="auto"/>
              </w:rPr>
            </w:pPr>
            <w:r>
              <w:rPr>
                <w:rFonts w:ascii="Arial" w:cs="Arial" w:eastAsia="Arial" w:hAnsi="Arial"/>
                <w:sz w:val="11"/>
                <w:szCs w:val="11"/>
                <w:color w:val="auto"/>
              </w:rPr>
              <w:t>2025</w:t>
            </w:r>
          </w:p>
        </w:tc>
      </w:tr>
      <w:tr>
        <w:trPr>
          <w:trHeight w:val="205"/>
        </w:trPr>
        <w:tc>
          <w:tcPr>
            <w:tcW w:w="9080" w:type="dxa"/>
            <w:vAlign w:val="bottom"/>
            <w:shd w:val="clear" w:color="auto" w:fill="F1F2F2"/>
          </w:tcPr>
          <w:p>
            <w:pPr>
              <w:ind w:left="40"/>
              <w:spacing w:after="0"/>
              <w:rPr>
                <w:sz w:val="20"/>
                <w:szCs w:val="20"/>
                <w:color w:val="auto"/>
              </w:rPr>
            </w:pPr>
            <w:r>
              <w:rPr>
                <w:rFonts w:ascii="Arial" w:cs="Arial" w:eastAsia="Arial" w:hAnsi="Arial"/>
                <w:sz w:val="13"/>
                <w:szCs w:val="13"/>
                <w:color w:val="auto"/>
              </w:rPr>
              <w:t>Summary Compensation Table Column</w:t>
            </w:r>
          </w:p>
        </w:tc>
        <w:tc>
          <w:tcPr>
            <w:tcW w:w="16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$16,165,385</w:t>
            </w:r>
          </w:p>
        </w:tc>
      </w:tr>
      <w:tr>
        <w:trPr>
          <w:trHeight w:val="66"/>
        </w:trPr>
        <w:tc>
          <w:tcPr>
            <w:tcW w:w="9080" w:type="dxa"/>
            <w:vAlign w:val="bottom"/>
            <w:shd w:val="clear" w:color="auto" w:fill="F1F2F2"/>
          </w:tcPr>
          <w:p>
            <w:pPr>
              <w:spacing w:after="0"/>
              <w:rPr>
                <w:sz w:val="5"/>
                <w:szCs w:val="5"/>
                <w:color w:val="auto"/>
              </w:rPr>
            </w:pPr>
          </w:p>
        </w:tc>
        <w:tc>
          <w:tcPr>
            <w:tcW w:w="1620" w:type="dxa"/>
            <w:vAlign w:val="bottom"/>
            <w:shd w:val="clear" w:color="auto" w:fill="F1F2F2"/>
          </w:tcPr>
          <w:p>
            <w:pPr>
              <w:spacing w:after="0"/>
              <w:rPr>
                <w:sz w:val="5"/>
                <w:szCs w:val="5"/>
                <w:color w:val="auto"/>
              </w:rPr>
            </w:pPr>
          </w:p>
        </w:tc>
      </w:tr>
      <w:tr>
        <w:trPr>
          <w:trHeight w:val="181"/>
        </w:trPr>
        <w:tc>
          <w:tcPr>
            <w:tcW w:w="9080" w:type="dxa"/>
            <w:vAlign w:val="bottom"/>
          </w:tcPr>
          <w:p>
            <w:pPr>
              <w:ind w:left="40"/>
              <w:spacing w:after="0"/>
              <w:rPr>
                <w:sz w:val="20"/>
                <w:szCs w:val="20"/>
                <w:color w:val="auto"/>
              </w:rPr>
            </w:pPr>
            <w:r>
              <w:rPr>
                <w:rFonts w:ascii="Arial" w:cs="Arial" w:eastAsia="Arial" w:hAnsi="Arial"/>
                <w:sz w:val="13"/>
                <w:szCs w:val="13"/>
                <w:color w:val="auto"/>
              </w:rPr>
              <w:t>Subtract aggregate change in the actuarial present value of accumulated benefit under pension plans reported in the “Change in Pension Value and</w:t>
            </w:r>
          </w:p>
        </w:tc>
        <w:tc>
          <w:tcPr>
            <w:tcW w:w="1620" w:type="dxa"/>
            <w:vAlign w:val="bottom"/>
          </w:tcPr>
          <w:p>
            <w:pPr>
              <w:jc w:val="right"/>
              <w:spacing w:after="0"/>
              <w:rPr>
                <w:sz w:val="20"/>
                <w:szCs w:val="20"/>
                <w:color w:val="auto"/>
              </w:rPr>
            </w:pPr>
            <w:r>
              <w:rPr>
                <w:rFonts w:ascii="Arial" w:cs="Arial" w:eastAsia="Arial" w:hAnsi="Arial"/>
                <w:sz w:val="13"/>
                <w:szCs w:val="13"/>
                <w:color w:val="auto"/>
              </w:rPr>
              <w:t>(45,080)</w:t>
            </w:r>
          </w:p>
        </w:tc>
      </w:tr>
      <w:tr>
        <w:trPr>
          <w:trHeight w:val="166"/>
        </w:trPr>
        <w:tc>
          <w:tcPr>
            <w:tcW w:w="9080" w:type="dxa"/>
            <w:vAlign w:val="bottom"/>
          </w:tcPr>
          <w:p>
            <w:pPr>
              <w:ind w:left="40"/>
              <w:spacing w:after="0"/>
              <w:rPr>
                <w:sz w:val="20"/>
                <w:szCs w:val="20"/>
                <w:color w:val="auto"/>
              </w:rPr>
            </w:pPr>
            <w:r>
              <w:rPr>
                <w:rFonts w:ascii="Arial" w:cs="Arial" w:eastAsia="Arial" w:hAnsi="Arial"/>
                <w:sz w:val="13"/>
                <w:szCs w:val="13"/>
                <w:color w:val="auto"/>
              </w:rPr>
              <w:t>Nonqualified Deferred Compensation Earnings” column of the SCT</w:t>
            </w:r>
          </w:p>
        </w:tc>
        <w:tc>
          <w:tcPr>
            <w:tcW w:w="1620" w:type="dxa"/>
            <w:vAlign w:val="bottom"/>
          </w:tcPr>
          <w:p>
            <w:pPr>
              <w:spacing w:after="0"/>
              <w:rPr>
                <w:sz w:val="14"/>
                <w:szCs w:val="14"/>
                <w:color w:val="auto"/>
              </w:rPr>
            </w:pPr>
          </w:p>
        </w:tc>
      </w:tr>
      <w:tr>
        <w:trPr>
          <w:trHeight w:val="66"/>
        </w:trPr>
        <w:tc>
          <w:tcPr>
            <w:tcW w:w="9080" w:type="dxa"/>
            <w:vAlign w:val="bottom"/>
          </w:tcPr>
          <w:p>
            <w:pPr>
              <w:spacing w:after="0"/>
              <w:rPr>
                <w:sz w:val="5"/>
                <w:szCs w:val="5"/>
                <w:color w:val="auto"/>
              </w:rPr>
            </w:pPr>
          </w:p>
        </w:tc>
        <w:tc>
          <w:tcPr>
            <w:tcW w:w="1620" w:type="dxa"/>
            <w:vAlign w:val="bottom"/>
          </w:tcPr>
          <w:p>
            <w:pPr>
              <w:spacing w:after="0"/>
              <w:rPr>
                <w:sz w:val="5"/>
                <w:szCs w:val="5"/>
                <w:color w:val="auto"/>
              </w:rPr>
            </w:pPr>
          </w:p>
        </w:tc>
      </w:tr>
      <w:tr>
        <w:trPr>
          <w:trHeight w:val="205"/>
        </w:trPr>
        <w:tc>
          <w:tcPr>
            <w:tcW w:w="9080" w:type="dxa"/>
            <w:vAlign w:val="bottom"/>
            <w:shd w:val="clear" w:color="auto" w:fill="F1F2F2"/>
          </w:tcPr>
          <w:p>
            <w:pPr>
              <w:ind w:left="40"/>
              <w:spacing w:after="0"/>
              <w:rPr>
                <w:sz w:val="20"/>
                <w:szCs w:val="20"/>
                <w:color w:val="auto"/>
              </w:rPr>
            </w:pPr>
            <w:r>
              <w:rPr>
                <w:rFonts w:ascii="Arial" w:cs="Arial" w:eastAsia="Arial" w:hAnsi="Arial"/>
                <w:sz w:val="13"/>
                <w:szCs w:val="13"/>
                <w:color w:val="auto"/>
              </w:rPr>
              <w:t>Subtract amounts reported under the “Stock Awards” column in the SCT</w:t>
            </w:r>
          </w:p>
        </w:tc>
        <w:tc>
          <w:tcPr>
            <w:tcW w:w="16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(12,200,530)</w:t>
            </w:r>
          </w:p>
        </w:tc>
      </w:tr>
      <w:tr>
        <w:trPr>
          <w:trHeight w:val="66"/>
        </w:trPr>
        <w:tc>
          <w:tcPr>
            <w:tcW w:w="9080" w:type="dxa"/>
            <w:vAlign w:val="bottom"/>
            <w:shd w:val="clear" w:color="auto" w:fill="F1F2F2"/>
          </w:tcPr>
          <w:p>
            <w:pPr>
              <w:spacing w:after="0"/>
              <w:rPr>
                <w:sz w:val="5"/>
                <w:szCs w:val="5"/>
                <w:color w:val="auto"/>
              </w:rPr>
            </w:pPr>
          </w:p>
        </w:tc>
        <w:tc>
          <w:tcPr>
            <w:tcW w:w="1620" w:type="dxa"/>
            <w:vAlign w:val="bottom"/>
            <w:shd w:val="clear" w:color="auto" w:fill="F1F2F2"/>
          </w:tcPr>
          <w:p>
            <w:pPr>
              <w:spacing w:after="0"/>
              <w:rPr>
                <w:sz w:val="5"/>
                <w:szCs w:val="5"/>
                <w:color w:val="auto"/>
              </w:rPr>
            </w:pPr>
          </w:p>
        </w:tc>
      </w:tr>
      <w:tr>
        <w:trPr>
          <w:trHeight w:val="205"/>
        </w:trPr>
        <w:tc>
          <w:tcPr>
            <w:tcW w:w="9080" w:type="dxa"/>
            <w:vAlign w:val="bottom"/>
          </w:tcPr>
          <w:p>
            <w:pPr>
              <w:ind w:left="40"/>
              <w:spacing w:after="0"/>
              <w:rPr>
                <w:sz w:val="20"/>
                <w:szCs w:val="20"/>
                <w:color w:val="auto"/>
              </w:rPr>
            </w:pPr>
            <w:r>
              <w:rPr>
                <w:rFonts w:ascii="Arial" w:cs="Arial" w:eastAsia="Arial" w:hAnsi="Arial"/>
                <w:sz w:val="13"/>
                <w:szCs w:val="13"/>
                <w:color w:val="auto"/>
              </w:rPr>
              <w:t>Add the fair value of awards granted during the covered year that remain unvested as of covered year end*</w:t>
            </w:r>
          </w:p>
        </w:tc>
        <w:tc>
          <w:tcPr>
            <w:tcW w:w="1620" w:type="dxa"/>
            <w:vAlign w:val="bottom"/>
          </w:tcPr>
          <w:p>
            <w:pPr>
              <w:jc w:val="right"/>
              <w:spacing w:after="0"/>
              <w:rPr>
                <w:sz w:val="20"/>
                <w:szCs w:val="20"/>
                <w:color w:val="auto"/>
              </w:rPr>
            </w:pPr>
            <w:r>
              <w:rPr>
                <w:rFonts w:ascii="Arial" w:cs="Arial" w:eastAsia="Arial" w:hAnsi="Arial"/>
                <w:sz w:val="13"/>
                <w:szCs w:val="13"/>
                <w:color w:val="auto"/>
              </w:rPr>
              <w:t>7,215,132</w:t>
            </w:r>
          </w:p>
        </w:tc>
      </w:tr>
      <w:tr>
        <w:trPr>
          <w:trHeight w:val="66"/>
        </w:trPr>
        <w:tc>
          <w:tcPr>
            <w:tcW w:w="9080" w:type="dxa"/>
            <w:vAlign w:val="bottom"/>
          </w:tcPr>
          <w:p>
            <w:pPr>
              <w:spacing w:after="0"/>
              <w:rPr>
                <w:sz w:val="5"/>
                <w:szCs w:val="5"/>
                <w:color w:val="auto"/>
              </w:rPr>
            </w:pPr>
          </w:p>
        </w:tc>
        <w:tc>
          <w:tcPr>
            <w:tcW w:w="1620" w:type="dxa"/>
            <w:vAlign w:val="bottom"/>
          </w:tcPr>
          <w:p>
            <w:pPr>
              <w:spacing w:after="0"/>
              <w:rPr>
                <w:sz w:val="5"/>
                <w:szCs w:val="5"/>
                <w:color w:val="auto"/>
              </w:rPr>
            </w:pPr>
          </w:p>
        </w:tc>
      </w:tr>
      <w:tr>
        <w:trPr>
          <w:trHeight w:val="205"/>
        </w:trPr>
        <w:tc>
          <w:tcPr>
            <w:tcW w:w="9080" w:type="dxa"/>
            <w:vAlign w:val="bottom"/>
            <w:shd w:val="clear" w:color="auto" w:fill="F1F2F2"/>
          </w:tcPr>
          <w:p>
            <w:pPr>
              <w:ind w:left="40"/>
              <w:spacing w:after="0"/>
              <w:rPr>
                <w:sz w:val="20"/>
                <w:szCs w:val="20"/>
                <w:color w:val="auto"/>
              </w:rPr>
            </w:pPr>
            <w:r>
              <w:rPr>
                <w:rFonts w:ascii="Arial" w:cs="Arial" w:eastAsia="Arial" w:hAnsi="Arial"/>
                <w:sz w:val="13"/>
                <w:szCs w:val="13"/>
                <w:color w:val="auto"/>
              </w:rPr>
              <w:t>Add (subtract) the change in fair value of awards granted in any prior year that were outstanding and unvested as of the covered year end*</w:t>
            </w:r>
          </w:p>
        </w:tc>
        <w:tc>
          <w:tcPr>
            <w:tcW w:w="16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(10,545,502)</w:t>
            </w:r>
          </w:p>
        </w:tc>
      </w:tr>
      <w:tr>
        <w:trPr>
          <w:trHeight w:val="66"/>
        </w:trPr>
        <w:tc>
          <w:tcPr>
            <w:tcW w:w="9080" w:type="dxa"/>
            <w:vAlign w:val="bottom"/>
            <w:shd w:val="clear" w:color="auto" w:fill="F1F2F2"/>
          </w:tcPr>
          <w:p>
            <w:pPr>
              <w:spacing w:after="0"/>
              <w:rPr>
                <w:sz w:val="5"/>
                <w:szCs w:val="5"/>
                <w:color w:val="auto"/>
              </w:rPr>
            </w:pPr>
          </w:p>
        </w:tc>
        <w:tc>
          <w:tcPr>
            <w:tcW w:w="1620" w:type="dxa"/>
            <w:vAlign w:val="bottom"/>
            <w:shd w:val="clear" w:color="auto" w:fill="F1F2F2"/>
          </w:tcPr>
          <w:p>
            <w:pPr>
              <w:spacing w:after="0"/>
              <w:rPr>
                <w:sz w:val="5"/>
                <w:szCs w:val="5"/>
                <w:color w:val="auto"/>
              </w:rPr>
            </w:pPr>
          </w:p>
        </w:tc>
      </w:tr>
      <w:tr>
        <w:trPr>
          <w:trHeight w:val="205"/>
        </w:trPr>
        <w:tc>
          <w:tcPr>
            <w:tcW w:w="9080" w:type="dxa"/>
            <w:vAlign w:val="bottom"/>
          </w:tcPr>
          <w:p>
            <w:pPr>
              <w:ind w:left="40"/>
              <w:spacing w:after="0"/>
              <w:rPr>
                <w:sz w:val="20"/>
                <w:szCs w:val="20"/>
                <w:color w:val="auto"/>
              </w:rPr>
            </w:pPr>
            <w:r>
              <w:rPr>
                <w:rFonts w:ascii="Arial" w:cs="Arial" w:eastAsia="Arial" w:hAnsi="Arial"/>
                <w:sz w:val="13"/>
                <w:szCs w:val="13"/>
                <w:color w:val="auto"/>
              </w:rPr>
              <w:t>Add (subtract) the change in fair value of awards granted in any prior year that vested during the covered year*</w:t>
            </w:r>
          </w:p>
        </w:tc>
        <w:tc>
          <w:tcPr>
            <w:tcW w:w="1620" w:type="dxa"/>
            <w:vAlign w:val="bottom"/>
          </w:tcPr>
          <w:p>
            <w:pPr>
              <w:jc w:val="right"/>
              <w:spacing w:after="0"/>
              <w:rPr>
                <w:sz w:val="20"/>
                <w:szCs w:val="20"/>
                <w:color w:val="auto"/>
              </w:rPr>
            </w:pPr>
            <w:r>
              <w:rPr>
                <w:rFonts w:ascii="Arial" w:cs="Arial" w:eastAsia="Arial" w:hAnsi="Arial"/>
                <w:sz w:val="13"/>
                <w:szCs w:val="13"/>
                <w:color w:val="auto"/>
              </w:rPr>
              <w:t>(1,734,155)</w:t>
            </w:r>
          </w:p>
        </w:tc>
      </w:tr>
      <w:tr>
        <w:trPr>
          <w:trHeight w:val="66"/>
        </w:trPr>
        <w:tc>
          <w:tcPr>
            <w:tcW w:w="9080" w:type="dxa"/>
            <w:vAlign w:val="bottom"/>
          </w:tcPr>
          <w:p>
            <w:pPr>
              <w:spacing w:after="0"/>
              <w:rPr>
                <w:sz w:val="5"/>
                <w:szCs w:val="5"/>
                <w:color w:val="auto"/>
              </w:rPr>
            </w:pPr>
          </w:p>
        </w:tc>
        <w:tc>
          <w:tcPr>
            <w:tcW w:w="1620" w:type="dxa"/>
            <w:vAlign w:val="bottom"/>
          </w:tcPr>
          <w:p>
            <w:pPr>
              <w:spacing w:after="0"/>
              <w:rPr>
                <w:sz w:val="5"/>
                <w:szCs w:val="5"/>
                <w:color w:val="auto"/>
              </w:rPr>
            </w:pPr>
          </w:p>
        </w:tc>
      </w:tr>
      <w:tr>
        <w:trPr>
          <w:trHeight w:val="205"/>
        </w:trPr>
        <w:tc>
          <w:tcPr>
            <w:tcW w:w="9080" w:type="dxa"/>
            <w:vAlign w:val="bottom"/>
            <w:shd w:val="clear" w:color="auto" w:fill="D1D3D4"/>
          </w:tcPr>
          <w:p>
            <w:pPr>
              <w:ind w:left="40"/>
              <w:spacing w:after="0"/>
              <w:rPr>
                <w:sz w:val="20"/>
                <w:szCs w:val="20"/>
                <w:color w:val="auto"/>
              </w:rPr>
            </w:pPr>
            <w:r>
              <w:rPr>
                <w:rFonts w:ascii="Arial" w:cs="Arial" w:eastAsia="Arial" w:hAnsi="Arial"/>
                <w:sz w:val="13"/>
                <w:szCs w:val="13"/>
                <w:color w:val="auto"/>
              </w:rPr>
              <w:t>Compensation Actually Paid to CEO</w:t>
            </w:r>
          </w:p>
        </w:tc>
        <w:tc>
          <w:tcPr>
            <w:tcW w:w="1620" w:type="dxa"/>
            <w:vAlign w:val="bottom"/>
            <w:shd w:val="clear" w:color="auto" w:fill="D1D3D4"/>
          </w:tcPr>
          <w:p>
            <w:pPr>
              <w:jc w:val="right"/>
              <w:spacing w:after="0"/>
              <w:rPr>
                <w:sz w:val="20"/>
                <w:szCs w:val="20"/>
                <w:color w:val="auto"/>
              </w:rPr>
            </w:pPr>
            <w:r>
              <w:rPr>
                <w:rFonts w:ascii="Arial" w:cs="Arial" w:eastAsia="Arial" w:hAnsi="Arial"/>
                <w:sz w:val="13"/>
                <w:szCs w:val="13"/>
                <w:color w:val="auto"/>
              </w:rPr>
              <w:t>$(1,144,750)</w:t>
            </w:r>
          </w:p>
        </w:tc>
      </w:tr>
      <w:tr>
        <w:trPr>
          <w:trHeight w:val="66"/>
        </w:trPr>
        <w:tc>
          <w:tcPr>
            <w:tcW w:w="9080" w:type="dxa"/>
            <w:vAlign w:val="bottom"/>
            <w:shd w:val="clear" w:color="auto" w:fill="D1D3D4"/>
          </w:tcPr>
          <w:p>
            <w:pPr>
              <w:spacing w:after="0"/>
              <w:rPr>
                <w:sz w:val="5"/>
                <w:szCs w:val="5"/>
                <w:color w:val="auto"/>
              </w:rPr>
            </w:pPr>
          </w:p>
        </w:tc>
        <w:tc>
          <w:tcPr>
            <w:tcW w:w="1620" w:type="dxa"/>
            <w:vAlign w:val="bottom"/>
            <w:shd w:val="clear" w:color="auto" w:fill="D1D3D4"/>
          </w:tcPr>
          <w:p>
            <w:pPr>
              <w:spacing w:after="0"/>
              <w:rPr>
                <w:sz w:val="5"/>
                <w:szCs w:val="5"/>
                <w:color w:val="auto"/>
              </w:rPr>
            </w:pPr>
          </w:p>
        </w:tc>
      </w:tr>
    </w:tbl>
    <w:p>
      <w:pPr>
        <w:spacing w:after="0" w:line="145" w:lineRule="exact"/>
        <w:rPr>
          <w:sz w:val="20"/>
          <w:szCs w:val="20"/>
          <w:color w:val="auto"/>
        </w:rPr>
      </w:pPr>
    </w:p>
    <w:p>
      <w:pPr>
        <w:jc w:val="both"/>
        <w:ind w:left="300" w:right="120" w:hanging="132"/>
        <w:spacing w:after="0" w:line="261" w:lineRule="auto"/>
        <w:tabs>
          <w:tab w:leader="none" w:pos="291" w:val="left"/>
        </w:tabs>
        <w:numPr>
          <w:ilvl w:val="0"/>
          <w:numId w:val="143"/>
        </w:numPr>
        <w:rPr>
          <w:rFonts w:ascii="Arial" w:cs="Arial" w:eastAsia="Arial" w:hAnsi="Arial"/>
          <w:sz w:val="12"/>
          <w:szCs w:val="12"/>
          <w:color w:val="auto"/>
        </w:rPr>
      </w:pPr>
      <w:r>
        <w:rPr>
          <w:rFonts w:ascii="Arial" w:cs="Arial" w:eastAsia="Arial" w:hAnsi="Arial"/>
          <w:sz w:val="12"/>
          <w:szCs w:val="12"/>
          <w:color w:val="auto"/>
        </w:rPr>
        <w:t>The fair values of our market-based PSUs are estimated as of each measurement date using the Monte Carlo simulation model, using assumptions updated for each measurement date. The fair values of our non-market-based PSUs are equal to the closing price of our common stock on each measurement date, reduced for the present value of any dividends expected to be paid on our common stock, as these contingently issuable PSUs do not accrue dividends. Changes in fair value of awards granted in any prior year are measured by comparing fair value as of the end of the covered year (for awards unvested as of the covered year-end) or at vesting (for awards that vested during the covered year) to the fair value as of the end of the prior year.</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PVH CORP. 2026 PROXY STATEMENT / </w:t>
      </w:r>
      <w:r>
        <w:rPr>
          <w:rFonts w:ascii="Arial" w:cs="Arial" w:eastAsia="Arial" w:hAnsi="Arial"/>
          <w:sz w:val="11"/>
          <w:szCs w:val="11"/>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94" w:right="479" w:bottom="1440" w:gutter="0" w:footer="0" w:header="0"/>
        </w:sectPr>
      </w:pPr>
    </w:p>
    <w:bookmarkStart w:id="84" w:name="page85"/>
    <w:bookmarkEnd w:id="84"/>
    <w:p>
      <w:pPr>
        <w:jc w:val="both"/>
        <w:ind w:left="149" w:right="120" w:hanging="149"/>
        <w:spacing w:after="0" w:line="239" w:lineRule="auto"/>
        <w:tabs>
          <w:tab w:leader="none" w:pos="156" w:val="left"/>
        </w:tabs>
        <w:numPr>
          <w:ilvl w:val="0"/>
          <w:numId w:val="144"/>
        </w:numPr>
        <w:rPr>
          <w:rFonts w:ascii="Arial" w:cs="Arial" w:eastAsia="Arial" w:hAnsi="Arial"/>
          <w:sz w:val="13"/>
          <w:szCs w:val="13"/>
          <w:color w:val="auto"/>
        </w:rPr>
      </w:pPr>
      <w:r>
        <w:rPr>
          <w:rFonts w:ascii="Arial" w:cs="Arial" w:eastAsia="Arial" w:hAnsi="Arial"/>
          <w:sz w:val="13"/>
          <w:szCs w:val="13"/>
          <w:color w:val="auto"/>
        </w:rPr>
        <w:t>Compensation actually paid to our Other NEOs in each of the years listed reflects the respective amounts set forth in column (d) of the table above, adjusted in accordance with SEC rules. The adjustments for 2025 are set forth in the table below. The dollar amounts in column (d) of the table above do not reflect the actual amount of compensation earned by or paid to our Other NEOs during the applicable year.</w:t>
      </w:r>
    </w:p>
    <w:p>
      <w:pPr>
        <w:spacing w:after="0" w:line="71" w:lineRule="exact"/>
        <w:rPr>
          <w:rFonts w:ascii="Arial" w:cs="Arial" w:eastAsia="Arial" w:hAnsi="Arial"/>
          <w:sz w:val="13"/>
          <w:szCs w:val="13"/>
          <w:color w:val="auto"/>
        </w:rPr>
      </w:pPr>
    </w:p>
    <w:p>
      <w:pPr>
        <w:ind w:left="149"/>
        <w:spacing w:after="0"/>
        <w:rPr>
          <w:rFonts w:ascii="Arial" w:cs="Arial" w:eastAsia="Arial" w:hAnsi="Arial"/>
          <w:sz w:val="13"/>
          <w:szCs w:val="13"/>
          <w:color w:val="auto"/>
        </w:rPr>
      </w:pPr>
      <w:r>
        <w:rPr>
          <w:rFonts w:ascii="Arial" w:cs="Arial" w:eastAsia="Arial" w:hAnsi="Arial"/>
          <w:sz w:val="13"/>
          <w:szCs w:val="13"/>
          <w:color w:val="auto"/>
        </w:rPr>
        <w:t>Adjustments to determine CAP to Other NEOs for 2025:</w:t>
      </w:r>
    </w:p>
    <w:p>
      <w:pPr>
        <w:spacing w:after="0" w:line="153" w:lineRule="exact"/>
        <w:rPr>
          <w:sz w:val="20"/>
          <w:szCs w:val="20"/>
          <w:color w:val="auto"/>
        </w:rPr>
      </w:pPr>
    </w:p>
    <w:tbl>
      <w:tblPr>
        <w:tblLayout w:type="fixed"/>
        <w:tblInd w:w="229" w:type="dxa"/>
        <w:tblCellMar>
          <w:top w:w="0" w:type="dxa"/>
          <w:left w:w="0" w:type="dxa"/>
          <w:bottom w:w="0" w:type="dxa"/>
          <w:right w:w="0" w:type="dxa"/>
        </w:tblCellMar>
      </w:tblPr>
      <w:tr>
        <w:trPr>
          <w:trHeight w:val="168"/>
        </w:trPr>
        <w:tc>
          <w:tcPr>
            <w:tcW w:w="8860" w:type="dxa"/>
            <w:vAlign w:val="bottom"/>
            <w:tcBorders>
              <w:bottom w:val="single" w:sz="8" w:color="D1D3D4"/>
            </w:tcBorders>
            <w:shd w:val="clear" w:color="auto" w:fill="D1D3D4"/>
          </w:tcPr>
          <w:p>
            <w:pPr>
              <w:spacing w:after="0"/>
              <w:rPr>
                <w:sz w:val="14"/>
                <w:szCs w:val="14"/>
                <w:color w:val="auto"/>
              </w:rPr>
            </w:pPr>
          </w:p>
        </w:tc>
        <w:tc>
          <w:tcPr>
            <w:tcW w:w="1840" w:type="dxa"/>
            <w:vAlign w:val="bottom"/>
            <w:tcBorders>
              <w:bottom w:val="single" w:sz="8" w:color="D1D3D4"/>
            </w:tcBorders>
            <w:shd w:val="clear" w:color="auto" w:fill="D1D3D4"/>
          </w:tcPr>
          <w:p>
            <w:pPr>
              <w:jc w:val="right"/>
              <w:spacing w:after="0"/>
              <w:rPr>
                <w:sz w:val="20"/>
                <w:szCs w:val="20"/>
                <w:color w:val="auto"/>
              </w:rPr>
            </w:pPr>
            <w:r>
              <w:rPr>
                <w:rFonts w:ascii="Arial" w:cs="Arial" w:eastAsia="Arial" w:hAnsi="Arial"/>
                <w:sz w:val="11"/>
                <w:szCs w:val="11"/>
                <w:color w:val="auto"/>
              </w:rPr>
              <w:t>2025</w:t>
            </w:r>
          </w:p>
        </w:tc>
      </w:tr>
      <w:tr>
        <w:trPr>
          <w:trHeight w:val="205"/>
        </w:trPr>
        <w:tc>
          <w:tcPr>
            <w:tcW w:w="8860" w:type="dxa"/>
            <w:vAlign w:val="bottom"/>
            <w:shd w:val="clear" w:color="auto" w:fill="F1F2F2"/>
          </w:tcPr>
          <w:p>
            <w:pPr>
              <w:ind w:left="40"/>
              <w:spacing w:after="0"/>
              <w:rPr>
                <w:sz w:val="20"/>
                <w:szCs w:val="20"/>
                <w:color w:val="auto"/>
              </w:rPr>
            </w:pPr>
            <w:r>
              <w:rPr>
                <w:rFonts w:ascii="Arial" w:cs="Arial" w:eastAsia="Arial" w:hAnsi="Arial"/>
                <w:sz w:val="13"/>
                <w:szCs w:val="13"/>
                <w:color w:val="auto"/>
              </w:rPr>
              <w:t>Average SCT Total for Other NEOs</w:t>
            </w:r>
          </w:p>
        </w:tc>
        <w:tc>
          <w:tcPr>
            <w:tcW w:w="1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$4,272,028</w:t>
            </w:r>
          </w:p>
        </w:tc>
      </w:tr>
      <w:tr>
        <w:trPr>
          <w:trHeight w:val="66"/>
        </w:trPr>
        <w:tc>
          <w:tcPr>
            <w:tcW w:w="8860" w:type="dxa"/>
            <w:vAlign w:val="bottom"/>
            <w:shd w:val="clear" w:color="auto" w:fill="F1F2F2"/>
          </w:tcPr>
          <w:p>
            <w:pPr>
              <w:spacing w:after="0"/>
              <w:rPr>
                <w:sz w:val="5"/>
                <w:szCs w:val="5"/>
                <w:color w:val="auto"/>
              </w:rPr>
            </w:pPr>
          </w:p>
        </w:tc>
        <w:tc>
          <w:tcPr>
            <w:tcW w:w="1840" w:type="dxa"/>
            <w:vAlign w:val="bottom"/>
            <w:shd w:val="clear" w:color="auto" w:fill="F1F2F2"/>
          </w:tcPr>
          <w:p>
            <w:pPr>
              <w:spacing w:after="0"/>
              <w:rPr>
                <w:sz w:val="5"/>
                <w:szCs w:val="5"/>
                <w:color w:val="auto"/>
              </w:rPr>
            </w:pPr>
          </w:p>
        </w:tc>
      </w:tr>
      <w:tr>
        <w:trPr>
          <w:trHeight w:val="205"/>
        </w:trPr>
        <w:tc>
          <w:tcPr>
            <w:tcW w:w="8860" w:type="dxa"/>
            <w:vAlign w:val="bottom"/>
          </w:tcPr>
          <w:p>
            <w:pPr>
              <w:ind w:left="40"/>
              <w:spacing w:after="0"/>
              <w:rPr>
                <w:sz w:val="20"/>
                <w:szCs w:val="20"/>
                <w:color w:val="auto"/>
              </w:rPr>
            </w:pPr>
            <w:r>
              <w:rPr>
                <w:rFonts w:ascii="Arial" w:cs="Arial" w:eastAsia="Arial" w:hAnsi="Arial"/>
                <w:sz w:val="13"/>
                <w:szCs w:val="13"/>
                <w:color w:val="auto"/>
              </w:rPr>
              <w:t>Subtract amounts reported under the “Stock Awards” column in the SCT</w:t>
            </w:r>
          </w:p>
        </w:tc>
        <w:tc>
          <w:tcPr>
            <w:tcW w:w="1840" w:type="dxa"/>
            <w:vAlign w:val="bottom"/>
          </w:tcPr>
          <w:p>
            <w:pPr>
              <w:jc w:val="right"/>
              <w:spacing w:after="0"/>
              <w:rPr>
                <w:sz w:val="20"/>
                <w:szCs w:val="20"/>
                <w:color w:val="auto"/>
              </w:rPr>
            </w:pPr>
            <w:r>
              <w:rPr>
                <w:rFonts w:ascii="Arial" w:cs="Arial" w:eastAsia="Arial" w:hAnsi="Arial"/>
                <w:sz w:val="13"/>
                <w:szCs w:val="13"/>
                <w:color w:val="auto"/>
              </w:rPr>
              <w:t>(2,028,297)</w:t>
            </w:r>
          </w:p>
        </w:tc>
      </w:tr>
      <w:tr>
        <w:trPr>
          <w:trHeight w:val="66"/>
        </w:trPr>
        <w:tc>
          <w:tcPr>
            <w:tcW w:w="8860" w:type="dxa"/>
            <w:vAlign w:val="bottom"/>
          </w:tcPr>
          <w:p>
            <w:pPr>
              <w:spacing w:after="0"/>
              <w:rPr>
                <w:sz w:val="5"/>
                <w:szCs w:val="5"/>
                <w:color w:val="auto"/>
              </w:rPr>
            </w:pPr>
          </w:p>
        </w:tc>
        <w:tc>
          <w:tcPr>
            <w:tcW w:w="1840" w:type="dxa"/>
            <w:vAlign w:val="bottom"/>
          </w:tcPr>
          <w:p>
            <w:pPr>
              <w:spacing w:after="0"/>
              <w:rPr>
                <w:sz w:val="5"/>
                <w:szCs w:val="5"/>
                <w:color w:val="auto"/>
              </w:rPr>
            </w:pPr>
          </w:p>
        </w:tc>
      </w:tr>
      <w:tr>
        <w:trPr>
          <w:trHeight w:val="205"/>
        </w:trPr>
        <w:tc>
          <w:tcPr>
            <w:tcW w:w="8860" w:type="dxa"/>
            <w:vAlign w:val="bottom"/>
            <w:shd w:val="clear" w:color="auto" w:fill="F1F2F2"/>
          </w:tcPr>
          <w:p>
            <w:pPr>
              <w:ind w:left="40"/>
              <w:spacing w:after="0"/>
              <w:rPr>
                <w:sz w:val="20"/>
                <w:szCs w:val="20"/>
                <w:color w:val="auto"/>
              </w:rPr>
            </w:pPr>
            <w:r>
              <w:rPr>
                <w:rFonts w:ascii="Arial" w:cs="Arial" w:eastAsia="Arial" w:hAnsi="Arial"/>
                <w:sz w:val="13"/>
                <w:szCs w:val="13"/>
                <w:color w:val="auto"/>
              </w:rPr>
              <w:t>Add the fair value of awards granted during the covered year that remain unvested as of covered year end*</w:t>
            </w:r>
          </w:p>
        </w:tc>
        <w:tc>
          <w:tcPr>
            <w:tcW w:w="1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597,587</w:t>
            </w:r>
          </w:p>
        </w:tc>
      </w:tr>
      <w:tr>
        <w:trPr>
          <w:trHeight w:val="66"/>
        </w:trPr>
        <w:tc>
          <w:tcPr>
            <w:tcW w:w="8860" w:type="dxa"/>
            <w:vAlign w:val="bottom"/>
            <w:shd w:val="clear" w:color="auto" w:fill="F1F2F2"/>
          </w:tcPr>
          <w:p>
            <w:pPr>
              <w:spacing w:after="0"/>
              <w:rPr>
                <w:sz w:val="5"/>
                <w:szCs w:val="5"/>
                <w:color w:val="auto"/>
              </w:rPr>
            </w:pPr>
          </w:p>
        </w:tc>
        <w:tc>
          <w:tcPr>
            <w:tcW w:w="1840" w:type="dxa"/>
            <w:vAlign w:val="bottom"/>
            <w:shd w:val="clear" w:color="auto" w:fill="F1F2F2"/>
          </w:tcPr>
          <w:p>
            <w:pPr>
              <w:spacing w:after="0"/>
              <w:rPr>
                <w:sz w:val="5"/>
                <w:szCs w:val="5"/>
                <w:color w:val="auto"/>
              </w:rPr>
            </w:pPr>
          </w:p>
        </w:tc>
      </w:tr>
      <w:tr>
        <w:trPr>
          <w:trHeight w:val="205"/>
        </w:trPr>
        <w:tc>
          <w:tcPr>
            <w:tcW w:w="8860" w:type="dxa"/>
            <w:vAlign w:val="bottom"/>
          </w:tcPr>
          <w:p>
            <w:pPr>
              <w:ind w:left="40"/>
              <w:spacing w:after="0"/>
              <w:rPr>
                <w:sz w:val="20"/>
                <w:szCs w:val="20"/>
                <w:color w:val="auto"/>
              </w:rPr>
            </w:pPr>
            <w:r>
              <w:rPr>
                <w:rFonts w:ascii="Arial" w:cs="Arial" w:eastAsia="Arial" w:hAnsi="Arial"/>
                <w:sz w:val="13"/>
                <w:szCs w:val="13"/>
                <w:color w:val="auto"/>
              </w:rPr>
              <w:t>Add (subtract) the change in fair value of awards granted in any prior year that were outstanding and unvested as of the covered year end*</w:t>
            </w:r>
          </w:p>
        </w:tc>
        <w:tc>
          <w:tcPr>
            <w:tcW w:w="1840" w:type="dxa"/>
            <w:vAlign w:val="bottom"/>
          </w:tcPr>
          <w:p>
            <w:pPr>
              <w:jc w:val="right"/>
              <w:spacing w:after="0"/>
              <w:rPr>
                <w:sz w:val="20"/>
                <w:szCs w:val="20"/>
                <w:color w:val="auto"/>
              </w:rPr>
            </w:pPr>
            <w:r>
              <w:rPr>
                <w:rFonts w:ascii="Arial" w:cs="Arial" w:eastAsia="Arial" w:hAnsi="Arial"/>
                <w:sz w:val="13"/>
                <w:szCs w:val="13"/>
                <w:color w:val="auto"/>
              </w:rPr>
              <w:t>(429,598)</w:t>
            </w:r>
          </w:p>
        </w:tc>
      </w:tr>
      <w:tr>
        <w:trPr>
          <w:trHeight w:val="66"/>
        </w:trPr>
        <w:tc>
          <w:tcPr>
            <w:tcW w:w="8860" w:type="dxa"/>
            <w:vAlign w:val="bottom"/>
          </w:tcPr>
          <w:p>
            <w:pPr>
              <w:spacing w:after="0"/>
              <w:rPr>
                <w:sz w:val="5"/>
                <w:szCs w:val="5"/>
                <w:color w:val="auto"/>
              </w:rPr>
            </w:pPr>
          </w:p>
        </w:tc>
        <w:tc>
          <w:tcPr>
            <w:tcW w:w="1840" w:type="dxa"/>
            <w:vAlign w:val="bottom"/>
          </w:tcPr>
          <w:p>
            <w:pPr>
              <w:spacing w:after="0"/>
              <w:rPr>
                <w:sz w:val="5"/>
                <w:szCs w:val="5"/>
                <w:color w:val="auto"/>
              </w:rPr>
            </w:pPr>
          </w:p>
        </w:tc>
      </w:tr>
      <w:tr>
        <w:trPr>
          <w:trHeight w:val="205"/>
        </w:trPr>
        <w:tc>
          <w:tcPr>
            <w:tcW w:w="8860" w:type="dxa"/>
            <w:vAlign w:val="bottom"/>
            <w:shd w:val="clear" w:color="auto" w:fill="F1F2F2"/>
          </w:tcPr>
          <w:p>
            <w:pPr>
              <w:ind w:left="40"/>
              <w:spacing w:after="0"/>
              <w:rPr>
                <w:sz w:val="20"/>
                <w:szCs w:val="20"/>
                <w:color w:val="auto"/>
              </w:rPr>
            </w:pPr>
            <w:r>
              <w:rPr>
                <w:rFonts w:ascii="Arial" w:cs="Arial" w:eastAsia="Arial" w:hAnsi="Arial"/>
                <w:sz w:val="13"/>
                <w:szCs w:val="13"/>
                <w:color w:val="auto"/>
              </w:rPr>
              <w:t>Add (subtract) the change in fair value of awards granted in any prior year that vested during the covered year*</w:t>
            </w:r>
          </w:p>
        </w:tc>
        <w:tc>
          <w:tcPr>
            <w:tcW w:w="1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(117,881)</w:t>
            </w:r>
          </w:p>
        </w:tc>
      </w:tr>
      <w:tr>
        <w:trPr>
          <w:trHeight w:val="66"/>
        </w:trPr>
        <w:tc>
          <w:tcPr>
            <w:tcW w:w="8860" w:type="dxa"/>
            <w:vAlign w:val="bottom"/>
            <w:shd w:val="clear" w:color="auto" w:fill="F1F2F2"/>
          </w:tcPr>
          <w:p>
            <w:pPr>
              <w:spacing w:after="0"/>
              <w:rPr>
                <w:sz w:val="5"/>
                <w:szCs w:val="5"/>
                <w:color w:val="auto"/>
              </w:rPr>
            </w:pPr>
          </w:p>
        </w:tc>
        <w:tc>
          <w:tcPr>
            <w:tcW w:w="1840" w:type="dxa"/>
            <w:vAlign w:val="bottom"/>
            <w:shd w:val="clear" w:color="auto" w:fill="F1F2F2"/>
          </w:tcPr>
          <w:p>
            <w:pPr>
              <w:spacing w:after="0"/>
              <w:rPr>
                <w:sz w:val="5"/>
                <w:szCs w:val="5"/>
                <w:color w:val="auto"/>
              </w:rPr>
            </w:pPr>
          </w:p>
        </w:tc>
      </w:tr>
      <w:tr>
        <w:trPr>
          <w:trHeight w:val="205"/>
        </w:trPr>
        <w:tc>
          <w:tcPr>
            <w:tcW w:w="8860" w:type="dxa"/>
            <w:vAlign w:val="bottom"/>
          </w:tcPr>
          <w:p>
            <w:pPr>
              <w:ind w:left="40"/>
              <w:spacing w:after="0"/>
              <w:rPr>
                <w:sz w:val="20"/>
                <w:szCs w:val="20"/>
                <w:color w:val="auto"/>
              </w:rPr>
            </w:pPr>
            <w:r>
              <w:rPr>
                <w:rFonts w:ascii="Arial" w:cs="Arial" w:eastAsia="Arial" w:hAnsi="Arial"/>
                <w:sz w:val="13"/>
                <w:szCs w:val="13"/>
                <w:color w:val="auto"/>
              </w:rPr>
              <w:t>Subtract the fair value of awards granted in any prior year that were forfeited during the covered year*</w:t>
            </w:r>
          </w:p>
        </w:tc>
        <w:tc>
          <w:tcPr>
            <w:tcW w:w="1840" w:type="dxa"/>
            <w:vAlign w:val="bottom"/>
          </w:tcPr>
          <w:p>
            <w:pPr>
              <w:jc w:val="right"/>
              <w:spacing w:after="0"/>
              <w:rPr>
                <w:sz w:val="20"/>
                <w:szCs w:val="20"/>
                <w:color w:val="auto"/>
              </w:rPr>
            </w:pPr>
            <w:r>
              <w:rPr>
                <w:rFonts w:ascii="Arial" w:cs="Arial" w:eastAsia="Arial" w:hAnsi="Arial"/>
                <w:sz w:val="13"/>
                <w:szCs w:val="13"/>
                <w:color w:val="auto"/>
              </w:rPr>
              <w:t>(1,341,299)</w:t>
            </w:r>
          </w:p>
        </w:tc>
      </w:tr>
      <w:tr>
        <w:trPr>
          <w:trHeight w:val="66"/>
        </w:trPr>
        <w:tc>
          <w:tcPr>
            <w:tcW w:w="8860" w:type="dxa"/>
            <w:vAlign w:val="bottom"/>
          </w:tcPr>
          <w:p>
            <w:pPr>
              <w:spacing w:after="0"/>
              <w:rPr>
                <w:sz w:val="5"/>
                <w:szCs w:val="5"/>
                <w:color w:val="auto"/>
              </w:rPr>
            </w:pPr>
          </w:p>
        </w:tc>
        <w:tc>
          <w:tcPr>
            <w:tcW w:w="1840" w:type="dxa"/>
            <w:vAlign w:val="bottom"/>
          </w:tcPr>
          <w:p>
            <w:pPr>
              <w:spacing w:after="0"/>
              <w:rPr>
                <w:sz w:val="5"/>
                <w:szCs w:val="5"/>
                <w:color w:val="auto"/>
              </w:rPr>
            </w:pPr>
          </w:p>
        </w:tc>
      </w:tr>
      <w:tr>
        <w:trPr>
          <w:trHeight w:val="205"/>
        </w:trPr>
        <w:tc>
          <w:tcPr>
            <w:tcW w:w="8860" w:type="dxa"/>
            <w:vAlign w:val="bottom"/>
            <w:shd w:val="clear" w:color="auto" w:fill="F1F2F2"/>
          </w:tcPr>
          <w:p>
            <w:pPr>
              <w:ind w:left="40"/>
              <w:spacing w:after="0"/>
              <w:rPr>
                <w:sz w:val="20"/>
                <w:szCs w:val="20"/>
                <w:color w:val="auto"/>
              </w:rPr>
            </w:pPr>
            <w:r>
              <w:rPr>
                <w:rFonts w:ascii="Arial" w:cs="Arial" w:eastAsia="Arial" w:hAnsi="Arial"/>
                <w:sz w:val="13"/>
                <w:szCs w:val="13"/>
                <w:color w:val="auto"/>
              </w:rPr>
              <w:t>Average Compensation Actually Paid to Other NEOs</w:t>
            </w:r>
          </w:p>
        </w:tc>
        <w:tc>
          <w:tcPr>
            <w:tcW w:w="18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$952,540</w:t>
            </w:r>
          </w:p>
        </w:tc>
      </w:tr>
      <w:tr>
        <w:trPr>
          <w:trHeight w:val="66"/>
        </w:trPr>
        <w:tc>
          <w:tcPr>
            <w:tcW w:w="8860" w:type="dxa"/>
            <w:vAlign w:val="bottom"/>
            <w:shd w:val="clear" w:color="auto" w:fill="F1F2F2"/>
          </w:tcPr>
          <w:p>
            <w:pPr>
              <w:spacing w:after="0"/>
              <w:rPr>
                <w:sz w:val="5"/>
                <w:szCs w:val="5"/>
                <w:color w:val="auto"/>
              </w:rPr>
            </w:pPr>
          </w:p>
        </w:tc>
        <w:tc>
          <w:tcPr>
            <w:tcW w:w="1840" w:type="dxa"/>
            <w:vAlign w:val="bottom"/>
            <w:shd w:val="clear" w:color="auto" w:fill="F1F2F2"/>
          </w:tcPr>
          <w:p>
            <w:pPr>
              <w:spacing w:after="0"/>
              <w:rPr>
                <w:sz w:val="5"/>
                <w:szCs w:val="5"/>
                <w:color w:val="auto"/>
              </w:rPr>
            </w:pPr>
          </w:p>
        </w:tc>
      </w:tr>
    </w:tbl>
    <w:p>
      <w:pPr>
        <w:spacing w:after="0" w:line="157" w:lineRule="exact"/>
        <w:rPr>
          <w:sz w:val="20"/>
          <w:szCs w:val="20"/>
          <w:color w:val="auto"/>
        </w:rPr>
      </w:pPr>
    </w:p>
    <w:p>
      <w:pPr>
        <w:jc w:val="both"/>
        <w:ind w:left="289" w:right="100" w:hanging="132"/>
        <w:spacing w:after="0" w:line="261" w:lineRule="auto"/>
        <w:tabs>
          <w:tab w:leader="none" w:pos="28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The fair values of our market-based PSUs are estimated as of each measurement date using the Monte Carlo simulation model, using assumptions updated for each measurement date. The fair values of our non-market-based PSUs are equal to the closing price of our common stock on each measurement date, reduced for the present value of any dividends expected to be paid on our common stock, as these contingently issuable PSUs do not accrue dividends. Changes in fair value of awards granted in any prior year are measured by comparing fair value as of the end of the covered year (for awards unvested as of the covered year-end) or at vesting (for awards that vested during the covered year) to the fair value as of the end of the prior year.</w:t>
      </w:r>
    </w:p>
    <w:p>
      <w:pPr>
        <w:spacing w:after="0" w:line="12" w:lineRule="exact"/>
        <w:rPr>
          <w:sz w:val="20"/>
          <w:szCs w:val="20"/>
          <w:color w:val="auto"/>
        </w:rPr>
      </w:pPr>
    </w:p>
    <w:p>
      <w:pPr>
        <w:ind w:left="149" w:right="100" w:hanging="149"/>
        <w:spacing w:after="0" w:line="234" w:lineRule="auto"/>
        <w:tabs>
          <w:tab w:leader="none" w:pos="156" w:val="left"/>
        </w:tabs>
        <w:numPr>
          <w:ilvl w:val="0"/>
          <w:numId w:val="146"/>
        </w:numPr>
        <w:rPr>
          <w:rFonts w:ascii="Arial" w:cs="Arial" w:eastAsia="Arial" w:hAnsi="Arial"/>
          <w:sz w:val="13"/>
          <w:szCs w:val="13"/>
          <w:color w:val="auto"/>
        </w:rPr>
      </w:pPr>
      <w:r>
        <w:rPr>
          <w:rFonts w:ascii="Arial" w:cs="Arial" w:eastAsia="Arial" w:hAnsi="Arial"/>
          <w:sz w:val="13"/>
          <w:szCs w:val="13"/>
          <w:color w:val="auto"/>
        </w:rPr>
        <w:t>We utilized the S&amp;P 500 Apparel, Accessories &amp; Luxury Goods Index for our peer group TSR in 2020 and 2021. We are no longer included in the S&amp;P 500 Apparel, Accessories &amp; Luxury Good Index and, as a result, no longer use it as our industry peer group. We are now in the S&amp;P 1500 Apparel, Accessories &amp; Luxury Goods Index (the “New Index”), which we utilized for our 2022, 2023, 2024 and 2025 peer group TSR and in the stock performance graph required by Item 201(e) of Regulation S-K. The New Index TSR amount for 2021 is $104.29. TSR assumes an initial investment of $100 in our common stock on February 1, 2021, and reinvestment of dividends. A hypothetical $100 investment in the New Index using the same methodology is shown for comparison.</w:t>
      </w:r>
    </w:p>
    <w:p>
      <w:pPr>
        <w:spacing w:after="0" w:line="25" w:lineRule="exact"/>
        <w:rPr>
          <w:sz w:val="20"/>
          <w:szCs w:val="20"/>
          <w:color w:val="auto"/>
        </w:rPr>
      </w:pPr>
    </w:p>
    <w:p>
      <w:pPr>
        <w:ind w:left="9"/>
        <w:spacing w:after="0"/>
        <w:rPr>
          <w:sz w:val="20"/>
          <w:szCs w:val="20"/>
          <w:color w:val="auto"/>
        </w:rPr>
      </w:pPr>
      <w:r>
        <w:rPr>
          <w:rFonts w:ascii="Arial" w:cs="Arial" w:eastAsia="Arial" w:hAnsi="Arial"/>
          <w:sz w:val="13"/>
          <w:szCs w:val="13"/>
          <w:color w:val="auto"/>
        </w:rPr>
        <w:t>5  Reflects Net Income in the company’s Consolidated Statements of Operations included in the company’s Annual Report on Form 10-K for the applicable fiscal year.</w:t>
      </w:r>
    </w:p>
    <w:p>
      <w:pPr>
        <w:spacing w:after="0" w:line="39" w:lineRule="exact"/>
        <w:rPr>
          <w:sz w:val="20"/>
          <w:szCs w:val="20"/>
          <w:color w:val="auto"/>
        </w:rPr>
      </w:pPr>
    </w:p>
    <w:p>
      <w:pPr>
        <w:ind w:left="149" w:right="120" w:hanging="149"/>
        <w:spacing w:after="0" w:line="252" w:lineRule="auto"/>
        <w:tabs>
          <w:tab w:leader="none" w:pos="156"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The company-selected financial measure is EBIT on a non-GAAP basis. We calculate our EBIT on a non-GAAP basis by starting with our GAAP results and then apply a list of adjustments and exclusions approved by the Compensation Committee when it makes performance-based awards. See reconciliations on Exhibit A.</w:t>
      </w:r>
    </w:p>
    <w:p>
      <w:pPr>
        <w:spacing w:after="0" w:line="239" w:lineRule="exact"/>
        <w:rPr>
          <w:sz w:val="20"/>
          <w:szCs w:val="20"/>
          <w:color w:val="auto"/>
        </w:rPr>
      </w:pPr>
    </w:p>
    <w:p>
      <w:pPr>
        <w:ind w:left="9"/>
        <w:spacing w:after="0"/>
        <w:rPr>
          <w:sz w:val="20"/>
          <w:szCs w:val="20"/>
          <w:color w:val="auto"/>
        </w:rPr>
      </w:pPr>
      <w:r>
        <w:rPr>
          <w:rFonts w:ascii="Arial" w:cs="Arial" w:eastAsia="Arial" w:hAnsi="Arial"/>
          <w:sz w:val="22"/>
          <w:szCs w:val="22"/>
          <w:b w:val="1"/>
          <w:bCs w:val="1"/>
          <w:color w:val="auto"/>
        </w:rPr>
        <w:t>Pay Versus Performance: Most Important Measures</w:t>
      </w:r>
    </w:p>
    <w:p>
      <w:pPr>
        <w:spacing w:after="0" w:line="62" w:lineRule="exact"/>
        <w:rPr>
          <w:sz w:val="20"/>
          <w:szCs w:val="20"/>
          <w:color w:val="auto"/>
        </w:rPr>
      </w:pPr>
    </w:p>
    <w:p>
      <w:pPr>
        <w:ind w:left="9" w:right="260"/>
        <w:spacing w:after="0" w:line="264" w:lineRule="auto"/>
        <w:rPr>
          <w:sz w:val="20"/>
          <w:szCs w:val="20"/>
          <w:color w:val="auto"/>
        </w:rPr>
      </w:pPr>
      <w:r>
        <w:rPr>
          <w:rFonts w:ascii="Arial" w:cs="Arial" w:eastAsia="Arial" w:hAnsi="Arial"/>
          <w:sz w:val="14"/>
          <w:szCs w:val="14"/>
          <w:color w:val="auto"/>
        </w:rPr>
        <w:t>In the company’s assessment, the following chart lists the most important financial performance measures we use to link compensation actually paid to the NEOs, as determined in accordance with SEC rules, to company performance for 2025. The Compensation Discussion &amp; Analysis discusses the ways we use these measures in our NEO compensation program and how they are important to and linked with 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3373120" cy="156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73120" cy="156845"/>
                    </a:xfrm>
                    <a:prstGeom prst="rect">
                      <a:avLst/>
                    </a:prstGeom>
                    <a:noFill/>
                  </pic:spPr>
                </pic:pic>
              </a:graphicData>
            </a:graphic>
          </wp:anchor>
        </w:drawing>
      </w:r>
    </w:p>
    <w:p>
      <w:pPr>
        <w:spacing w:after="0" w:line="144" w:lineRule="exact"/>
        <w:rPr>
          <w:sz w:val="20"/>
          <w:szCs w:val="20"/>
          <w:color w:val="auto"/>
        </w:rPr>
      </w:pPr>
    </w:p>
    <w:p>
      <w:pPr>
        <w:jc w:val="center"/>
        <w:ind w:right="5611"/>
        <w:spacing w:after="0"/>
        <w:rPr>
          <w:sz w:val="20"/>
          <w:szCs w:val="20"/>
          <w:color w:val="auto"/>
        </w:rPr>
      </w:pPr>
      <w:r>
        <w:rPr>
          <w:rFonts w:ascii="Arial" w:cs="Arial" w:eastAsia="Arial" w:hAnsi="Arial"/>
          <w:sz w:val="14"/>
          <w:szCs w:val="14"/>
          <w:b w:val="1"/>
          <w:bCs w:val="1"/>
          <w:color w:val="auto"/>
        </w:rPr>
        <w:t>Most Important Financial Performance Measures</w:t>
      </w:r>
    </w:p>
    <w:p>
      <w:pPr>
        <w:spacing w:after="0" w:line="39" w:lineRule="exact"/>
        <w:rPr>
          <w:sz w:val="20"/>
          <w:szCs w:val="20"/>
          <w:color w:val="auto"/>
        </w:rPr>
      </w:pPr>
    </w:p>
    <w:p>
      <w:pPr>
        <w:jc w:val="center"/>
        <w:ind w:right="5611"/>
        <w:spacing w:after="0"/>
        <w:rPr>
          <w:sz w:val="20"/>
          <w:szCs w:val="20"/>
          <w:color w:val="auto"/>
        </w:rPr>
      </w:pPr>
      <w:r>
        <w:rPr>
          <w:rFonts w:ascii="Arial" w:cs="Arial" w:eastAsia="Arial" w:hAnsi="Arial"/>
          <w:sz w:val="14"/>
          <w:szCs w:val="14"/>
          <w:b w:val="1"/>
          <w:bCs w:val="1"/>
          <w:color w:val="auto"/>
        </w:rPr>
        <w:t>EBIT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3373120" cy="5607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73120" cy="560705"/>
                    </a:xfrm>
                    <a:prstGeom prst="rect">
                      <a:avLst/>
                    </a:prstGeom>
                    <a:noFill/>
                  </pic:spPr>
                </pic:pic>
              </a:graphicData>
            </a:graphic>
          </wp:anchor>
        </w:drawing>
      </w:r>
    </w:p>
    <w:p>
      <w:pPr>
        <w:spacing w:after="0" w:line="31" w:lineRule="exact"/>
        <w:rPr>
          <w:sz w:val="20"/>
          <w:szCs w:val="20"/>
          <w:color w:val="auto"/>
        </w:rPr>
      </w:pPr>
    </w:p>
    <w:p>
      <w:pPr>
        <w:jc w:val="center"/>
        <w:ind w:right="5611"/>
        <w:spacing w:after="0"/>
        <w:rPr>
          <w:sz w:val="20"/>
          <w:szCs w:val="20"/>
          <w:color w:val="auto"/>
        </w:rPr>
      </w:pPr>
      <w:r>
        <w:rPr>
          <w:rFonts w:ascii="Arial" w:cs="Arial" w:eastAsia="Arial" w:hAnsi="Arial"/>
          <w:sz w:val="14"/>
          <w:szCs w:val="14"/>
          <w:b w:val="1"/>
          <w:bCs w:val="1"/>
          <w:color w:val="auto"/>
        </w:rPr>
        <w:t>Relative TSR</w:t>
      </w:r>
    </w:p>
    <w:p>
      <w:pPr>
        <w:spacing w:after="0" w:line="51" w:lineRule="exact"/>
        <w:rPr>
          <w:sz w:val="20"/>
          <w:szCs w:val="20"/>
          <w:color w:val="auto"/>
        </w:rPr>
      </w:pPr>
    </w:p>
    <w:p>
      <w:pPr>
        <w:jc w:val="center"/>
        <w:ind w:right="5611"/>
        <w:spacing w:after="0"/>
        <w:rPr>
          <w:sz w:val="20"/>
          <w:szCs w:val="20"/>
          <w:color w:val="auto"/>
        </w:rPr>
      </w:pPr>
      <w:r>
        <w:rPr>
          <w:rFonts w:ascii="Arial" w:cs="Arial" w:eastAsia="Arial" w:hAnsi="Arial"/>
          <w:sz w:val="14"/>
          <w:szCs w:val="14"/>
          <w:b w:val="1"/>
          <w:bCs w:val="1"/>
          <w:color w:val="auto"/>
        </w:rPr>
        <w:t>Revenue</w:t>
      </w:r>
    </w:p>
    <w:p>
      <w:pPr>
        <w:spacing w:after="0" w:line="51" w:lineRule="exact"/>
        <w:rPr>
          <w:sz w:val="20"/>
          <w:szCs w:val="20"/>
          <w:color w:val="auto"/>
        </w:rPr>
      </w:pPr>
    </w:p>
    <w:p>
      <w:pPr>
        <w:jc w:val="center"/>
        <w:ind w:right="5611"/>
        <w:spacing w:after="0"/>
        <w:rPr>
          <w:sz w:val="20"/>
          <w:szCs w:val="20"/>
          <w:color w:val="auto"/>
        </w:rPr>
      </w:pPr>
      <w:r>
        <w:rPr>
          <w:rFonts w:ascii="Arial" w:cs="Arial" w:eastAsia="Arial" w:hAnsi="Arial"/>
          <w:sz w:val="14"/>
          <w:szCs w:val="14"/>
          <w:b w:val="1"/>
          <w:bCs w:val="1"/>
          <w:color w:val="auto"/>
        </w:rPr>
        <w:t>ROIC</w:t>
      </w:r>
    </w:p>
    <w:p>
      <w:pPr>
        <w:spacing w:after="0" w:line="272"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 xml:space="preserve">82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29"/>
          </w:cols>
          <w:pgMar w:left="471" w:top="226" w:right="499" w:bottom="1440" w:gutter="0" w:footer="0" w:header="0"/>
        </w:sectPr>
      </w:pPr>
    </w:p>
    <w:bookmarkStart w:id="85" w:name="page86"/>
    <w:bookmarkEnd w:id="85"/>
    <w:p>
      <w:pPr>
        <w:spacing w:after="0"/>
        <w:rPr>
          <w:sz w:val="20"/>
          <w:szCs w:val="20"/>
          <w:color w:val="auto"/>
        </w:rPr>
      </w:pPr>
      <w:r>
        <w:rPr>
          <w:rFonts w:ascii="Arial" w:cs="Arial" w:eastAsia="Arial" w:hAnsi="Arial"/>
          <w:sz w:val="22"/>
          <w:szCs w:val="22"/>
          <w:b w:val="1"/>
          <w:bCs w:val="1"/>
          <w:color w:val="auto"/>
        </w:rPr>
        <w:t>Relationship between Compensation Actually Paid and Performance Measures</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4"/>
          <w:szCs w:val="14"/>
          <w:color w:val="auto"/>
        </w:rPr>
        <w:t>The following charts describe the relationships between CAP and the company’s financial performance as measured by our cumulative TSR, net income, and EBIT, which is the measure we have designated as our “company selected metric” under SEC rules, as well as the relationship between our TSR and peer group TSR. EBIT results are calculated on a non-GAAP basis, as described above in this section.</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PVH TSR vs. Peer Group TSR vs.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2108200</wp:posOffset>
            </wp:positionH>
            <wp:positionV relativeFrom="paragraph">
              <wp:posOffset>-93980</wp:posOffset>
            </wp:positionV>
            <wp:extent cx="3373120" cy="15557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73120" cy="155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PVH Net Income vs.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2108200</wp:posOffset>
            </wp:positionH>
            <wp:positionV relativeFrom="paragraph">
              <wp:posOffset>-93980</wp:posOffset>
            </wp:positionV>
            <wp:extent cx="3373120" cy="14808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73120" cy="1480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PVH Non-GAAP EBIT vs.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2108200</wp:posOffset>
            </wp:positionH>
            <wp:positionV relativeFrom="paragraph">
              <wp:posOffset>-93980</wp:posOffset>
            </wp:positionV>
            <wp:extent cx="3373120" cy="14808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73120" cy="1480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PAY VERSUS PERFORMANCE TABLE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695515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166" w:right="479" w:bottom="1440" w:gutter="0" w:footer="0" w:header="0"/>
        </w:sectPr>
      </w:pPr>
    </w:p>
    <w:bookmarkStart w:id="86" w:name="page87"/>
    <w:bookmarkEnd w:id="86"/>
    <w:p>
      <w:pPr>
        <w:ind w:left="20"/>
        <w:spacing w:after="0"/>
        <w:rPr>
          <w:sz w:val="20"/>
          <w:szCs w:val="20"/>
          <w:color w:val="auto"/>
        </w:rPr>
      </w:pPr>
      <w:r>
        <w:rPr>
          <w:rFonts w:ascii="Arial" w:cs="Arial" w:eastAsia="Arial" w:hAnsi="Arial"/>
          <w:sz w:val="41"/>
          <w:szCs w:val="41"/>
          <w:b w:val="1"/>
          <w:bCs w:val="1"/>
          <w:color w:val="auto"/>
        </w:rPr>
        <w:t>Equity Compensation Plan</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Information</w:t>
      </w:r>
    </w:p>
    <w:p>
      <w:pPr>
        <w:spacing w:after="0" w:line="200" w:lineRule="exact"/>
        <w:rPr>
          <w:sz w:val="20"/>
          <w:szCs w:val="20"/>
          <w:color w:val="auto"/>
        </w:rPr>
      </w:pPr>
    </w:p>
    <w:p>
      <w:pPr>
        <w:spacing w:after="0" w:line="381" w:lineRule="exact"/>
        <w:rPr>
          <w:sz w:val="20"/>
          <w:szCs w:val="20"/>
          <w:color w:val="auto"/>
        </w:rPr>
      </w:pPr>
    </w:p>
    <w:p>
      <w:pPr>
        <w:ind w:left="20"/>
        <w:spacing w:after="0" w:line="282" w:lineRule="auto"/>
        <w:rPr>
          <w:sz w:val="20"/>
          <w:szCs w:val="20"/>
          <w:color w:val="auto"/>
        </w:rPr>
      </w:pPr>
      <w:r>
        <w:rPr>
          <w:rFonts w:ascii="Arial" w:cs="Arial" w:eastAsia="Arial" w:hAnsi="Arial"/>
          <w:sz w:val="14"/>
          <w:szCs w:val="14"/>
          <w:color w:val="auto"/>
        </w:rPr>
        <w:t>The following table provides information as of February 1, 2026, with respect to shares of our common stock that may be issued under our Stock Incentive Plan, our sole equity compensation plan, which was approved by our stockholders. We have no equity compensation plans that were not approved by our stockholders.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740" w:type="dxa"/>
            <w:vAlign w:val="bottom"/>
            <w:shd w:val="clear" w:color="auto" w:fill="99B7C6"/>
          </w:tcPr>
          <w:p>
            <w:pPr>
              <w:spacing w:after="0"/>
              <w:rPr>
                <w:sz w:val="13"/>
                <w:szCs w:val="13"/>
                <w:color w:val="auto"/>
              </w:rPr>
            </w:pPr>
          </w:p>
        </w:tc>
        <w:tc>
          <w:tcPr>
            <w:tcW w:w="1960" w:type="dxa"/>
            <w:vAlign w:val="bottom"/>
            <w:shd w:val="clear" w:color="auto" w:fill="99B7C6"/>
          </w:tcPr>
          <w:p>
            <w:pPr>
              <w:jc w:val="right"/>
              <w:ind w:right="40"/>
              <w:spacing w:after="0"/>
              <w:rPr>
                <w:sz w:val="20"/>
                <w:szCs w:val="20"/>
                <w:color w:val="auto"/>
              </w:rPr>
            </w:pPr>
            <w:r>
              <w:rPr>
                <w:rFonts w:ascii="Arial" w:cs="Arial" w:eastAsia="Arial" w:hAnsi="Arial"/>
                <w:sz w:val="11"/>
                <w:szCs w:val="11"/>
                <w:b w:val="1"/>
                <w:bCs w:val="1"/>
                <w:color w:val="FFFFFF"/>
              </w:rPr>
              <w:t>Number of</w:t>
            </w:r>
          </w:p>
        </w:tc>
        <w:tc>
          <w:tcPr>
            <w:tcW w:w="460" w:type="dxa"/>
            <w:vAlign w:val="bottom"/>
            <w:shd w:val="clear" w:color="auto" w:fill="99B7C6"/>
          </w:tcPr>
          <w:p>
            <w:pPr>
              <w:spacing w:after="0"/>
              <w:rPr>
                <w:sz w:val="13"/>
                <w:szCs w:val="13"/>
                <w:color w:val="auto"/>
              </w:rPr>
            </w:pPr>
          </w:p>
        </w:tc>
        <w:tc>
          <w:tcPr>
            <w:tcW w:w="1780" w:type="dxa"/>
            <w:vAlign w:val="bottom"/>
            <w:shd w:val="clear" w:color="auto" w:fill="99B7C6"/>
          </w:tcPr>
          <w:p>
            <w:pPr>
              <w:jc w:val="right"/>
              <w:ind w:right="480"/>
              <w:spacing w:after="0"/>
              <w:rPr>
                <w:sz w:val="20"/>
                <w:szCs w:val="20"/>
                <w:color w:val="auto"/>
              </w:rPr>
            </w:pPr>
            <w:r>
              <w:rPr>
                <w:rFonts w:ascii="Arial" w:cs="Arial" w:eastAsia="Arial" w:hAnsi="Arial"/>
                <w:sz w:val="11"/>
                <w:szCs w:val="11"/>
                <w:b w:val="1"/>
                <w:bCs w:val="1"/>
                <w:color w:val="FFFFFF"/>
              </w:rPr>
              <w:t>Weighted</w:t>
            </w:r>
          </w:p>
        </w:tc>
        <w:tc>
          <w:tcPr>
            <w:tcW w:w="2000" w:type="dxa"/>
            <w:vAlign w:val="bottom"/>
            <w:shd w:val="clear" w:color="auto" w:fill="99B7C6"/>
          </w:tcPr>
          <w:p>
            <w:pPr>
              <w:jc w:val="right"/>
              <w:ind w:right="20"/>
              <w:spacing w:after="0"/>
              <w:rPr>
                <w:sz w:val="20"/>
                <w:szCs w:val="20"/>
                <w:color w:val="auto"/>
              </w:rPr>
            </w:pPr>
            <w:r>
              <w:rPr>
                <w:rFonts w:ascii="Arial" w:cs="Arial" w:eastAsia="Arial" w:hAnsi="Arial"/>
                <w:sz w:val="11"/>
                <w:szCs w:val="11"/>
                <w:b w:val="1"/>
                <w:bCs w:val="1"/>
                <w:color w:val="FFFFFF"/>
              </w:rPr>
              <w:t>Number of securities</w:t>
            </w:r>
          </w:p>
        </w:tc>
        <w:tc>
          <w:tcPr>
            <w:tcW w:w="0" w:type="dxa"/>
            <w:vAlign w:val="bottom"/>
          </w:tcPr>
          <w:p>
            <w:pPr>
              <w:spacing w:after="0"/>
              <w:rPr>
                <w:sz w:val="1"/>
                <w:szCs w:val="1"/>
                <w:color w:val="auto"/>
              </w:rPr>
            </w:pPr>
          </w:p>
        </w:tc>
      </w:tr>
      <w:tr>
        <w:trPr>
          <w:trHeight w:val="118"/>
        </w:trPr>
        <w:tc>
          <w:tcPr>
            <w:tcW w:w="4740" w:type="dxa"/>
            <w:vAlign w:val="bottom"/>
            <w:shd w:val="clear" w:color="auto" w:fill="99B7C6"/>
          </w:tcPr>
          <w:p>
            <w:pPr>
              <w:spacing w:after="0"/>
              <w:rPr>
                <w:sz w:val="10"/>
                <w:szCs w:val="10"/>
                <w:color w:val="auto"/>
              </w:rPr>
            </w:pPr>
          </w:p>
        </w:tc>
        <w:tc>
          <w:tcPr>
            <w:tcW w:w="1960" w:type="dxa"/>
            <w:vAlign w:val="bottom"/>
            <w:shd w:val="clear" w:color="auto" w:fill="99B7C6"/>
          </w:tcPr>
          <w:p>
            <w:pPr>
              <w:jc w:val="right"/>
              <w:ind w:right="40"/>
              <w:spacing w:after="0" w:line="118" w:lineRule="exact"/>
              <w:rPr>
                <w:sz w:val="20"/>
                <w:szCs w:val="20"/>
                <w:color w:val="auto"/>
              </w:rPr>
            </w:pPr>
            <w:r>
              <w:rPr>
                <w:rFonts w:ascii="Arial" w:cs="Arial" w:eastAsia="Arial" w:hAnsi="Arial"/>
                <w:sz w:val="11"/>
                <w:szCs w:val="11"/>
                <w:b w:val="1"/>
                <w:bCs w:val="1"/>
                <w:color w:val="FFFFFF"/>
              </w:rPr>
              <w:t>securities to</w:t>
            </w:r>
          </w:p>
        </w:tc>
        <w:tc>
          <w:tcPr>
            <w:tcW w:w="460" w:type="dxa"/>
            <w:vAlign w:val="bottom"/>
            <w:shd w:val="clear" w:color="auto" w:fill="99B7C6"/>
          </w:tcPr>
          <w:p>
            <w:pPr>
              <w:spacing w:after="0"/>
              <w:rPr>
                <w:sz w:val="10"/>
                <w:szCs w:val="10"/>
                <w:color w:val="auto"/>
              </w:rPr>
            </w:pPr>
          </w:p>
        </w:tc>
        <w:tc>
          <w:tcPr>
            <w:tcW w:w="1780" w:type="dxa"/>
            <w:vAlign w:val="bottom"/>
            <w:shd w:val="clear" w:color="auto" w:fill="99B7C6"/>
          </w:tcPr>
          <w:p>
            <w:pPr>
              <w:jc w:val="right"/>
              <w:ind w:right="480"/>
              <w:spacing w:after="0" w:line="118" w:lineRule="exact"/>
              <w:rPr>
                <w:sz w:val="20"/>
                <w:szCs w:val="20"/>
                <w:color w:val="auto"/>
              </w:rPr>
            </w:pPr>
            <w:r>
              <w:rPr>
                <w:rFonts w:ascii="Arial" w:cs="Arial" w:eastAsia="Arial" w:hAnsi="Arial"/>
                <w:sz w:val="11"/>
                <w:szCs w:val="11"/>
                <w:b w:val="1"/>
                <w:bCs w:val="1"/>
                <w:color w:val="FFFFFF"/>
              </w:rPr>
              <w:t>average</w:t>
            </w:r>
          </w:p>
        </w:tc>
        <w:tc>
          <w:tcPr>
            <w:tcW w:w="2000" w:type="dxa"/>
            <w:vAlign w:val="bottom"/>
            <w:shd w:val="clear" w:color="auto" w:fill="99B7C6"/>
          </w:tcPr>
          <w:p>
            <w:pPr>
              <w:jc w:val="right"/>
              <w:ind w:right="20"/>
              <w:spacing w:after="0" w:line="118" w:lineRule="exact"/>
              <w:rPr>
                <w:sz w:val="20"/>
                <w:szCs w:val="20"/>
                <w:color w:val="auto"/>
              </w:rPr>
            </w:pPr>
            <w:r>
              <w:rPr>
                <w:rFonts w:ascii="Arial" w:cs="Arial" w:eastAsia="Arial" w:hAnsi="Arial"/>
                <w:sz w:val="11"/>
                <w:szCs w:val="11"/>
                <w:b w:val="1"/>
                <w:bCs w:val="1"/>
                <w:color w:val="FFFFFF"/>
              </w:rPr>
              <w:t>remaining available for</w:t>
            </w:r>
          </w:p>
        </w:tc>
        <w:tc>
          <w:tcPr>
            <w:tcW w:w="0" w:type="dxa"/>
            <w:vAlign w:val="bottom"/>
          </w:tcPr>
          <w:p>
            <w:pPr>
              <w:spacing w:after="0"/>
              <w:rPr>
                <w:sz w:val="1"/>
                <w:szCs w:val="1"/>
                <w:color w:val="auto"/>
              </w:rPr>
            </w:pPr>
          </w:p>
        </w:tc>
      </w:tr>
      <w:tr>
        <w:trPr>
          <w:trHeight w:val="118"/>
        </w:trPr>
        <w:tc>
          <w:tcPr>
            <w:tcW w:w="4740" w:type="dxa"/>
            <w:vAlign w:val="bottom"/>
            <w:shd w:val="clear" w:color="auto" w:fill="99B7C6"/>
          </w:tcPr>
          <w:p>
            <w:pPr>
              <w:spacing w:after="0"/>
              <w:rPr>
                <w:sz w:val="10"/>
                <w:szCs w:val="10"/>
                <w:color w:val="auto"/>
              </w:rPr>
            </w:pPr>
          </w:p>
        </w:tc>
        <w:tc>
          <w:tcPr>
            <w:tcW w:w="1960" w:type="dxa"/>
            <w:vAlign w:val="bottom"/>
            <w:shd w:val="clear" w:color="auto" w:fill="99B7C6"/>
          </w:tcPr>
          <w:p>
            <w:pPr>
              <w:jc w:val="right"/>
              <w:ind w:right="40"/>
              <w:spacing w:after="0" w:line="118" w:lineRule="exact"/>
              <w:rPr>
                <w:sz w:val="20"/>
                <w:szCs w:val="20"/>
                <w:color w:val="auto"/>
              </w:rPr>
            </w:pPr>
            <w:r>
              <w:rPr>
                <w:rFonts w:ascii="Arial" w:cs="Arial" w:eastAsia="Arial" w:hAnsi="Arial"/>
                <w:sz w:val="11"/>
                <w:szCs w:val="11"/>
                <w:b w:val="1"/>
                <w:bCs w:val="1"/>
                <w:color w:val="FFFFFF"/>
              </w:rPr>
              <w:t>be issued upon</w:t>
            </w:r>
          </w:p>
        </w:tc>
        <w:tc>
          <w:tcPr>
            <w:tcW w:w="460" w:type="dxa"/>
            <w:vAlign w:val="bottom"/>
            <w:shd w:val="clear" w:color="auto" w:fill="99B7C6"/>
          </w:tcPr>
          <w:p>
            <w:pPr>
              <w:spacing w:after="0"/>
              <w:rPr>
                <w:sz w:val="10"/>
                <w:szCs w:val="10"/>
                <w:color w:val="auto"/>
              </w:rPr>
            </w:pPr>
          </w:p>
        </w:tc>
        <w:tc>
          <w:tcPr>
            <w:tcW w:w="1780" w:type="dxa"/>
            <w:vAlign w:val="bottom"/>
            <w:shd w:val="clear" w:color="auto" w:fill="99B7C6"/>
          </w:tcPr>
          <w:p>
            <w:pPr>
              <w:jc w:val="right"/>
              <w:ind w:right="480"/>
              <w:spacing w:after="0" w:line="118" w:lineRule="exact"/>
              <w:rPr>
                <w:sz w:val="20"/>
                <w:szCs w:val="20"/>
                <w:color w:val="auto"/>
              </w:rPr>
            </w:pPr>
            <w:r>
              <w:rPr>
                <w:rFonts w:ascii="Arial" w:cs="Arial" w:eastAsia="Arial" w:hAnsi="Arial"/>
                <w:sz w:val="11"/>
                <w:szCs w:val="11"/>
                <w:b w:val="1"/>
                <w:bCs w:val="1"/>
                <w:color w:val="FFFFFF"/>
              </w:rPr>
              <w:t>exercise price</w:t>
            </w:r>
          </w:p>
        </w:tc>
        <w:tc>
          <w:tcPr>
            <w:tcW w:w="2000" w:type="dxa"/>
            <w:vAlign w:val="bottom"/>
            <w:shd w:val="clear" w:color="auto" w:fill="99B7C6"/>
          </w:tcPr>
          <w:p>
            <w:pPr>
              <w:jc w:val="right"/>
              <w:ind w:right="20"/>
              <w:spacing w:after="0" w:line="118" w:lineRule="exact"/>
              <w:rPr>
                <w:sz w:val="20"/>
                <w:szCs w:val="20"/>
                <w:color w:val="auto"/>
              </w:rPr>
            </w:pPr>
            <w:r>
              <w:rPr>
                <w:rFonts w:ascii="Arial" w:cs="Arial" w:eastAsia="Arial" w:hAnsi="Arial"/>
                <w:sz w:val="11"/>
                <w:szCs w:val="11"/>
                <w:b w:val="1"/>
                <w:bCs w:val="1"/>
                <w:color w:val="FFFFFF"/>
              </w:rPr>
              <w:t>future issuance under</w:t>
            </w:r>
          </w:p>
        </w:tc>
        <w:tc>
          <w:tcPr>
            <w:tcW w:w="0" w:type="dxa"/>
            <w:vAlign w:val="bottom"/>
          </w:tcPr>
          <w:p>
            <w:pPr>
              <w:spacing w:after="0"/>
              <w:rPr>
                <w:sz w:val="1"/>
                <w:szCs w:val="1"/>
                <w:color w:val="auto"/>
              </w:rPr>
            </w:pPr>
          </w:p>
        </w:tc>
      </w:tr>
      <w:tr>
        <w:trPr>
          <w:trHeight w:val="118"/>
        </w:trPr>
        <w:tc>
          <w:tcPr>
            <w:tcW w:w="4740" w:type="dxa"/>
            <w:vAlign w:val="bottom"/>
            <w:shd w:val="clear" w:color="auto" w:fill="99B7C6"/>
          </w:tcPr>
          <w:p>
            <w:pPr>
              <w:spacing w:after="0"/>
              <w:rPr>
                <w:sz w:val="10"/>
                <w:szCs w:val="10"/>
                <w:color w:val="auto"/>
              </w:rPr>
            </w:pPr>
          </w:p>
        </w:tc>
        <w:tc>
          <w:tcPr>
            <w:tcW w:w="1960" w:type="dxa"/>
            <w:vAlign w:val="bottom"/>
            <w:shd w:val="clear" w:color="auto" w:fill="99B7C6"/>
          </w:tcPr>
          <w:p>
            <w:pPr>
              <w:jc w:val="right"/>
              <w:ind w:right="40"/>
              <w:spacing w:after="0" w:line="118" w:lineRule="exact"/>
              <w:rPr>
                <w:sz w:val="20"/>
                <w:szCs w:val="20"/>
                <w:color w:val="auto"/>
              </w:rPr>
            </w:pPr>
            <w:r>
              <w:rPr>
                <w:rFonts w:ascii="Arial" w:cs="Arial" w:eastAsia="Arial" w:hAnsi="Arial"/>
                <w:sz w:val="11"/>
                <w:szCs w:val="11"/>
                <w:b w:val="1"/>
                <w:bCs w:val="1"/>
                <w:color w:val="FFFFFF"/>
              </w:rPr>
              <w:t>exercise of</w:t>
            </w:r>
          </w:p>
        </w:tc>
        <w:tc>
          <w:tcPr>
            <w:tcW w:w="460" w:type="dxa"/>
            <w:vAlign w:val="bottom"/>
            <w:shd w:val="clear" w:color="auto" w:fill="99B7C6"/>
          </w:tcPr>
          <w:p>
            <w:pPr>
              <w:spacing w:after="0"/>
              <w:rPr>
                <w:sz w:val="10"/>
                <w:szCs w:val="10"/>
                <w:color w:val="auto"/>
              </w:rPr>
            </w:pPr>
          </w:p>
        </w:tc>
        <w:tc>
          <w:tcPr>
            <w:tcW w:w="1780" w:type="dxa"/>
            <w:vAlign w:val="bottom"/>
            <w:shd w:val="clear" w:color="auto" w:fill="99B7C6"/>
          </w:tcPr>
          <w:p>
            <w:pPr>
              <w:jc w:val="right"/>
              <w:ind w:right="480"/>
              <w:spacing w:after="0" w:line="118" w:lineRule="exact"/>
              <w:rPr>
                <w:sz w:val="20"/>
                <w:szCs w:val="20"/>
                <w:color w:val="auto"/>
              </w:rPr>
            </w:pPr>
            <w:r>
              <w:rPr>
                <w:rFonts w:ascii="Arial" w:cs="Arial" w:eastAsia="Arial" w:hAnsi="Arial"/>
                <w:sz w:val="11"/>
                <w:szCs w:val="11"/>
                <w:b w:val="1"/>
                <w:bCs w:val="1"/>
                <w:color w:val="FFFFFF"/>
              </w:rPr>
              <w:t>of outstanding</w:t>
            </w:r>
          </w:p>
        </w:tc>
        <w:tc>
          <w:tcPr>
            <w:tcW w:w="2000" w:type="dxa"/>
            <w:vAlign w:val="bottom"/>
            <w:shd w:val="clear" w:color="auto" w:fill="99B7C6"/>
          </w:tcPr>
          <w:p>
            <w:pPr>
              <w:jc w:val="right"/>
              <w:ind w:right="20"/>
              <w:spacing w:after="0" w:line="118" w:lineRule="exact"/>
              <w:rPr>
                <w:sz w:val="20"/>
                <w:szCs w:val="20"/>
                <w:color w:val="auto"/>
              </w:rPr>
            </w:pPr>
            <w:r>
              <w:rPr>
                <w:rFonts w:ascii="Arial" w:cs="Arial" w:eastAsia="Arial" w:hAnsi="Arial"/>
                <w:sz w:val="11"/>
                <w:szCs w:val="11"/>
                <w:b w:val="1"/>
                <w:bCs w:val="1"/>
                <w:color w:val="FFFFFF"/>
              </w:rPr>
              <w:t>equity compensation plans</w:t>
            </w:r>
          </w:p>
        </w:tc>
        <w:tc>
          <w:tcPr>
            <w:tcW w:w="0" w:type="dxa"/>
            <w:vAlign w:val="bottom"/>
          </w:tcPr>
          <w:p>
            <w:pPr>
              <w:spacing w:after="0"/>
              <w:rPr>
                <w:sz w:val="1"/>
                <w:szCs w:val="1"/>
                <w:color w:val="auto"/>
              </w:rPr>
            </w:pPr>
          </w:p>
        </w:tc>
      </w:tr>
      <w:tr>
        <w:trPr>
          <w:trHeight w:val="118"/>
        </w:trPr>
        <w:tc>
          <w:tcPr>
            <w:tcW w:w="4740" w:type="dxa"/>
            <w:vAlign w:val="bottom"/>
            <w:shd w:val="clear" w:color="auto" w:fill="99B7C6"/>
          </w:tcPr>
          <w:p>
            <w:pPr>
              <w:spacing w:after="0"/>
              <w:rPr>
                <w:sz w:val="10"/>
                <w:szCs w:val="10"/>
                <w:color w:val="auto"/>
              </w:rPr>
            </w:pPr>
          </w:p>
        </w:tc>
        <w:tc>
          <w:tcPr>
            <w:tcW w:w="1960" w:type="dxa"/>
            <w:vAlign w:val="bottom"/>
            <w:shd w:val="clear" w:color="auto" w:fill="99B7C6"/>
          </w:tcPr>
          <w:p>
            <w:pPr>
              <w:jc w:val="right"/>
              <w:ind w:right="40"/>
              <w:spacing w:after="0" w:line="118" w:lineRule="exact"/>
              <w:rPr>
                <w:sz w:val="20"/>
                <w:szCs w:val="20"/>
                <w:color w:val="auto"/>
              </w:rPr>
            </w:pPr>
            <w:r>
              <w:rPr>
                <w:rFonts w:ascii="Arial" w:cs="Arial" w:eastAsia="Arial" w:hAnsi="Arial"/>
                <w:sz w:val="11"/>
                <w:szCs w:val="11"/>
                <w:b w:val="1"/>
                <w:bCs w:val="1"/>
                <w:color w:val="FFFFFF"/>
              </w:rPr>
              <w:t>outstanding options,</w:t>
            </w:r>
          </w:p>
        </w:tc>
        <w:tc>
          <w:tcPr>
            <w:tcW w:w="460" w:type="dxa"/>
            <w:vAlign w:val="bottom"/>
            <w:shd w:val="clear" w:color="auto" w:fill="99B7C6"/>
          </w:tcPr>
          <w:p>
            <w:pPr>
              <w:spacing w:after="0"/>
              <w:rPr>
                <w:sz w:val="10"/>
                <w:szCs w:val="10"/>
                <w:color w:val="auto"/>
              </w:rPr>
            </w:pPr>
          </w:p>
        </w:tc>
        <w:tc>
          <w:tcPr>
            <w:tcW w:w="1780" w:type="dxa"/>
            <w:vAlign w:val="bottom"/>
            <w:shd w:val="clear" w:color="auto" w:fill="99B7C6"/>
          </w:tcPr>
          <w:p>
            <w:pPr>
              <w:jc w:val="right"/>
              <w:ind w:right="480"/>
              <w:spacing w:after="0" w:line="118" w:lineRule="exact"/>
              <w:rPr>
                <w:sz w:val="20"/>
                <w:szCs w:val="20"/>
                <w:color w:val="auto"/>
              </w:rPr>
            </w:pPr>
            <w:r>
              <w:rPr>
                <w:rFonts w:ascii="Arial" w:cs="Arial" w:eastAsia="Arial" w:hAnsi="Arial"/>
                <w:sz w:val="11"/>
                <w:szCs w:val="11"/>
                <w:b w:val="1"/>
                <w:bCs w:val="1"/>
                <w:color w:val="FFFFFF"/>
              </w:rPr>
              <w:t>options, warrants</w:t>
            </w:r>
          </w:p>
        </w:tc>
        <w:tc>
          <w:tcPr>
            <w:tcW w:w="2000" w:type="dxa"/>
            <w:vAlign w:val="bottom"/>
            <w:shd w:val="clear" w:color="auto" w:fill="99B7C6"/>
          </w:tcPr>
          <w:p>
            <w:pPr>
              <w:jc w:val="right"/>
              <w:ind w:right="20"/>
              <w:spacing w:after="0" w:line="118" w:lineRule="exact"/>
              <w:rPr>
                <w:sz w:val="20"/>
                <w:szCs w:val="20"/>
                <w:color w:val="auto"/>
              </w:rPr>
            </w:pPr>
            <w:r>
              <w:rPr>
                <w:rFonts w:ascii="Arial" w:cs="Arial" w:eastAsia="Arial" w:hAnsi="Arial"/>
                <w:sz w:val="11"/>
                <w:szCs w:val="11"/>
                <w:b w:val="1"/>
                <w:bCs w:val="1"/>
                <w:color w:val="FFFFFF"/>
              </w:rPr>
              <w:t>(excluding securities</w:t>
            </w:r>
          </w:p>
        </w:tc>
        <w:tc>
          <w:tcPr>
            <w:tcW w:w="0" w:type="dxa"/>
            <w:vAlign w:val="bottom"/>
          </w:tcPr>
          <w:p>
            <w:pPr>
              <w:spacing w:after="0"/>
              <w:rPr>
                <w:sz w:val="1"/>
                <w:szCs w:val="1"/>
                <w:color w:val="auto"/>
              </w:rPr>
            </w:pPr>
          </w:p>
        </w:tc>
      </w:tr>
      <w:tr>
        <w:trPr>
          <w:trHeight w:val="118"/>
        </w:trPr>
        <w:tc>
          <w:tcPr>
            <w:tcW w:w="4740" w:type="dxa"/>
            <w:vAlign w:val="bottom"/>
            <w:vMerge w:val="restart"/>
            <w:shd w:val="clear" w:color="auto" w:fill="99B7C6"/>
          </w:tcPr>
          <w:p>
            <w:pPr>
              <w:ind w:left="60"/>
              <w:spacing w:after="0"/>
              <w:rPr>
                <w:sz w:val="20"/>
                <w:szCs w:val="20"/>
                <w:color w:val="auto"/>
              </w:rPr>
            </w:pPr>
            <w:r>
              <w:rPr>
                <w:rFonts w:ascii="Arial" w:cs="Arial" w:eastAsia="Arial" w:hAnsi="Arial"/>
                <w:sz w:val="11"/>
                <w:szCs w:val="11"/>
                <w:b w:val="1"/>
                <w:bCs w:val="1"/>
                <w:color w:val="FFFFFF"/>
              </w:rPr>
              <w:t>Plan Category</w:t>
            </w:r>
          </w:p>
        </w:tc>
        <w:tc>
          <w:tcPr>
            <w:tcW w:w="1960" w:type="dxa"/>
            <w:vAlign w:val="bottom"/>
            <w:shd w:val="clear" w:color="auto" w:fill="99B7C6"/>
          </w:tcPr>
          <w:p>
            <w:pPr>
              <w:jc w:val="right"/>
              <w:ind w:right="40"/>
              <w:spacing w:after="0" w:line="118" w:lineRule="exact"/>
              <w:rPr>
                <w:sz w:val="20"/>
                <w:szCs w:val="20"/>
                <w:color w:val="auto"/>
              </w:rPr>
            </w:pPr>
            <w:r>
              <w:rPr>
                <w:rFonts w:ascii="Arial" w:cs="Arial" w:eastAsia="Arial" w:hAnsi="Arial"/>
                <w:sz w:val="11"/>
                <w:szCs w:val="11"/>
                <w:b w:val="1"/>
                <w:bCs w:val="1"/>
                <w:color w:val="FFFFFF"/>
              </w:rPr>
              <w:t>warrants, and rights</w:t>
            </w:r>
          </w:p>
        </w:tc>
        <w:tc>
          <w:tcPr>
            <w:tcW w:w="460" w:type="dxa"/>
            <w:vAlign w:val="bottom"/>
            <w:shd w:val="clear" w:color="auto" w:fill="99B7C6"/>
          </w:tcPr>
          <w:p>
            <w:pPr>
              <w:spacing w:after="0"/>
              <w:rPr>
                <w:sz w:val="10"/>
                <w:szCs w:val="10"/>
                <w:color w:val="auto"/>
              </w:rPr>
            </w:pPr>
          </w:p>
        </w:tc>
        <w:tc>
          <w:tcPr>
            <w:tcW w:w="1780" w:type="dxa"/>
            <w:vAlign w:val="bottom"/>
            <w:shd w:val="clear" w:color="auto" w:fill="99B7C6"/>
          </w:tcPr>
          <w:p>
            <w:pPr>
              <w:jc w:val="right"/>
              <w:ind w:right="480"/>
              <w:spacing w:after="0" w:line="118" w:lineRule="exact"/>
              <w:rPr>
                <w:sz w:val="20"/>
                <w:szCs w:val="20"/>
                <w:color w:val="auto"/>
              </w:rPr>
            </w:pPr>
            <w:r>
              <w:rPr>
                <w:rFonts w:ascii="Arial" w:cs="Arial" w:eastAsia="Arial" w:hAnsi="Arial"/>
                <w:sz w:val="11"/>
                <w:szCs w:val="11"/>
                <w:b w:val="1"/>
                <w:bCs w:val="1"/>
                <w:color w:val="FFFFFF"/>
              </w:rPr>
              <w:t>and rights</w:t>
            </w:r>
          </w:p>
        </w:tc>
        <w:tc>
          <w:tcPr>
            <w:tcW w:w="2000" w:type="dxa"/>
            <w:vAlign w:val="bottom"/>
            <w:shd w:val="clear" w:color="auto" w:fill="99B7C6"/>
          </w:tcPr>
          <w:p>
            <w:pPr>
              <w:jc w:val="right"/>
              <w:ind w:right="20"/>
              <w:spacing w:after="0" w:line="118" w:lineRule="exact"/>
              <w:rPr>
                <w:sz w:val="20"/>
                <w:szCs w:val="20"/>
                <w:color w:val="auto"/>
              </w:rPr>
            </w:pPr>
            <w:r>
              <w:rPr>
                <w:rFonts w:ascii="Arial" w:cs="Arial" w:eastAsia="Arial" w:hAnsi="Arial"/>
                <w:sz w:val="11"/>
                <w:szCs w:val="11"/>
                <w:b w:val="1"/>
                <w:bCs w:val="1"/>
                <w:color w:val="FFFFFF"/>
              </w:rPr>
              <w:t>reflected in Column (a))</w:t>
            </w:r>
          </w:p>
        </w:tc>
        <w:tc>
          <w:tcPr>
            <w:tcW w:w="0" w:type="dxa"/>
            <w:vAlign w:val="bottom"/>
          </w:tcPr>
          <w:p>
            <w:pPr>
              <w:spacing w:after="0"/>
              <w:rPr>
                <w:sz w:val="1"/>
                <w:szCs w:val="1"/>
                <w:color w:val="auto"/>
              </w:rPr>
            </w:pPr>
          </w:p>
        </w:tc>
      </w:tr>
      <w:tr>
        <w:trPr>
          <w:trHeight w:val="168"/>
        </w:trPr>
        <w:tc>
          <w:tcPr>
            <w:tcW w:w="4740" w:type="dxa"/>
            <w:vAlign w:val="bottom"/>
            <w:vMerge w:val="continue"/>
            <w:shd w:val="clear" w:color="auto" w:fill="99B7C6"/>
          </w:tcPr>
          <w:p>
            <w:pPr>
              <w:spacing w:after="0"/>
              <w:rPr>
                <w:sz w:val="14"/>
                <w:szCs w:val="14"/>
                <w:color w:val="auto"/>
              </w:rPr>
            </w:pPr>
          </w:p>
        </w:tc>
        <w:tc>
          <w:tcPr>
            <w:tcW w:w="1960" w:type="dxa"/>
            <w:vAlign w:val="bottom"/>
            <w:shd w:val="clear" w:color="auto" w:fill="99B7C6"/>
          </w:tcPr>
          <w:p>
            <w:pPr>
              <w:jc w:val="right"/>
              <w:spacing w:after="0"/>
              <w:rPr>
                <w:sz w:val="20"/>
                <w:szCs w:val="20"/>
                <w:color w:val="auto"/>
              </w:rPr>
            </w:pPr>
            <w:r>
              <w:rPr>
                <w:rFonts w:ascii="Arial" w:cs="Arial" w:eastAsia="Arial" w:hAnsi="Arial"/>
                <w:sz w:val="11"/>
                <w:szCs w:val="11"/>
                <w:b w:val="1"/>
                <w:bCs w:val="1"/>
                <w:color w:val="FFFFFF"/>
              </w:rPr>
              <w:t>(a)</w:t>
            </w:r>
          </w:p>
        </w:tc>
        <w:tc>
          <w:tcPr>
            <w:tcW w:w="460" w:type="dxa"/>
            <w:vAlign w:val="bottom"/>
            <w:shd w:val="clear" w:color="auto" w:fill="99B7C6"/>
          </w:tcPr>
          <w:p>
            <w:pPr>
              <w:spacing w:after="0"/>
              <w:rPr>
                <w:sz w:val="14"/>
                <w:szCs w:val="14"/>
                <w:color w:val="auto"/>
              </w:rPr>
            </w:pPr>
          </w:p>
        </w:tc>
        <w:tc>
          <w:tcPr>
            <w:tcW w:w="1780" w:type="dxa"/>
            <w:vAlign w:val="bottom"/>
            <w:shd w:val="clear" w:color="auto" w:fill="99B7C6"/>
          </w:tcPr>
          <w:p>
            <w:pPr>
              <w:jc w:val="right"/>
              <w:ind w:right="460"/>
              <w:spacing w:after="0"/>
              <w:rPr>
                <w:sz w:val="20"/>
                <w:szCs w:val="20"/>
                <w:color w:val="auto"/>
              </w:rPr>
            </w:pPr>
            <w:r>
              <w:rPr>
                <w:rFonts w:ascii="Arial" w:cs="Arial" w:eastAsia="Arial" w:hAnsi="Arial"/>
                <w:sz w:val="11"/>
                <w:szCs w:val="11"/>
                <w:b w:val="1"/>
                <w:bCs w:val="1"/>
                <w:color w:val="FFFFFF"/>
              </w:rPr>
              <w:t>(b)</w:t>
            </w:r>
          </w:p>
        </w:tc>
        <w:tc>
          <w:tcPr>
            <w:tcW w:w="2000" w:type="dxa"/>
            <w:vAlign w:val="bottom"/>
            <w:shd w:val="clear" w:color="auto" w:fill="99B7C6"/>
          </w:tcPr>
          <w:p>
            <w:pPr>
              <w:jc w:val="right"/>
              <w:ind w:right="20"/>
              <w:spacing w:after="0"/>
              <w:rPr>
                <w:sz w:val="20"/>
                <w:szCs w:val="20"/>
                <w:color w:val="auto"/>
              </w:rPr>
            </w:pPr>
            <w:r>
              <w:rPr>
                <w:rFonts w:ascii="Arial" w:cs="Arial" w:eastAsia="Arial" w:hAnsi="Arial"/>
                <w:sz w:val="11"/>
                <w:szCs w:val="11"/>
                <w:b w:val="1"/>
                <w:bCs w:val="1"/>
                <w:color w:val="FFFFFF"/>
              </w:rPr>
              <w:t>(c)</w:t>
            </w:r>
          </w:p>
        </w:tc>
        <w:tc>
          <w:tcPr>
            <w:tcW w:w="0" w:type="dxa"/>
            <w:vAlign w:val="bottom"/>
          </w:tcPr>
          <w:p>
            <w:pPr>
              <w:spacing w:after="0"/>
              <w:rPr>
                <w:sz w:val="1"/>
                <w:szCs w:val="1"/>
                <w:color w:val="auto"/>
              </w:rPr>
            </w:pPr>
          </w:p>
        </w:tc>
      </w:tr>
      <w:tr>
        <w:trPr>
          <w:trHeight w:val="274"/>
        </w:trPr>
        <w:tc>
          <w:tcPr>
            <w:tcW w:w="474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color w:val="auto"/>
              </w:rPr>
              <w:t>Equity Compensation Plans Approved by Security Holders</w:t>
            </w:r>
          </w:p>
        </w:tc>
        <w:tc>
          <w:tcPr>
            <w:tcW w:w="1960" w:type="dxa"/>
            <w:vAlign w:val="bottom"/>
            <w:tcBorders>
              <w:bottom w:val="single" w:sz="8" w:color="E9F0F3"/>
            </w:tcBorders>
            <w:shd w:val="clear" w:color="auto" w:fill="E9F0F3"/>
          </w:tcPr>
          <w:p>
            <w:pPr>
              <w:jc w:val="right"/>
              <w:spacing w:after="0"/>
              <w:rPr>
                <w:sz w:val="20"/>
                <w:szCs w:val="20"/>
                <w:color w:val="auto"/>
              </w:rPr>
            </w:pPr>
            <w:r>
              <w:rPr>
                <w:rFonts w:ascii="Arial" w:cs="Arial" w:eastAsia="Arial" w:hAnsi="Arial"/>
                <w:sz w:val="14"/>
                <w:szCs w:val="14"/>
                <w:color w:val="auto"/>
              </w:rPr>
              <w:t>2,355,997</w:t>
            </w:r>
            <w:r>
              <w:rPr>
                <w:rFonts w:ascii="Arial" w:cs="Arial" w:eastAsia="Arial" w:hAnsi="Arial"/>
                <w:sz w:val="16"/>
                <w:szCs w:val="16"/>
                <w:color w:val="auto"/>
                <w:vertAlign w:val="superscript"/>
              </w:rPr>
              <w:t>1</w:t>
            </w:r>
          </w:p>
        </w:tc>
        <w:tc>
          <w:tcPr>
            <w:tcW w:w="460" w:type="dxa"/>
            <w:vAlign w:val="bottom"/>
            <w:tcBorders>
              <w:bottom w:val="single" w:sz="8" w:color="E9F0F3"/>
            </w:tcBorders>
            <w:shd w:val="clear" w:color="auto" w:fill="E9F0F3"/>
          </w:tcPr>
          <w:p>
            <w:pPr>
              <w:jc w:val="right"/>
              <w:ind w:right="249"/>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E9F0F3"/>
            </w:tcBorders>
            <w:shd w:val="clear" w:color="auto" w:fill="E9F0F3"/>
          </w:tcPr>
          <w:p>
            <w:pPr>
              <w:jc w:val="right"/>
              <w:ind w:right="460"/>
              <w:spacing w:after="0"/>
              <w:rPr>
                <w:sz w:val="20"/>
                <w:szCs w:val="20"/>
                <w:color w:val="auto"/>
              </w:rPr>
            </w:pPr>
            <w:r>
              <w:rPr>
                <w:rFonts w:ascii="Arial" w:cs="Arial" w:eastAsia="Arial" w:hAnsi="Arial"/>
                <w:sz w:val="14"/>
                <w:szCs w:val="14"/>
                <w:color w:val="auto"/>
              </w:rPr>
              <w:t>22.75</w:t>
            </w:r>
            <w:r>
              <w:rPr>
                <w:rFonts w:ascii="Arial" w:cs="Arial" w:eastAsia="Arial" w:hAnsi="Arial"/>
                <w:sz w:val="16"/>
                <w:szCs w:val="16"/>
                <w:color w:val="auto"/>
                <w:vertAlign w:val="superscript"/>
              </w:rPr>
              <w:t>2</w:t>
            </w:r>
          </w:p>
        </w:tc>
        <w:tc>
          <w:tcPr>
            <w:tcW w:w="2000" w:type="dxa"/>
            <w:vAlign w:val="bottom"/>
            <w:tcBorders>
              <w:bottom w:val="single" w:sz="8" w:color="E9F0F3"/>
            </w:tcBorders>
            <w:shd w:val="clear" w:color="auto" w:fill="E9F0F3"/>
          </w:tcPr>
          <w:p>
            <w:pPr>
              <w:jc w:val="right"/>
              <w:spacing w:after="0"/>
              <w:rPr>
                <w:sz w:val="20"/>
                <w:szCs w:val="20"/>
                <w:color w:val="auto"/>
              </w:rPr>
            </w:pPr>
            <w:r>
              <w:rPr>
                <w:rFonts w:ascii="Arial" w:cs="Arial" w:eastAsia="Arial" w:hAnsi="Arial"/>
                <w:sz w:val="14"/>
                <w:szCs w:val="14"/>
                <w:color w:val="auto"/>
              </w:rPr>
              <w:t>3,184,927</w:t>
            </w:r>
          </w:p>
        </w:tc>
        <w:tc>
          <w:tcPr>
            <w:tcW w:w="0" w:type="dxa"/>
            <w:vAlign w:val="bottom"/>
          </w:tcPr>
          <w:p>
            <w:pPr>
              <w:spacing w:after="0"/>
              <w:rPr>
                <w:sz w:val="1"/>
                <w:szCs w:val="1"/>
                <w:color w:val="auto"/>
              </w:rPr>
            </w:pPr>
          </w:p>
        </w:tc>
      </w:tr>
      <w:tr>
        <w:trPr>
          <w:trHeight w:val="221"/>
        </w:trPr>
        <w:tc>
          <w:tcPr>
            <w:tcW w:w="4740" w:type="dxa"/>
            <w:vAlign w:val="bottom"/>
          </w:tcPr>
          <w:p>
            <w:pPr>
              <w:ind w:left="60"/>
              <w:spacing w:after="0"/>
              <w:rPr>
                <w:sz w:val="20"/>
                <w:szCs w:val="20"/>
                <w:color w:val="auto"/>
              </w:rPr>
            </w:pPr>
            <w:r>
              <w:rPr>
                <w:rFonts w:ascii="Arial" w:cs="Arial" w:eastAsia="Arial" w:hAnsi="Arial"/>
                <w:sz w:val="14"/>
                <w:szCs w:val="14"/>
                <w:color w:val="auto"/>
              </w:rPr>
              <w:t>Equity Compensation Plans Not Approved by Security Holders</w:t>
            </w:r>
          </w:p>
        </w:tc>
        <w:tc>
          <w:tcPr>
            <w:tcW w:w="19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9"/>
                <w:szCs w:val="19"/>
                <w:color w:val="auto"/>
              </w:rPr>
            </w:pPr>
          </w:p>
        </w:tc>
        <w:tc>
          <w:tcPr>
            <w:tcW w:w="1780" w:type="dxa"/>
            <w:vAlign w:val="bottom"/>
          </w:tcPr>
          <w:p>
            <w:pPr>
              <w:jc w:val="right"/>
              <w:ind w:right="460"/>
              <w:spacing w:after="0"/>
              <w:rPr>
                <w:sz w:val="20"/>
                <w:szCs w:val="20"/>
                <w:color w:val="auto"/>
              </w:rPr>
            </w:pPr>
            <w:r>
              <w:rPr>
                <w:rFonts w:ascii="Arial" w:cs="Arial" w:eastAsia="Arial" w:hAnsi="Arial"/>
                <w:sz w:val="14"/>
                <w:szCs w:val="14"/>
                <w:color w:val="auto"/>
              </w:rPr>
              <w:t>—</w:t>
            </w:r>
          </w:p>
        </w:tc>
        <w:tc>
          <w:tcPr>
            <w:tcW w:w="2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7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4740" w:type="dxa"/>
            <w:vAlign w:val="bottom"/>
            <w:shd w:val="clear" w:color="auto" w:fill="E9F0F3"/>
          </w:tcPr>
          <w:p>
            <w:pPr>
              <w:ind w:left="60"/>
              <w:spacing w:after="0"/>
              <w:rPr>
                <w:sz w:val="20"/>
                <w:szCs w:val="20"/>
                <w:color w:val="auto"/>
              </w:rPr>
            </w:pPr>
            <w:r>
              <w:rPr>
                <w:rFonts w:ascii="Arial" w:cs="Arial" w:eastAsia="Arial" w:hAnsi="Arial"/>
                <w:sz w:val="14"/>
                <w:szCs w:val="14"/>
                <w:color w:val="auto"/>
              </w:rPr>
              <w:t>Total</w:t>
            </w:r>
          </w:p>
        </w:tc>
        <w:tc>
          <w:tcPr>
            <w:tcW w:w="1960" w:type="dxa"/>
            <w:vAlign w:val="bottom"/>
            <w:shd w:val="clear" w:color="auto" w:fill="E9F0F3"/>
          </w:tcPr>
          <w:p>
            <w:pPr>
              <w:jc w:val="right"/>
              <w:spacing w:after="0"/>
              <w:rPr>
                <w:sz w:val="20"/>
                <w:szCs w:val="20"/>
                <w:color w:val="auto"/>
              </w:rPr>
            </w:pPr>
            <w:r>
              <w:rPr>
                <w:rFonts w:ascii="Arial" w:cs="Arial" w:eastAsia="Arial" w:hAnsi="Arial"/>
                <w:sz w:val="14"/>
                <w:szCs w:val="14"/>
                <w:color w:val="auto"/>
              </w:rPr>
              <w:t>2,355,997</w:t>
            </w:r>
          </w:p>
        </w:tc>
        <w:tc>
          <w:tcPr>
            <w:tcW w:w="460" w:type="dxa"/>
            <w:vAlign w:val="bottom"/>
            <w:shd w:val="clear" w:color="auto" w:fill="E9F0F3"/>
          </w:tcPr>
          <w:p>
            <w:pPr>
              <w:jc w:val="right"/>
              <w:ind w:right="249"/>
              <w:spacing w:after="0"/>
              <w:rPr>
                <w:sz w:val="20"/>
                <w:szCs w:val="20"/>
                <w:color w:val="auto"/>
              </w:rPr>
            </w:pPr>
            <w:r>
              <w:rPr>
                <w:rFonts w:ascii="Arial" w:cs="Arial" w:eastAsia="Arial" w:hAnsi="Arial"/>
                <w:sz w:val="14"/>
                <w:szCs w:val="14"/>
                <w:color w:val="auto"/>
              </w:rPr>
              <w:t>$</w:t>
            </w:r>
          </w:p>
        </w:tc>
        <w:tc>
          <w:tcPr>
            <w:tcW w:w="1780" w:type="dxa"/>
            <w:vAlign w:val="bottom"/>
            <w:shd w:val="clear" w:color="auto" w:fill="E9F0F3"/>
          </w:tcPr>
          <w:p>
            <w:pPr>
              <w:jc w:val="right"/>
              <w:ind w:right="460"/>
              <w:spacing w:after="0"/>
              <w:rPr>
                <w:sz w:val="20"/>
                <w:szCs w:val="20"/>
                <w:color w:val="auto"/>
              </w:rPr>
            </w:pPr>
            <w:r>
              <w:rPr>
                <w:rFonts w:ascii="Arial" w:cs="Arial" w:eastAsia="Arial" w:hAnsi="Arial"/>
                <w:sz w:val="14"/>
                <w:szCs w:val="14"/>
                <w:color w:val="auto"/>
              </w:rPr>
              <w:t>22.75</w:t>
            </w:r>
          </w:p>
        </w:tc>
        <w:tc>
          <w:tcPr>
            <w:tcW w:w="2000" w:type="dxa"/>
            <w:vAlign w:val="bottom"/>
            <w:shd w:val="clear" w:color="auto" w:fill="E9F0F3"/>
          </w:tcPr>
          <w:p>
            <w:pPr>
              <w:jc w:val="right"/>
              <w:spacing w:after="0"/>
              <w:rPr>
                <w:sz w:val="20"/>
                <w:szCs w:val="20"/>
                <w:color w:val="auto"/>
              </w:rPr>
            </w:pPr>
            <w:r>
              <w:rPr>
                <w:rFonts w:ascii="Arial" w:cs="Arial" w:eastAsia="Arial" w:hAnsi="Arial"/>
                <w:sz w:val="14"/>
                <w:szCs w:val="14"/>
                <w:color w:val="auto"/>
              </w:rPr>
              <w:t>3,184,927</w:t>
            </w:r>
          </w:p>
        </w:tc>
        <w:tc>
          <w:tcPr>
            <w:tcW w:w="0" w:type="dxa"/>
            <w:vAlign w:val="bottom"/>
          </w:tcPr>
          <w:p>
            <w:pPr>
              <w:spacing w:after="0"/>
              <w:rPr>
                <w:sz w:val="1"/>
                <w:szCs w:val="1"/>
                <w:color w:val="auto"/>
              </w:rPr>
            </w:pPr>
          </w:p>
        </w:tc>
      </w:tr>
      <w:tr>
        <w:trPr>
          <w:trHeight w:val="74"/>
        </w:trPr>
        <w:tc>
          <w:tcPr>
            <w:tcW w:w="4740" w:type="dxa"/>
            <w:vAlign w:val="bottom"/>
            <w:shd w:val="clear" w:color="auto" w:fill="E9F0F3"/>
          </w:tcPr>
          <w:p>
            <w:pPr>
              <w:spacing w:after="0"/>
              <w:rPr>
                <w:sz w:val="6"/>
                <w:szCs w:val="6"/>
                <w:color w:val="auto"/>
              </w:rPr>
            </w:pPr>
          </w:p>
        </w:tc>
        <w:tc>
          <w:tcPr>
            <w:tcW w:w="1960" w:type="dxa"/>
            <w:vAlign w:val="bottom"/>
            <w:shd w:val="clear" w:color="auto" w:fill="E9F0F3"/>
          </w:tcPr>
          <w:p>
            <w:pPr>
              <w:spacing w:after="0"/>
              <w:rPr>
                <w:sz w:val="6"/>
                <w:szCs w:val="6"/>
                <w:color w:val="auto"/>
              </w:rPr>
            </w:pPr>
          </w:p>
        </w:tc>
        <w:tc>
          <w:tcPr>
            <w:tcW w:w="460" w:type="dxa"/>
            <w:vAlign w:val="bottom"/>
            <w:shd w:val="clear" w:color="auto" w:fill="E9F0F3"/>
          </w:tcPr>
          <w:p>
            <w:pPr>
              <w:spacing w:after="0"/>
              <w:rPr>
                <w:sz w:val="6"/>
                <w:szCs w:val="6"/>
                <w:color w:val="auto"/>
              </w:rPr>
            </w:pPr>
          </w:p>
        </w:tc>
        <w:tc>
          <w:tcPr>
            <w:tcW w:w="1780" w:type="dxa"/>
            <w:vAlign w:val="bottom"/>
            <w:shd w:val="clear" w:color="auto" w:fill="E9F0F3"/>
          </w:tcPr>
          <w:p>
            <w:pPr>
              <w:spacing w:after="0"/>
              <w:rPr>
                <w:sz w:val="6"/>
                <w:szCs w:val="6"/>
                <w:color w:val="auto"/>
              </w:rPr>
            </w:pPr>
          </w:p>
        </w:tc>
        <w:tc>
          <w:tcPr>
            <w:tcW w:w="200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20"/>
        <w:spacing w:after="0"/>
        <w:rPr>
          <w:sz w:val="20"/>
          <w:szCs w:val="20"/>
          <w:color w:val="auto"/>
        </w:rPr>
      </w:pPr>
      <w:r>
        <w:rPr>
          <w:rFonts w:ascii="Arial" w:cs="Arial" w:eastAsia="Arial" w:hAnsi="Arial"/>
          <w:sz w:val="12"/>
          <w:szCs w:val="12"/>
          <w:color w:val="auto"/>
        </w:rPr>
        <w:t>1  Consists of (a) 1,275,875 shares of common stock underlying RSUs, (b) 668,622 shares of common stock underlying PSUs and (c) 411,500 shares of common stock underlying stock options.</w:t>
      </w:r>
    </w:p>
    <w:p>
      <w:pPr>
        <w:spacing w:after="0" w:line="50" w:lineRule="exact"/>
        <w:rPr>
          <w:sz w:val="20"/>
          <w:szCs w:val="20"/>
          <w:color w:val="auto"/>
        </w:rPr>
      </w:pPr>
    </w:p>
    <w:p>
      <w:pPr>
        <w:ind w:left="160" w:right="140" w:hanging="149"/>
        <w:spacing w:after="0" w:line="252" w:lineRule="auto"/>
        <w:tabs>
          <w:tab w:leader="none" w:pos="167" w:val="left"/>
        </w:tabs>
        <w:numPr>
          <w:ilvl w:val="0"/>
          <w:numId w:val="148"/>
        </w:numPr>
        <w:rPr>
          <w:rFonts w:ascii="Arial" w:cs="Arial" w:eastAsia="Arial" w:hAnsi="Arial"/>
          <w:sz w:val="13"/>
          <w:szCs w:val="13"/>
          <w:color w:val="auto"/>
        </w:rPr>
      </w:pPr>
      <w:r>
        <w:rPr>
          <w:rFonts w:ascii="Arial" w:cs="Arial" w:eastAsia="Arial" w:hAnsi="Arial"/>
          <w:sz w:val="13"/>
          <w:szCs w:val="13"/>
          <w:color w:val="auto"/>
        </w:rPr>
        <w:t>The weighted average exercise price does not take into account performance shares but does include RSUs. Excluding the RSUs, which have no exercise price, the weighted average exercise price is $93.27.</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 xml:space="preserve">84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94" w:right="479" w:bottom="1440" w:gutter="0" w:footer="0" w:header="0"/>
        </w:sectPr>
      </w:pPr>
    </w:p>
    <w:bookmarkStart w:id="87" w:name="page88"/>
    <w:bookmarkEnd w:id="87"/>
    <w:p>
      <w:pPr>
        <w:ind w:left="20"/>
        <w:spacing w:after="0"/>
        <w:rPr>
          <w:sz w:val="20"/>
          <w:szCs w:val="20"/>
          <w:color w:val="auto"/>
        </w:rPr>
      </w:pPr>
      <w:r>
        <w:rPr>
          <w:rFonts w:ascii="Arial" w:cs="Arial" w:eastAsia="Arial" w:hAnsi="Arial"/>
          <w:sz w:val="41"/>
          <w:szCs w:val="41"/>
          <w:b w:val="1"/>
          <w:bCs w:val="1"/>
          <w:color w:val="6D98AD"/>
        </w:rPr>
        <w:t>Proposal 3</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40"/>
          <w:szCs w:val="40"/>
          <w:b w:val="1"/>
          <w:bCs w:val="1"/>
          <w:color w:val="auto"/>
        </w:rPr>
        <w:t>Approval of Amendments to the Stock Incentive Plan</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Introduction and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120650</wp:posOffset>
            </wp:positionV>
            <wp:extent cx="7620" cy="12338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20" cy="1233805"/>
                    </a:xfrm>
                    <a:prstGeom prst="rect">
                      <a:avLst/>
                    </a:prstGeom>
                    <a:noFill/>
                  </pic:spPr>
                </pic:pic>
              </a:graphicData>
            </a:graphic>
          </wp:anchor>
        </w:drawing>
      </w:r>
    </w:p>
    <w:p>
      <w:pPr>
        <w:sectPr>
          <w:pgSz w:w="11900" w:h="16838" w:orient="portrait"/>
          <w:cols w:equalWidth="0" w:num="1">
            <w:col w:w="10960"/>
          </w:cols>
          <w:pgMar w:left="460" w:top="94" w:right="479" w:bottom="1440" w:gutter="0" w:footer="0" w:header="0"/>
        </w:sectPr>
      </w:pPr>
    </w:p>
    <w:p>
      <w:pPr>
        <w:spacing w:after="0" w:line="283" w:lineRule="exact"/>
        <w:rPr>
          <w:sz w:val="20"/>
          <w:szCs w:val="20"/>
          <w:color w:val="auto"/>
        </w:rPr>
      </w:pPr>
    </w:p>
    <w:p>
      <w:pPr>
        <w:ind w:left="20" w:right="60"/>
        <w:spacing w:after="0" w:line="252" w:lineRule="auto"/>
        <w:rPr>
          <w:sz w:val="20"/>
          <w:szCs w:val="20"/>
          <w:color w:val="auto"/>
        </w:rPr>
      </w:pPr>
      <w:r>
        <w:rPr>
          <w:rFonts w:ascii="Arial" w:cs="Arial" w:eastAsia="Arial" w:hAnsi="Arial"/>
          <w:sz w:val="14"/>
          <w:szCs w:val="14"/>
          <w:color w:val="auto"/>
        </w:rPr>
        <w:t>Our Stock Incentive Plan (referred to in this section as the “Stock Incentive Plan” or the “Plan”) was approved initially by stockholders at our 2006 Annual Meeting of Stockholders. The Plan has been amended, and its material terms have been re-approved, by stockholders several times in the past 20 years. The Plan permits the grant to our associates, directors, consultants and advisors of</w:t>
      </w:r>
    </w:p>
    <w:p>
      <w:pPr>
        <w:spacing w:after="0" w:line="2" w:lineRule="exact"/>
        <w:rPr>
          <w:sz w:val="20"/>
          <w:szCs w:val="20"/>
          <w:color w:val="auto"/>
        </w:rPr>
      </w:pPr>
    </w:p>
    <w:p>
      <w:pPr>
        <w:ind w:left="20" w:right="240" w:hanging="9"/>
        <w:spacing w:after="0" w:line="262" w:lineRule="auto"/>
        <w:tabs>
          <w:tab w:leader="none" w:pos="232" w:val="left"/>
        </w:tabs>
        <w:numPr>
          <w:ilvl w:val="0"/>
          <w:numId w:val="149"/>
        </w:numPr>
        <w:rPr>
          <w:rFonts w:ascii="Arial" w:cs="Arial" w:eastAsia="Arial" w:hAnsi="Arial"/>
          <w:sz w:val="14"/>
          <w:szCs w:val="14"/>
          <w:color w:val="auto"/>
        </w:rPr>
      </w:pPr>
      <w:r>
        <w:rPr>
          <w:rFonts w:ascii="Arial" w:cs="Arial" w:eastAsia="Arial" w:hAnsi="Arial"/>
          <w:sz w:val="14"/>
          <w:szCs w:val="14"/>
          <w:color w:val="auto"/>
        </w:rPr>
        <w:t>nonqualified stock options, (2) incentive stock options, (3) restricted stock, (4) RSUs, (5) stock appreciation rights (“SARs”), (6) performance shares and PSUs, and (7) other stock-based awards, each of which we refer to as an “award.”</w:t>
      </w:r>
    </w:p>
    <w:p>
      <w:pPr>
        <w:spacing w:after="0" w:line="82" w:lineRule="exact"/>
        <w:rPr>
          <w:sz w:val="20"/>
          <w:szCs w:val="20"/>
          <w:color w:val="auto"/>
        </w:rPr>
      </w:pPr>
    </w:p>
    <w:p>
      <w:pPr>
        <w:ind w:left="20"/>
        <w:spacing w:after="0" w:line="255" w:lineRule="auto"/>
        <w:rPr>
          <w:sz w:val="20"/>
          <w:szCs w:val="20"/>
          <w:color w:val="auto"/>
        </w:rPr>
      </w:pPr>
      <w:r>
        <w:rPr>
          <w:rFonts w:ascii="Arial" w:cs="Arial" w:eastAsia="Arial" w:hAnsi="Arial"/>
          <w:sz w:val="14"/>
          <w:szCs w:val="14"/>
          <w:color w:val="auto"/>
        </w:rPr>
        <w:t>The Board has approved the amendments to the Plan, upon the recommendation of the Compensation Committee and subject to stockholder approval, to (i) add 1,068,000 additional shares to the pool of shares of our common stock available for issuance under the Plan and (ii) modify the method of counting shares underlying full value awards for purposes of the limits on awards that may be granted under the Plan so that each share underlying awards of RSUs and PSUs (and restricted stock and other stock-based awards) granted on or after June 18, 2026 is counted as 1.72 shares (instead of 1.6 shares, which is the current counting method).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20"/>
        <w:spacing w:after="0" w:line="264" w:lineRule="auto"/>
        <w:rPr>
          <w:sz w:val="20"/>
          <w:szCs w:val="20"/>
          <w:color w:val="auto"/>
        </w:rPr>
      </w:pPr>
      <w:r>
        <w:rPr>
          <w:rFonts w:ascii="Arial" w:cs="Arial" w:eastAsia="Arial" w:hAnsi="Arial"/>
          <w:sz w:val="14"/>
          <w:szCs w:val="14"/>
          <w:color w:val="auto"/>
        </w:rPr>
        <w:t>The Board of Directors recommends a vote FOR the amendments to the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-643255</wp:posOffset>
            </wp:positionV>
            <wp:extent cx="314325" cy="2844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14325" cy="284480"/>
                    </a:xfrm>
                    <a:prstGeom prst="rect">
                      <a:avLst/>
                    </a:prstGeom>
                    <a:noFill/>
                  </pic:spPr>
                </pic:pic>
              </a:graphicData>
            </a:graphic>
          </wp:anchor>
        </w:drawing>
      </w:r>
    </w:p>
    <w:p>
      <w:pPr>
        <w:spacing w:after="0" w:line="61"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Proxies received in response to this solicitation will be voted FOR this proposal unless the stockholder specifies otherwise.</w:t>
      </w:r>
    </w:p>
    <w:p>
      <w:pPr>
        <w:spacing w:after="0" w:line="156" w:lineRule="exact"/>
        <w:rPr>
          <w:sz w:val="20"/>
          <w:szCs w:val="20"/>
          <w:color w:val="auto"/>
        </w:rPr>
      </w:pPr>
    </w:p>
    <w:p>
      <w:pPr>
        <w:sectPr>
          <w:pgSz w:w="11900" w:h="16838" w:orient="portrait"/>
          <w:cols w:equalWidth="0" w:num="2">
            <w:col w:w="8360" w:space="300"/>
            <w:col w:w="2300"/>
          </w:cols>
          <w:pgMar w:left="460" w:top="94" w:right="479" w:bottom="1440" w:gutter="0" w:footer="0" w:header="0"/>
          <w:type w:val="continuous"/>
        </w:sectPr>
      </w:pPr>
    </w:p>
    <w:p>
      <w:pPr>
        <w:ind w:left="20" w:right="120"/>
        <w:spacing w:after="0" w:line="255" w:lineRule="auto"/>
        <w:rPr>
          <w:sz w:val="20"/>
          <w:szCs w:val="20"/>
          <w:color w:val="auto"/>
        </w:rPr>
      </w:pPr>
      <w:r>
        <w:rPr>
          <w:rFonts w:ascii="Arial" w:cs="Arial" w:eastAsia="Arial" w:hAnsi="Arial"/>
          <w:sz w:val="14"/>
          <w:szCs w:val="14"/>
          <w:color w:val="auto"/>
        </w:rPr>
        <w:t>If the amendments to the plan are not approved by stockholders, it will continue as currently in effect until it expires on April 29, 2030 or such earlier date as may be determined by the Board. As of April 20, 2026, approximately 2,106,392 shares remain available to be awarded under the Plan. This remaining amount is insufficient to meet our ongoing equity compensation requirements and we are seeking a number of shares and a modification to how we count shares underlying full value awards that, together with the current reserve, we estimate would enable us to continue making grants over the next approximately two years based on estimates of our stock price and grant requirements.</w:t>
      </w:r>
    </w:p>
    <w:p>
      <w:pPr>
        <w:spacing w:after="0" w:line="110" w:lineRule="exact"/>
        <w:rPr>
          <w:sz w:val="20"/>
          <w:szCs w:val="20"/>
          <w:color w:val="auto"/>
        </w:rPr>
      </w:pPr>
    </w:p>
    <w:p>
      <w:pPr>
        <w:ind w:left="20" w:right="300"/>
        <w:spacing w:after="0" w:line="264" w:lineRule="auto"/>
        <w:rPr>
          <w:sz w:val="20"/>
          <w:szCs w:val="20"/>
          <w:color w:val="auto"/>
        </w:rPr>
      </w:pPr>
      <w:r>
        <w:rPr>
          <w:rFonts w:ascii="Arial" w:cs="Arial" w:eastAsia="Arial" w:hAnsi="Arial"/>
          <w:sz w:val="14"/>
          <w:szCs w:val="14"/>
          <w:color w:val="auto"/>
        </w:rPr>
        <w:t>We believe this would put us in line with market practices for shares reserves. Stockholder approval of the additional shares and the modification to the method of counting shares underlying full value awards under the Plan will provide us with flexibility in structuring our executive compensation arrangements going forward and give us an appropriate supply of shares for equity incentives to recruit, hire, motivate and retain the talent required to successfully execute our business plans.</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Information Regarding Burn Rate and Dilution</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Burn Rate</w:t>
      </w:r>
    </w:p>
    <w:p>
      <w:pPr>
        <w:spacing w:after="0" w:line="68" w:lineRule="exact"/>
        <w:rPr>
          <w:sz w:val="20"/>
          <w:szCs w:val="20"/>
          <w:color w:val="auto"/>
        </w:rPr>
      </w:pPr>
    </w:p>
    <w:p>
      <w:pPr>
        <w:ind w:left="20" w:right="80"/>
        <w:spacing w:after="0" w:line="282" w:lineRule="auto"/>
        <w:rPr>
          <w:sz w:val="20"/>
          <w:szCs w:val="20"/>
          <w:color w:val="auto"/>
        </w:rPr>
      </w:pPr>
      <w:r>
        <w:rPr>
          <w:rFonts w:ascii="Arial" w:cs="Arial" w:eastAsia="Arial" w:hAnsi="Arial"/>
          <w:sz w:val="14"/>
          <w:szCs w:val="14"/>
          <w:color w:val="auto"/>
        </w:rPr>
        <w:t>As detailed in the table below, our three-year average burn rate, which we define as the number of shares of our common stock subject to time-based and performance-based equity awards granted in a fiscal year divided by the weighted average shares of our common stock outstanding for that fiscal year, is 1.49%.</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700" w:type="dxa"/>
            <w:vAlign w:val="bottom"/>
            <w:shd w:val="clear" w:color="auto" w:fill="99B7C6"/>
          </w:tcPr>
          <w:p>
            <w:pPr>
              <w:spacing w:after="0"/>
              <w:rPr>
                <w:sz w:val="13"/>
                <w:szCs w:val="13"/>
                <w:color w:val="auto"/>
              </w:rPr>
            </w:pPr>
          </w:p>
        </w:tc>
        <w:tc>
          <w:tcPr>
            <w:tcW w:w="1660" w:type="dxa"/>
            <w:vAlign w:val="bottom"/>
            <w:shd w:val="clear" w:color="auto" w:fill="99B7C6"/>
          </w:tcPr>
          <w:p>
            <w:pPr>
              <w:spacing w:after="0"/>
              <w:rPr>
                <w:sz w:val="13"/>
                <w:szCs w:val="13"/>
                <w:color w:val="auto"/>
              </w:rPr>
            </w:pPr>
          </w:p>
        </w:tc>
        <w:tc>
          <w:tcPr>
            <w:tcW w:w="1460" w:type="dxa"/>
            <w:vAlign w:val="bottom"/>
            <w:vMerge w:val="restart"/>
            <w:shd w:val="clear" w:color="auto" w:fill="99B7C6"/>
          </w:tcPr>
          <w:p>
            <w:pPr>
              <w:jc w:val="right"/>
              <w:ind w:right="239"/>
              <w:spacing w:after="0"/>
              <w:rPr>
                <w:sz w:val="20"/>
                <w:szCs w:val="20"/>
                <w:color w:val="auto"/>
              </w:rPr>
            </w:pPr>
            <w:r>
              <w:rPr>
                <w:rFonts w:ascii="Arial" w:cs="Arial" w:eastAsia="Arial" w:hAnsi="Arial"/>
                <w:sz w:val="11"/>
                <w:szCs w:val="11"/>
                <w:b w:val="1"/>
                <w:bCs w:val="1"/>
                <w:color w:val="FFFFFF"/>
              </w:rPr>
              <w:t>Total Number of</w:t>
            </w:r>
          </w:p>
        </w:tc>
        <w:tc>
          <w:tcPr>
            <w:tcW w:w="1420" w:type="dxa"/>
            <w:vAlign w:val="bottom"/>
            <w:shd w:val="clear" w:color="auto" w:fill="99B7C6"/>
          </w:tcPr>
          <w:p>
            <w:pPr>
              <w:jc w:val="right"/>
              <w:ind w:right="240"/>
              <w:spacing w:after="0"/>
              <w:rPr>
                <w:sz w:val="20"/>
                <w:szCs w:val="20"/>
                <w:color w:val="auto"/>
              </w:rPr>
            </w:pPr>
            <w:r>
              <w:rPr>
                <w:rFonts w:ascii="Arial" w:cs="Arial" w:eastAsia="Arial" w:hAnsi="Arial"/>
                <w:sz w:val="11"/>
                <w:szCs w:val="11"/>
                <w:b w:val="1"/>
                <w:bCs w:val="1"/>
                <w:color w:val="FFFFFF"/>
              </w:rPr>
              <w:t>Total Number of</w:t>
            </w:r>
          </w:p>
        </w:tc>
        <w:tc>
          <w:tcPr>
            <w:tcW w:w="1380" w:type="dxa"/>
            <w:vAlign w:val="bottom"/>
            <w:shd w:val="clear" w:color="auto" w:fill="99B7C6"/>
          </w:tcPr>
          <w:p>
            <w:pPr>
              <w:jc w:val="right"/>
              <w:ind w:right="240"/>
              <w:spacing w:after="0"/>
              <w:rPr>
                <w:sz w:val="20"/>
                <w:szCs w:val="20"/>
                <w:color w:val="auto"/>
              </w:rPr>
            </w:pPr>
            <w:r>
              <w:rPr>
                <w:rFonts w:ascii="Arial" w:cs="Arial" w:eastAsia="Arial" w:hAnsi="Arial"/>
                <w:sz w:val="11"/>
                <w:szCs w:val="11"/>
                <w:b w:val="1"/>
                <w:bCs w:val="1"/>
                <w:color w:val="FFFFFF"/>
              </w:rPr>
              <w:t>Weighted</w:t>
            </w:r>
          </w:p>
        </w:tc>
        <w:tc>
          <w:tcPr>
            <w:tcW w:w="1140" w:type="dxa"/>
            <w:vAlign w:val="bottom"/>
            <w:shd w:val="clear" w:color="auto" w:fill="99B7C6"/>
          </w:tcPr>
          <w:p>
            <w:pPr>
              <w:spacing w:after="0"/>
              <w:rPr>
                <w:sz w:val="13"/>
                <w:szCs w:val="13"/>
                <w:color w:val="auto"/>
              </w:rPr>
            </w:pPr>
          </w:p>
        </w:tc>
        <w:tc>
          <w:tcPr>
            <w:tcW w:w="1180" w:type="dxa"/>
            <w:vAlign w:val="bottom"/>
            <w:vMerge w:val="restart"/>
            <w:shd w:val="clear" w:color="auto" w:fill="99B7C6"/>
          </w:tcPr>
          <w:p>
            <w:pPr>
              <w:jc w:val="right"/>
              <w:spacing w:after="0"/>
              <w:rPr>
                <w:sz w:val="20"/>
                <w:szCs w:val="20"/>
                <w:color w:val="auto"/>
              </w:rPr>
            </w:pPr>
            <w:r>
              <w:rPr>
                <w:rFonts w:ascii="Arial" w:cs="Arial" w:eastAsia="Arial" w:hAnsi="Arial"/>
                <w:sz w:val="11"/>
                <w:szCs w:val="11"/>
                <w:b w:val="1"/>
                <w:bCs w:val="1"/>
                <w:color w:val="FFFFFF"/>
              </w:rPr>
              <w:t>Total Number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700" w:type="dxa"/>
            <w:vAlign w:val="bottom"/>
            <w:shd w:val="clear" w:color="auto" w:fill="99B7C6"/>
          </w:tcPr>
          <w:p>
            <w:pPr>
              <w:spacing w:after="0"/>
              <w:rPr>
                <w:sz w:val="10"/>
                <w:szCs w:val="10"/>
                <w:color w:val="auto"/>
              </w:rPr>
            </w:pPr>
          </w:p>
        </w:tc>
        <w:tc>
          <w:tcPr>
            <w:tcW w:w="1660" w:type="dxa"/>
            <w:vAlign w:val="bottom"/>
            <w:shd w:val="clear" w:color="auto" w:fill="99B7C6"/>
          </w:tcPr>
          <w:p>
            <w:pPr>
              <w:spacing w:after="0"/>
              <w:rPr>
                <w:sz w:val="10"/>
                <w:szCs w:val="10"/>
                <w:color w:val="auto"/>
              </w:rPr>
            </w:pPr>
          </w:p>
        </w:tc>
        <w:tc>
          <w:tcPr>
            <w:tcW w:w="1460" w:type="dxa"/>
            <w:vAlign w:val="bottom"/>
            <w:vMerge w:val="continue"/>
            <w:shd w:val="clear" w:color="auto" w:fill="99B7C6"/>
          </w:tcPr>
          <w:p>
            <w:pPr>
              <w:spacing w:after="0"/>
              <w:rPr>
                <w:sz w:val="10"/>
                <w:szCs w:val="10"/>
                <w:color w:val="auto"/>
              </w:rPr>
            </w:pPr>
          </w:p>
        </w:tc>
        <w:tc>
          <w:tcPr>
            <w:tcW w:w="1420" w:type="dxa"/>
            <w:vAlign w:val="bottom"/>
            <w:shd w:val="clear" w:color="auto" w:fill="99B7C6"/>
          </w:tcPr>
          <w:p>
            <w:pPr>
              <w:jc w:val="right"/>
              <w:ind w:right="240"/>
              <w:spacing w:after="0" w:line="118" w:lineRule="exact"/>
              <w:rPr>
                <w:sz w:val="20"/>
                <w:szCs w:val="20"/>
                <w:color w:val="auto"/>
              </w:rPr>
            </w:pPr>
            <w:r>
              <w:rPr>
                <w:rFonts w:ascii="Arial" w:cs="Arial" w:eastAsia="Arial" w:hAnsi="Arial"/>
                <w:sz w:val="11"/>
                <w:szCs w:val="11"/>
                <w:b w:val="1"/>
                <w:bCs w:val="1"/>
                <w:color w:val="FFFFFF"/>
              </w:rPr>
              <w:t>Performance-</w:t>
            </w:r>
          </w:p>
        </w:tc>
        <w:tc>
          <w:tcPr>
            <w:tcW w:w="1380" w:type="dxa"/>
            <w:vAlign w:val="bottom"/>
            <w:shd w:val="clear" w:color="auto" w:fill="99B7C6"/>
          </w:tcPr>
          <w:p>
            <w:pPr>
              <w:jc w:val="right"/>
              <w:ind w:right="240"/>
              <w:spacing w:after="0" w:line="118" w:lineRule="exact"/>
              <w:rPr>
                <w:sz w:val="20"/>
                <w:szCs w:val="20"/>
                <w:color w:val="auto"/>
              </w:rPr>
            </w:pPr>
            <w:r>
              <w:rPr>
                <w:rFonts w:ascii="Arial" w:cs="Arial" w:eastAsia="Arial" w:hAnsi="Arial"/>
                <w:sz w:val="11"/>
                <w:szCs w:val="11"/>
                <w:b w:val="1"/>
                <w:bCs w:val="1"/>
                <w:color w:val="FFFFFF"/>
              </w:rPr>
              <w:t>Average Basic</w:t>
            </w:r>
          </w:p>
        </w:tc>
        <w:tc>
          <w:tcPr>
            <w:tcW w:w="1140" w:type="dxa"/>
            <w:vAlign w:val="bottom"/>
            <w:shd w:val="clear" w:color="auto" w:fill="99B7C6"/>
          </w:tcPr>
          <w:p>
            <w:pPr>
              <w:spacing w:after="0"/>
              <w:rPr>
                <w:sz w:val="10"/>
                <w:szCs w:val="10"/>
                <w:color w:val="auto"/>
              </w:rPr>
            </w:pPr>
          </w:p>
        </w:tc>
        <w:tc>
          <w:tcPr>
            <w:tcW w:w="1180" w:type="dxa"/>
            <w:vAlign w:val="bottom"/>
            <w:vMerge w:val="continue"/>
            <w:shd w:val="clear" w:color="auto" w:fill="99B7C6"/>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700" w:type="dxa"/>
            <w:vAlign w:val="bottom"/>
            <w:shd w:val="clear" w:color="auto" w:fill="99B7C6"/>
          </w:tcPr>
          <w:p>
            <w:pPr>
              <w:spacing w:after="0"/>
              <w:rPr>
                <w:sz w:val="10"/>
                <w:szCs w:val="10"/>
                <w:color w:val="auto"/>
              </w:rPr>
            </w:pPr>
          </w:p>
        </w:tc>
        <w:tc>
          <w:tcPr>
            <w:tcW w:w="1660" w:type="dxa"/>
            <w:vAlign w:val="bottom"/>
            <w:vMerge w:val="restart"/>
            <w:shd w:val="clear" w:color="auto" w:fill="99B7C6"/>
          </w:tcPr>
          <w:p>
            <w:pPr>
              <w:jc w:val="right"/>
              <w:ind w:right="237"/>
              <w:spacing w:after="0"/>
              <w:rPr>
                <w:sz w:val="20"/>
                <w:szCs w:val="20"/>
                <w:color w:val="auto"/>
              </w:rPr>
            </w:pPr>
            <w:r>
              <w:rPr>
                <w:rFonts w:ascii="Arial" w:cs="Arial" w:eastAsia="Arial" w:hAnsi="Arial"/>
                <w:sz w:val="11"/>
                <w:szCs w:val="11"/>
                <w:b w:val="1"/>
                <w:bCs w:val="1"/>
                <w:color w:val="FFFFFF"/>
              </w:rPr>
              <w:t>Stock Options</w:t>
            </w:r>
          </w:p>
        </w:tc>
        <w:tc>
          <w:tcPr>
            <w:tcW w:w="1460" w:type="dxa"/>
            <w:vAlign w:val="bottom"/>
            <w:shd w:val="clear" w:color="auto" w:fill="99B7C6"/>
          </w:tcPr>
          <w:p>
            <w:pPr>
              <w:jc w:val="right"/>
              <w:ind w:right="239"/>
              <w:spacing w:after="0" w:line="118" w:lineRule="exact"/>
              <w:rPr>
                <w:sz w:val="20"/>
                <w:szCs w:val="20"/>
                <w:color w:val="auto"/>
              </w:rPr>
            </w:pPr>
            <w:r>
              <w:rPr>
                <w:rFonts w:ascii="Arial" w:cs="Arial" w:eastAsia="Arial" w:hAnsi="Arial"/>
                <w:sz w:val="11"/>
                <w:szCs w:val="11"/>
                <w:b w:val="1"/>
                <w:bCs w:val="1"/>
                <w:color w:val="FFFFFF"/>
              </w:rPr>
              <w:t>Time-Based Full</w:t>
            </w:r>
          </w:p>
        </w:tc>
        <w:tc>
          <w:tcPr>
            <w:tcW w:w="1420" w:type="dxa"/>
            <w:vAlign w:val="bottom"/>
            <w:shd w:val="clear" w:color="auto" w:fill="99B7C6"/>
          </w:tcPr>
          <w:p>
            <w:pPr>
              <w:jc w:val="right"/>
              <w:ind w:right="240"/>
              <w:spacing w:after="0" w:line="118" w:lineRule="exact"/>
              <w:rPr>
                <w:sz w:val="20"/>
                <w:szCs w:val="20"/>
                <w:color w:val="auto"/>
              </w:rPr>
            </w:pPr>
            <w:r>
              <w:rPr>
                <w:rFonts w:ascii="Arial" w:cs="Arial" w:eastAsia="Arial" w:hAnsi="Arial"/>
                <w:sz w:val="11"/>
                <w:szCs w:val="11"/>
                <w:b w:val="1"/>
                <w:bCs w:val="1"/>
                <w:color w:val="FFFFFF"/>
              </w:rPr>
              <w:t>Based</w:t>
            </w:r>
          </w:p>
        </w:tc>
        <w:tc>
          <w:tcPr>
            <w:tcW w:w="1380" w:type="dxa"/>
            <w:vAlign w:val="bottom"/>
            <w:shd w:val="clear" w:color="auto" w:fill="99B7C6"/>
          </w:tcPr>
          <w:p>
            <w:pPr>
              <w:jc w:val="right"/>
              <w:ind w:right="240"/>
              <w:spacing w:after="0" w:line="118" w:lineRule="exact"/>
              <w:rPr>
                <w:sz w:val="20"/>
                <w:szCs w:val="20"/>
                <w:color w:val="auto"/>
              </w:rPr>
            </w:pPr>
            <w:r>
              <w:rPr>
                <w:rFonts w:ascii="Arial" w:cs="Arial" w:eastAsia="Arial" w:hAnsi="Arial"/>
                <w:sz w:val="11"/>
                <w:szCs w:val="11"/>
                <w:b w:val="1"/>
                <w:bCs w:val="1"/>
                <w:color w:val="FFFFFF"/>
              </w:rPr>
              <w:t>Shares of</w:t>
            </w:r>
          </w:p>
        </w:tc>
        <w:tc>
          <w:tcPr>
            <w:tcW w:w="1140" w:type="dxa"/>
            <w:vAlign w:val="bottom"/>
            <w:vMerge w:val="restart"/>
            <w:shd w:val="clear" w:color="auto" w:fill="99B7C6"/>
          </w:tcPr>
          <w:p>
            <w:pPr>
              <w:ind w:left="340"/>
              <w:spacing w:after="0"/>
              <w:rPr>
                <w:sz w:val="20"/>
                <w:szCs w:val="20"/>
                <w:color w:val="auto"/>
              </w:rPr>
            </w:pPr>
            <w:r>
              <w:rPr>
                <w:rFonts w:ascii="Arial" w:cs="Arial" w:eastAsia="Arial" w:hAnsi="Arial"/>
                <w:sz w:val="11"/>
                <w:szCs w:val="11"/>
                <w:b w:val="1"/>
                <w:bCs w:val="1"/>
                <w:color w:val="FFFFFF"/>
              </w:rPr>
              <w:t>One-Year</w:t>
            </w:r>
          </w:p>
        </w:tc>
        <w:tc>
          <w:tcPr>
            <w:tcW w:w="1180" w:type="dxa"/>
            <w:vAlign w:val="bottom"/>
            <w:shd w:val="clear" w:color="auto" w:fill="99B7C6"/>
          </w:tcPr>
          <w:p>
            <w:pPr>
              <w:jc w:val="right"/>
              <w:spacing w:after="0" w:line="118" w:lineRule="exact"/>
              <w:rPr>
                <w:sz w:val="20"/>
                <w:szCs w:val="20"/>
                <w:color w:val="auto"/>
              </w:rPr>
            </w:pPr>
            <w:r>
              <w:rPr>
                <w:rFonts w:ascii="Arial" w:cs="Arial" w:eastAsia="Arial" w:hAnsi="Arial"/>
                <w:sz w:val="11"/>
                <w:szCs w:val="11"/>
                <w:b w:val="1"/>
                <w:bCs w:val="1"/>
                <w:color w:val="FFFFFF"/>
              </w:rPr>
              <w:t>Performance-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700" w:type="dxa"/>
            <w:vAlign w:val="bottom"/>
            <w:shd w:val="clear" w:color="auto" w:fill="99B7C6"/>
          </w:tcPr>
          <w:p>
            <w:pPr>
              <w:spacing w:after="0"/>
              <w:rPr>
                <w:sz w:val="10"/>
                <w:szCs w:val="10"/>
                <w:color w:val="auto"/>
              </w:rPr>
            </w:pPr>
          </w:p>
        </w:tc>
        <w:tc>
          <w:tcPr>
            <w:tcW w:w="1660" w:type="dxa"/>
            <w:vAlign w:val="bottom"/>
            <w:vMerge w:val="continue"/>
            <w:shd w:val="clear" w:color="auto" w:fill="99B7C6"/>
          </w:tcPr>
          <w:p>
            <w:pPr>
              <w:spacing w:after="0"/>
              <w:rPr>
                <w:sz w:val="10"/>
                <w:szCs w:val="10"/>
                <w:color w:val="auto"/>
              </w:rPr>
            </w:pPr>
          </w:p>
        </w:tc>
        <w:tc>
          <w:tcPr>
            <w:tcW w:w="1460" w:type="dxa"/>
            <w:vAlign w:val="bottom"/>
            <w:shd w:val="clear" w:color="auto" w:fill="99B7C6"/>
          </w:tcPr>
          <w:p>
            <w:pPr>
              <w:jc w:val="right"/>
              <w:ind w:right="279"/>
              <w:spacing w:after="0" w:line="118" w:lineRule="exact"/>
              <w:rPr>
                <w:sz w:val="20"/>
                <w:szCs w:val="20"/>
                <w:color w:val="auto"/>
              </w:rPr>
            </w:pPr>
            <w:r>
              <w:rPr>
                <w:rFonts w:ascii="Arial" w:cs="Arial" w:eastAsia="Arial" w:hAnsi="Arial"/>
                <w:sz w:val="11"/>
                <w:szCs w:val="11"/>
                <w:b w:val="1"/>
                <w:bCs w:val="1"/>
                <w:color w:val="FFFFFF"/>
              </w:rPr>
              <w:t>Value Awards</w:t>
            </w:r>
          </w:p>
        </w:tc>
        <w:tc>
          <w:tcPr>
            <w:tcW w:w="1420" w:type="dxa"/>
            <w:vAlign w:val="bottom"/>
            <w:shd w:val="clear" w:color="auto" w:fill="99B7C6"/>
          </w:tcPr>
          <w:p>
            <w:pPr>
              <w:jc w:val="right"/>
              <w:ind w:right="240"/>
              <w:spacing w:after="0" w:line="118" w:lineRule="exact"/>
              <w:rPr>
                <w:sz w:val="20"/>
                <w:szCs w:val="20"/>
                <w:color w:val="auto"/>
              </w:rPr>
            </w:pPr>
            <w:r>
              <w:rPr>
                <w:rFonts w:ascii="Arial" w:cs="Arial" w:eastAsia="Arial" w:hAnsi="Arial"/>
                <w:sz w:val="11"/>
                <w:szCs w:val="11"/>
                <w:b w:val="1"/>
                <w:bCs w:val="1"/>
                <w:color w:val="FFFFFF"/>
              </w:rPr>
              <w:t>FVA Granted at</w:t>
            </w:r>
          </w:p>
        </w:tc>
        <w:tc>
          <w:tcPr>
            <w:tcW w:w="1380" w:type="dxa"/>
            <w:vAlign w:val="bottom"/>
            <w:shd w:val="clear" w:color="auto" w:fill="99B7C6"/>
          </w:tcPr>
          <w:p>
            <w:pPr>
              <w:jc w:val="right"/>
              <w:ind w:right="240"/>
              <w:spacing w:after="0" w:line="118" w:lineRule="exact"/>
              <w:rPr>
                <w:sz w:val="20"/>
                <w:szCs w:val="20"/>
                <w:color w:val="auto"/>
              </w:rPr>
            </w:pPr>
            <w:r>
              <w:rPr>
                <w:rFonts w:ascii="Arial" w:cs="Arial" w:eastAsia="Arial" w:hAnsi="Arial"/>
                <w:sz w:val="11"/>
                <w:szCs w:val="11"/>
                <w:b w:val="1"/>
                <w:bCs w:val="1"/>
                <w:color w:val="FFFFFF"/>
              </w:rPr>
              <w:t>Common Stock</w:t>
            </w:r>
          </w:p>
        </w:tc>
        <w:tc>
          <w:tcPr>
            <w:tcW w:w="1140" w:type="dxa"/>
            <w:vAlign w:val="bottom"/>
            <w:vMerge w:val="continue"/>
            <w:shd w:val="clear" w:color="auto" w:fill="99B7C6"/>
          </w:tcPr>
          <w:p>
            <w:pPr>
              <w:spacing w:after="0"/>
              <w:rPr>
                <w:sz w:val="10"/>
                <w:szCs w:val="10"/>
                <w:color w:val="auto"/>
              </w:rPr>
            </w:pPr>
          </w:p>
        </w:tc>
        <w:tc>
          <w:tcPr>
            <w:tcW w:w="1180" w:type="dxa"/>
            <w:vAlign w:val="bottom"/>
            <w:shd w:val="clear" w:color="auto" w:fill="99B7C6"/>
          </w:tcPr>
          <w:p>
            <w:pPr>
              <w:jc w:val="right"/>
              <w:spacing w:after="0" w:line="118" w:lineRule="exact"/>
              <w:rPr>
                <w:sz w:val="20"/>
                <w:szCs w:val="20"/>
                <w:color w:val="auto"/>
              </w:rPr>
            </w:pPr>
            <w:r>
              <w:rPr>
                <w:rFonts w:ascii="Arial" w:cs="Arial" w:eastAsia="Arial" w:hAnsi="Arial"/>
                <w:sz w:val="11"/>
                <w:szCs w:val="11"/>
                <w:b w:val="1"/>
                <w:bCs w:val="1"/>
                <w:color w:val="FFFFFF"/>
              </w:rPr>
              <w:t>Based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700" w:type="dxa"/>
            <w:vAlign w:val="bottom"/>
            <w:vMerge w:val="restart"/>
            <w:shd w:val="clear" w:color="auto" w:fill="99B7C6"/>
          </w:tcPr>
          <w:p>
            <w:pPr>
              <w:ind w:left="60"/>
              <w:spacing w:after="0"/>
              <w:rPr>
                <w:sz w:val="20"/>
                <w:szCs w:val="20"/>
                <w:color w:val="auto"/>
              </w:rPr>
            </w:pPr>
            <w:r>
              <w:rPr>
                <w:rFonts w:ascii="Arial" w:cs="Arial" w:eastAsia="Arial" w:hAnsi="Arial"/>
                <w:sz w:val="11"/>
                <w:szCs w:val="11"/>
                <w:b w:val="1"/>
                <w:bCs w:val="1"/>
                <w:color w:val="FFFFFF"/>
              </w:rPr>
              <w:t>Fiscal Year</w:t>
            </w:r>
          </w:p>
        </w:tc>
        <w:tc>
          <w:tcPr>
            <w:tcW w:w="1660" w:type="dxa"/>
            <w:vAlign w:val="bottom"/>
            <w:shd w:val="clear" w:color="auto" w:fill="99B7C6"/>
          </w:tcPr>
          <w:p>
            <w:pPr>
              <w:jc w:val="right"/>
              <w:ind w:right="237"/>
              <w:spacing w:after="0" w:line="118" w:lineRule="exact"/>
              <w:rPr>
                <w:sz w:val="20"/>
                <w:szCs w:val="20"/>
                <w:color w:val="auto"/>
              </w:rPr>
            </w:pPr>
            <w:r>
              <w:rPr>
                <w:rFonts w:ascii="Arial" w:cs="Arial" w:eastAsia="Arial" w:hAnsi="Arial"/>
                <w:sz w:val="11"/>
                <w:szCs w:val="11"/>
                <w:b w:val="1"/>
                <w:bCs w:val="1"/>
                <w:color w:val="FFFFFF"/>
              </w:rPr>
              <w:t>Granted</w:t>
            </w:r>
          </w:p>
        </w:tc>
        <w:tc>
          <w:tcPr>
            <w:tcW w:w="1460" w:type="dxa"/>
            <w:vAlign w:val="bottom"/>
            <w:shd w:val="clear" w:color="auto" w:fill="99B7C6"/>
          </w:tcPr>
          <w:p>
            <w:pPr>
              <w:jc w:val="right"/>
              <w:ind w:right="239"/>
              <w:spacing w:after="0" w:line="118" w:lineRule="exact"/>
              <w:rPr>
                <w:sz w:val="20"/>
                <w:szCs w:val="20"/>
                <w:color w:val="auto"/>
              </w:rPr>
            </w:pPr>
            <w:r>
              <w:rPr>
                <w:rFonts w:ascii="Arial" w:cs="Arial" w:eastAsia="Arial" w:hAnsi="Arial"/>
                <w:sz w:val="11"/>
                <w:szCs w:val="11"/>
                <w:b w:val="1"/>
                <w:bCs w:val="1"/>
                <w:color w:val="FFFFFF"/>
              </w:rPr>
              <w:t>(FVA) Granted</w:t>
            </w:r>
          </w:p>
        </w:tc>
        <w:tc>
          <w:tcPr>
            <w:tcW w:w="1420" w:type="dxa"/>
            <w:vAlign w:val="bottom"/>
            <w:shd w:val="clear" w:color="auto" w:fill="99B7C6"/>
          </w:tcPr>
          <w:p>
            <w:pPr>
              <w:jc w:val="right"/>
              <w:ind w:right="240"/>
              <w:spacing w:after="0" w:line="118" w:lineRule="exact"/>
              <w:rPr>
                <w:sz w:val="20"/>
                <w:szCs w:val="20"/>
                <w:color w:val="auto"/>
              </w:rPr>
            </w:pPr>
            <w:r>
              <w:rPr>
                <w:rFonts w:ascii="Arial" w:cs="Arial" w:eastAsia="Arial" w:hAnsi="Arial"/>
                <w:sz w:val="11"/>
                <w:szCs w:val="11"/>
                <w:b w:val="1"/>
                <w:bCs w:val="1"/>
                <w:color w:val="FFFFFF"/>
              </w:rPr>
              <w:t>Target</w:t>
            </w:r>
          </w:p>
        </w:tc>
        <w:tc>
          <w:tcPr>
            <w:tcW w:w="1380" w:type="dxa"/>
            <w:vAlign w:val="bottom"/>
            <w:shd w:val="clear" w:color="auto" w:fill="99B7C6"/>
          </w:tcPr>
          <w:p>
            <w:pPr>
              <w:jc w:val="right"/>
              <w:ind w:right="240"/>
              <w:spacing w:after="0" w:line="118" w:lineRule="exact"/>
              <w:rPr>
                <w:sz w:val="20"/>
                <w:szCs w:val="20"/>
                <w:color w:val="auto"/>
              </w:rPr>
            </w:pPr>
            <w:r>
              <w:rPr>
                <w:rFonts w:ascii="Arial" w:cs="Arial" w:eastAsia="Arial" w:hAnsi="Arial"/>
                <w:sz w:val="11"/>
                <w:szCs w:val="11"/>
                <w:b w:val="1"/>
                <w:bCs w:val="1"/>
                <w:color w:val="FFFFFF"/>
              </w:rPr>
              <w:t>Outstanding</w:t>
            </w:r>
          </w:p>
        </w:tc>
        <w:tc>
          <w:tcPr>
            <w:tcW w:w="1140" w:type="dxa"/>
            <w:vAlign w:val="bottom"/>
            <w:shd w:val="clear" w:color="auto" w:fill="99B7C6"/>
          </w:tcPr>
          <w:p>
            <w:pPr>
              <w:jc w:val="center"/>
              <w:spacing w:after="0" w:line="118" w:lineRule="exact"/>
              <w:rPr>
                <w:sz w:val="20"/>
                <w:szCs w:val="20"/>
                <w:color w:val="auto"/>
              </w:rPr>
            </w:pPr>
            <w:r>
              <w:rPr>
                <w:rFonts w:ascii="Arial" w:cs="Arial" w:eastAsia="Arial" w:hAnsi="Arial"/>
                <w:sz w:val="11"/>
                <w:szCs w:val="11"/>
                <w:b w:val="1"/>
                <w:bCs w:val="1"/>
                <w:color w:val="FFFFFF"/>
                <w:w w:val="98"/>
              </w:rPr>
              <w:t>Burn Rate</w:t>
            </w:r>
          </w:p>
        </w:tc>
        <w:tc>
          <w:tcPr>
            <w:tcW w:w="1180" w:type="dxa"/>
            <w:vAlign w:val="bottom"/>
            <w:shd w:val="clear" w:color="auto" w:fill="99B7C6"/>
          </w:tcPr>
          <w:p>
            <w:pPr>
              <w:jc w:val="right"/>
              <w:spacing w:after="0" w:line="118" w:lineRule="exact"/>
              <w:rPr>
                <w:sz w:val="20"/>
                <w:szCs w:val="20"/>
                <w:color w:val="auto"/>
              </w:rPr>
            </w:pPr>
            <w:r>
              <w:rPr>
                <w:rFonts w:ascii="Arial" w:cs="Arial" w:eastAsia="Arial" w:hAnsi="Arial"/>
                <w:sz w:val="11"/>
                <w:szCs w:val="11"/>
                <w:b w:val="1"/>
                <w:bCs w:val="1"/>
                <w:color w:val="FFFFFF"/>
              </w:rPr>
              <w:t>FVA Granted at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700" w:type="dxa"/>
            <w:vAlign w:val="bottom"/>
            <w:vMerge w:val="continue"/>
            <w:shd w:val="clear" w:color="auto" w:fill="99B7C6"/>
          </w:tcPr>
          <w:p>
            <w:pPr>
              <w:spacing w:after="0"/>
              <w:rPr>
                <w:sz w:val="14"/>
                <w:szCs w:val="14"/>
                <w:color w:val="auto"/>
              </w:rPr>
            </w:pPr>
          </w:p>
        </w:tc>
        <w:tc>
          <w:tcPr>
            <w:tcW w:w="1660" w:type="dxa"/>
            <w:vAlign w:val="bottom"/>
            <w:shd w:val="clear" w:color="auto" w:fill="99B7C6"/>
          </w:tcPr>
          <w:p>
            <w:pPr>
              <w:jc w:val="right"/>
              <w:ind w:right="237"/>
              <w:spacing w:after="0"/>
              <w:rPr>
                <w:sz w:val="20"/>
                <w:szCs w:val="20"/>
                <w:color w:val="auto"/>
              </w:rPr>
            </w:pPr>
            <w:r>
              <w:rPr>
                <w:rFonts w:ascii="Arial" w:cs="Arial" w:eastAsia="Arial" w:hAnsi="Arial"/>
                <w:sz w:val="11"/>
                <w:szCs w:val="11"/>
                <w:b w:val="1"/>
                <w:bCs w:val="1"/>
                <w:color w:val="FFFFFF"/>
              </w:rPr>
              <w:t>(A)</w:t>
            </w:r>
          </w:p>
        </w:tc>
        <w:tc>
          <w:tcPr>
            <w:tcW w:w="1460" w:type="dxa"/>
            <w:vAlign w:val="bottom"/>
            <w:shd w:val="clear" w:color="auto" w:fill="99B7C6"/>
          </w:tcPr>
          <w:p>
            <w:pPr>
              <w:jc w:val="right"/>
              <w:ind w:right="239"/>
              <w:spacing w:after="0"/>
              <w:rPr>
                <w:sz w:val="20"/>
                <w:szCs w:val="20"/>
                <w:color w:val="auto"/>
              </w:rPr>
            </w:pPr>
            <w:r>
              <w:rPr>
                <w:rFonts w:ascii="Arial" w:cs="Arial" w:eastAsia="Arial" w:hAnsi="Arial"/>
                <w:sz w:val="11"/>
                <w:szCs w:val="11"/>
                <w:b w:val="1"/>
                <w:bCs w:val="1"/>
                <w:color w:val="FFFFFF"/>
              </w:rPr>
              <w:t>(B)</w:t>
            </w:r>
          </w:p>
        </w:tc>
        <w:tc>
          <w:tcPr>
            <w:tcW w:w="1420" w:type="dxa"/>
            <w:vAlign w:val="bottom"/>
            <w:shd w:val="clear" w:color="auto" w:fill="99B7C6"/>
          </w:tcPr>
          <w:p>
            <w:pPr>
              <w:jc w:val="right"/>
              <w:ind w:right="240"/>
              <w:spacing w:after="0"/>
              <w:rPr>
                <w:sz w:val="20"/>
                <w:szCs w:val="20"/>
                <w:color w:val="auto"/>
              </w:rPr>
            </w:pPr>
            <w:r>
              <w:rPr>
                <w:rFonts w:ascii="Arial" w:cs="Arial" w:eastAsia="Arial" w:hAnsi="Arial"/>
                <w:sz w:val="11"/>
                <w:szCs w:val="11"/>
                <w:b w:val="1"/>
                <w:bCs w:val="1"/>
                <w:color w:val="FFFFFF"/>
              </w:rPr>
              <w:t>(C)</w:t>
            </w:r>
          </w:p>
        </w:tc>
        <w:tc>
          <w:tcPr>
            <w:tcW w:w="1380" w:type="dxa"/>
            <w:vAlign w:val="bottom"/>
            <w:shd w:val="clear" w:color="auto" w:fill="99B7C6"/>
          </w:tcPr>
          <w:p>
            <w:pPr>
              <w:jc w:val="right"/>
              <w:ind w:right="240"/>
              <w:spacing w:after="0"/>
              <w:rPr>
                <w:sz w:val="20"/>
                <w:szCs w:val="20"/>
                <w:color w:val="auto"/>
              </w:rPr>
            </w:pPr>
            <w:r>
              <w:rPr>
                <w:rFonts w:ascii="Arial" w:cs="Arial" w:eastAsia="Arial" w:hAnsi="Arial"/>
                <w:sz w:val="11"/>
                <w:szCs w:val="11"/>
                <w:b w:val="1"/>
                <w:bCs w:val="1"/>
                <w:color w:val="FFFFFF"/>
              </w:rPr>
              <w:t>(D)</w:t>
            </w:r>
          </w:p>
        </w:tc>
        <w:tc>
          <w:tcPr>
            <w:tcW w:w="1140" w:type="dxa"/>
            <w:vAlign w:val="bottom"/>
            <w:shd w:val="clear" w:color="auto" w:fill="99B7C6"/>
          </w:tcPr>
          <w:p>
            <w:pPr>
              <w:jc w:val="center"/>
              <w:spacing w:after="0"/>
              <w:rPr>
                <w:sz w:val="20"/>
                <w:szCs w:val="20"/>
                <w:color w:val="auto"/>
              </w:rPr>
            </w:pPr>
            <w:r>
              <w:rPr>
                <w:rFonts w:ascii="Arial" w:cs="Arial" w:eastAsia="Arial" w:hAnsi="Arial"/>
                <w:sz w:val="11"/>
                <w:szCs w:val="11"/>
                <w:b w:val="1"/>
                <w:bCs w:val="1"/>
                <w:color w:val="FFFFFF"/>
                <w:w w:val="98"/>
              </w:rPr>
              <w:t>(A+B+C)/D</w:t>
            </w:r>
          </w:p>
        </w:tc>
        <w:tc>
          <w:tcPr>
            <w:tcW w:w="1180" w:type="dxa"/>
            <w:vAlign w:val="bottom"/>
            <w:shd w:val="clear" w:color="auto" w:fill="99B7C6"/>
          </w:tcPr>
          <w:p>
            <w:pPr>
              <w:jc w:val="right"/>
              <w:spacing w:after="0"/>
              <w:rPr>
                <w:sz w:val="20"/>
                <w:szCs w:val="20"/>
                <w:color w:val="auto"/>
              </w:rPr>
            </w:pPr>
            <w:r>
              <w:rPr>
                <w:rFonts w:ascii="Arial" w:cs="Arial" w:eastAsia="Arial" w:hAnsi="Arial"/>
                <w:sz w:val="11"/>
                <w:szCs w:val="11"/>
                <w:b w:val="1"/>
                <w:bCs w:val="1"/>
                <w:color w:val="FFFFFF"/>
              </w:rPr>
              <w:t>Target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2025</w:t>
            </w:r>
          </w:p>
        </w:tc>
        <w:tc>
          <w:tcPr>
            <w:tcW w:w="1660" w:type="dxa"/>
            <w:vAlign w:val="bottom"/>
            <w:shd w:val="clear" w:color="auto" w:fill="E9F0F3"/>
          </w:tcPr>
          <w:p>
            <w:pPr>
              <w:jc w:val="right"/>
              <w:ind w:right="237"/>
              <w:spacing w:after="0"/>
              <w:rPr>
                <w:sz w:val="20"/>
                <w:szCs w:val="20"/>
                <w:color w:val="auto"/>
              </w:rPr>
            </w:pPr>
            <w:r>
              <w:rPr>
                <w:rFonts w:ascii="Arial" w:cs="Arial" w:eastAsia="Arial" w:hAnsi="Arial"/>
                <w:sz w:val="14"/>
                <w:szCs w:val="14"/>
                <w:color w:val="auto"/>
              </w:rPr>
              <w:t>—</w:t>
            </w:r>
          </w:p>
        </w:tc>
        <w:tc>
          <w:tcPr>
            <w:tcW w:w="1460" w:type="dxa"/>
            <w:vAlign w:val="bottom"/>
            <w:shd w:val="clear" w:color="auto" w:fill="E9F0F3"/>
          </w:tcPr>
          <w:p>
            <w:pPr>
              <w:jc w:val="right"/>
              <w:ind w:right="239"/>
              <w:spacing w:after="0"/>
              <w:rPr>
                <w:sz w:val="20"/>
                <w:szCs w:val="20"/>
                <w:color w:val="auto"/>
              </w:rPr>
            </w:pPr>
            <w:r>
              <w:rPr>
                <w:rFonts w:ascii="Arial" w:cs="Arial" w:eastAsia="Arial" w:hAnsi="Arial"/>
                <w:sz w:val="14"/>
                <w:szCs w:val="14"/>
                <w:color w:val="auto"/>
              </w:rPr>
              <w:t>876,397</w:t>
            </w:r>
          </w:p>
        </w:tc>
        <w:tc>
          <w:tcPr>
            <w:tcW w:w="1420" w:type="dxa"/>
            <w:vAlign w:val="bottom"/>
            <w:shd w:val="clear" w:color="auto" w:fill="E9F0F3"/>
          </w:tcPr>
          <w:p>
            <w:pPr>
              <w:jc w:val="right"/>
              <w:ind w:right="240"/>
              <w:spacing w:after="0"/>
              <w:rPr>
                <w:sz w:val="20"/>
                <w:szCs w:val="20"/>
                <w:color w:val="auto"/>
              </w:rPr>
            </w:pPr>
            <w:r>
              <w:rPr>
                <w:rFonts w:ascii="Arial" w:cs="Arial" w:eastAsia="Arial" w:hAnsi="Arial"/>
                <w:sz w:val="14"/>
                <w:szCs w:val="14"/>
                <w:color w:val="auto"/>
              </w:rPr>
              <w:t>42,081</w:t>
            </w:r>
          </w:p>
        </w:tc>
        <w:tc>
          <w:tcPr>
            <w:tcW w:w="1380" w:type="dxa"/>
            <w:vAlign w:val="bottom"/>
            <w:shd w:val="clear" w:color="auto" w:fill="E9F0F3"/>
          </w:tcPr>
          <w:p>
            <w:pPr>
              <w:jc w:val="right"/>
              <w:ind w:right="240"/>
              <w:spacing w:after="0"/>
              <w:rPr>
                <w:sz w:val="20"/>
                <w:szCs w:val="20"/>
                <w:color w:val="auto"/>
              </w:rPr>
            </w:pPr>
            <w:r>
              <w:rPr>
                <w:rFonts w:ascii="Arial" w:cs="Arial" w:eastAsia="Arial" w:hAnsi="Arial"/>
                <w:sz w:val="14"/>
                <w:szCs w:val="14"/>
                <w:color w:val="auto"/>
              </w:rPr>
              <w:t>48,061,189</w:t>
            </w:r>
          </w:p>
        </w:tc>
        <w:tc>
          <w:tcPr>
            <w:tcW w:w="1140" w:type="dxa"/>
            <w:vAlign w:val="bottom"/>
            <w:shd w:val="clear" w:color="auto" w:fill="E9F0F3"/>
          </w:tcPr>
          <w:p>
            <w:pPr>
              <w:jc w:val="center"/>
              <w:spacing w:after="0"/>
              <w:rPr>
                <w:sz w:val="20"/>
                <w:szCs w:val="20"/>
                <w:color w:val="auto"/>
              </w:rPr>
            </w:pPr>
            <w:r>
              <w:rPr>
                <w:rFonts w:ascii="Arial" w:cs="Arial" w:eastAsia="Arial" w:hAnsi="Arial"/>
                <w:sz w:val="14"/>
                <w:szCs w:val="14"/>
                <w:color w:val="auto"/>
              </w:rPr>
              <w:t>1.91%</w:t>
            </w:r>
          </w:p>
        </w:tc>
        <w:tc>
          <w:tcPr>
            <w:tcW w:w="1180" w:type="dxa"/>
            <w:vAlign w:val="bottom"/>
            <w:shd w:val="clear" w:color="auto" w:fill="E9F0F3"/>
          </w:tcPr>
          <w:p>
            <w:pPr>
              <w:ind w:left="680"/>
              <w:spacing w:after="0"/>
              <w:rPr>
                <w:sz w:val="20"/>
                <w:szCs w:val="20"/>
                <w:color w:val="auto"/>
              </w:rPr>
            </w:pPr>
            <w:r>
              <w:rPr>
                <w:rFonts w:ascii="Arial" w:cs="Arial" w:eastAsia="Arial" w:hAnsi="Arial"/>
                <w:sz w:val="14"/>
                <w:szCs w:val="14"/>
                <w:color w:val="auto"/>
                <w:w w:val="94"/>
              </w:rPr>
              <w:t>191,492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700" w:type="dxa"/>
            <w:vAlign w:val="bottom"/>
            <w:shd w:val="clear" w:color="auto" w:fill="E9F0F3"/>
          </w:tcPr>
          <w:p>
            <w:pPr>
              <w:spacing w:after="0"/>
              <w:rPr>
                <w:sz w:val="5"/>
                <w:szCs w:val="5"/>
                <w:color w:val="auto"/>
              </w:rPr>
            </w:pPr>
          </w:p>
        </w:tc>
        <w:tc>
          <w:tcPr>
            <w:tcW w:w="1660" w:type="dxa"/>
            <w:vAlign w:val="bottom"/>
            <w:shd w:val="clear" w:color="auto" w:fill="E9F0F3"/>
          </w:tcPr>
          <w:p>
            <w:pPr>
              <w:spacing w:after="0"/>
              <w:rPr>
                <w:sz w:val="5"/>
                <w:szCs w:val="5"/>
                <w:color w:val="auto"/>
              </w:rPr>
            </w:pPr>
          </w:p>
        </w:tc>
        <w:tc>
          <w:tcPr>
            <w:tcW w:w="1460" w:type="dxa"/>
            <w:vAlign w:val="bottom"/>
            <w:shd w:val="clear" w:color="auto" w:fill="E9F0F3"/>
          </w:tcPr>
          <w:p>
            <w:pPr>
              <w:spacing w:after="0"/>
              <w:rPr>
                <w:sz w:val="5"/>
                <w:szCs w:val="5"/>
                <w:color w:val="auto"/>
              </w:rPr>
            </w:pPr>
          </w:p>
        </w:tc>
        <w:tc>
          <w:tcPr>
            <w:tcW w:w="1420" w:type="dxa"/>
            <w:vAlign w:val="bottom"/>
            <w:shd w:val="clear" w:color="auto" w:fill="E9F0F3"/>
          </w:tcPr>
          <w:p>
            <w:pPr>
              <w:spacing w:after="0"/>
              <w:rPr>
                <w:sz w:val="5"/>
                <w:szCs w:val="5"/>
                <w:color w:val="auto"/>
              </w:rPr>
            </w:pPr>
          </w:p>
        </w:tc>
        <w:tc>
          <w:tcPr>
            <w:tcW w:w="1380" w:type="dxa"/>
            <w:vAlign w:val="bottom"/>
            <w:shd w:val="clear" w:color="auto" w:fill="E9F0F3"/>
          </w:tcPr>
          <w:p>
            <w:pPr>
              <w:spacing w:after="0"/>
              <w:rPr>
                <w:sz w:val="5"/>
                <w:szCs w:val="5"/>
                <w:color w:val="auto"/>
              </w:rPr>
            </w:pPr>
          </w:p>
        </w:tc>
        <w:tc>
          <w:tcPr>
            <w:tcW w:w="1140" w:type="dxa"/>
            <w:vAlign w:val="bottom"/>
            <w:shd w:val="clear" w:color="auto" w:fill="E9F0F3"/>
          </w:tcPr>
          <w:p>
            <w:pPr>
              <w:spacing w:after="0"/>
              <w:rPr>
                <w:sz w:val="5"/>
                <w:szCs w:val="5"/>
                <w:color w:val="auto"/>
              </w:rPr>
            </w:pPr>
          </w:p>
        </w:tc>
        <w:tc>
          <w:tcPr>
            <w:tcW w:w="1180" w:type="dxa"/>
            <w:vAlign w:val="bottom"/>
            <w:shd w:val="clear" w:color="auto" w:fill="E9F0F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60"/>
              <w:spacing w:after="0"/>
              <w:rPr>
                <w:sz w:val="20"/>
                <w:szCs w:val="20"/>
                <w:color w:val="auto"/>
              </w:rPr>
            </w:pPr>
            <w:r>
              <w:rPr>
                <w:rFonts w:ascii="Arial" w:cs="Arial" w:eastAsia="Arial" w:hAnsi="Arial"/>
                <w:sz w:val="14"/>
                <w:szCs w:val="14"/>
                <w:b w:val="1"/>
                <w:bCs w:val="1"/>
                <w:color w:val="auto"/>
              </w:rPr>
              <w:t>2024</w:t>
            </w:r>
          </w:p>
        </w:tc>
        <w:tc>
          <w:tcPr>
            <w:tcW w:w="1660" w:type="dxa"/>
            <w:vAlign w:val="bottom"/>
          </w:tcPr>
          <w:p>
            <w:pPr>
              <w:jc w:val="right"/>
              <w:ind w:right="237"/>
              <w:spacing w:after="0"/>
              <w:rPr>
                <w:sz w:val="20"/>
                <w:szCs w:val="20"/>
                <w:color w:val="auto"/>
              </w:rPr>
            </w:pPr>
            <w:r>
              <w:rPr>
                <w:rFonts w:ascii="Arial" w:cs="Arial" w:eastAsia="Arial" w:hAnsi="Arial"/>
                <w:sz w:val="14"/>
                <w:szCs w:val="14"/>
                <w:color w:val="auto"/>
              </w:rPr>
              <w:t>58,300</w:t>
            </w:r>
          </w:p>
        </w:tc>
        <w:tc>
          <w:tcPr>
            <w:tcW w:w="1460" w:type="dxa"/>
            <w:vAlign w:val="bottom"/>
          </w:tcPr>
          <w:p>
            <w:pPr>
              <w:jc w:val="right"/>
              <w:ind w:right="239"/>
              <w:spacing w:after="0"/>
              <w:rPr>
                <w:sz w:val="20"/>
                <w:szCs w:val="20"/>
                <w:color w:val="auto"/>
              </w:rPr>
            </w:pPr>
            <w:r>
              <w:rPr>
                <w:rFonts w:ascii="Arial" w:cs="Arial" w:eastAsia="Arial" w:hAnsi="Arial"/>
                <w:sz w:val="14"/>
                <w:szCs w:val="14"/>
                <w:color w:val="auto"/>
              </w:rPr>
              <w:t>521,606</w:t>
            </w:r>
          </w:p>
        </w:tc>
        <w:tc>
          <w:tcPr>
            <w:tcW w:w="1420" w:type="dxa"/>
            <w:vAlign w:val="bottom"/>
          </w:tcPr>
          <w:p>
            <w:pPr>
              <w:jc w:val="right"/>
              <w:ind w:right="240"/>
              <w:spacing w:after="0"/>
              <w:rPr>
                <w:sz w:val="20"/>
                <w:szCs w:val="20"/>
                <w:color w:val="auto"/>
              </w:rPr>
            </w:pPr>
            <w:r>
              <w:rPr>
                <w:rFonts w:ascii="Arial" w:cs="Arial" w:eastAsia="Arial" w:hAnsi="Arial"/>
                <w:sz w:val="14"/>
                <w:szCs w:val="14"/>
                <w:color w:val="auto"/>
              </w:rPr>
              <w:t>54,982</w:t>
            </w:r>
          </w:p>
        </w:tc>
        <w:tc>
          <w:tcPr>
            <w:tcW w:w="1380" w:type="dxa"/>
            <w:vAlign w:val="bottom"/>
          </w:tcPr>
          <w:p>
            <w:pPr>
              <w:jc w:val="right"/>
              <w:ind w:right="240"/>
              <w:spacing w:after="0"/>
              <w:rPr>
                <w:sz w:val="20"/>
                <w:szCs w:val="20"/>
                <w:color w:val="auto"/>
              </w:rPr>
            </w:pPr>
            <w:r>
              <w:rPr>
                <w:rFonts w:ascii="Arial" w:cs="Arial" w:eastAsia="Arial" w:hAnsi="Arial"/>
                <w:sz w:val="14"/>
                <w:szCs w:val="14"/>
                <w:color w:val="auto"/>
              </w:rPr>
              <w:t>55,987,598</w:t>
            </w:r>
          </w:p>
        </w:tc>
        <w:tc>
          <w:tcPr>
            <w:tcW w:w="1140" w:type="dxa"/>
            <w:vAlign w:val="bottom"/>
          </w:tcPr>
          <w:p>
            <w:pPr>
              <w:jc w:val="center"/>
              <w:spacing w:after="0"/>
              <w:rPr>
                <w:sz w:val="20"/>
                <w:szCs w:val="20"/>
                <w:color w:val="auto"/>
              </w:rPr>
            </w:pPr>
            <w:r>
              <w:rPr>
                <w:rFonts w:ascii="Arial" w:cs="Arial" w:eastAsia="Arial" w:hAnsi="Arial"/>
                <w:sz w:val="14"/>
                <w:szCs w:val="14"/>
                <w:color w:val="auto"/>
              </w:rPr>
              <w:t>1.13%</w:t>
            </w:r>
          </w:p>
        </w:tc>
        <w:tc>
          <w:tcPr>
            <w:tcW w:w="1200" w:type="dxa"/>
            <w:vAlign w:val="bottom"/>
            <w:gridSpan w:val="2"/>
          </w:tcPr>
          <w:p>
            <w:pPr>
              <w:ind w:left="680"/>
              <w:spacing w:after="0"/>
              <w:rPr>
                <w:sz w:val="20"/>
                <w:szCs w:val="20"/>
                <w:color w:val="auto"/>
              </w:rPr>
            </w:pPr>
            <w:r>
              <w:rPr>
                <w:rFonts w:ascii="Arial" w:cs="Arial" w:eastAsia="Arial" w:hAnsi="Arial"/>
                <w:sz w:val="14"/>
                <w:szCs w:val="14"/>
                <w:color w:val="auto"/>
                <w:w w:val="98"/>
              </w:rPr>
              <w:t>127,272</w:t>
            </w:r>
          </w:p>
        </w:tc>
        <w:tc>
          <w:tcPr>
            <w:tcW w:w="0" w:type="dxa"/>
            <w:vAlign w:val="bottom"/>
          </w:tcPr>
          <w:p>
            <w:pPr>
              <w:spacing w:after="0"/>
              <w:rPr>
                <w:sz w:val="1"/>
                <w:szCs w:val="1"/>
                <w:color w:val="auto"/>
              </w:rPr>
            </w:pPr>
          </w:p>
        </w:tc>
      </w:tr>
      <w:tr>
        <w:trPr>
          <w:trHeight w:val="66"/>
        </w:trPr>
        <w:tc>
          <w:tcPr>
            <w:tcW w:w="27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2023</w:t>
            </w:r>
          </w:p>
        </w:tc>
        <w:tc>
          <w:tcPr>
            <w:tcW w:w="1660" w:type="dxa"/>
            <w:vAlign w:val="bottom"/>
            <w:shd w:val="clear" w:color="auto" w:fill="E9F0F3"/>
          </w:tcPr>
          <w:p>
            <w:pPr>
              <w:jc w:val="right"/>
              <w:ind w:right="237"/>
              <w:spacing w:after="0"/>
              <w:rPr>
                <w:sz w:val="20"/>
                <w:szCs w:val="20"/>
                <w:color w:val="auto"/>
              </w:rPr>
            </w:pPr>
            <w:r>
              <w:rPr>
                <w:rFonts w:ascii="Arial" w:cs="Arial" w:eastAsia="Arial" w:hAnsi="Arial"/>
                <w:sz w:val="14"/>
                <w:szCs w:val="14"/>
                <w:color w:val="auto"/>
              </w:rPr>
              <w:t>86,200</w:t>
            </w:r>
          </w:p>
        </w:tc>
        <w:tc>
          <w:tcPr>
            <w:tcW w:w="1460" w:type="dxa"/>
            <w:vAlign w:val="bottom"/>
            <w:shd w:val="clear" w:color="auto" w:fill="E9F0F3"/>
          </w:tcPr>
          <w:p>
            <w:pPr>
              <w:jc w:val="right"/>
              <w:ind w:right="239"/>
              <w:spacing w:after="0"/>
              <w:rPr>
                <w:sz w:val="20"/>
                <w:szCs w:val="20"/>
                <w:color w:val="auto"/>
              </w:rPr>
            </w:pPr>
            <w:r>
              <w:rPr>
                <w:rFonts w:ascii="Arial" w:cs="Arial" w:eastAsia="Arial" w:hAnsi="Arial"/>
                <w:sz w:val="14"/>
                <w:szCs w:val="14"/>
                <w:color w:val="auto"/>
              </w:rPr>
              <w:t>652,485</w:t>
            </w:r>
          </w:p>
        </w:tc>
        <w:tc>
          <w:tcPr>
            <w:tcW w:w="1420" w:type="dxa"/>
            <w:vAlign w:val="bottom"/>
            <w:shd w:val="clear" w:color="auto" w:fill="E9F0F3"/>
          </w:tcPr>
          <w:p>
            <w:pPr>
              <w:jc w:val="right"/>
              <w:ind w:right="240"/>
              <w:spacing w:after="0"/>
              <w:rPr>
                <w:sz w:val="20"/>
                <w:szCs w:val="20"/>
                <w:color w:val="auto"/>
              </w:rPr>
            </w:pPr>
            <w:r>
              <w:rPr>
                <w:rFonts w:ascii="Arial" w:cs="Arial" w:eastAsia="Arial" w:hAnsi="Arial"/>
                <w:sz w:val="14"/>
                <w:szCs w:val="14"/>
                <w:color w:val="auto"/>
              </w:rPr>
              <w:t>139,138</w:t>
            </w:r>
          </w:p>
        </w:tc>
        <w:tc>
          <w:tcPr>
            <w:tcW w:w="1380" w:type="dxa"/>
            <w:vAlign w:val="bottom"/>
            <w:shd w:val="clear" w:color="auto" w:fill="E9F0F3"/>
          </w:tcPr>
          <w:p>
            <w:pPr>
              <w:jc w:val="right"/>
              <w:ind w:right="240"/>
              <w:spacing w:after="0"/>
              <w:rPr>
                <w:sz w:val="20"/>
                <w:szCs w:val="20"/>
                <w:color w:val="auto"/>
              </w:rPr>
            </w:pPr>
            <w:r>
              <w:rPr>
                <w:rFonts w:ascii="Arial" w:cs="Arial" w:eastAsia="Arial" w:hAnsi="Arial"/>
                <w:sz w:val="14"/>
                <w:szCs w:val="14"/>
                <w:color w:val="auto"/>
              </w:rPr>
              <w:t>61,020,298</w:t>
            </w:r>
          </w:p>
        </w:tc>
        <w:tc>
          <w:tcPr>
            <w:tcW w:w="1140" w:type="dxa"/>
            <w:vAlign w:val="bottom"/>
            <w:shd w:val="clear" w:color="auto" w:fill="E9F0F3"/>
          </w:tcPr>
          <w:p>
            <w:pPr>
              <w:jc w:val="center"/>
              <w:spacing w:after="0"/>
              <w:rPr>
                <w:sz w:val="20"/>
                <w:szCs w:val="20"/>
                <w:color w:val="auto"/>
              </w:rPr>
            </w:pPr>
            <w:r>
              <w:rPr>
                <w:rFonts w:ascii="Arial" w:cs="Arial" w:eastAsia="Arial" w:hAnsi="Arial"/>
                <w:sz w:val="14"/>
                <w:szCs w:val="14"/>
                <w:color w:val="auto"/>
              </w:rPr>
              <w:t>1.44%</w:t>
            </w:r>
          </w:p>
        </w:tc>
        <w:tc>
          <w:tcPr>
            <w:tcW w:w="1180" w:type="dxa"/>
            <w:vAlign w:val="bottom"/>
            <w:shd w:val="clear" w:color="auto" w:fill="E9F0F3"/>
          </w:tcPr>
          <w:p>
            <w:pPr>
              <w:ind w:left="680"/>
              <w:spacing w:after="0"/>
              <w:rPr>
                <w:sz w:val="20"/>
                <w:szCs w:val="20"/>
                <w:color w:val="auto"/>
              </w:rPr>
            </w:pPr>
            <w:r>
              <w:rPr>
                <w:rFonts w:ascii="Arial" w:cs="Arial" w:eastAsia="Arial" w:hAnsi="Arial"/>
                <w:sz w:val="14"/>
                <w:szCs w:val="14"/>
                <w:color w:val="auto"/>
                <w:w w:val="94"/>
              </w:rPr>
              <w:t>122,240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700" w:type="dxa"/>
            <w:vAlign w:val="bottom"/>
            <w:shd w:val="clear" w:color="auto" w:fill="E9F0F3"/>
          </w:tcPr>
          <w:p>
            <w:pPr>
              <w:spacing w:after="0"/>
              <w:rPr>
                <w:sz w:val="5"/>
                <w:szCs w:val="5"/>
                <w:color w:val="auto"/>
              </w:rPr>
            </w:pPr>
          </w:p>
        </w:tc>
        <w:tc>
          <w:tcPr>
            <w:tcW w:w="1660" w:type="dxa"/>
            <w:vAlign w:val="bottom"/>
            <w:shd w:val="clear" w:color="auto" w:fill="E9F0F3"/>
          </w:tcPr>
          <w:p>
            <w:pPr>
              <w:spacing w:after="0"/>
              <w:rPr>
                <w:sz w:val="5"/>
                <w:szCs w:val="5"/>
                <w:color w:val="auto"/>
              </w:rPr>
            </w:pPr>
          </w:p>
        </w:tc>
        <w:tc>
          <w:tcPr>
            <w:tcW w:w="1460" w:type="dxa"/>
            <w:vAlign w:val="bottom"/>
            <w:shd w:val="clear" w:color="auto" w:fill="E9F0F3"/>
          </w:tcPr>
          <w:p>
            <w:pPr>
              <w:spacing w:after="0"/>
              <w:rPr>
                <w:sz w:val="5"/>
                <w:szCs w:val="5"/>
                <w:color w:val="auto"/>
              </w:rPr>
            </w:pPr>
          </w:p>
        </w:tc>
        <w:tc>
          <w:tcPr>
            <w:tcW w:w="1420" w:type="dxa"/>
            <w:vAlign w:val="bottom"/>
            <w:shd w:val="clear" w:color="auto" w:fill="E9F0F3"/>
          </w:tcPr>
          <w:p>
            <w:pPr>
              <w:spacing w:after="0"/>
              <w:rPr>
                <w:sz w:val="5"/>
                <w:szCs w:val="5"/>
                <w:color w:val="auto"/>
              </w:rPr>
            </w:pPr>
          </w:p>
        </w:tc>
        <w:tc>
          <w:tcPr>
            <w:tcW w:w="1380" w:type="dxa"/>
            <w:vAlign w:val="bottom"/>
            <w:shd w:val="clear" w:color="auto" w:fill="E9F0F3"/>
          </w:tcPr>
          <w:p>
            <w:pPr>
              <w:spacing w:after="0"/>
              <w:rPr>
                <w:sz w:val="5"/>
                <w:szCs w:val="5"/>
                <w:color w:val="auto"/>
              </w:rPr>
            </w:pPr>
          </w:p>
        </w:tc>
        <w:tc>
          <w:tcPr>
            <w:tcW w:w="1140" w:type="dxa"/>
            <w:vAlign w:val="bottom"/>
            <w:shd w:val="clear" w:color="auto" w:fill="E9F0F3"/>
          </w:tcPr>
          <w:p>
            <w:pPr>
              <w:spacing w:after="0"/>
              <w:rPr>
                <w:sz w:val="5"/>
                <w:szCs w:val="5"/>
                <w:color w:val="auto"/>
              </w:rPr>
            </w:pPr>
          </w:p>
        </w:tc>
        <w:tc>
          <w:tcPr>
            <w:tcW w:w="1180" w:type="dxa"/>
            <w:vAlign w:val="bottom"/>
            <w:shd w:val="clear" w:color="auto" w:fill="E9F0F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60"/>
              <w:spacing w:after="0"/>
              <w:rPr>
                <w:sz w:val="20"/>
                <w:szCs w:val="20"/>
                <w:color w:val="auto"/>
              </w:rPr>
            </w:pPr>
            <w:r>
              <w:rPr>
                <w:rFonts w:ascii="Arial" w:cs="Arial" w:eastAsia="Arial" w:hAnsi="Arial"/>
                <w:sz w:val="14"/>
                <w:szCs w:val="14"/>
                <w:b w:val="1"/>
                <w:bCs w:val="1"/>
                <w:color w:val="auto"/>
              </w:rPr>
              <w:t>Three-Year Average Burn Rate</w:t>
            </w:r>
          </w:p>
        </w:tc>
        <w:tc>
          <w:tcPr>
            <w:tcW w:w="1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1.49%</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PVH CORP. 2026 PROXY STATEMENT / </w:t>
      </w:r>
      <w:r>
        <w:rPr>
          <w:rFonts w:ascii="Arial" w:cs="Arial" w:eastAsia="Arial" w:hAnsi="Arial"/>
          <w:sz w:val="11"/>
          <w:szCs w:val="11"/>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94" w:right="479" w:bottom="1440" w:gutter="0" w:footer="0" w:header="0"/>
          <w:type w:val="continuous"/>
        </w:sectPr>
      </w:pPr>
    </w:p>
    <w:bookmarkStart w:id="88" w:name="page89"/>
    <w:bookmarkEnd w:id="88"/>
    <w:p>
      <w:pPr>
        <w:ind w:left="9"/>
        <w:spacing w:after="0"/>
        <w:rPr>
          <w:sz w:val="20"/>
          <w:szCs w:val="20"/>
          <w:color w:val="auto"/>
        </w:rPr>
      </w:pPr>
      <w:r>
        <w:rPr>
          <w:rFonts w:ascii="Arial" w:cs="Arial" w:eastAsia="Arial" w:hAnsi="Arial"/>
          <w:sz w:val="20"/>
          <w:szCs w:val="20"/>
          <w:b w:val="1"/>
          <w:bCs w:val="1"/>
          <w:color w:val="auto"/>
        </w:rPr>
        <w:t>Dilution</w:t>
      </w:r>
    </w:p>
    <w:p>
      <w:pPr>
        <w:spacing w:after="0" w:line="68" w:lineRule="exact"/>
        <w:rPr>
          <w:sz w:val="20"/>
          <w:szCs w:val="20"/>
          <w:color w:val="auto"/>
        </w:rPr>
      </w:pPr>
    </w:p>
    <w:p>
      <w:pPr>
        <w:ind w:left="9" w:right="40"/>
        <w:spacing w:after="0" w:line="251" w:lineRule="auto"/>
        <w:rPr>
          <w:sz w:val="20"/>
          <w:szCs w:val="20"/>
          <w:color w:val="auto"/>
        </w:rPr>
      </w:pPr>
      <w:r>
        <w:rPr>
          <w:rFonts w:ascii="Arial" w:cs="Arial" w:eastAsia="Arial" w:hAnsi="Arial"/>
          <w:sz w:val="14"/>
          <w:szCs w:val="14"/>
          <w:color w:val="auto"/>
        </w:rPr>
        <w:t>Dilution is commonly measured by “overhang,” which generally refers to the amount of total potential dilution to current stockholders that could result from future issuance of the shares reserved under an equity compensation plan. As of April 20, 2026, there were 2,611,651 shares of our common stock subject to outstanding equity awards under the Stock Incentive Plan, including 384,500 shares subject to stock options and 2,227,151 full value awards (</w:t>
      </w:r>
      <w:r>
        <w:rPr>
          <w:rFonts w:ascii="Arial" w:cs="Arial" w:eastAsia="Arial" w:hAnsi="Arial"/>
          <w:sz w:val="14"/>
          <w:szCs w:val="14"/>
          <w:i w:val="1"/>
          <w:iCs w:val="1"/>
          <w:color w:val="auto"/>
        </w:rPr>
        <w:t>i.e.,</w:t>
      </w:r>
      <w:r>
        <w:rPr>
          <w:rFonts w:ascii="Arial" w:cs="Arial" w:eastAsia="Arial" w:hAnsi="Arial"/>
          <w:sz w:val="14"/>
          <w:szCs w:val="14"/>
          <w:color w:val="auto"/>
        </w:rPr>
        <w:t xml:space="preserve"> RSUs and PSUs), based on the maximum number of shares potentially payable under outstanding PSUs. The weighted average exercise price of our outstanding stock option awards was $94.26 as of April 20, 2026, and the weighted average remaining term was 4.86 years. An additional 2,106,392 shares of our common stock remained available to be awarded and 46,074,047 shares of common stock were outstanding as of that date. We are requesting an additional 1,068,000 shares of our common stock for issuance under the Stock Incentive Plan. Based on the foregoing, we estimate the total potential dilution level to be 11.16% on a fully diluted basis.</w:t>
      </w:r>
    </w:p>
    <w:p>
      <w:pPr>
        <w:spacing w:after="0" w:line="100" w:lineRule="exact"/>
        <w:rPr>
          <w:sz w:val="20"/>
          <w:szCs w:val="20"/>
          <w:color w:val="auto"/>
        </w:rPr>
      </w:pPr>
    </w:p>
    <w:p>
      <w:pPr>
        <w:ind w:left="9"/>
        <w:spacing w:after="0"/>
        <w:rPr>
          <w:sz w:val="20"/>
          <w:szCs w:val="20"/>
          <w:color w:val="auto"/>
        </w:rPr>
      </w:pPr>
      <w:r>
        <w:rPr>
          <w:rFonts w:ascii="Arial" w:cs="Arial" w:eastAsia="Arial" w:hAnsi="Arial"/>
          <w:sz w:val="25"/>
          <w:szCs w:val="25"/>
          <w:b w:val="1"/>
          <w:bCs w:val="1"/>
          <w:color w:val="auto"/>
        </w:rPr>
        <w:t>Stock Incentive Plan Design Highlights Our Commitment to Compensation Best Practices</w:t>
      </w:r>
    </w:p>
    <w:p>
      <w:pPr>
        <w:spacing w:after="0" w:line="71" w:lineRule="exact"/>
        <w:rPr>
          <w:sz w:val="20"/>
          <w:szCs w:val="20"/>
          <w:color w:val="auto"/>
        </w:rPr>
      </w:pPr>
    </w:p>
    <w:p>
      <w:pPr>
        <w:ind w:left="9" w:right="240"/>
        <w:spacing w:after="0" w:line="280" w:lineRule="auto"/>
        <w:rPr>
          <w:sz w:val="20"/>
          <w:szCs w:val="20"/>
          <w:color w:val="auto"/>
        </w:rPr>
      </w:pPr>
      <w:r>
        <w:rPr>
          <w:rFonts w:ascii="Arial" w:cs="Arial" w:eastAsia="Arial" w:hAnsi="Arial"/>
          <w:sz w:val="14"/>
          <w:szCs w:val="14"/>
          <w:color w:val="auto"/>
        </w:rPr>
        <w:t>The Stock Incentive Plan includes a number of key features described below that are designed to protect our stockholders’ interests and that reflect our commitment to best practices and effective management of equity compensation.</w:t>
      </w:r>
    </w:p>
    <w:p>
      <w:pPr>
        <w:spacing w:after="0" w:line="1" w:lineRule="exact"/>
        <w:rPr>
          <w:sz w:val="20"/>
          <w:szCs w:val="20"/>
          <w:color w:val="auto"/>
        </w:rPr>
      </w:pPr>
    </w:p>
    <w:p>
      <w:pPr>
        <w:ind w:left="149" w:right="120" w:hanging="149"/>
        <w:spacing w:after="0" w:line="280" w:lineRule="auto"/>
        <w:tabs>
          <w:tab w:leader="none" w:pos="151" w:val="left"/>
        </w:tabs>
        <w:numPr>
          <w:ilvl w:val="0"/>
          <w:numId w:val="150"/>
        </w:numPr>
        <w:rPr>
          <w:rFonts w:ascii="Arial" w:cs="Arial" w:eastAsia="Arial" w:hAnsi="Arial"/>
          <w:sz w:val="14"/>
          <w:szCs w:val="14"/>
          <w:color w:val="auto"/>
        </w:rPr>
      </w:pPr>
      <w:r>
        <w:rPr>
          <w:rFonts w:ascii="Arial" w:cs="Arial" w:eastAsia="Arial" w:hAnsi="Arial"/>
          <w:sz w:val="14"/>
          <w:szCs w:val="14"/>
          <w:color w:val="6D98AD"/>
        </w:rPr>
        <w:t xml:space="preserve">No “evergreen” provision. </w:t>
      </w:r>
      <w:r>
        <w:rPr>
          <w:rFonts w:ascii="Arial" w:cs="Arial" w:eastAsia="Arial" w:hAnsi="Arial"/>
          <w:sz w:val="14"/>
          <w:szCs w:val="14"/>
          <w:color w:val="000000"/>
        </w:rPr>
        <w:t>There is no automatic increase in the number of shares available for issuance; increases in shares available for issuance under the Plan requires</w:t>
      </w:r>
      <w:r>
        <w:rPr>
          <w:rFonts w:ascii="Arial" w:cs="Arial" w:eastAsia="Arial" w:hAnsi="Arial"/>
          <w:sz w:val="14"/>
          <w:szCs w:val="14"/>
          <w:color w:val="6D98AD"/>
        </w:rPr>
        <w:t xml:space="preserve"> </w:t>
      </w:r>
      <w:r>
        <w:rPr>
          <w:rFonts w:ascii="Arial" w:cs="Arial" w:eastAsia="Arial" w:hAnsi="Arial"/>
          <w:sz w:val="14"/>
          <w:szCs w:val="14"/>
          <w:color w:val="000000"/>
        </w:rPr>
        <w:t>stockholder approval.</w:t>
      </w:r>
    </w:p>
    <w:p>
      <w:pPr>
        <w:spacing w:after="0" w:line="1" w:lineRule="exact"/>
        <w:rPr>
          <w:rFonts w:ascii="Arial" w:cs="Arial" w:eastAsia="Arial" w:hAnsi="Arial"/>
          <w:sz w:val="14"/>
          <w:szCs w:val="14"/>
          <w:color w:val="auto"/>
        </w:rPr>
      </w:pPr>
    </w:p>
    <w:p>
      <w:pPr>
        <w:ind w:left="149" w:right="180" w:hanging="149"/>
        <w:spacing w:after="0" w:line="280" w:lineRule="auto"/>
        <w:tabs>
          <w:tab w:leader="none" w:pos="151" w:val="left"/>
        </w:tabs>
        <w:numPr>
          <w:ilvl w:val="0"/>
          <w:numId w:val="150"/>
        </w:numPr>
        <w:rPr>
          <w:rFonts w:ascii="Arial" w:cs="Arial" w:eastAsia="Arial" w:hAnsi="Arial"/>
          <w:sz w:val="14"/>
          <w:szCs w:val="14"/>
          <w:color w:val="auto"/>
        </w:rPr>
      </w:pPr>
      <w:r>
        <w:rPr>
          <w:rFonts w:ascii="Arial" w:cs="Arial" w:eastAsia="Arial" w:hAnsi="Arial"/>
          <w:sz w:val="14"/>
          <w:szCs w:val="14"/>
          <w:color w:val="6D98AD"/>
        </w:rPr>
        <w:t xml:space="preserve">Individual Annual Award Limit. </w:t>
      </w:r>
      <w:r>
        <w:rPr>
          <w:rFonts w:ascii="Arial" w:cs="Arial" w:eastAsia="Arial" w:hAnsi="Arial"/>
          <w:sz w:val="14"/>
          <w:szCs w:val="14"/>
          <w:color w:val="000000"/>
        </w:rPr>
        <w:t>The maximum aggregate number of shares with respect to which awards may be granted in any calendar year to any one participant (other</w:t>
      </w:r>
      <w:r>
        <w:rPr>
          <w:rFonts w:ascii="Arial" w:cs="Arial" w:eastAsia="Arial" w:hAnsi="Arial"/>
          <w:sz w:val="14"/>
          <w:szCs w:val="14"/>
          <w:color w:val="6D98AD"/>
        </w:rPr>
        <w:t xml:space="preserve"> </w:t>
      </w:r>
      <w:r>
        <w:rPr>
          <w:rFonts w:ascii="Arial" w:cs="Arial" w:eastAsia="Arial" w:hAnsi="Arial"/>
          <w:sz w:val="14"/>
          <w:szCs w:val="14"/>
          <w:color w:val="000000"/>
        </w:rPr>
        <w:t>than a non-employee director) is 1,000,000 shares.</w:t>
      </w:r>
    </w:p>
    <w:p>
      <w:pPr>
        <w:spacing w:after="0" w:line="1" w:lineRule="exact"/>
        <w:rPr>
          <w:rFonts w:ascii="Arial" w:cs="Arial" w:eastAsia="Arial" w:hAnsi="Arial"/>
          <w:sz w:val="14"/>
          <w:szCs w:val="14"/>
          <w:color w:val="auto"/>
        </w:rPr>
      </w:pPr>
    </w:p>
    <w:p>
      <w:pPr>
        <w:ind w:left="149" w:right="40" w:hanging="149"/>
        <w:spacing w:after="0" w:line="264" w:lineRule="auto"/>
        <w:tabs>
          <w:tab w:leader="none" w:pos="151" w:val="left"/>
        </w:tabs>
        <w:numPr>
          <w:ilvl w:val="0"/>
          <w:numId w:val="150"/>
        </w:numPr>
        <w:rPr>
          <w:rFonts w:ascii="Arial" w:cs="Arial" w:eastAsia="Arial" w:hAnsi="Arial"/>
          <w:sz w:val="14"/>
          <w:szCs w:val="14"/>
          <w:color w:val="auto"/>
        </w:rPr>
      </w:pPr>
      <w:r>
        <w:rPr>
          <w:rFonts w:ascii="Arial" w:cs="Arial" w:eastAsia="Arial" w:hAnsi="Arial"/>
          <w:sz w:val="14"/>
          <w:szCs w:val="14"/>
          <w:color w:val="6D98AD"/>
        </w:rPr>
        <w:t xml:space="preserve">Director Annual Compensation Limit. </w:t>
      </w:r>
      <w:r>
        <w:rPr>
          <w:rFonts w:ascii="Arial" w:cs="Arial" w:eastAsia="Arial" w:hAnsi="Arial"/>
          <w:sz w:val="14"/>
          <w:szCs w:val="14"/>
          <w:color w:val="000000"/>
        </w:rPr>
        <w:t>The maximum aggregate number of shares with respect to which awards may be granted during any 12-month period to any one non-employee director is limited to a number that, when combined with any cash fees or other compensation paid to such director during such 12-month period, does not exceed $750,000 in total value.</w:t>
      </w:r>
    </w:p>
    <w:p>
      <w:pPr>
        <w:spacing w:after="0" w:line="10" w:lineRule="exact"/>
        <w:rPr>
          <w:rFonts w:ascii="Arial" w:cs="Arial" w:eastAsia="Arial" w:hAnsi="Arial"/>
          <w:sz w:val="14"/>
          <w:szCs w:val="14"/>
          <w:color w:val="auto"/>
        </w:rPr>
      </w:pPr>
    </w:p>
    <w:p>
      <w:pPr>
        <w:ind w:left="149" w:right="680" w:hanging="149"/>
        <w:spacing w:after="0" w:line="280" w:lineRule="auto"/>
        <w:tabs>
          <w:tab w:leader="none" w:pos="151" w:val="left"/>
        </w:tabs>
        <w:numPr>
          <w:ilvl w:val="0"/>
          <w:numId w:val="150"/>
        </w:numPr>
        <w:rPr>
          <w:rFonts w:ascii="Arial" w:cs="Arial" w:eastAsia="Arial" w:hAnsi="Arial"/>
          <w:sz w:val="14"/>
          <w:szCs w:val="14"/>
          <w:color w:val="auto"/>
        </w:rPr>
      </w:pPr>
      <w:r>
        <w:rPr>
          <w:rFonts w:ascii="Arial" w:cs="Arial" w:eastAsia="Arial" w:hAnsi="Arial"/>
          <w:sz w:val="14"/>
          <w:szCs w:val="14"/>
          <w:color w:val="6D98AD"/>
        </w:rPr>
        <w:t xml:space="preserve">No Discounted Stock Options or Stock Appreciation Rights. </w:t>
      </w:r>
      <w:r>
        <w:rPr>
          <w:rFonts w:ascii="Arial" w:cs="Arial" w:eastAsia="Arial" w:hAnsi="Arial"/>
          <w:sz w:val="14"/>
          <w:szCs w:val="14"/>
          <w:color w:val="000000"/>
        </w:rPr>
        <w:t>Stock options and SARs cannot be granted with exercise prices lower than the fair market value of the</w:t>
      </w:r>
      <w:r>
        <w:rPr>
          <w:rFonts w:ascii="Arial" w:cs="Arial" w:eastAsia="Arial" w:hAnsi="Arial"/>
          <w:sz w:val="14"/>
          <w:szCs w:val="14"/>
          <w:color w:val="6D98AD"/>
        </w:rPr>
        <w:t xml:space="preserve"> </w:t>
      </w:r>
      <w:r>
        <w:rPr>
          <w:rFonts w:ascii="Arial" w:cs="Arial" w:eastAsia="Arial" w:hAnsi="Arial"/>
          <w:sz w:val="14"/>
          <w:szCs w:val="14"/>
          <w:color w:val="000000"/>
        </w:rPr>
        <w:t>underlying shares on the grant date.</w:t>
      </w:r>
    </w:p>
    <w:p>
      <w:pPr>
        <w:spacing w:after="0" w:line="1" w:lineRule="exact"/>
        <w:rPr>
          <w:rFonts w:ascii="Arial" w:cs="Arial" w:eastAsia="Arial" w:hAnsi="Arial"/>
          <w:sz w:val="14"/>
          <w:szCs w:val="14"/>
          <w:color w:val="auto"/>
        </w:rPr>
      </w:pPr>
    </w:p>
    <w:p>
      <w:pPr>
        <w:ind w:left="149" w:right="480" w:hanging="149"/>
        <w:spacing w:after="0" w:line="280" w:lineRule="auto"/>
        <w:tabs>
          <w:tab w:leader="none" w:pos="151" w:val="left"/>
        </w:tabs>
        <w:numPr>
          <w:ilvl w:val="0"/>
          <w:numId w:val="150"/>
        </w:numPr>
        <w:rPr>
          <w:rFonts w:ascii="Arial" w:cs="Arial" w:eastAsia="Arial" w:hAnsi="Arial"/>
          <w:sz w:val="14"/>
          <w:szCs w:val="14"/>
          <w:color w:val="auto"/>
        </w:rPr>
      </w:pPr>
      <w:r>
        <w:rPr>
          <w:rFonts w:ascii="Arial" w:cs="Arial" w:eastAsia="Arial" w:hAnsi="Arial"/>
          <w:sz w:val="14"/>
          <w:szCs w:val="14"/>
          <w:color w:val="6D98AD"/>
        </w:rPr>
        <w:t xml:space="preserve">No Repricing. </w:t>
      </w:r>
      <w:r>
        <w:rPr>
          <w:rFonts w:ascii="Arial" w:cs="Arial" w:eastAsia="Arial" w:hAnsi="Arial"/>
          <w:sz w:val="14"/>
          <w:szCs w:val="14"/>
          <w:color w:val="000000"/>
        </w:rPr>
        <w:t>There can be no repricing of stock options and SARs (including the reduction in the exercise price of stock options or SARs or the replacement of stock</w:t>
      </w:r>
      <w:r>
        <w:rPr>
          <w:rFonts w:ascii="Arial" w:cs="Arial" w:eastAsia="Arial" w:hAnsi="Arial"/>
          <w:sz w:val="14"/>
          <w:szCs w:val="14"/>
          <w:color w:val="6D98AD"/>
        </w:rPr>
        <w:t xml:space="preserve"> </w:t>
      </w:r>
      <w:r>
        <w:rPr>
          <w:rFonts w:ascii="Arial" w:cs="Arial" w:eastAsia="Arial" w:hAnsi="Arial"/>
          <w:sz w:val="14"/>
          <w:szCs w:val="14"/>
          <w:color w:val="000000"/>
        </w:rPr>
        <w:t>options or SARs with cash or another award) without stockholder approval.</w:t>
      </w:r>
    </w:p>
    <w:p>
      <w:pPr>
        <w:spacing w:after="0" w:line="1" w:lineRule="exact"/>
        <w:rPr>
          <w:rFonts w:ascii="Arial" w:cs="Arial" w:eastAsia="Arial" w:hAnsi="Arial"/>
          <w:sz w:val="14"/>
          <w:szCs w:val="14"/>
          <w:color w:val="auto"/>
        </w:rPr>
      </w:pPr>
    </w:p>
    <w:p>
      <w:pPr>
        <w:ind w:left="149" w:right="20" w:hanging="149"/>
        <w:spacing w:after="0" w:line="264" w:lineRule="auto"/>
        <w:tabs>
          <w:tab w:leader="none" w:pos="151" w:val="left"/>
        </w:tabs>
        <w:numPr>
          <w:ilvl w:val="0"/>
          <w:numId w:val="150"/>
        </w:numPr>
        <w:rPr>
          <w:rFonts w:ascii="Arial" w:cs="Arial" w:eastAsia="Arial" w:hAnsi="Arial"/>
          <w:sz w:val="14"/>
          <w:szCs w:val="14"/>
          <w:color w:val="auto"/>
        </w:rPr>
      </w:pPr>
      <w:r>
        <w:rPr>
          <w:rFonts w:ascii="Arial" w:cs="Arial" w:eastAsia="Arial" w:hAnsi="Arial"/>
          <w:sz w:val="14"/>
          <w:szCs w:val="14"/>
          <w:color w:val="6D98AD"/>
        </w:rPr>
        <w:t xml:space="preserve">No Liberal Share Recycling. </w:t>
      </w:r>
      <w:r>
        <w:rPr>
          <w:rFonts w:ascii="Arial" w:cs="Arial" w:eastAsia="Arial" w:hAnsi="Arial"/>
          <w:sz w:val="14"/>
          <w:szCs w:val="14"/>
          <w:color w:val="000000"/>
        </w:rPr>
        <w:t>Shares tendered in payment of the exercise price of an award, shares withheld by us to satisfy withholding obligations, and shares covered by</w:t>
      </w:r>
      <w:r>
        <w:rPr>
          <w:rFonts w:ascii="Arial" w:cs="Arial" w:eastAsia="Arial" w:hAnsi="Arial"/>
          <w:sz w:val="14"/>
          <w:szCs w:val="14"/>
          <w:color w:val="6D98AD"/>
        </w:rPr>
        <w:t xml:space="preserve"> </w:t>
      </w:r>
      <w:r>
        <w:rPr>
          <w:rFonts w:ascii="Arial" w:cs="Arial" w:eastAsia="Arial" w:hAnsi="Arial"/>
          <w:sz w:val="14"/>
          <w:szCs w:val="14"/>
          <w:color w:val="000000"/>
        </w:rPr>
        <w:t>an SAR to the extent it is exercised (whether or not shares are actually issued upon such exercise), are not added back to the reserve of shares available for issuance under the Plan.</w:t>
      </w:r>
    </w:p>
    <w:p>
      <w:pPr>
        <w:spacing w:after="0" w:line="10" w:lineRule="exact"/>
        <w:rPr>
          <w:rFonts w:ascii="Arial" w:cs="Arial" w:eastAsia="Arial" w:hAnsi="Arial"/>
          <w:sz w:val="14"/>
          <w:szCs w:val="14"/>
          <w:color w:val="auto"/>
        </w:rPr>
      </w:pPr>
    </w:p>
    <w:p>
      <w:pPr>
        <w:ind w:left="149" w:right="60" w:hanging="149"/>
        <w:spacing w:after="0" w:line="255" w:lineRule="auto"/>
        <w:tabs>
          <w:tab w:leader="none" w:pos="151" w:val="left"/>
        </w:tabs>
        <w:numPr>
          <w:ilvl w:val="0"/>
          <w:numId w:val="150"/>
        </w:numPr>
        <w:rPr>
          <w:rFonts w:ascii="Arial" w:cs="Arial" w:eastAsia="Arial" w:hAnsi="Arial"/>
          <w:sz w:val="14"/>
          <w:szCs w:val="14"/>
          <w:color w:val="auto"/>
        </w:rPr>
      </w:pPr>
      <w:r>
        <w:rPr>
          <w:rFonts w:ascii="Arial" w:cs="Arial" w:eastAsia="Arial" w:hAnsi="Arial"/>
          <w:sz w:val="14"/>
          <w:szCs w:val="14"/>
          <w:color w:val="6D98AD"/>
        </w:rPr>
        <w:t xml:space="preserve">Minimum Vesting Requirement. </w:t>
      </w:r>
      <w:r>
        <w:rPr>
          <w:rFonts w:ascii="Arial" w:cs="Arial" w:eastAsia="Arial" w:hAnsi="Arial"/>
          <w:sz w:val="14"/>
          <w:szCs w:val="14"/>
          <w:color w:val="000000"/>
        </w:rPr>
        <w:t>Awards are subject to a minimum three-year restriction period, which may at the discretion of the Compensation Committee lapse on a</w:t>
      </w:r>
      <w:r>
        <w:rPr>
          <w:rFonts w:ascii="Arial" w:cs="Arial" w:eastAsia="Arial" w:hAnsi="Arial"/>
          <w:sz w:val="14"/>
          <w:szCs w:val="14"/>
          <w:color w:val="6D98AD"/>
        </w:rPr>
        <w:t xml:space="preserve"> </w:t>
      </w:r>
      <w:r>
        <w:rPr>
          <w:rFonts w:ascii="Arial" w:cs="Arial" w:eastAsia="Arial" w:hAnsi="Arial"/>
          <w:sz w:val="14"/>
          <w:szCs w:val="14"/>
          <w:color w:val="000000"/>
        </w:rPr>
        <w:t>prorated, graded or cliff basis, except upon a termination of employment or a participant’s qualifying termination during the two-year period following the occurrence of a change in control or subsidiary disposition (as such terms are defined in the Plan). Under no circumstances can the vesting of an award occur within one year of the date of grant, except that we are entitled to make grants of any kind of award under the Plan without regard to the minimum vesting condition in an aggregate amount not to exceed 5% of the shares authorized for issuance under the Plan.</w:t>
      </w:r>
    </w:p>
    <w:p>
      <w:pPr>
        <w:spacing w:after="0" w:line="16" w:lineRule="exact"/>
        <w:rPr>
          <w:rFonts w:ascii="Arial" w:cs="Arial" w:eastAsia="Arial" w:hAnsi="Arial"/>
          <w:sz w:val="14"/>
          <w:szCs w:val="14"/>
          <w:color w:val="auto"/>
        </w:rPr>
      </w:pPr>
    </w:p>
    <w:p>
      <w:pPr>
        <w:ind w:left="149" w:hanging="149"/>
        <w:spacing w:after="0" w:line="280" w:lineRule="auto"/>
        <w:tabs>
          <w:tab w:leader="none" w:pos="151" w:val="left"/>
        </w:tabs>
        <w:numPr>
          <w:ilvl w:val="0"/>
          <w:numId w:val="150"/>
        </w:numPr>
        <w:rPr>
          <w:rFonts w:ascii="Arial" w:cs="Arial" w:eastAsia="Arial" w:hAnsi="Arial"/>
          <w:sz w:val="14"/>
          <w:szCs w:val="14"/>
          <w:color w:val="auto"/>
        </w:rPr>
      </w:pPr>
      <w:r>
        <w:rPr>
          <w:rFonts w:ascii="Arial" w:cs="Arial" w:eastAsia="Arial" w:hAnsi="Arial"/>
          <w:sz w:val="14"/>
          <w:szCs w:val="14"/>
          <w:color w:val="6D98AD"/>
        </w:rPr>
        <w:t xml:space="preserve">No Single-Trigger Acceleration. </w:t>
      </w:r>
      <w:r>
        <w:rPr>
          <w:rFonts w:ascii="Arial" w:cs="Arial" w:eastAsia="Arial" w:hAnsi="Arial"/>
          <w:sz w:val="14"/>
          <w:szCs w:val="14"/>
          <w:color w:val="000000"/>
        </w:rPr>
        <w:t>The Plan does not provide for automatic acceleration of vesting of equity awards upon a change in control of the company unless awards are</w:t>
      </w:r>
      <w:r>
        <w:rPr>
          <w:rFonts w:ascii="Arial" w:cs="Arial" w:eastAsia="Arial" w:hAnsi="Arial"/>
          <w:sz w:val="14"/>
          <w:szCs w:val="14"/>
          <w:color w:val="6D98AD"/>
        </w:rPr>
        <w:t xml:space="preserve"> </w:t>
      </w:r>
      <w:r>
        <w:rPr>
          <w:rFonts w:ascii="Arial" w:cs="Arial" w:eastAsia="Arial" w:hAnsi="Arial"/>
          <w:sz w:val="14"/>
          <w:szCs w:val="14"/>
          <w:color w:val="000000"/>
        </w:rPr>
        <w:t>not assumed or continued in connection with the change in control.</w:t>
      </w:r>
    </w:p>
    <w:p>
      <w:pPr>
        <w:spacing w:after="0" w:line="1" w:lineRule="exact"/>
        <w:rPr>
          <w:rFonts w:ascii="Arial" w:cs="Arial" w:eastAsia="Arial" w:hAnsi="Arial"/>
          <w:sz w:val="14"/>
          <w:szCs w:val="14"/>
          <w:color w:val="auto"/>
        </w:rPr>
      </w:pPr>
    </w:p>
    <w:p>
      <w:pPr>
        <w:ind w:left="149" w:hanging="149"/>
        <w:spacing w:after="0"/>
        <w:tabs>
          <w:tab w:leader="none" w:pos="149" w:val="left"/>
        </w:tabs>
        <w:numPr>
          <w:ilvl w:val="0"/>
          <w:numId w:val="150"/>
        </w:numPr>
        <w:rPr>
          <w:rFonts w:ascii="Arial" w:cs="Arial" w:eastAsia="Arial" w:hAnsi="Arial"/>
          <w:sz w:val="14"/>
          <w:szCs w:val="14"/>
          <w:color w:val="auto"/>
        </w:rPr>
      </w:pPr>
      <w:r>
        <w:rPr>
          <w:rFonts w:ascii="Arial" w:cs="Arial" w:eastAsia="Arial" w:hAnsi="Arial"/>
          <w:sz w:val="14"/>
          <w:szCs w:val="14"/>
          <w:color w:val="6D98AD"/>
        </w:rPr>
        <w:t xml:space="preserve">No Dividends on Unvested Awards. </w:t>
      </w:r>
      <w:r>
        <w:rPr>
          <w:rFonts w:ascii="Arial" w:cs="Arial" w:eastAsia="Arial" w:hAnsi="Arial"/>
          <w:sz w:val="14"/>
          <w:szCs w:val="14"/>
          <w:color w:val="000000"/>
        </w:rPr>
        <w:t>The Plan prohibits the current payment of dividends or dividend equivalent rights on unvested awards.</w:t>
      </w:r>
    </w:p>
    <w:p>
      <w:pPr>
        <w:spacing w:after="0" w:line="51" w:lineRule="exact"/>
        <w:rPr>
          <w:rFonts w:ascii="Arial" w:cs="Arial" w:eastAsia="Arial" w:hAnsi="Arial"/>
          <w:sz w:val="14"/>
          <w:szCs w:val="14"/>
          <w:color w:val="auto"/>
        </w:rPr>
      </w:pPr>
    </w:p>
    <w:p>
      <w:pPr>
        <w:ind w:left="149" w:hanging="149"/>
        <w:spacing w:after="0"/>
        <w:tabs>
          <w:tab w:leader="none" w:pos="149" w:val="left"/>
        </w:tabs>
        <w:numPr>
          <w:ilvl w:val="0"/>
          <w:numId w:val="150"/>
        </w:numPr>
        <w:rPr>
          <w:rFonts w:ascii="Arial" w:cs="Arial" w:eastAsia="Arial" w:hAnsi="Arial"/>
          <w:sz w:val="14"/>
          <w:szCs w:val="14"/>
          <w:color w:val="auto"/>
        </w:rPr>
      </w:pPr>
      <w:r>
        <w:rPr>
          <w:rFonts w:ascii="Arial" w:cs="Arial" w:eastAsia="Arial" w:hAnsi="Arial"/>
          <w:sz w:val="14"/>
          <w:szCs w:val="14"/>
          <w:color w:val="6D98AD"/>
        </w:rPr>
        <w:t xml:space="preserve">No Automatic Grants. </w:t>
      </w:r>
      <w:r>
        <w:rPr>
          <w:rFonts w:ascii="Arial" w:cs="Arial" w:eastAsia="Arial" w:hAnsi="Arial"/>
          <w:sz w:val="14"/>
          <w:szCs w:val="14"/>
          <w:color w:val="000000"/>
        </w:rPr>
        <w:t>The Plan does not provide for “reload” or other automatic grants to participants.</w:t>
      </w:r>
    </w:p>
    <w:p>
      <w:pPr>
        <w:spacing w:after="0" w:line="51" w:lineRule="exact"/>
        <w:rPr>
          <w:rFonts w:ascii="Arial" w:cs="Arial" w:eastAsia="Arial" w:hAnsi="Arial"/>
          <w:sz w:val="14"/>
          <w:szCs w:val="14"/>
          <w:color w:val="auto"/>
        </w:rPr>
      </w:pPr>
    </w:p>
    <w:p>
      <w:pPr>
        <w:ind w:left="149" w:right="60" w:hanging="149"/>
        <w:spacing w:after="0" w:line="280" w:lineRule="auto"/>
        <w:tabs>
          <w:tab w:leader="none" w:pos="151" w:val="left"/>
        </w:tabs>
        <w:numPr>
          <w:ilvl w:val="0"/>
          <w:numId w:val="150"/>
        </w:numPr>
        <w:rPr>
          <w:rFonts w:ascii="Arial" w:cs="Arial" w:eastAsia="Arial" w:hAnsi="Arial"/>
          <w:sz w:val="14"/>
          <w:szCs w:val="14"/>
          <w:color w:val="auto"/>
        </w:rPr>
      </w:pPr>
      <w:r>
        <w:rPr>
          <w:rFonts w:ascii="Arial" w:cs="Arial" w:eastAsia="Arial" w:hAnsi="Arial"/>
          <w:sz w:val="14"/>
          <w:szCs w:val="14"/>
          <w:color w:val="6D98AD"/>
        </w:rPr>
        <w:t xml:space="preserve">Awards Subject to Clawback Policy. </w:t>
      </w:r>
      <w:r>
        <w:rPr>
          <w:rFonts w:ascii="Arial" w:cs="Arial" w:eastAsia="Arial" w:hAnsi="Arial"/>
          <w:sz w:val="14"/>
          <w:szCs w:val="14"/>
          <w:color w:val="000000"/>
        </w:rPr>
        <w:t>Awards granted pursuant to the Plan are subject to mandatory repayment to us to the extent the participant is, or in the future becomes,</w:t>
      </w:r>
      <w:r>
        <w:rPr>
          <w:rFonts w:ascii="Arial" w:cs="Arial" w:eastAsia="Arial" w:hAnsi="Arial"/>
          <w:sz w:val="14"/>
          <w:szCs w:val="14"/>
          <w:color w:val="6D98AD"/>
        </w:rPr>
        <w:t xml:space="preserve"> </w:t>
      </w:r>
      <w:r>
        <w:rPr>
          <w:rFonts w:ascii="Arial" w:cs="Arial" w:eastAsia="Arial" w:hAnsi="Arial"/>
          <w:sz w:val="14"/>
          <w:szCs w:val="14"/>
          <w:color w:val="000000"/>
        </w:rPr>
        <w:t>subject to (x) our “clawback” (recoupment) policy or (y) any law, rule, requirement or regulation that imposes mandatory recoupment.</w:t>
      </w:r>
    </w:p>
    <w:p>
      <w:pPr>
        <w:spacing w:after="0" w:line="1" w:lineRule="exact"/>
        <w:rPr>
          <w:rFonts w:ascii="Arial" w:cs="Arial" w:eastAsia="Arial" w:hAnsi="Arial"/>
          <w:sz w:val="14"/>
          <w:szCs w:val="14"/>
          <w:color w:val="auto"/>
        </w:rPr>
      </w:pPr>
    </w:p>
    <w:p>
      <w:pPr>
        <w:ind w:left="149" w:hanging="149"/>
        <w:spacing w:after="0"/>
        <w:tabs>
          <w:tab w:leader="none" w:pos="149" w:val="left"/>
        </w:tabs>
        <w:numPr>
          <w:ilvl w:val="0"/>
          <w:numId w:val="150"/>
        </w:numPr>
        <w:rPr>
          <w:rFonts w:ascii="Arial" w:cs="Arial" w:eastAsia="Arial" w:hAnsi="Arial"/>
          <w:sz w:val="14"/>
          <w:szCs w:val="14"/>
          <w:color w:val="auto"/>
        </w:rPr>
      </w:pPr>
      <w:r>
        <w:rPr>
          <w:rFonts w:ascii="Arial" w:cs="Arial" w:eastAsia="Arial" w:hAnsi="Arial"/>
          <w:sz w:val="14"/>
          <w:szCs w:val="14"/>
          <w:color w:val="6D98AD"/>
        </w:rPr>
        <w:t xml:space="preserve">No Tax Gross-Ups. </w:t>
      </w:r>
      <w:r>
        <w:rPr>
          <w:rFonts w:ascii="Arial" w:cs="Arial" w:eastAsia="Arial" w:hAnsi="Arial"/>
          <w:sz w:val="14"/>
          <w:szCs w:val="14"/>
          <w:color w:val="000000"/>
        </w:rPr>
        <w:t>The Plan does not provide for any tax gross-ups.</w:t>
      </w:r>
    </w:p>
    <w:p>
      <w:pPr>
        <w:spacing w:after="0" w:line="189"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 xml:space="preserve">86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PROPOSAL 3: APPROVAL OF AMENDMENTS TO THE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170" w:right="479" w:bottom="1440" w:gutter="0" w:footer="0" w:header="0"/>
        </w:sectPr>
      </w:pPr>
    </w:p>
    <w:bookmarkStart w:id="89" w:name="page90"/>
    <w:bookmarkEnd w:id="89"/>
    <w:p>
      <w:pPr>
        <w:ind w:left="9" w:right="180"/>
        <w:spacing w:after="0" w:line="282" w:lineRule="auto"/>
        <w:rPr>
          <w:sz w:val="20"/>
          <w:szCs w:val="20"/>
          <w:color w:val="auto"/>
        </w:rPr>
      </w:pPr>
      <w:r>
        <w:rPr>
          <w:rFonts w:ascii="Arial" w:cs="Arial" w:eastAsia="Arial" w:hAnsi="Arial"/>
          <w:sz w:val="14"/>
          <w:szCs w:val="14"/>
          <w:color w:val="auto"/>
        </w:rPr>
        <w:t xml:space="preserve">The following summary of certain features of the Stock Incentive Plan, as well as the definitions of each type of award, is qualified in its entirety by reference to the full text of the Plan, which is attached as </w:t>
      </w:r>
      <w:r>
        <w:rPr>
          <w:rFonts w:ascii="Arial" w:cs="Arial" w:eastAsia="Arial" w:hAnsi="Arial"/>
          <w:sz w:val="14"/>
          <w:szCs w:val="14"/>
          <w:i w:val="1"/>
          <w:iCs w:val="1"/>
          <w:color w:val="auto"/>
        </w:rPr>
        <w:t>Exhibit D.</w:t>
      </w:r>
    </w:p>
    <w:p>
      <w:pPr>
        <w:spacing w:after="0" w:line="76" w:lineRule="exact"/>
        <w:rPr>
          <w:sz w:val="20"/>
          <w:szCs w:val="20"/>
          <w:color w:val="auto"/>
        </w:rPr>
      </w:pPr>
    </w:p>
    <w:p>
      <w:pPr>
        <w:ind w:left="9"/>
        <w:spacing w:after="0"/>
        <w:rPr>
          <w:sz w:val="20"/>
          <w:szCs w:val="20"/>
          <w:color w:val="auto"/>
        </w:rPr>
      </w:pPr>
      <w:r>
        <w:rPr>
          <w:rFonts w:ascii="Arial" w:cs="Arial" w:eastAsia="Arial" w:hAnsi="Arial"/>
          <w:sz w:val="25"/>
          <w:szCs w:val="25"/>
          <w:b w:val="1"/>
          <w:bCs w:val="1"/>
          <w:color w:val="auto"/>
        </w:rPr>
        <w:t>Nature and Purpose of the Stock Incentive Plan</w:t>
      </w:r>
    </w:p>
    <w:p>
      <w:pPr>
        <w:spacing w:after="0" w:line="71" w:lineRule="exact"/>
        <w:rPr>
          <w:sz w:val="20"/>
          <w:szCs w:val="20"/>
          <w:color w:val="auto"/>
        </w:rPr>
      </w:pPr>
    </w:p>
    <w:p>
      <w:pPr>
        <w:jc w:val="both"/>
        <w:ind w:left="9" w:right="60"/>
        <w:spacing w:after="0" w:line="258" w:lineRule="auto"/>
        <w:rPr>
          <w:sz w:val="20"/>
          <w:szCs w:val="20"/>
          <w:color w:val="auto"/>
        </w:rPr>
      </w:pPr>
      <w:r>
        <w:rPr>
          <w:rFonts w:ascii="Arial" w:cs="Arial" w:eastAsia="Arial" w:hAnsi="Arial"/>
          <w:sz w:val="14"/>
          <w:szCs w:val="14"/>
          <w:color w:val="auto"/>
        </w:rPr>
        <w:t>The purposes of the Stock Incentive Plan are to induce certain individuals to remain in the employ of, or to continue to serve as directors, consultants, or advisors to, PVH and our present and future subsidiaries; to attract new individuals to enter into such employment or service; and to encourage such individuals to secure or increase on reasonable terms their stock ownership in PVH. The Board of Directors believes the Plan promotes continuity of management and increased incentive and personal interest in our welfare by those who are or may become primarily responsible for shaping and carrying out our long-range plans and securing our continued growth and financial success.</w:t>
      </w:r>
    </w:p>
    <w:p>
      <w:pPr>
        <w:spacing w:after="0" w:line="91" w:lineRule="exact"/>
        <w:rPr>
          <w:sz w:val="20"/>
          <w:szCs w:val="20"/>
          <w:color w:val="auto"/>
        </w:rPr>
      </w:pPr>
    </w:p>
    <w:p>
      <w:pPr>
        <w:ind w:left="9"/>
        <w:spacing w:after="0"/>
        <w:rPr>
          <w:sz w:val="20"/>
          <w:szCs w:val="20"/>
          <w:color w:val="auto"/>
        </w:rPr>
      </w:pPr>
      <w:r>
        <w:rPr>
          <w:rFonts w:ascii="Arial" w:cs="Arial" w:eastAsia="Arial" w:hAnsi="Arial"/>
          <w:sz w:val="25"/>
          <w:szCs w:val="25"/>
          <w:b w:val="1"/>
          <w:bCs w:val="1"/>
          <w:color w:val="auto"/>
        </w:rPr>
        <w:t>Eligibility to Receive Awards</w:t>
      </w:r>
    </w:p>
    <w:p>
      <w:pPr>
        <w:spacing w:after="0" w:line="71" w:lineRule="exact"/>
        <w:rPr>
          <w:sz w:val="20"/>
          <w:szCs w:val="20"/>
          <w:color w:val="auto"/>
        </w:rPr>
      </w:pPr>
    </w:p>
    <w:p>
      <w:pPr>
        <w:ind w:left="9" w:right="180"/>
        <w:spacing w:after="0" w:line="282" w:lineRule="auto"/>
        <w:rPr>
          <w:sz w:val="20"/>
          <w:szCs w:val="20"/>
          <w:color w:val="auto"/>
        </w:rPr>
      </w:pPr>
      <w:r>
        <w:rPr>
          <w:rFonts w:ascii="Arial" w:cs="Arial" w:eastAsia="Arial" w:hAnsi="Arial"/>
          <w:sz w:val="14"/>
          <w:szCs w:val="14"/>
          <w:color w:val="auto"/>
        </w:rPr>
        <w:t>The Stock Incentive Plan provides that awards may be granted to our associates, non-employee directors, consultants and advisors, except that incentive stock options may be granted only to associates. The approximate number of associates eligible to participate in the Stock Incentive Plan is 1,500.</w:t>
      </w:r>
    </w:p>
    <w:p>
      <w:pPr>
        <w:spacing w:after="0" w:line="76" w:lineRule="exact"/>
        <w:rPr>
          <w:sz w:val="20"/>
          <w:szCs w:val="20"/>
          <w:color w:val="auto"/>
        </w:rPr>
      </w:pPr>
    </w:p>
    <w:p>
      <w:pPr>
        <w:ind w:left="9"/>
        <w:spacing w:after="0"/>
        <w:rPr>
          <w:sz w:val="20"/>
          <w:szCs w:val="20"/>
          <w:color w:val="auto"/>
        </w:rPr>
      </w:pPr>
      <w:r>
        <w:rPr>
          <w:rFonts w:ascii="Arial" w:cs="Arial" w:eastAsia="Arial" w:hAnsi="Arial"/>
          <w:sz w:val="25"/>
          <w:szCs w:val="25"/>
          <w:b w:val="1"/>
          <w:bCs w:val="1"/>
          <w:color w:val="auto"/>
        </w:rPr>
        <w:t>Duration and Modification</w:t>
      </w:r>
    </w:p>
    <w:p>
      <w:pPr>
        <w:spacing w:after="0" w:line="71" w:lineRule="exact"/>
        <w:rPr>
          <w:sz w:val="20"/>
          <w:szCs w:val="20"/>
          <w:color w:val="auto"/>
        </w:rPr>
      </w:pPr>
    </w:p>
    <w:p>
      <w:pPr>
        <w:ind w:left="9" w:right="180"/>
        <w:spacing w:after="0" w:line="264" w:lineRule="auto"/>
        <w:rPr>
          <w:sz w:val="20"/>
          <w:szCs w:val="20"/>
          <w:color w:val="auto"/>
        </w:rPr>
      </w:pPr>
      <w:r>
        <w:rPr>
          <w:rFonts w:ascii="Arial" w:cs="Arial" w:eastAsia="Arial" w:hAnsi="Arial"/>
          <w:sz w:val="14"/>
          <w:szCs w:val="14"/>
          <w:color w:val="auto"/>
        </w:rPr>
        <w:t>The Stock Incentive Plan terminates on April 29, 2030, or such earlier date as may be determined by the Board of Directors; however, outstanding awards granted under the Plan prior to its expiration do not terminate until the respective termination dates provided for in such awards. The Board may amend, suspend or terminate the Plan at any time, although stockholder approval is required for any amendment to the extent necessary to comply with the NYSE listing standards or applicable law.</w:t>
      </w:r>
    </w:p>
    <w:p>
      <w:pPr>
        <w:spacing w:after="0" w:line="87" w:lineRule="exact"/>
        <w:rPr>
          <w:sz w:val="20"/>
          <w:szCs w:val="20"/>
          <w:color w:val="auto"/>
        </w:rPr>
      </w:pPr>
    </w:p>
    <w:p>
      <w:pPr>
        <w:ind w:left="9"/>
        <w:spacing w:after="0"/>
        <w:rPr>
          <w:sz w:val="20"/>
          <w:szCs w:val="20"/>
          <w:color w:val="auto"/>
        </w:rPr>
      </w:pPr>
      <w:r>
        <w:rPr>
          <w:rFonts w:ascii="Arial" w:cs="Arial" w:eastAsia="Arial" w:hAnsi="Arial"/>
          <w:sz w:val="25"/>
          <w:szCs w:val="25"/>
          <w:b w:val="1"/>
          <w:bCs w:val="1"/>
          <w:color w:val="auto"/>
        </w:rPr>
        <w:t>Administration</w:t>
      </w:r>
    </w:p>
    <w:p>
      <w:pPr>
        <w:spacing w:after="0" w:line="71" w:lineRule="exact"/>
        <w:rPr>
          <w:sz w:val="20"/>
          <w:szCs w:val="20"/>
          <w:color w:val="auto"/>
        </w:rPr>
      </w:pPr>
    </w:p>
    <w:p>
      <w:pPr>
        <w:ind w:left="9" w:right="80"/>
        <w:spacing w:after="0" w:line="249" w:lineRule="auto"/>
        <w:rPr>
          <w:sz w:val="20"/>
          <w:szCs w:val="20"/>
          <w:color w:val="auto"/>
        </w:rPr>
      </w:pPr>
      <w:r>
        <w:rPr>
          <w:rFonts w:ascii="Arial" w:cs="Arial" w:eastAsia="Arial" w:hAnsi="Arial"/>
          <w:sz w:val="14"/>
          <w:szCs w:val="14"/>
          <w:color w:val="auto"/>
        </w:rPr>
        <w:t>The Stock Incentive Plan is administered by the Compensation Committee or such other committee of the Board of Directors that the Board may designate from time to time (referred to in this discussion as the “Committee”). The Committee must consist of two or more members of the Board who are “non-employee directors” within the meaning of Rule 16b-3 under the Exchange Act. The members of the Committee are appointed annually by the Board. Subject to the provisions of the Plan, the Committee has the authority to (1) select the people to whom awards are to be granted, (2) determine whether and to what extent awards are to be granted, (3) determine the size and type of awards, (4) approve forms of award agreement, which may include provisions stating that employment for a specified period will not be required for vesting of an award upon the occurrence of the death, disability, retirement or qualifying termination of a participant as set forth in an award agreement (or otherwise provided for in a participant’s employment agreement with the company), (5) determine the terms and conditions applicable to awards, (6) establish performance goals for any performance period and determine whether such goals were satisfied, (7) subject to certain limitations, amend any outstanding award, (8) construe and interpret the Plan and any award agreement and apply its provisions, and (9) subject to certain limitations, take any other actions deemed necessary or advisable for the administration of the Plan. The Committee may delegate its authority, to the extent permitted by applicable law, including its authority to grant awards to participants who are not “insiders” subject to Section 16 of the Exchange Act. All decisions, interpretations and other actions of the Committee are final and binding, including on PVH, our subsidiaries, associates, directors, consultants, advisors and their respective estates and beneficiaries.</w:t>
      </w:r>
    </w:p>
    <w:p>
      <w:pPr>
        <w:spacing w:after="0" w:line="98" w:lineRule="exact"/>
        <w:rPr>
          <w:sz w:val="20"/>
          <w:szCs w:val="20"/>
          <w:color w:val="auto"/>
        </w:rPr>
      </w:pPr>
    </w:p>
    <w:p>
      <w:pPr>
        <w:ind w:left="9"/>
        <w:spacing w:after="0"/>
        <w:rPr>
          <w:sz w:val="20"/>
          <w:szCs w:val="20"/>
          <w:color w:val="auto"/>
        </w:rPr>
      </w:pPr>
      <w:r>
        <w:rPr>
          <w:rFonts w:ascii="Arial" w:cs="Arial" w:eastAsia="Arial" w:hAnsi="Arial"/>
          <w:sz w:val="25"/>
          <w:szCs w:val="25"/>
          <w:b w:val="1"/>
          <w:bCs w:val="1"/>
          <w:color w:val="auto"/>
        </w:rPr>
        <w:t>Securities Subject to the Stock Incentive Plan</w:t>
      </w:r>
    </w:p>
    <w:p>
      <w:pPr>
        <w:spacing w:after="0" w:line="71" w:lineRule="exact"/>
        <w:rPr>
          <w:sz w:val="20"/>
          <w:szCs w:val="20"/>
          <w:color w:val="auto"/>
        </w:rPr>
      </w:pPr>
    </w:p>
    <w:p>
      <w:pPr>
        <w:ind w:left="9"/>
        <w:spacing w:after="0"/>
        <w:rPr>
          <w:sz w:val="20"/>
          <w:szCs w:val="20"/>
          <w:color w:val="auto"/>
        </w:rPr>
      </w:pPr>
      <w:r>
        <w:rPr>
          <w:rFonts w:ascii="Arial" w:cs="Arial" w:eastAsia="Arial" w:hAnsi="Arial"/>
          <w:sz w:val="14"/>
          <w:szCs w:val="14"/>
          <w:color w:val="auto"/>
        </w:rPr>
        <w:t>The number of shares of our common stock that currently may be issued under the Plan is 23,425,589, which includes:</w:t>
      </w:r>
    </w:p>
    <w:p>
      <w:pPr>
        <w:spacing w:after="0" w:line="51" w:lineRule="exact"/>
        <w:rPr>
          <w:sz w:val="20"/>
          <w:szCs w:val="20"/>
          <w:color w:val="auto"/>
        </w:rPr>
      </w:pPr>
    </w:p>
    <w:p>
      <w:pPr>
        <w:ind w:left="149" w:hanging="149"/>
        <w:spacing w:after="0"/>
        <w:tabs>
          <w:tab w:leader="none" w:pos="149"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3,000,000 shares included in the Plan when it was initially approved;</w:t>
      </w:r>
    </w:p>
    <w:p>
      <w:pPr>
        <w:spacing w:after="0" w:line="51" w:lineRule="exact"/>
        <w:rPr>
          <w:rFonts w:ascii="Arial" w:cs="Arial" w:eastAsia="Arial" w:hAnsi="Arial"/>
          <w:sz w:val="14"/>
          <w:szCs w:val="14"/>
          <w:color w:val="auto"/>
        </w:rPr>
      </w:pPr>
    </w:p>
    <w:p>
      <w:pPr>
        <w:ind w:left="149" w:hanging="149"/>
        <w:spacing w:after="0"/>
        <w:tabs>
          <w:tab w:leader="none" w:pos="149"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4,400,000 shares added to the Plan pursuant to an amendment approved by stockholders in 2009;</w:t>
      </w:r>
    </w:p>
    <w:p>
      <w:pPr>
        <w:spacing w:after="0" w:line="51" w:lineRule="exact"/>
        <w:rPr>
          <w:rFonts w:ascii="Arial" w:cs="Arial" w:eastAsia="Arial" w:hAnsi="Arial"/>
          <w:sz w:val="14"/>
          <w:szCs w:val="14"/>
          <w:color w:val="auto"/>
        </w:rPr>
      </w:pPr>
    </w:p>
    <w:p>
      <w:pPr>
        <w:ind w:left="149" w:hanging="149"/>
        <w:spacing w:after="0"/>
        <w:tabs>
          <w:tab w:leader="none" w:pos="149"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4,500,000 shares added to the Plan pursuant to an amendment approved by stockholders in 2012;</w:t>
      </w:r>
    </w:p>
    <w:p>
      <w:pPr>
        <w:spacing w:after="0" w:line="51" w:lineRule="exact"/>
        <w:rPr>
          <w:rFonts w:ascii="Arial" w:cs="Arial" w:eastAsia="Arial" w:hAnsi="Arial"/>
          <w:sz w:val="14"/>
          <w:szCs w:val="14"/>
          <w:color w:val="auto"/>
        </w:rPr>
      </w:pPr>
    </w:p>
    <w:p>
      <w:pPr>
        <w:ind w:left="149" w:hanging="149"/>
        <w:spacing w:after="0"/>
        <w:tabs>
          <w:tab w:leader="none" w:pos="149"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1,442,940 shares added to the Plan in connection with our acquisition of The Warnaco Group, Inc. in 2013;</w:t>
      </w:r>
    </w:p>
    <w:p>
      <w:pPr>
        <w:spacing w:after="0" w:line="51" w:lineRule="exact"/>
        <w:rPr>
          <w:rFonts w:ascii="Arial" w:cs="Arial" w:eastAsia="Arial" w:hAnsi="Arial"/>
          <w:sz w:val="14"/>
          <w:szCs w:val="14"/>
          <w:color w:val="auto"/>
        </w:rPr>
      </w:pPr>
    </w:p>
    <w:p>
      <w:pPr>
        <w:ind w:left="149" w:hanging="149"/>
        <w:spacing w:after="0"/>
        <w:tabs>
          <w:tab w:leader="none" w:pos="149"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3,000,000 shares added to the Plan pursuant to an amendment approved by stockholders in 2015;</w:t>
      </w:r>
    </w:p>
    <w:p>
      <w:pPr>
        <w:spacing w:after="0" w:line="51" w:lineRule="exact"/>
        <w:rPr>
          <w:rFonts w:ascii="Arial" w:cs="Arial" w:eastAsia="Arial" w:hAnsi="Arial"/>
          <w:sz w:val="14"/>
          <w:szCs w:val="14"/>
          <w:color w:val="auto"/>
        </w:rPr>
      </w:pPr>
    </w:p>
    <w:p>
      <w:pPr>
        <w:ind w:left="149" w:hanging="149"/>
        <w:spacing w:after="0"/>
        <w:tabs>
          <w:tab w:leader="none" w:pos="149"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3,000,000 shares added to the Plan pursuant to an amendment approved by stockholders in 2020;</w:t>
      </w:r>
    </w:p>
    <w:p>
      <w:pPr>
        <w:spacing w:after="0" w:line="51" w:lineRule="exact"/>
        <w:rPr>
          <w:rFonts w:ascii="Arial" w:cs="Arial" w:eastAsia="Arial" w:hAnsi="Arial"/>
          <w:sz w:val="14"/>
          <w:szCs w:val="14"/>
          <w:color w:val="auto"/>
        </w:rPr>
      </w:pPr>
    </w:p>
    <w:p>
      <w:pPr>
        <w:ind w:left="149" w:hanging="149"/>
        <w:spacing w:after="0"/>
        <w:tabs>
          <w:tab w:leader="none" w:pos="149"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2,989,000 shares added to the Plan pursuant to an amendment approved by stockholders in 2023; and</w:t>
      </w:r>
    </w:p>
    <w:p>
      <w:pPr>
        <w:spacing w:after="0" w:line="51" w:lineRule="exact"/>
        <w:rPr>
          <w:rFonts w:ascii="Arial" w:cs="Arial" w:eastAsia="Arial" w:hAnsi="Arial"/>
          <w:sz w:val="14"/>
          <w:szCs w:val="14"/>
          <w:color w:val="auto"/>
        </w:rPr>
      </w:pPr>
    </w:p>
    <w:p>
      <w:pPr>
        <w:ind w:left="149" w:right="340" w:hanging="149"/>
        <w:spacing w:after="0" w:line="282" w:lineRule="auto"/>
        <w:tabs>
          <w:tab w:leader="none" w:pos="151"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1,093,649 shares now registered under the Plan that became available due to the cancellation, termination or expiration of outstanding stock options under our prior stock plans, as provided by the terms of the Plan.</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PROPOSAL 3: APPROVAL OF AMENDMENTS TO THE STOCK INCENTIVE PLAN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695515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233" w:right="479" w:bottom="1440" w:gutter="0" w:footer="0" w:header="0"/>
        </w:sectPr>
      </w:pPr>
    </w:p>
    <w:bookmarkStart w:id="90" w:name="page91"/>
    <w:bookmarkEnd w:id="90"/>
    <w:p>
      <w:pPr>
        <w:ind w:right="80"/>
        <w:spacing w:after="0" w:line="253" w:lineRule="auto"/>
        <w:rPr>
          <w:sz w:val="20"/>
          <w:szCs w:val="20"/>
          <w:color w:val="auto"/>
        </w:rPr>
      </w:pPr>
      <w:r>
        <w:rPr>
          <w:rFonts w:ascii="Arial" w:cs="Arial" w:eastAsia="Arial" w:hAnsi="Arial"/>
          <w:sz w:val="14"/>
          <w:szCs w:val="14"/>
          <w:color w:val="auto"/>
        </w:rPr>
        <w:t>Any of the shares available for issuance under the Plan may be used for any type of award under the Plan. The total shares subject to the Plan include shares that are subject to outstanding awards, shares that are still available to be awarded, and shares that have been issued as the result of exercise or vesting of awards. Neither the total number of shares subject to the Plan nor the shares available under the Plan take into account that for the purposes of making grants and calculating the usage of shares under the Plan, each share underlying a stock option (or SAR) is counted as one share but each share underlying our awards of RSUs and PSUs (and restricted stock and other stock-based awards) is counted as 2.0 shares if granted prior to June 22, 2023, as 1.6 shares if granted on or after June 22, 2023 and prior to June 18, 2026 and as 1.72 shares if granted on or after June 18, 2026.</w:t>
      </w:r>
    </w:p>
    <w:p>
      <w:pPr>
        <w:spacing w:after="0" w:line="89" w:lineRule="exact"/>
        <w:rPr>
          <w:sz w:val="20"/>
          <w:szCs w:val="20"/>
          <w:color w:val="auto"/>
        </w:rPr>
      </w:pPr>
    </w:p>
    <w:p>
      <w:pPr>
        <w:ind w:right="40"/>
        <w:spacing w:after="0" w:line="251" w:lineRule="auto"/>
        <w:rPr>
          <w:sz w:val="20"/>
          <w:szCs w:val="20"/>
          <w:color w:val="auto"/>
        </w:rPr>
      </w:pPr>
      <w:r>
        <w:rPr>
          <w:rFonts w:ascii="Arial" w:cs="Arial" w:eastAsia="Arial" w:hAnsi="Arial"/>
          <w:sz w:val="14"/>
          <w:szCs w:val="14"/>
          <w:color w:val="auto"/>
        </w:rPr>
        <w:t>As of April 20, 2026, awards representing 24,217,110 shares have been granted under the Plan. This total takes into account how we calculate share usage for RSU, PSU and certain other awards granted under the Plan, as described in the preceding paragraph. Shares are not considered as having been used (i) if they are deliverable under an award granted that expires or is cancelled, forfeited, settled in cash or otherwise settled without the delivery of shares or (ii) if they are issued pursuant to awards that are assumed, converted or substituted in connection with a merger, acquisition, reorganization or similar transaction. Furthermore, shares tendered in payment of the exercise price of an award, shares withheld by us to satisfy withholding obligations, and shares covered by a SAR to the extent it is exercised (whether or not shares are actually issued upon such exercise), will not be added back to the reserve of shares available for issuance under the Plan. The shares issued pursuant to awards may be authorized but unissued shares or treasury shares.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The market value of a share of our common stock as of April 20, 2026, was $98.38.</w:t>
      </w:r>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Individual Limits</w:t>
      </w:r>
    </w:p>
    <w:p>
      <w:pPr>
        <w:spacing w:after="0" w:line="71" w:lineRule="exact"/>
        <w:rPr>
          <w:sz w:val="20"/>
          <w:szCs w:val="20"/>
          <w:color w:val="auto"/>
        </w:rPr>
      </w:pPr>
    </w:p>
    <w:p>
      <w:pPr>
        <w:ind w:right="280"/>
        <w:spacing w:after="0" w:line="282" w:lineRule="auto"/>
        <w:rPr>
          <w:sz w:val="20"/>
          <w:szCs w:val="20"/>
          <w:color w:val="auto"/>
        </w:rPr>
      </w:pPr>
      <w:r>
        <w:rPr>
          <w:rFonts w:ascii="Arial" w:cs="Arial" w:eastAsia="Arial" w:hAnsi="Arial"/>
          <w:sz w:val="14"/>
          <w:szCs w:val="14"/>
          <w:color w:val="auto"/>
        </w:rPr>
        <w:t>The maximum aggregate number of shares with respect to which awards may be granted in any calendar year to any one participant who is not a non-employee director is 1,000,000.</w:t>
      </w:r>
    </w:p>
    <w:p>
      <w:pPr>
        <w:spacing w:after="0" w:line="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Annual Compensation Limit</w:t>
      </w:r>
    </w:p>
    <w:p>
      <w:pPr>
        <w:spacing w:after="0" w:line="71" w:lineRule="exact"/>
        <w:rPr>
          <w:sz w:val="20"/>
          <w:szCs w:val="20"/>
          <w:color w:val="auto"/>
        </w:rPr>
      </w:pPr>
    </w:p>
    <w:p>
      <w:pPr>
        <w:ind w:right="240"/>
        <w:spacing w:after="0" w:line="255" w:lineRule="auto"/>
        <w:rPr>
          <w:sz w:val="20"/>
          <w:szCs w:val="20"/>
          <w:color w:val="auto"/>
        </w:rPr>
      </w:pPr>
      <w:r>
        <w:rPr>
          <w:rFonts w:ascii="Arial" w:cs="Arial" w:eastAsia="Arial" w:hAnsi="Arial"/>
          <w:sz w:val="14"/>
          <w:szCs w:val="14"/>
          <w:color w:val="auto"/>
        </w:rPr>
        <w:t>The maximum aggregate number of shares with respect to which awards may be granted during any 12-month period to any one non-employee director in respect of the director’s service as a member of the Board or a committee of the Board is a number that, when combined with any cash fees or other compensation paid to such director during such 12-month period in respect of the director’s service on the Board or a committee of the Board, cannot exceed $750,000 in total value. The Board may make exceptions to this limit for the independent director who is serving as Chair or presiding director, as applicable, provided the director receiving such additional compensation may not participate in the decision to award such compensation.</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Options</w:t>
      </w:r>
    </w:p>
    <w:p>
      <w:pPr>
        <w:spacing w:after="0" w:line="71"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Under the Stock Incentive Plan, the per share exercise price of any stock option cannot be less than the fair market value of our common stock on the grant date, which is (i) the closing sale price of a share on the NYSE on the grant date or (ii) if there is no sale of shares on that date, the closing sale price of a share on the last trading date on which sales were reported on the NYSE. The per share exercise price of any incentive stock option granted to any participant who owns stock representing more than 10% of the voting power of all classes of stock of the company cannot be less than 110% of the fair market value of our common stock on the grant date.</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Each stock option granted under the Stock Incentive Plan will be evidenced by an award agreement (in written or electronic form) that will specify the exercise price, the term of the stock option, the number of shares to which the stock option pertains, and such other terms and conditions as the Committee determines. In no event may a stock option granted under the Plan be exercised more than ten years after the grant date. Moreover, an incentive stock option granted to any one participant who owns stock representing more than 10% of the voting power of all classes of stock of the company may not be exercised more than five years after the grant date. Optionees will not have any rights to dividend equivalents.</w:t>
      </w:r>
    </w:p>
    <w:p>
      <w:pPr>
        <w:spacing w:after="0" w:line="87"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An award of stock options will have a minimum three-year restriction period, which may at the discretion of the Committee lapse on a prorated, graded or cliff basis, except upon a termination of employment or a participant’s qualifying termination during the two-year period following the occurrence of a change in control or subsidiary disposition (as such terms are defined in the Stock Incentive Plan). In no event may the vesting of stock options occur within one year of the date of grant, except that we will be entitled to make grants of any kind of award under the Plan without regard to the minimum vesting condition in an aggregate amount not to exceed 5% of the shares of our common stock authorized for issuance under the Plan, including the additional shares subject to this proposal.</w:t>
      </w:r>
    </w:p>
    <w:p>
      <w:pPr>
        <w:spacing w:after="0" w:line="75"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Payment for shares issued upon exercise of a stock option generally may be made in cash, by delivery of shares of our common stock owned by the optionee, or by any other method permitted by the Committee or combination of permitted payment methods.</w:t>
      </w:r>
    </w:p>
    <w:p>
      <w:pPr>
        <w:spacing w:after="0" w:line="13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88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PROPOSAL 3: APPROVAL OF AMENDMENTS TO THE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695515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233" w:right="479" w:bottom="1440" w:gutter="0" w:footer="0" w:header="0"/>
        </w:sectPr>
      </w:pPr>
    </w:p>
    <w:bookmarkStart w:id="91" w:name="page92"/>
    <w:bookmarkEnd w:id="91"/>
    <w:p>
      <w:pPr>
        <w:spacing w:after="0"/>
        <w:rPr>
          <w:sz w:val="20"/>
          <w:szCs w:val="20"/>
          <w:color w:val="auto"/>
        </w:rPr>
      </w:pPr>
      <w:r>
        <w:rPr>
          <w:rFonts w:ascii="Arial" w:cs="Arial" w:eastAsia="Arial" w:hAnsi="Arial"/>
          <w:sz w:val="25"/>
          <w:szCs w:val="25"/>
          <w:b w:val="1"/>
          <w:bCs w:val="1"/>
          <w:color w:val="auto"/>
        </w:rPr>
        <w:t>Stock Appreciation Rights</w:t>
      </w:r>
    </w:p>
    <w:p>
      <w:pPr>
        <w:spacing w:after="0" w:line="71"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Each SAR grant will be evidenced by an award agreement that will specify the exercise price, the term of the SAR, and such other terms and conditions as the Committee determines. The grant price of SARs may not be less than 100% of the fair market value of our common stock on the grant date. SARs granted under the Stock Incentive Plan expire as determined by the Committee, but in no event later than ten years from the grant date. Grantees will not have any rights to dividend equivalents.</w:t>
      </w:r>
    </w:p>
    <w:p>
      <w:pPr>
        <w:spacing w:after="0" w:line="69" w:lineRule="exact"/>
        <w:rPr>
          <w:sz w:val="20"/>
          <w:szCs w:val="20"/>
          <w:color w:val="auto"/>
        </w:rPr>
      </w:pPr>
    </w:p>
    <w:p>
      <w:pPr>
        <w:ind w:right="240"/>
        <w:spacing w:after="0" w:line="255" w:lineRule="auto"/>
        <w:rPr>
          <w:sz w:val="20"/>
          <w:szCs w:val="20"/>
          <w:color w:val="auto"/>
        </w:rPr>
      </w:pPr>
      <w:r>
        <w:rPr>
          <w:rFonts w:ascii="Arial" w:cs="Arial" w:eastAsia="Arial" w:hAnsi="Arial"/>
          <w:sz w:val="14"/>
          <w:szCs w:val="14"/>
          <w:color w:val="auto"/>
        </w:rPr>
        <w:t>An award of SARs will have a minimum three-year restriction period, which may at the discretion of the Committee lapse on a prorated, graded or cliff basis, except upon a termination of employment or a participant’s qualifying termination during the two-year period following the occurrence of a change in control or subsidiary disposition. In no event may the vesting of an award of SARs occur within one year of the date of grant, except that we will be entitled to make grants of any kind of award under the Plan without regard to the minimum vesting condition in an aggregate amount not to exceed 5% of the shares of common stock authorized for issuance under the Plan, including the additional shares subject to this proposal.</w:t>
      </w:r>
    </w:p>
    <w:p>
      <w:pPr>
        <w:spacing w:after="0" w:line="87" w:lineRule="exact"/>
        <w:rPr>
          <w:sz w:val="20"/>
          <w:szCs w:val="20"/>
          <w:color w:val="auto"/>
        </w:rPr>
      </w:pPr>
    </w:p>
    <w:p>
      <w:pPr>
        <w:ind w:right="200"/>
        <w:spacing w:after="0" w:line="264" w:lineRule="auto"/>
        <w:rPr>
          <w:sz w:val="20"/>
          <w:szCs w:val="20"/>
          <w:color w:val="auto"/>
        </w:rPr>
      </w:pPr>
      <w:r>
        <w:rPr>
          <w:rFonts w:ascii="Arial" w:cs="Arial" w:eastAsia="Arial" w:hAnsi="Arial"/>
          <w:sz w:val="14"/>
          <w:szCs w:val="14"/>
          <w:color w:val="auto"/>
        </w:rPr>
        <w:t>Upon exercise of a SAR, the holder of the SAR will be entitled to receive payment in an amount equal to the product of (i) the difference between the fair market value of our common stock on the date of exercise over the grant price and (ii) the number of shares of our common stock for which the SAR is exercised. At the discretion of the Committee, payment to the holder of a SAR may be in cash, by delivery of shares of common stock owned by the grantee or in some combination thereof.</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Restricted Stock and RSUs</w:t>
      </w:r>
    </w:p>
    <w:p>
      <w:pPr>
        <w:spacing w:after="0" w:line="71" w:lineRule="exact"/>
        <w:rPr>
          <w:sz w:val="20"/>
          <w:szCs w:val="20"/>
          <w:color w:val="auto"/>
        </w:rPr>
      </w:pPr>
    </w:p>
    <w:p>
      <w:pPr>
        <w:jc w:val="both"/>
        <w:ind w:right="40"/>
        <w:spacing w:after="0" w:line="264" w:lineRule="auto"/>
        <w:rPr>
          <w:sz w:val="20"/>
          <w:szCs w:val="20"/>
          <w:color w:val="auto"/>
        </w:rPr>
      </w:pPr>
      <w:r>
        <w:rPr>
          <w:rFonts w:ascii="Arial" w:cs="Arial" w:eastAsia="Arial" w:hAnsi="Arial"/>
          <w:sz w:val="14"/>
          <w:szCs w:val="14"/>
          <w:color w:val="auto"/>
        </w:rPr>
        <w:t>Each restricted stock or restricted stock unit grant will be evidenced by an award agreement (in written or electronic form) that will specify the periods of restriction, the number of shares of restricted stock or RSUs granted, and such other terms and conditions as the Committee determines. The initial value of an RSU will equal the fair market value of our common stock on the grant date.</w:t>
      </w:r>
    </w:p>
    <w:p>
      <w:pPr>
        <w:spacing w:after="0" w:line="69"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An award of restricted stock or RSUs will have a minimum three-year restriction period, which may at the discretion of the Committee lapse on a prorated, graded or cliff basis, except upon a termination of employment or a participant’s qualifying termination during the two-year period following the occurrence of a change in control or subsidiary disposition. In no event may the vesting of restricted stock or RSUs occur within one year of the date of grant, except that we will be entitled to make grants of any kind of award under the Plan without regard to the minimum vesting condition in an aggregate amount not to exceed 5% of the shares of our common stock authorized for issuance under the Plan, including the additional shares subject to this proposal.</w:t>
      </w:r>
    </w:p>
    <w:p>
      <w:pPr>
        <w:spacing w:after="0" w:line="75"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In the Committee’s discretion, holders of restricted stock may be credited with dividends with respect to all shares held, and holders of RSUs may receive dividend equivalents. Dividends credited to holders of restricted stock will be paid to the holders only if and when the underlying shares of restricted stock vest. Dividend equivalents credited to holders of RSUs will be paid to the holders only if and when the underlying RSUs are settled. RSUs (and any dividend equivalents) may be settled in shares of our common stock, cash or a combination thereof, in the Committee’s discretion.</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Shares and PSUs</w:t>
      </w:r>
    </w:p>
    <w:p>
      <w:pPr>
        <w:spacing w:after="0" w:line="71" w:lineRule="exact"/>
        <w:rPr>
          <w:sz w:val="20"/>
          <w:szCs w:val="20"/>
          <w:color w:val="auto"/>
        </w:rPr>
      </w:pPr>
    </w:p>
    <w:p>
      <w:pPr>
        <w:ind w:right="520"/>
        <w:spacing w:after="0" w:line="282" w:lineRule="auto"/>
        <w:rPr>
          <w:sz w:val="20"/>
          <w:szCs w:val="20"/>
          <w:color w:val="auto"/>
        </w:rPr>
      </w:pPr>
      <w:r>
        <w:rPr>
          <w:rFonts w:ascii="Arial" w:cs="Arial" w:eastAsia="Arial" w:hAnsi="Arial"/>
          <w:sz w:val="14"/>
          <w:szCs w:val="14"/>
          <w:color w:val="auto"/>
        </w:rPr>
        <w:t>Each performance share and PSU grant will be evidenced by an award agreement (in written or electronic form) that will specify the applicable performance period and performance measure(s), the number of performance shares or PSUs granted, and such other terms and conditions as the Committee determines.</w:t>
      </w:r>
    </w:p>
    <w:p>
      <w:pPr>
        <w:spacing w:after="0" w:line="69"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The initial value of performance shares and PSUs will equal the fair market value of a share of our common stock on the grant date. An award of performance shares or PSUs will have a minimum three-year restriction period, which may at the discretion of the Committee lapse on a prorated, graded or cliff basis, except upon a termination of employment or a participant’s qualifying termination during the two-year period following the occurrence of a change in control or subsidiary disposition. In no event may the vesting of performance shares or PSUs occur within one year of the date of grant, except that we will be entitled to make grants of any kind of award under the Plan without regard to the minimum vesting condition in an aggregate amount not to exceed 5% of the shares of our common stock authorized for issuance under the Plan, including the additional shares subject to this proposal.</w:t>
      </w:r>
    </w:p>
    <w:p>
      <w:pPr>
        <w:spacing w:after="0" w:line="77" w:lineRule="exact"/>
        <w:rPr>
          <w:sz w:val="20"/>
          <w:szCs w:val="20"/>
          <w:color w:val="auto"/>
        </w:rPr>
      </w:pPr>
    </w:p>
    <w:p>
      <w:pPr>
        <w:ind w:right="100"/>
        <w:spacing w:after="0" w:line="264" w:lineRule="auto"/>
        <w:rPr>
          <w:sz w:val="20"/>
          <w:szCs w:val="20"/>
          <w:color w:val="auto"/>
        </w:rPr>
      </w:pPr>
      <w:r>
        <w:rPr>
          <w:rFonts w:ascii="Arial" w:cs="Arial" w:eastAsia="Arial" w:hAnsi="Arial"/>
          <w:sz w:val="14"/>
          <w:szCs w:val="14"/>
          <w:color w:val="auto"/>
        </w:rPr>
        <w:t>Performance shares and PSUs granted under the Plan may not provide participants with the right to receive dividends or dividend equivalents. Earned performance shares or PSUs may be settled in shares of our common stock, in cash or a combination thereof, in the Committee’s discretion. The Committee may provide that settlement of performance shares or PSUs will be deferred, on a mandatory basis or at the election of the participant.</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PROPOSAL 3: APPROVAL OF AMENDMENTS TO THE STOCK INCENTIVE PLAN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695515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251" w:right="479" w:bottom="1440" w:gutter="0" w:footer="0" w:header="0"/>
        </w:sectPr>
      </w:pPr>
    </w:p>
    <w:bookmarkStart w:id="92" w:name="page93"/>
    <w:bookmarkEnd w:id="92"/>
    <w:p>
      <w:pPr>
        <w:spacing w:after="0"/>
        <w:rPr>
          <w:sz w:val="20"/>
          <w:szCs w:val="20"/>
          <w:color w:val="auto"/>
        </w:rPr>
      </w:pPr>
      <w:r>
        <w:rPr>
          <w:rFonts w:ascii="Arial" w:cs="Arial" w:eastAsia="Arial" w:hAnsi="Arial"/>
          <w:sz w:val="25"/>
          <w:szCs w:val="25"/>
          <w:b w:val="1"/>
          <w:bCs w:val="1"/>
          <w:color w:val="auto"/>
        </w:rPr>
        <w:t>Other Stock-Based Awards</w:t>
      </w:r>
    </w:p>
    <w:p>
      <w:pPr>
        <w:spacing w:after="0" w:line="71"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The Committee has the right to grant other stock-based awards that may include, without limitation, grants of shares of our common stock based on the attainment of performance goals, payment of shares of our common stock as a bonus in lieu of cash based on performance goals, and the payment of shares of our common stock in lieu of cash under our other incentive or bonus programs. The Committee has the discretion to determine the vesting of any such award, provided that, except upon a termination of employment or a participant’s qualifying termination during the two-year period following the occurrence of a change in control or subsidiary disposition, there will be a minimum vesting period of three years for all awards, which may in the Committee’s discretion lapse on a prorated, graded or cliff basis (as specified in the award agreement). In no event may the vesting of a stock-based award occur within one year of the date of grant, except that we will be entitled to make grants of any kind of award under the Plan without regard to the minimum vesting condition in an aggregate amount not to exceed 5% of the shares of our common stock authorized for issuance under the Plan, including the additional shares subject to this proposal. An award with a payment of shares in lieu of cash under any of our other incentive or bonus programs will not be subject to a minimum vesting period.</w:t>
      </w:r>
    </w:p>
    <w:p>
      <w:pPr>
        <w:spacing w:after="0" w:line="81" w:lineRule="exact"/>
        <w:rPr>
          <w:sz w:val="20"/>
          <w:szCs w:val="20"/>
          <w:color w:val="auto"/>
        </w:rPr>
      </w:pPr>
    </w:p>
    <w:p>
      <w:pPr>
        <w:ind w:right="140"/>
        <w:spacing w:after="0" w:line="264" w:lineRule="auto"/>
        <w:rPr>
          <w:sz w:val="20"/>
          <w:szCs w:val="20"/>
          <w:color w:val="auto"/>
        </w:rPr>
      </w:pPr>
      <w:r>
        <w:rPr>
          <w:rFonts w:ascii="Arial" w:cs="Arial" w:eastAsia="Arial" w:hAnsi="Arial"/>
          <w:sz w:val="14"/>
          <w:szCs w:val="14"/>
          <w:color w:val="auto"/>
        </w:rPr>
        <w:t>In the Committee’s discretion, holders of other stock-based awards may be credited with dividends or dividend equivalents, which may be settled in shares of our common stock, cash or a combination thereof, in the Committee’s sole discretion. Any dividends or dividend equivalents credited to holders of other stock-based awards will be paid to the holders only if and when the underlying stock-based awards vest and are settled.</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Performance-Based Awards</w:t>
      </w:r>
    </w:p>
    <w:p>
      <w:pPr>
        <w:spacing w:after="0" w:line="71" w:lineRule="exact"/>
        <w:rPr>
          <w:sz w:val="20"/>
          <w:szCs w:val="20"/>
          <w:color w:val="auto"/>
        </w:rPr>
      </w:pPr>
    </w:p>
    <w:p>
      <w:pPr>
        <w:spacing w:after="0" w:line="248" w:lineRule="auto"/>
        <w:rPr>
          <w:sz w:val="20"/>
          <w:szCs w:val="20"/>
          <w:color w:val="auto"/>
        </w:rPr>
      </w:pPr>
      <w:r>
        <w:rPr>
          <w:rFonts w:ascii="Arial" w:cs="Arial" w:eastAsia="Arial" w:hAnsi="Arial"/>
          <w:sz w:val="14"/>
          <w:szCs w:val="14"/>
          <w:color w:val="auto"/>
        </w:rPr>
        <w:t>The Committee may grant Performance Shares, PSUs, or other performance-based awards. For any such award, the Committee will establish the performance objectives from one or more of the following measures or such other performance measures as the Committee may determine: earnings; EBIT; earnings before interest, taxes, depreciation and amortization; earnings per share; economic value created; market share; net income (before or after taxes); operating income; adjusted net income after capital charge; return on assets; return on capital (based on earnings or cash flow); return on equity; return on investment; revenue; cash flow; operating margin; share price; total stockholder return; total market value; strategic business criteria, consisting of one or more objectives based on meeting specified market penetration goals, productivity measures, geographic business expansion goals, cost targets, customer satisfaction or employee satisfaction goals; goals relating to merger synergies, management of employment practices and employee benefits, or supervision of litigation or information technology; goals relating to acquisitions or divestitures of subsidiaries, affiliates or joint ventures; and goals relating to environmental, social and governance criteria. The targeted performance with respect to the performance measures may be established at such levels and on such terms as the Committee may determine, in its discretion, on a corporate-wide basis or with respect to one or more business units, divisions, subsidiaries, business segments or functions, and in either absolute terms or relative to the performance of one or more comparable companies or an index covering multiple companies. Unless otherwise determined by the Committee, measurement of performance goals with respect to the selected performance measure(s) will exclude the impact of charges for restructurings, discontinued operations, extraordinary items and other unusual or non-recurring items, as well as the cumulative effects of tax or accounting changes, each as determined in accordance with generally accepted accounting principles or identified in our financial statements, notes to the financial statements, Management’s Discussion and Analysis, or other filings with the SEC.</w:t>
      </w:r>
    </w:p>
    <w:p>
      <w:pPr>
        <w:spacing w:after="0" w:line="10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Clawback/Recoupment</w:t>
      </w:r>
    </w:p>
    <w:p>
      <w:pPr>
        <w:spacing w:after="0" w:line="71" w:lineRule="exact"/>
        <w:rPr>
          <w:sz w:val="20"/>
          <w:szCs w:val="20"/>
          <w:color w:val="auto"/>
        </w:rPr>
      </w:pPr>
    </w:p>
    <w:p>
      <w:pPr>
        <w:ind w:right="220"/>
        <w:spacing w:after="0" w:line="264" w:lineRule="auto"/>
        <w:rPr>
          <w:sz w:val="20"/>
          <w:szCs w:val="20"/>
          <w:color w:val="auto"/>
        </w:rPr>
      </w:pPr>
      <w:r>
        <w:rPr>
          <w:rFonts w:ascii="Arial" w:cs="Arial" w:eastAsia="Arial" w:hAnsi="Arial"/>
          <w:sz w:val="14"/>
          <w:szCs w:val="14"/>
          <w:color w:val="auto"/>
        </w:rPr>
        <w:t>Any award granted pursuant to the Plan will be subject to mandatory repayment to PVH by the participant who holds such award (i) to the extent set forth in the Plan or an award agreement or (ii) to the extent the participant is, or in the future becomes, subject to (A) any PVH “clawback” or recoupment policy or (B) any law, rule, requirement or regulation that imposes mandatory recoupment, under circumstances set forth in such law, rule, requirement or regulation.</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Non-Transferability of Awards</w:t>
      </w:r>
    </w:p>
    <w:p>
      <w:pPr>
        <w:spacing w:after="0" w:line="71" w:lineRule="exact"/>
        <w:rPr>
          <w:sz w:val="20"/>
          <w:szCs w:val="20"/>
          <w:color w:val="auto"/>
        </w:rPr>
      </w:pPr>
    </w:p>
    <w:p>
      <w:pPr>
        <w:ind w:right="300"/>
        <w:spacing w:after="0" w:line="264" w:lineRule="auto"/>
        <w:rPr>
          <w:sz w:val="20"/>
          <w:szCs w:val="20"/>
          <w:color w:val="auto"/>
        </w:rPr>
      </w:pPr>
      <w:r>
        <w:rPr>
          <w:rFonts w:ascii="Arial" w:cs="Arial" w:eastAsia="Arial" w:hAnsi="Arial"/>
          <w:sz w:val="14"/>
          <w:szCs w:val="14"/>
          <w:color w:val="auto"/>
        </w:rPr>
        <w:t>An award granted under the Stock Incentive Plan generally may not be sold, pledged, assigned, hypothecated, transferred or disposed of in any manner. Awards can be transferred by will or by the laws of descent or distribution. In addition, an award agreement for an award other than incentive stock options can provide for the award to be transferred for no consideration to a member of the grantee’s immediate family.</w:t>
      </w:r>
    </w:p>
    <w:p>
      <w:pPr>
        <w:spacing w:after="0" w:line="14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90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PROPOSAL 3: APPROVAL OF AMENDMENTS TO THE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695515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251" w:right="479" w:bottom="1440" w:gutter="0" w:footer="0" w:header="0"/>
        </w:sectPr>
      </w:pPr>
    </w:p>
    <w:bookmarkStart w:id="93" w:name="page94"/>
    <w:bookmarkEnd w:id="93"/>
    <w:p>
      <w:pPr>
        <w:ind w:left="9"/>
        <w:spacing w:after="0"/>
        <w:rPr>
          <w:sz w:val="20"/>
          <w:szCs w:val="20"/>
          <w:color w:val="auto"/>
        </w:rPr>
      </w:pPr>
      <w:r>
        <w:rPr>
          <w:rFonts w:ascii="Arial" w:cs="Arial" w:eastAsia="Arial" w:hAnsi="Arial"/>
          <w:sz w:val="25"/>
          <w:szCs w:val="25"/>
          <w:b w:val="1"/>
          <w:bCs w:val="1"/>
          <w:color w:val="auto"/>
        </w:rPr>
        <w:t>Adjustments Upon Changes in Capitalization</w:t>
      </w:r>
    </w:p>
    <w:p>
      <w:pPr>
        <w:spacing w:after="0" w:line="71" w:lineRule="exact"/>
        <w:rPr>
          <w:sz w:val="20"/>
          <w:szCs w:val="20"/>
          <w:color w:val="auto"/>
        </w:rPr>
      </w:pPr>
    </w:p>
    <w:p>
      <w:pPr>
        <w:ind w:left="9" w:right="40"/>
        <w:spacing w:after="0" w:line="251" w:lineRule="auto"/>
        <w:rPr>
          <w:sz w:val="20"/>
          <w:szCs w:val="20"/>
          <w:color w:val="auto"/>
        </w:rPr>
      </w:pPr>
      <w:r>
        <w:rPr>
          <w:rFonts w:ascii="Arial" w:cs="Arial" w:eastAsia="Arial" w:hAnsi="Arial"/>
          <w:sz w:val="14"/>
          <w:szCs w:val="14"/>
          <w:color w:val="auto"/>
        </w:rPr>
        <w:t>In the event of any equity restructuring (within the meaning of FASB Accounting Standards Certification Topic 718), such as a stock dividend, stock split, spinoff, rights offering, or recapitalization through a large nonrecurring cash dividend, the Committee must cause an equitable adjustment in the number and kind of shares that may be delivered under the Stock Incentive Plan, in the individual award limits, and, with respect to outstanding awards, in the number and kind of shares subject to outstanding awards, the exercise price, grant price, or other price of shares subject to outstanding awards, any performance conditions relating to shares, the market price of shares, or per-share results, and other terms and conditions of outstanding awards, to prevent dilution or enlargement of rights. In the event of any other change in corporate capitalization, such as a merger, consolidation, or liquidation, the Committee may, in its sole discretion, cause there to be such equitable adjustment as described in the foregoing sentence, to prevent dilution or enlargement of rights. In such a case, unless otherwise determined by the Committee, the number of shares subject to any award will always be rounded down to a whole number. Any adjustment made by the Committee is conclusive.</w:t>
      </w:r>
    </w:p>
    <w:p>
      <w:pPr>
        <w:spacing w:after="0" w:line="96" w:lineRule="exact"/>
        <w:rPr>
          <w:sz w:val="20"/>
          <w:szCs w:val="20"/>
          <w:color w:val="auto"/>
        </w:rPr>
      </w:pPr>
    </w:p>
    <w:p>
      <w:pPr>
        <w:ind w:left="9"/>
        <w:spacing w:after="0"/>
        <w:rPr>
          <w:sz w:val="20"/>
          <w:szCs w:val="20"/>
          <w:color w:val="auto"/>
        </w:rPr>
      </w:pPr>
      <w:r>
        <w:rPr>
          <w:rFonts w:ascii="Arial" w:cs="Arial" w:eastAsia="Arial" w:hAnsi="Arial"/>
          <w:sz w:val="25"/>
          <w:szCs w:val="25"/>
          <w:b w:val="1"/>
          <w:bCs w:val="1"/>
          <w:color w:val="auto"/>
        </w:rPr>
        <w:t>Change in Control</w:t>
      </w:r>
    </w:p>
    <w:p>
      <w:pPr>
        <w:spacing w:after="0" w:line="67"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If outstanding awards are assumed or continued</w:t>
      </w:r>
    </w:p>
    <w:p>
      <w:pPr>
        <w:spacing w:after="0" w:line="68" w:lineRule="exact"/>
        <w:rPr>
          <w:sz w:val="20"/>
          <w:szCs w:val="20"/>
          <w:color w:val="auto"/>
        </w:rPr>
      </w:pPr>
    </w:p>
    <w:p>
      <w:pPr>
        <w:ind w:left="9" w:right="20"/>
        <w:spacing w:after="0" w:line="251" w:lineRule="auto"/>
        <w:rPr>
          <w:sz w:val="20"/>
          <w:szCs w:val="20"/>
          <w:color w:val="auto"/>
        </w:rPr>
      </w:pPr>
      <w:r>
        <w:rPr>
          <w:rFonts w:ascii="Arial" w:cs="Arial" w:eastAsia="Arial" w:hAnsi="Arial"/>
          <w:sz w:val="14"/>
          <w:szCs w:val="14"/>
          <w:color w:val="auto"/>
        </w:rPr>
        <w:t>If a qualifying termination of the participant’s employment occurs during the two-year period following a change in control, all outstanding stock options and SARs will become immediately exercisable, and any period of restriction or other restrictions imposed on restricted stock, RSUs, PSUs or other stock-based awards will lapse. In addition, all incomplete performance periods in respect of awards of performance shares, PSUs and each other performance-based award will end on the date of the change in control and the performance goals applicable to such awards will be deemed satisfied based on the level of performance achieved as of the date of the change in control, if determinable, or at the target level, if not determinable. Notwithstanding the foregoing, if less than 50% of the relevant performance period has elapsed as of the date of the change in control, then the performance goals applicable to such award will be deemed satisfied at the target level. Each performance-based award will thereafter become a time-based award and will vest and become payable to the participant on the earlier to occur of the participant’s qualifying termination during the two-year period following the occurrence of the change in control and the date the award otherwise vests in accordance with the award agreement.</w:t>
      </w:r>
    </w:p>
    <w:p>
      <w:pPr>
        <w:spacing w:after="0" w:line="110" w:lineRule="exact"/>
        <w:rPr>
          <w:sz w:val="20"/>
          <w:szCs w:val="20"/>
          <w:color w:val="auto"/>
        </w:rPr>
      </w:pPr>
    </w:p>
    <w:p>
      <w:pPr>
        <w:ind w:left="9"/>
        <w:spacing w:after="0"/>
        <w:rPr>
          <w:sz w:val="20"/>
          <w:szCs w:val="20"/>
          <w:color w:val="auto"/>
        </w:rPr>
      </w:pPr>
      <w:r>
        <w:rPr>
          <w:rFonts w:ascii="Arial" w:cs="Arial" w:eastAsia="Arial" w:hAnsi="Arial"/>
          <w:sz w:val="20"/>
          <w:szCs w:val="20"/>
          <w:b w:val="1"/>
          <w:bCs w:val="1"/>
          <w:color w:val="auto"/>
        </w:rPr>
        <w:t>If outstanding awards are not assumed or continued</w:t>
      </w:r>
    </w:p>
    <w:p>
      <w:pPr>
        <w:spacing w:after="0" w:line="68" w:lineRule="exact"/>
        <w:rPr>
          <w:sz w:val="20"/>
          <w:szCs w:val="20"/>
          <w:color w:val="auto"/>
        </w:rPr>
      </w:pPr>
    </w:p>
    <w:p>
      <w:pPr>
        <w:ind w:left="9"/>
        <w:spacing w:after="0"/>
        <w:rPr>
          <w:sz w:val="20"/>
          <w:szCs w:val="20"/>
          <w:color w:val="auto"/>
        </w:rPr>
      </w:pPr>
      <w:r>
        <w:rPr>
          <w:rFonts w:ascii="Arial" w:cs="Arial" w:eastAsia="Arial" w:hAnsi="Arial"/>
          <w:sz w:val="14"/>
          <w:szCs w:val="14"/>
          <w:color w:val="auto"/>
        </w:rPr>
        <w:t>In the event of a change in control in which outstanding awards are not assumed or continued:</w:t>
      </w:r>
    </w:p>
    <w:p>
      <w:pPr>
        <w:spacing w:after="0" w:line="51" w:lineRule="exact"/>
        <w:rPr>
          <w:sz w:val="20"/>
          <w:szCs w:val="20"/>
          <w:color w:val="auto"/>
        </w:rPr>
      </w:pPr>
    </w:p>
    <w:p>
      <w:pPr>
        <w:ind w:left="289" w:right="100" w:hanging="289"/>
        <w:spacing w:after="0" w:line="264" w:lineRule="auto"/>
        <w:tabs>
          <w:tab w:leader="none" w:pos="273" w:val="left"/>
        </w:tabs>
        <w:numPr>
          <w:ilvl w:val="0"/>
          <w:numId w:val="152"/>
        </w:numPr>
        <w:rPr>
          <w:rFonts w:ascii="Arial" w:cs="Arial" w:eastAsia="Arial" w:hAnsi="Arial"/>
          <w:sz w:val="14"/>
          <w:szCs w:val="14"/>
          <w:color w:val="auto"/>
        </w:rPr>
      </w:pPr>
      <w:r>
        <w:rPr>
          <w:rFonts w:ascii="Arial" w:cs="Arial" w:eastAsia="Arial" w:hAnsi="Arial"/>
          <w:sz w:val="14"/>
          <w:szCs w:val="14"/>
          <w:color w:val="auto"/>
        </w:rPr>
        <w:t>all outstanding stock options and SARs will be terminated and participants will receive, for each share subject to the stock options or SARs held, cash equal to the excess of the fair market value of our common stock immediately prior to the occurrence of the change in control over the stock option exercise price or the SAR grant price, as applicable;</w:t>
      </w:r>
    </w:p>
    <w:p>
      <w:pPr>
        <w:spacing w:after="0" w:line="10" w:lineRule="exact"/>
        <w:rPr>
          <w:rFonts w:ascii="Arial" w:cs="Arial" w:eastAsia="Arial" w:hAnsi="Arial"/>
          <w:sz w:val="14"/>
          <w:szCs w:val="14"/>
          <w:color w:val="auto"/>
        </w:rPr>
      </w:pPr>
    </w:p>
    <w:p>
      <w:pPr>
        <w:ind w:left="289" w:right="100" w:hanging="289"/>
        <w:spacing w:after="0" w:line="280" w:lineRule="auto"/>
        <w:tabs>
          <w:tab w:leader="none" w:pos="269" w:val="left"/>
        </w:tabs>
        <w:numPr>
          <w:ilvl w:val="0"/>
          <w:numId w:val="152"/>
        </w:numPr>
        <w:rPr>
          <w:rFonts w:ascii="Arial" w:cs="Arial" w:eastAsia="Arial" w:hAnsi="Arial"/>
          <w:sz w:val="14"/>
          <w:szCs w:val="14"/>
          <w:color w:val="auto"/>
        </w:rPr>
      </w:pPr>
      <w:r>
        <w:rPr>
          <w:rFonts w:ascii="Arial" w:cs="Arial" w:eastAsia="Arial" w:hAnsi="Arial"/>
          <w:sz w:val="14"/>
          <w:szCs w:val="14"/>
          <w:color w:val="auto"/>
        </w:rPr>
        <w:t>all outstanding restricted stock, RSUs and other stock-based awards will be terminated and participants will receive, for each share subject to an award, cash equal to the fair market value of our common stock immediately prior to the occurrence of the change in control; and</w:t>
      </w:r>
    </w:p>
    <w:p>
      <w:pPr>
        <w:spacing w:after="0" w:line="1" w:lineRule="exact"/>
        <w:rPr>
          <w:rFonts w:ascii="Arial" w:cs="Arial" w:eastAsia="Arial" w:hAnsi="Arial"/>
          <w:sz w:val="14"/>
          <w:szCs w:val="14"/>
          <w:color w:val="auto"/>
        </w:rPr>
      </w:pPr>
    </w:p>
    <w:p>
      <w:pPr>
        <w:ind w:left="289" w:right="100" w:hanging="289"/>
        <w:spacing w:after="0" w:line="255" w:lineRule="auto"/>
        <w:tabs>
          <w:tab w:leader="none" w:pos="273" w:val="left"/>
        </w:tabs>
        <w:numPr>
          <w:ilvl w:val="0"/>
          <w:numId w:val="152"/>
        </w:numPr>
        <w:rPr>
          <w:rFonts w:ascii="Arial" w:cs="Arial" w:eastAsia="Arial" w:hAnsi="Arial"/>
          <w:sz w:val="14"/>
          <w:szCs w:val="14"/>
          <w:color w:val="auto"/>
        </w:rPr>
      </w:pPr>
      <w:r>
        <w:rPr>
          <w:rFonts w:ascii="Arial" w:cs="Arial" w:eastAsia="Arial" w:hAnsi="Arial"/>
          <w:sz w:val="14"/>
          <w:szCs w:val="14"/>
          <w:color w:val="auto"/>
        </w:rPr>
        <w:t>all outstanding performance shares, PSUs and other performance-based awards will be terminated and participants will receive, for each share subject to an award, cash equal to the fair market value of our common stock immediately prior to the occurrence of the change in control. Each performance share, performance share unit and other performance-based award will vest on a pro rata monthly basis, including full credit for partial months elapsed, and will be paid based on the level of performance achieved as of the date of the change in control, if determinable, or at the target level, if not determinable. Notwithstanding the foregoing, if less than 50% of the relevant performance period has elapsed as of the date of the change in control, then the performance goals applicable to such award will be deemed satisfied at the target level.</w:t>
      </w:r>
    </w:p>
    <w:p>
      <w:pPr>
        <w:spacing w:after="0" w:line="75" w:lineRule="exact"/>
        <w:rPr>
          <w:sz w:val="20"/>
          <w:szCs w:val="20"/>
          <w:color w:val="auto"/>
        </w:rPr>
      </w:pPr>
    </w:p>
    <w:p>
      <w:pPr>
        <w:ind w:left="9"/>
        <w:spacing w:after="0"/>
        <w:rPr>
          <w:sz w:val="20"/>
          <w:szCs w:val="20"/>
          <w:color w:val="auto"/>
        </w:rPr>
      </w:pPr>
      <w:r>
        <w:rPr>
          <w:rFonts w:ascii="Arial" w:cs="Arial" w:eastAsia="Arial" w:hAnsi="Arial"/>
          <w:sz w:val="14"/>
          <w:szCs w:val="14"/>
          <w:color w:val="auto"/>
        </w:rPr>
        <w:t>The Committee has the authority to provide for automatic full vesting and exercisability of awards held by certain participants affected by a subsidiary disposition.</w:t>
      </w:r>
    </w:p>
    <w:p>
      <w:pPr>
        <w:spacing w:after="0" w:line="122" w:lineRule="exact"/>
        <w:rPr>
          <w:sz w:val="20"/>
          <w:szCs w:val="20"/>
          <w:color w:val="auto"/>
        </w:rPr>
      </w:pPr>
    </w:p>
    <w:p>
      <w:pPr>
        <w:ind w:left="9" w:right="120"/>
        <w:spacing w:after="0" w:line="253" w:lineRule="auto"/>
        <w:rPr>
          <w:sz w:val="20"/>
          <w:szCs w:val="20"/>
          <w:color w:val="auto"/>
        </w:rPr>
      </w:pPr>
      <w:r>
        <w:rPr>
          <w:rFonts w:ascii="Arial" w:cs="Arial" w:eastAsia="Arial" w:hAnsi="Arial"/>
          <w:sz w:val="14"/>
          <w:szCs w:val="14"/>
          <w:color w:val="auto"/>
        </w:rPr>
        <w:t>With respect to awards (or portions of awards) that are considered deferred compensation under Section 409A of the Code, if an event or condition constituting a change in control does not constitute a “change in the ownership” or a “change in the effective control” of PVH or a “change in the ownership of a substantial portion of a corporation’s assets” with respect to PVH (each within the meaning of Section 409A of the Code), the event or condition will continue to constitute a change in control solely with respect to vesting of awards (or portion thereof) or a lapse of any applicable restrictions on awards, and not for purposes of determining whether the settlement or payment of an award (or portion thereof) will be accelerated under the Stock Incentive Plan. The prior sentence will not apply to awards (or portions thereof) that qualify as short-term deferrals for purposes of Section 409A of the Code.</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PROPOSAL 3: APPROVAL OF AMENDMENTS TO THE STOCK INCENTIVE PLAN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251" w:right="479" w:bottom="1440" w:gutter="0" w:footer="0" w:header="0"/>
        </w:sectPr>
      </w:pPr>
    </w:p>
    <w:bookmarkStart w:id="94" w:name="page95"/>
    <w:bookmarkEnd w:id="94"/>
    <w:p>
      <w:pPr>
        <w:spacing w:after="0"/>
        <w:rPr>
          <w:sz w:val="20"/>
          <w:szCs w:val="20"/>
          <w:color w:val="auto"/>
        </w:rPr>
      </w:pPr>
      <w:r>
        <w:rPr>
          <w:rFonts w:ascii="Arial" w:cs="Arial" w:eastAsia="Arial" w:hAnsi="Arial"/>
          <w:sz w:val="25"/>
          <w:szCs w:val="25"/>
          <w:b w:val="1"/>
          <w:bCs w:val="1"/>
          <w:color w:val="auto"/>
        </w:rPr>
        <w:t>Federal Tax Aspects</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The following paragraphs are a summary of the material U.S. federal income tax consequences associated with awards granted under the Stock Incentive Plan.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It is intended that the Plan and any awards granted thereunder will comply with, and should be interpreted consistent with, the requirements of Section 409A of the Code.</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Incentive Stock Options</w:t>
      </w:r>
    </w:p>
    <w:p>
      <w:pPr>
        <w:spacing w:after="0" w:line="68" w:lineRule="exact"/>
        <w:rPr>
          <w:sz w:val="20"/>
          <w:szCs w:val="20"/>
          <w:color w:val="auto"/>
        </w:rPr>
      </w:pPr>
    </w:p>
    <w:p>
      <w:pPr>
        <w:ind w:right="360"/>
        <w:spacing w:after="0" w:line="282" w:lineRule="auto"/>
        <w:rPr>
          <w:sz w:val="20"/>
          <w:szCs w:val="20"/>
          <w:color w:val="auto"/>
        </w:rPr>
      </w:pPr>
      <w:r>
        <w:rPr>
          <w:rFonts w:ascii="Arial" w:cs="Arial" w:eastAsia="Arial" w:hAnsi="Arial"/>
          <w:sz w:val="14"/>
          <w:szCs w:val="14"/>
          <w:color w:val="auto"/>
        </w:rPr>
        <w:t>In general, neither the grant nor the exercise of an incentive stock option will result in taxable income to an optionee or a deduction to PVH. However, for purposes of the alternative minimum tax, the spread on the exercise of an incentive stock option will be considered part of the optionee’s income.</w:t>
      </w:r>
    </w:p>
    <w:p>
      <w:pPr>
        <w:spacing w:after="0" w:line="57"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The sale of shares received pursuant to the exercise of an incentive stock option that satisfies the holding period rules will result in capital gain to an optionee and will not result in a tax deduction to PVH. To receive incentive stock option treatment as to the shares acquired upon exercise of an incentive stock option, an optionee must neither dispose of such shares within two years after such incentive stock option is granted nor within one year after such incentive stock option is exercised. In addition, an optionee generally must be a PVH associate, or an associate of one of our subsidiaries at all times between the date of grant and the date three months before exercise of such incentive stock option. If an incentive stock option is exercised more than three months after the termination of an optionee’s employment with us, the stock option will be treated as a nonqualified stock option.</w:t>
      </w:r>
    </w:p>
    <w:p>
      <w:pPr>
        <w:spacing w:after="0" w:line="89"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If the holding period rules are not satisfied, the portion of any gain recognized on the disposition of the shares of our common stock acquired upon the exercise of an incentive stock option that is equal to the lesser of (a) the fair market value of the shares on the date of exercise minus the option price or (b) the amount realized on the disposition minus the option price, will be treated as ordinary (compensation) income, with any remaining gain being treated as capital gain. We generally will be entitled to a deduction equal to the amount of such ordinary income.</w:t>
      </w:r>
    </w:p>
    <w:p>
      <w:pPr>
        <w:spacing w:after="0" w:line="73"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If an optionee makes payment of the option price by delivering shares of our common stock, the optionee generally will not recognize any gain as a result of such delivery, but the amount of gain, if any, that is not so recognized will be excluded from the optionee’s basis in the new shares received. However, the use by an optionee of shares previously acquired pursuant to the exercise of an incentive stock option to exercise a stock option will be treated as a taxable disposition if the transferred shares have not been held by the optionee for the requisite holding period.</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Nonqualified Stock Options</w:t>
      </w:r>
    </w:p>
    <w:p>
      <w:pPr>
        <w:spacing w:after="0" w:line="6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No income will be recognized by an optionee at the time a nonqualified stock option is granted. Ordinary income will be recognized by an optionee at the time a nonqualified stock option is exercised, and the amount of such income will be equal to the excess of the fair market value on the exercise date of the shares issued to the optionee over the option price. This ordinary (compensation) income will also constitute wages subject to withholding, and we will be required to make whatever arrangements are necessary to ensure that the amount of the tax required to be withheld is available for payment in money.</w:t>
      </w:r>
    </w:p>
    <w:p>
      <w:pPr>
        <w:spacing w:after="0" w:line="73" w:lineRule="exact"/>
        <w:rPr>
          <w:sz w:val="20"/>
          <w:szCs w:val="20"/>
          <w:color w:val="auto"/>
        </w:rPr>
      </w:pPr>
    </w:p>
    <w:p>
      <w:pPr>
        <w:ind w:right="340"/>
        <w:spacing w:after="0" w:line="282" w:lineRule="auto"/>
        <w:rPr>
          <w:sz w:val="20"/>
          <w:szCs w:val="20"/>
          <w:color w:val="auto"/>
        </w:rPr>
      </w:pPr>
      <w:r>
        <w:rPr>
          <w:rFonts w:ascii="Arial" w:cs="Arial" w:eastAsia="Arial" w:hAnsi="Arial"/>
          <w:sz w:val="14"/>
          <w:szCs w:val="14"/>
          <w:color w:val="auto"/>
        </w:rPr>
        <w:t>We will generally be entitled to a deduction for federal income tax purposes at such time and in the same amount that the optionee is required to include in the optionee’s income upon the exercise of a nonqualified stock option.</w:t>
      </w:r>
    </w:p>
    <w:p>
      <w:pPr>
        <w:spacing w:after="0" w:line="69"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If an optionee makes payment of the option price by delivering shares of our common stock, the optionee generally will not recognize any gain as a result of such delivery, but the amount of gain, if any, that is not so recognized will be excluded from the optionee’s basis in the new shares received.</w:t>
      </w:r>
    </w:p>
    <w:p>
      <w:pPr>
        <w:spacing w:after="0" w:line="57"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color w:val="auto"/>
        </w:rPr>
        <w:t>Capital gain or loss on a subsequent sale or other disposition of the shares acquired upon the exercise of a nonqualified stock option will be measured by the difference between the amount realized on the disposition and the tax basis of such shares. The tax basis of the shares acquired upon the exercise of any nonqualified stock option will be equal to the sum of the exercise price of such nonqualified stock option and the amount included in income with respect to such stock option. If an optionee transfers a stock option by gift, the optionee will recognize ordinary income at the time the transferee exercises the stock option. We will be required to report the ordinary income recognized by the optionee, and to withhold income and employment taxes, and pay our share of employment taxes, with respect to such ordinary income. The optionee may also be subject to federal gift tax on the value of the transferred stock option at the time the transfer of the stock option is considered completed for gift purposes. The Internal Revenue Service takes the position that the transfer is not complete until the stock option is fully vested.</w:t>
      </w:r>
    </w:p>
    <w:p>
      <w:pPr>
        <w:spacing w:after="0" w:line="16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92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PROPOSAL 3: APPROVAL OF AMENDMENTS TO THE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695515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880"/>
          </w:cols>
          <w:pgMar w:left="480" w:top="251" w:right="539" w:bottom="1440" w:gutter="0" w:footer="0" w:header="0"/>
        </w:sectPr>
      </w:pPr>
    </w:p>
    <w:bookmarkStart w:id="95" w:name="page96"/>
    <w:bookmarkEnd w:id="95"/>
    <w:p>
      <w:pPr>
        <w:spacing w:after="0"/>
        <w:rPr>
          <w:sz w:val="20"/>
          <w:szCs w:val="20"/>
          <w:color w:val="auto"/>
        </w:rPr>
      </w:pPr>
      <w:r>
        <w:rPr>
          <w:rFonts w:ascii="Arial" w:cs="Arial" w:eastAsia="Arial" w:hAnsi="Arial"/>
          <w:sz w:val="20"/>
          <w:szCs w:val="20"/>
          <w:b w:val="1"/>
          <w:bCs w:val="1"/>
          <w:color w:val="auto"/>
        </w:rPr>
        <w:t>Stock Appreciation Rights</w:t>
      </w:r>
    </w:p>
    <w:p>
      <w:pPr>
        <w:spacing w:after="0" w:line="68"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color w:val="auto"/>
        </w:rPr>
        <w:t>No taxable income is recognized when a SAR is granted to a participant. Upon exercise, the participant will recognize ordinary income in an amount equal to the amount of cash received and the fair market value of any shares of our common stock received. Any additional gain or loss recognized upon later disposition of the shares is capital gain or loss, which may be long-term or short-term capital gain or loss depending on the holding period.</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RSUs, Performance Shares and PSUs</w:t>
      </w:r>
    </w:p>
    <w:p>
      <w:pPr>
        <w:spacing w:after="0" w:line="68" w:lineRule="exact"/>
        <w:rPr>
          <w:sz w:val="20"/>
          <w:szCs w:val="20"/>
          <w:color w:val="auto"/>
        </w:rPr>
      </w:pPr>
    </w:p>
    <w:p>
      <w:pPr>
        <w:jc w:val="both"/>
        <w:ind w:right="60"/>
        <w:spacing w:after="0" w:line="264" w:lineRule="auto"/>
        <w:rPr>
          <w:sz w:val="20"/>
          <w:szCs w:val="20"/>
          <w:color w:val="auto"/>
        </w:rPr>
      </w:pPr>
      <w:r>
        <w:rPr>
          <w:rFonts w:ascii="Arial" w:cs="Arial" w:eastAsia="Arial" w:hAnsi="Arial"/>
          <w:sz w:val="14"/>
          <w:szCs w:val="14"/>
          <w:color w:val="auto"/>
        </w:rPr>
        <w:t>A participant generally will not have taxable income upon grant of restricted stock, RSUs, performance shares, or PSUs. Instead, the participant will recognize ordinary income at the time of vesting equal to the fair market value (on the vesting date) of the shares or cash received minus any amount paid. For restricted stock only, a participant instead may elect to be taxed at the time of grant.</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Stock-Based Awards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A participant generally will recognize income upon receipt of the shares subject to award (or, if later, at the time of vesting of such shares).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Effect for the Company</w:t>
      </w:r>
    </w:p>
    <w:p>
      <w:pPr>
        <w:spacing w:after="0" w:line="68"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We generally will be entitled to a tax deduction in connection with an award granted under the Stock Incentive Plan in an amount equal to the ordinary income realized by a participant and at the time the participant recognizes such income (for example, the exercise of a nonqualified stock option). Special rules limit the deductibility of compensation paid to the chief executive officer, to the chief financial officer and to each of the next three most highly compensated executive officers as well as certain current and former officers. Under Section 162(m) of the Code, the annual compensation paid to any of these specified executives will be deductible only to the extent that it does not exceed $1,000,000.</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New Plan Benefits</w:t>
      </w:r>
    </w:p>
    <w:p>
      <w:pPr>
        <w:spacing w:after="0" w:line="71"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 xml:space="preserve">The amounts that may be received under the Stock Incentive Plan in the future are not determinable, as the Stock Incentive Plan, as amended, will not be effective unless and until approved by our stockholders, and such amounts will depend on actions of the Committee, the performance of PVH and the value of our common stock. For details on the equity compensation grants made to our NEOs under the Stock Incentive Plan in 2025, </w:t>
      </w:r>
      <w:r>
        <w:rPr>
          <w:rFonts w:ascii="Arial" w:cs="Arial" w:eastAsia="Arial" w:hAnsi="Arial"/>
          <w:sz w:val="14"/>
          <w:szCs w:val="14"/>
          <w:i w:val="1"/>
          <w:iCs w:val="1"/>
          <w:color w:val="auto"/>
        </w:rPr>
        <w:t>see</w:t>
      </w:r>
      <w:r>
        <w:rPr>
          <w:rFonts w:ascii="Arial" w:cs="Arial" w:eastAsia="Arial" w:hAnsi="Arial"/>
          <w:sz w:val="14"/>
          <w:szCs w:val="14"/>
          <w:color w:val="auto"/>
        </w:rPr>
        <w:t xml:space="preserve"> “Grants of Plan-Based Awards” on page 63, and for details on the equity compensation grants made to our non-employee directors in 2025, </w:t>
      </w:r>
      <w:r>
        <w:rPr>
          <w:rFonts w:ascii="Arial" w:cs="Arial" w:eastAsia="Arial" w:hAnsi="Arial"/>
          <w:sz w:val="14"/>
          <w:szCs w:val="14"/>
          <w:i w:val="1"/>
          <w:iCs w:val="1"/>
          <w:color w:val="auto"/>
        </w:rPr>
        <w:t>see</w:t>
      </w:r>
      <w:r>
        <w:rPr>
          <w:rFonts w:ascii="Arial" w:cs="Arial" w:eastAsia="Arial" w:hAnsi="Arial"/>
          <w:sz w:val="14"/>
          <w:szCs w:val="14"/>
          <w:color w:val="auto"/>
        </w:rPr>
        <w:t xml:space="preserve"> “Director Compensation” beginning on page 35.</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PROPOSAL 3: APPROVAL OF AMENDMENTS TO THE STOCK INCENTIVE PLAN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695515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264" w:right="479" w:bottom="1440" w:gutter="0" w:footer="0" w:header="0"/>
        </w:sectPr>
      </w:pPr>
    </w:p>
    <w:bookmarkStart w:id="96" w:name="page97"/>
    <w:bookmarkEnd w:id="96"/>
    <w:p>
      <w:pPr>
        <w:ind w:left="20"/>
        <w:spacing w:after="0"/>
        <w:rPr>
          <w:sz w:val="20"/>
          <w:szCs w:val="20"/>
          <w:color w:val="auto"/>
        </w:rPr>
      </w:pPr>
      <w:r>
        <w:rPr>
          <w:rFonts w:ascii="Arial" w:cs="Arial" w:eastAsia="Arial" w:hAnsi="Arial"/>
          <w:sz w:val="41"/>
          <w:szCs w:val="41"/>
          <w:b w:val="1"/>
          <w:bCs w:val="1"/>
          <w:color w:val="6D98AD"/>
        </w:rPr>
        <w:t>Proposal 4</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Ratification of the</w:t>
      </w:r>
    </w:p>
    <w:p>
      <w:pPr>
        <w:ind w:left="20"/>
        <w:spacing w:after="0"/>
        <w:rPr>
          <w:sz w:val="20"/>
          <w:szCs w:val="20"/>
          <w:color w:val="auto"/>
        </w:rPr>
      </w:pPr>
      <w:r>
        <w:rPr>
          <w:rFonts w:ascii="Arial" w:cs="Arial" w:eastAsia="Arial" w:hAnsi="Arial"/>
          <w:sz w:val="40"/>
          <w:szCs w:val="40"/>
          <w:b w:val="1"/>
          <w:bCs w:val="1"/>
          <w:color w:val="auto"/>
        </w:rPr>
        <w:t>Appointment of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383540</wp:posOffset>
            </wp:positionV>
            <wp:extent cx="7620" cy="16979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20" cy="1697990"/>
                    </a:xfrm>
                    <a:prstGeom prst="rect">
                      <a:avLst/>
                    </a:prstGeom>
                    <a:noFill/>
                  </pic:spPr>
                </pic:pic>
              </a:graphicData>
            </a:graphic>
          </wp:anchor>
        </w:drawing>
      </w:r>
    </w:p>
    <w:p>
      <w:pPr>
        <w:sectPr>
          <w:pgSz w:w="11900" w:h="16838" w:orient="portrait"/>
          <w:cols w:equalWidth="0" w:num="1">
            <w:col w:w="10960"/>
          </w:cols>
          <w:pgMar w:left="460" w:top="9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right="140"/>
        <w:spacing w:after="0" w:line="258" w:lineRule="auto"/>
        <w:rPr>
          <w:sz w:val="20"/>
          <w:szCs w:val="20"/>
          <w:color w:val="auto"/>
        </w:rPr>
      </w:pPr>
      <w:r>
        <w:rPr>
          <w:rFonts w:ascii="Arial" w:cs="Arial" w:eastAsia="Arial" w:hAnsi="Arial"/>
          <w:sz w:val="14"/>
          <w:szCs w:val="14"/>
          <w:color w:val="auto"/>
        </w:rPr>
        <w:t>As a matter of good corporate governance, the Board of Directors is asking stockholders to ratify the selection of the independent auditor even though such ratification is not required. If our stockholders disapprove of the selection, the Board will ask the Audit &amp; Risk Management Committee to reconsider the selection for the fiscal year ending January 30, 2028, as it would be impracticable to replace our auditors so late in our current fiscal year.</w:t>
      </w:r>
    </w:p>
    <w:p>
      <w:pPr>
        <w:spacing w:after="0" w:line="73" w:lineRule="exact"/>
        <w:rPr>
          <w:sz w:val="20"/>
          <w:szCs w:val="20"/>
          <w:color w:val="auto"/>
        </w:rPr>
      </w:pPr>
    </w:p>
    <w:p>
      <w:pPr>
        <w:ind w:left="20"/>
        <w:spacing w:after="0" w:line="251" w:lineRule="auto"/>
        <w:rPr>
          <w:sz w:val="20"/>
          <w:szCs w:val="20"/>
          <w:color w:val="auto"/>
        </w:rPr>
      </w:pPr>
      <w:r>
        <w:rPr>
          <w:rFonts w:ascii="Arial" w:cs="Arial" w:eastAsia="Arial" w:hAnsi="Arial"/>
          <w:sz w:val="14"/>
          <w:szCs w:val="14"/>
          <w:color w:val="auto"/>
        </w:rPr>
        <w:t>The Audit &amp; Risk Management Committee is directly responsible for the appointment, compensation and oversight of the work of the independent auditor. The Committee has selected Ernst &amp; Young LLP as our independent auditors for the fiscal year ending January 31, 2027. Ernst &amp; Young or one of its predecessors has served continuously as our auditors since 1938. The Committee Chair is actively involved and consults with other members of the Committee regarding the appointment of Ernst &amp; Young’s lead engagement partner. The Audit &amp; Risk Management Committee evaluated Ernst &amp; Young’s institutional knowledge and experience, quality of service, sufficiency of resources, and quality of the team’s communications and interactions, as well as the teams’ objectivity and professionalism. As a result, the Committee and the Board believe the continued retention of Ernst &amp; Young to serve as our auditors is in the best interests of PVH and our stockholders.</w:t>
      </w:r>
    </w:p>
    <w:p>
      <w:pPr>
        <w:spacing w:after="0" w:line="90" w:lineRule="exact"/>
        <w:rPr>
          <w:sz w:val="20"/>
          <w:szCs w:val="20"/>
          <w:color w:val="auto"/>
        </w:rPr>
      </w:pPr>
    </w:p>
    <w:p>
      <w:pPr>
        <w:ind w:left="20" w:right="80"/>
        <w:spacing w:after="0" w:line="282" w:lineRule="auto"/>
        <w:rPr>
          <w:sz w:val="20"/>
          <w:szCs w:val="20"/>
          <w:color w:val="auto"/>
        </w:rPr>
      </w:pPr>
      <w:r>
        <w:rPr>
          <w:rFonts w:ascii="Arial" w:cs="Arial" w:eastAsia="Arial" w:hAnsi="Arial"/>
          <w:sz w:val="14"/>
          <w:szCs w:val="14"/>
          <w:color w:val="auto"/>
        </w:rPr>
        <w:t>We expect representatives of Ernst &amp; Young to attend the meeting. Those individuals will have the opportunity to make a statement if they wish and will be available to respond to appropriate questions from stockholders.</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6D98AD"/>
        </w:rPr>
        <w:t>Fees Paid to Auditors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The Board of Directors recommends a vote FOR the ratification of the appointment of the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-650240</wp:posOffset>
            </wp:positionV>
            <wp:extent cx="314325" cy="291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14325" cy="291465"/>
                    </a:xfrm>
                    <a:prstGeom prst="rect">
                      <a:avLst/>
                    </a:prstGeom>
                    <a:noFill/>
                  </pic:spPr>
                </pic:pic>
              </a:graphicData>
            </a:graphic>
          </wp:anchor>
        </w:drawing>
      </w:r>
    </w:p>
    <w:p>
      <w:pPr>
        <w:spacing w:after="0" w:line="49"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Proxies received in response to this solicitation will be voted FOR this proposal unless the stockholder specifies otherwise.</w:t>
      </w:r>
    </w:p>
    <w:p>
      <w:pPr>
        <w:spacing w:after="0" w:line="1403" w:lineRule="exact"/>
        <w:rPr>
          <w:sz w:val="20"/>
          <w:szCs w:val="20"/>
          <w:color w:val="auto"/>
        </w:rPr>
      </w:pPr>
    </w:p>
    <w:p>
      <w:pPr>
        <w:sectPr>
          <w:pgSz w:w="11900" w:h="16838" w:orient="portrait"/>
          <w:cols w:equalWidth="0" w:num="2">
            <w:col w:w="8380" w:space="280"/>
            <w:col w:w="2300"/>
          </w:cols>
          <w:pgMar w:left="460" w:top="94" w:right="479" w:bottom="1440" w:gutter="0" w:footer="0" w:header="0"/>
          <w:type w:val="continuous"/>
        </w:sectPr>
      </w:pPr>
    </w:p>
    <w:p>
      <w:pPr>
        <w:ind w:left="20" w:right="180"/>
        <w:spacing w:after="0" w:line="258" w:lineRule="auto"/>
        <w:rPr>
          <w:sz w:val="20"/>
          <w:szCs w:val="20"/>
          <w:color w:val="auto"/>
        </w:rPr>
      </w:pPr>
      <w:r>
        <w:rPr>
          <w:rFonts w:ascii="Arial" w:cs="Arial" w:eastAsia="Arial" w:hAnsi="Arial"/>
          <w:sz w:val="14"/>
          <w:szCs w:val="14"/>
          <w:color w:val="auto"/>
        </w:rPr>
        <w:t>The following table sets forth the aggregate fees billed by Ernst &amp; Young LLP, the member firms of Ernst &amp; Young LLP, and their respective affiliates for professional services rendered to us for the audit of our annual financial statements for the fiscal years ended February 1, 2026 and February 2, 2025, for the reviews of the financial statements included in our Quarterly Reports on Form 10-Q filed during those years, and for other services rendered on our behalf during those fiscal years. All such fees were pre-approved by the Audit &amp; Risk Management Committee.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100" w:type="dxa"/>
            <w:vAlign w:val="bottom"/>
            <w:shd w:val="clear" w:color="auto" w:fill="99B7C6"/>
          </w:tcPr>
          <w:p>
            <w:pPr>
              <w:spacing w:after="0"/>
              <w:rPr>
                <w:sz w:val="17"/>
                <w:szCs w:val="17"/>
                <w:color w:val="auto"/>
              </w:rPr>
            </w:pPr>
          </w:p>
        </w:tc>
        <w:tc>
          <w:tcPr>
            <w:tcW w:w="4740" w:type="dxa"/>
            <w:vAlign w:val="bottom"/>
            <w:shd w:val="clear" w:color="auto" w:fill="99B7C6"/>
          </w:tcPr>
          <w:p>
            <w:pPr>
              <w:jc w:val="right"/>
              <w:ind w:right="389"/>
              <w:spacing w:after="0"/>
              <w:rPr>
                <w:sz w:val="20"/>
                <w:szCs w:val="20"/>
                <w:color w:val="auto"/>
              </w:rPr>
            </w:pPr>
            <w:r>
              <w:rPr>
                <w:rFonts w:ascii="Arial" w:cs="Arial" w:eastAsia="Arial" w:hAnsi="Arial"/>
                <w:sz w:val="14"/>
                <w:szCs w:val="14"/>
                <w:b w:val="1"/>
                <w:bCs w:val="1"/>
                <w:color w:val="FFFFFF"/>
              </w:rPr>
              <w:t>2025</w:t>
            </w:r>
          </w:p>
        </w:tc>
        <w:tc>
          <w:tcPr>
            <w:tcW w:w="1100" w:type="dxa"/>
            <w:vAlign w:val="bottom"/>
            <w:shd w:val="clear" w:color="auto" w:fill="99B7C6"/>
          </w:tcPr>
          <w:p>
            <w:pPr>
              <w:jc w:val="right"/>
              <w:spacing w:after="0"/>
              <w:rPr>
                <w:sz w:val="20"/>
                <w:szCs w:val="20"/>
                <w:color w:val="auto"/>
              </w:rPr>
            </w:pPr>
            <w:r>
              <w:rPr>
                <w:rFonts w:ascii="Arial" w:cs="Arial" w:eastAsia="Arial" w:hAnsi="Arial"/>
                <w:sz w:val="14"/>
                <w:szCs w:val="14"/>
                <w:b w:val="1"/>
                <w:bCs w:val="1"/>
                <w:color w:val="FFFFFF"/>
              </w:rPr>
              <w:t>2024</w:t>
            </w:r>
          </w:p>
        </w:tc>
      </w:tr>
      <w:tr>
        <w:trPr>
          <w:trHeight w:val="213"/>
        </w:trPr>
        <w:tc>
          <w:tcPr>
            <w:tcW w:w="5100" w:type="dxa"/>
            <w:vAlign w:val="bottom"/>
            <w:shd w:val="clear" w:color="auto" w:fill="99B7C6"/>
          </w:tcPr>
          <w:p>
            <w:pPr>
              <w:spacing w:after="0"/>
              <w:rPr>
                <w:sz w:val="18"/>
                <w:szCs w:val="18"/>
                <w:color w:val="auto"/>
              </w:rPr>
            </w:pPr>
          </w:p>
        </w:tc>
        <w:tc>
          <w:tcPr>
            <w:tcW w:w="4740" w:type="dxa"/>
            <w:vAlign w:val="bottom"/>
            <w:shd w:val="clear" w:color="auto" w:fill="99B7C6"/>
          </w:tcPr>
          <w:p>
            <w:pPr>
              <w:jc w:val="right"/>
              <w:ind w:right="389"/>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99B7C6"/>
          </w:tcPr>
          <w:p>
            <w:pPr>
              <w:jc w:val="right"/>
              <w:spacing w:after="0"/>
              <w:rPr>
                <w:sz w:val="20"/>
                <w:szCs w:val="20"/>
                <w:color w:val="auto"/>
              </w:rPr>
            </w:pPr>
            <w:r>
              <w:rPr>
                <w:rFonts w:ascii="Arial" w:cs="Arial" w:eastAsia="Arial" w:hAnsi="Arial"/>
                <w:sz w:val="14"/>
                <w:szCs w:val="14"/>
                <w:b w:val="1"/>
                <w:bCs w:val="1"/>
                <w:color w:val="FFFFFF"/>
              </w:rPr>
              <w:t>($)</w:t>
            </w:r>
          </w:p>
        </w:tc>
      </w:tr>
      <w:tr>
        <w:trPr>
          <w:trHeight w:val="274"/>
        </w:trPr>
        <w:tc>
          <w:tcPr>
            <w:tcW w:w="510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b w:val="1"/>
                <w:bCs w:val="1"/>
                <w:color w:val="auto"/>
              </w:rPr>
              <w:t>Audit Fees</w:t>
            </w:r>
            <w:r>
              <w:rPr>
                <w:rFonts w:ascii="Arial" w:cs="Arial" w:eastAsia="Arial" w:hAnsi="Arial"/>
                <w:sz w:val="16"/>
                <w:szCs w:val="16"/>
                <w:b w:val="1"/>
                <w:bCs w:val="1"/>
                <w:color w:val="auto"/>
                <w:vertAlign w:val="superscript"/>
              </w:rPr>
              <w:t>1</w:t>
            </w:r>
          </w:p>
        </w:tc>
        <w:tc>
          <w:tcPr>
            <w:tcW w:w="4740" w:type="dxa"/>
            <w:vAlign w:val="bottom"/>
            <w:tcBorders>
              <w:bottom w:val="single" w:sz="8" w:color="E9F0F3"/>
            </w:tcBorders>
            <w:shd w:val="clear" w:color="auto" w:fill="E9F0F3"/>
          </w:tcPr>
          <w:p>
            <w:pPr>
              <w:jc w:val="right"/>
              <w:ind w:right="329"/>
              <w:spacing w:after="0"/>
              <w:rPr>
                <w:sz w:val="20"/>
                <w:szCs w:val="20"/>
                <w:color w:val="auto"/>
              </w:rPr>
            </w:pPr>
            <w:r>
              <w:rPr>
                <w:rFonts w:ascii="Arial" w:cs="Arial" w:eastAsia="Arial" w:hAnsi="Arial"/>
                <w:sz w:val="14"/>
                <w:szCs w:val="14"/>
                <w:color w:val="auto"/>
              </w:rPr>
              <w:t>9,722,000</w:t>
            </w:r>
          </w:p>
        </w:tc>
        <w:tc>
          <w:tcPr>
            <w:tcW w:w="1100" w:type="dxa"/>
            <w:vAlign w:val="bottom"/>
            <w:tcBorders>
              <w:bottom w:val="single" w:sz="8" w:color="E9F0F3"/>
            </w:tcBorders>
            <w:shd w:val="clear" w:color="auto" w:fill="E9F0F3"/>
          </w:tcPr>
          <w:p>
            <w:pPr>
              <w:jc w:val="right"/>
              <w:spacing w:after="0"/>
              <w:rPr>
                <w:sz w:val="20"/>
                <w:szCs w:val="20"/>
                <w:color w:val="auto"/>
              </w:rPr>
            </w:pPr>
            <w:r>
              <w:rPr>
                <w:rFonts w:ascii="Arial" w:cs="Arial" w:eastAsia="Arial" w:hAnsi="Arial"/>
                <w:sz w:val="14"/>
                <w:szCs w:val="14"/>
                <w:color w:val="auto"/>
              </w:rPr>
              <w:t>9,000,000</w:t>
            </w:r>
          </w:p>
        </w:tc>
      </w:tr>
      <w:tr>
        <w:trPr>
          <w:trHeight w:val="259"/>
        </w:trPr>
        <w:tc>
          <w:tcPr>
            <w:tcW w:w="5100" w:type="dxa"/>
            <w:vAlign w:val="bottom"/>
          </w:tcPr>
          <w:p>
            <w:pPr>
              <w:ind w:left="60"/>
              <w:spacing w:after="0"/>
              <w:rPr>
                <w:sz w:val="20"/>
                <w:szCs w:val="20"/>
                <w:color w:val="auto"/>
              </w:rPr>
            </w:pPr>
            <w:r>
              <w:rPr>
                <w:rFonts w:ascii="Arial" w:cs="Arial" w:eastAsia="Arial" w:hAnsi="Arial"/>
                <w:sz w:val="14"/>
                <w:szCs w:val="14"/>
                <w:b w:val="1"/>
                <w:bCs w:val="1"/>
                <w:color w:val="auto"/>
              </w:rPr>
              <w:t>Audit-Related Fees</w:t>
            </w:r>
            <w:r>
              <w:rPr>
                <w:rFonts w:ascii="Arial" w:cs="Arial" w:eastAsia="Arial" w:hAnsi="Arial"/>
                <w:sz w:val="16"/>
                <w:szCs w:val="16"/>
                <w:b w:val="1"/>
                <w:bCs w:val="1"/>
                <w:color w:val="auto"/>
                <w:vertAlign w:val="superscript"/>
              </w:rPr>
              <w:t>2</w:t>
            </w:r>
          </w:p>
        </w:tc>
        <w:tc>
          <w:tcPr>
            <w:tcW w:w="4740" w:type="dxa"/>
            <w:vAlign w:val="bottom"/>
          </w:tcPr>
          <w:p>
            <w:pPr>
              <w:jc w:val="right"/>
              <w:ind w:right="329"/>
              <w:spacing w:after="0"/>
              <w:rPr>
                <w:sz w:val="20"/>
                <w:szCs w:val="20"/>
                <w:color w:val="auto"/>
              </w:rPr>
            </w:pPr>
            <w:r>
              <w:rPr>
                <w:rFonts w:ascii="Arial" w:cs="Arial" w:eastAsia="Arial" w:hAnsi="Arial"/>
                <w:sz w:val="14"/>
                <w:szCs w:val="14"/>
                <w:color w:val="auto"/>
              </w:rPr>
              <w:t>351,000</w:t>
            </w:r>
          </w:p>
        </w:tc>
        <w:tc>
          <w:tcPr>
            <w:tcW w:w="1100" w:type="dxa"/>
            <w:vAlign w:val="bottom"/>
          </w:tcPr>
          <w:p>
            <w:pPr>
              <w:jc w:val="right"/>
              <w:spacing w:after="0"/>
              <w:rPr>
                <w:sz w:val="20"/>
                <w:szCs w:val="20"/>
                <w:color w:val="auto"/>
              </w:rPr>
            </w:pPr>
            <w:r>
              <w:rPr>
                <w:rFonts w:ascii="Arial" w:cs="Arial" w:eastAsia="Arial" w:hAnsi="Arial"/>
                <w:sz w:val="14"/>
                <w:szCs w:val="14"/>
                <w:color w:val="auto"/>
              </w:rPr>
              <w:t>201,000</w:t>
            </w:r>
          </w:p>
        </w:tc>
      </w:tr>
      <w:tr>
        <w:trPr>
          <w:trHeight w:val="35"/>
        </w:trPr>
        <w:tc>
          <w:tcPr>
            <w:tcW w:w="5100" w:type="dxa"/>
            <w:vAlign w:val="bottom"/>
          </w:tcPr>
          <w:p>
            <w:pPr>
              <w:spacing w:after="0"/>
              <w:rPr>
                <w:sz w:val="3"/>
                <w:szCs w:val="3"/>
                <w:color w:val="auto"/>
              </w:rPr>
            </w:pPr>
          </w:p>
        </w:tc>
        <w:tc>
          <w:tcPr>
            <w:tcW w:w="47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4"/>
        </w:trPr>
        <w:tc>
          <w:tcPr>
            <w:tcW w:w="510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b w:val="1"/>
                <w:bCs w:val="1"/>
                <w:color w:val="auto"/>
              </w:rPr>
              <w:t>Tax Fees</w:t>
            </w:r>
            <w:r>
              <w:rPr>
                <w:rFonts w:ascii="Arial" w:cs="Arial" w:eastAsia="Arial" w:hAnsi="Arial"/>
                <w:sz w:val="16"/>
                <w:szCs w:val="16"/>
                <w:b w:val="1"/>
                <w:bCs w:val="1"/>
                <w:color w:val="auto"/>
                <w:vertAlign w:val="superscript"/>
              </w:rPr>
              <w:t>3</w:t>
            </w:r>
          </w:p>
        </w:tc>
        <w:tc>
          <w:tcPr>
            <w:tcW w:w="4740" w:type="dxa"/>
            <w:vAlign w:val="bottom"/>
            <w:tcBorders>
              <w:bottom w:val="single" w:sz="8" w:color="E9F0F3"/>
            </w:tcBorders>
            <w:shd w:val="clear" w:color="auto" w:fill="E9F0F3"/>
          </w:tcPr>
          <w:p>
            <w:pPr>
              <w:jc w:val="right"/>
              <w:ind w:right="329"/>
              <w:spacing w:after="0"/>
              <w:rPr>
                <w:sz w:val="20"/>
                <w:szCs w:val="20"/>
                <w:color w:val="auto"/>
              </w:rPr>
            </w:pPr>
            <w:r>
              <w:rPr>
                <w:rFonts w:ascii="Arial" w:cs="Arial" w:eastAsia="Arial" w:hAnsi="Arial"/>
                <w:sz w:val="14"/>
                <w:szCs w:val="14"/>
                <w:color w:val="auto"/>
              </w:rPr>
              <w:t>2,267,288</w:t>
            </w:r>
          </w:p>
        </w:tc>
        <w:tc>
          <w:tcPr>
            <w:tcW w:w="1100" w:type="dxa"/>
            <w:vAlign w:val="bottom"/>
            <w:tcBorders>
              <w:bottom w:val="single" w:sz="8" w:color="E9F0F3"/>
            </w:tcBorders>
            <w:shd w:val="clear" w:color="auto" w:fill="E9F0F3"/>
          </w:tcPr>
          <w:p>
            <w:pPr>
              <w:jc w:val="right"/>
              <w:spacing w:after="0"/>
              <w:rPr>
                <w:sz w:val="20"/>
                <w:szCs w:val="20"/>
                <w:color w:val="auto"/>
              </w:rPr>
            </w:pPr>
            <w:r>
              <w:rPr>
                <w:rFonts w:ascii="Arial" w:cs="Arial" w:eastAsia="Arial" w:hAnsi="Arial"/>
                <w:sz w:val="14"/>
                <w:szCs w:val="14"/>
                <w:color w:val="auto"/>
              </w:rPr>
              <w:t>1,979,865</w:t>
            </w:r>
          </w:p>
        </w:tc>
      </w:tr>
      <w:tr>
        <w:trPr>
          <w:trHeight w:val="259"/>
        </w:trPr>
        <w:tc>
          <w:tcPr>
            <w:tcW w:w="5100" w:type="dxa"/>
            <w:vAlign w:val="bottom"/>
          </w:tcPr>
          <w:p>
            <w:pPr>
              <w:ind w:left="60"/>
              <w:spacing w:after="0"/>
              <w:rPr>
                <w:sz w:val="20"/>
                <w:szCs w:val="20"/>
                <w:color w:val="auto"/>
              </w:rPr>
            </w:pPr>
            <w:r>
              <w:rPr>
                <w:rFonts w:ascii="Arial" w:cs="Arial" w:eastAsia="Arial" w:hAnsi="Arial"/>
                <w:sz w:val="14"/>
                <w:szCs w:val="14"/>
                <w:b w:val="1"/>
                <w:bCs w:val="1"/>
                <w:color w:val="auto"/>
              </w:rPr>
              <w:t>All Other Fees</w:t>
            </w:r>
            <w:r>
              <w:rPr>
                <w:rFonts w:ascii="Arial" w:cs="Arial" w:eastAsia="Arial" w:hAnsi="Arial"/>
                <w:sz w:val="16"/>
                <w:szCs w:val="16"/>
                <w:b w:val="1"/>
                <w:bCs w:val="1"/>
                <w:color w:val="auto"/>
                <w:vertAlign w:val="superscript"/>
              </w:rPr>
              <w:t>4</w:t>
            </w:r>
          </w:p>
        </w:tc>
        <w:tc>
          <w:tcPr>
            <w:tcW w:w="4740" w:type="dxa"/>
            <w:vAlign w:val="bottom"/>
          </w:tcPr>
          <w:p>
            <w:pPr>
              <w:jc w:val="right"/>
              <w:ind w:right="329"/>
              <w:spacing w:after="0"/>
              <w:rPr>
                <w:sz w:val="20"/>
                <w:szCs w:val="20"/>
                <w:color w:val="auto"/>
              </w:rPr>
            </w:pPr>
            <w:r>
              <w:rPr>
                <w:rFonts w:ascii="Arial" w:cs="Arial" w:eastAsia="Arial" w:hAnsi="Arial"/>
                <w:sz w:val="14"/>
                <w:szCs w:val="14"/>
                <w:color w:val="auto"/>
              </w:rPr>
              <w:t>190,000</w:t>
            </w:r>
          </w:p>
        </w:tc>
        <w:tc>
          <w:tcPr>
            <w:tcW w:w="1100" w:type="dxa"/>
            <w:vAlign w:val="bottom"/>
          </w:tcPr>
          <w:p>
            <w:pPr>
              <w:jc w:val="right"/>
              <w:spacing w:after="0"/>
              <w:rPr>
                <w:sz w:val="20"/>
                <w:szCs w:val="20"/>
                <w:color w:val="auto"/>
              </w:rPr>
            </w:pPr>
            <w:r>
              <w:rPr>
                <w:rFonts w:ascii="Arial" w:cs="Arial" w:eastAsia="Arial" w:hAnsi="Arial"/>
                <w:sz w:val="14"/>
                <w:szCs w:val="14"/>
                <w:color w:val="auto"/>
              </w:rPr>
              <w:t>190,000</w:t>
            </w:r>
          </w:p>
        </w:tc>
      </w:tr>
    </w:tbl>
    <w:p>
      <w:pPr>
        <w:spacing w:after="0" w:line="157" w:lineRule="exact"/>
        <w:rPr>
          <w:sz w:val="20"/>
          <w:szCs w:val="20"/>
          <w:color w:val="auto"/>
        </w:rPr>
      </w:pPr>
    </w:p>
    <w:p>
      <w:pPr>
        <w:ind w:left="160" w:right="80" w:hanging="149"/>
        <w:spacing w:after="0" w:line="239" w:lineRule="auto"/>
        <w:tabs>
          <w:tab w:leader="none" w:pos="167" w:val="left"/>
        </w:tabs>
        <w:numPr>
          <w:ilvl w:val="0"/>
          <w:numId w:val="153"/>
        </w:numPr>
        <w:rPr>
          <w:rFonts w:ascii="Arial" w:cs="Arial" w:eastAsia="Arial" w:hAnsi="Arial"/>
          <w:sz w:val="13"/>
          <w:szCs w:val="13"/>
          <w:color w:val="auto"/>
        </w:rPr>
      </w:pPr>
      <w:r>
        <w:rPr>
          <w:rFonts w:ascii="Arial" w:cs="Arial" w:eastAsia="Arial" w:hAnsi="Arial"/>
          <w:sz w:val="13"/>
          <w:szCs w:val="13"/>
          <w:color w:val="auto"/>
        </w:rPr>
        <w:t>Consists of fees for professional services performed for the audit of our annual financial statements, the audit of internal control over financial reporting in conjunction with the audit of our annual consolidated financial statements, and reviews of financial statements included in our Quarterly Reports on Form 10-Q. Audit fees also include services that are normally provided in connection with statutory filing requirements and fees that are related to accounting consultations concerning financial accounting and reporting standards.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2  Includes fees that are related to certain attestation services related to financial reporting.</w:t>
      </w:r>
    </w:p>
    <w:p>
      <w:pPr>
        <w:spacing w:after="0" w:line="27" w:lineRule="exact"/>
        <w:rPr>
          <w:sz w:val="20"/>
          <w:szCs w:val="20"/>
          <w:color w:val="auto"/>
        </w:rPr>
      </w:pPr>
    </w:p>
    <w:p>
      <w:pPr>
        <w:ind w:left="180" w:hanging="169"/>
        <w:spacing w:after="0"/>
        <w:tabs>
          <w:tab w:leader="none" w:pos="18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Includes fees for services to assist us in the preparation of our tax returns and for the provision of tax advice. Such fees include tax compliance fees of $406,456 in 2025 and $313,361 in 2024.</w:t>
      </w:r>
    </w:p>
    <w:p>
      <w:pPr>
        <w:spacing w:after="0" w:line="50"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3"/>
          <w:szCs w:val="13"/>
          <w:color w:val="auto"/>
        </w:rPr>
        <w:t>4  Includes fees for services other than those reported in the other three categories. Such fees include an assessment of our cybersecurity program.</w:t>
      </w:r>
    </w:p>
    <w:p>
      <w:pPr>
        <w:spacing w:after="0" w:line="82" w:lineRule="exact"/>
        <w:rPr>
          <w:sz w:val="20"/>
          <w:szCs w:val="20"/>
          <w:color w:val="auto"/>
        </w:rPr>
      </w:pPr>
    </w:p>
    <w:p>
      <w:pPr>
        <w:ind w:left="20"/>
        <w:spacing w:after="0" w:line="258" w:lineRule="auto"/>
        <w:rPr>
          <w:sz w:val="20"/>
          <w:szCs w:val="20"/>
          <w:color w:val="auto"/>
        </w:rPr>
      </w:pPr>
      <w:r>
        <w:rPr>
          <w:rFonts w:ascii="Arial" w:cs="Arial" w:eastAsia="Arial" w:hAnsi="Arial"/>
          <w:sz w:val="14"/>
          <w:szCs w:val="14"/>
          <w:color w:val="auto"/>
        </w:rPr>
        <w:t>The Audit &amp; Risk Management Committee’s charter requires it to pre-approve at its meetings all audit and non-audit services provided by our outside auditors. The charter permits the Committee to delegate to any one or more of its members the authority to grant such pre-approvals. Any such delegation of authority may be subject to any rules or limitations the members deem appropriate. A member’s decision to pre-approve any services using such delegated authority must be presented to the full Committee at its next meeting.</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 xml:space="preserve">94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PROPOSAL 4: RATIFICATION OF THE APPOINTMENT OF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94" w:right="47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41"/>
          <w:szCs w:val="41"/>
          <w:b w:val="1"/>
          <w:bCs w:val="1"/>
          <w:color w:val="auto"/>
        </w:rPr>
        <w:t>Audit Committee Report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PVH management has the primary responsibility for the financial statements and the reporting process, including the system of internal controls. The independent auditors audit the financial statements and express an opinion on the financial statements based on their audit. The Audit &amp; Risk Management Committee is directly responsible for the appointment, compensation and oversight of the independent auditors, and reviews PVH’s financial reporting process on behalf of the Board of Directors.</w:t>
      </w:r>
    </w:p>
    <w:p>
      <w:pPr>
        <w:spacing w:after="0" w:line="69" w:lineRule="exact"/>
        <w:rPr>
          <w:sz w:val="20"/>
          <w:szCs w:val="20"/>
          <w:color w:val="auto"/>
        </w:rPr>
      </w:pPr>
    </w:p>
    <w:p>
      <w:pPr>
        <w:jc w:val="both"/>
        <w:ind w:right="120"/>
        <w:spacing w:after="0" w:line="258" w:lineRule="auto"/>
        <w:rPr>
          <w:sz w:val="20"/>
          <w:szCs w:val="20"/>
          <w:color w:val="auto"/>
        </w:rPr>
      </w:pPr>
      <w:r>
        <w:rPr>
          <w:rFonts w:ascii="Arial" w:cs="Arial" w:eastAsia="Arial" w:hAnsi="Arial"/>
          <w:sz w:val="14"/>
          <w:szCs w:val="14"/>
          <w:color w:val="auto"/>
        </w:rPr>
        <w:t>The Audit &amp; Risk Management Committee, in evaluating and selecting the independent auditors, considers, among other things, external data on the audit quality of the audit firm, including recent Public Company Accounting Oversight Board (“PCAOB”) reports; the audit firm’s industry experience, capabilities, and approach in handling the breadth and complexity of PVH’s global operations; the quality and consistency of the audit firm’s personnel and communication; the appropriateness of the audit firm’s fees; and the independence and objectivity of the audit firm.</w:t>
      </w:r>
    </w:p>
    <w:p>
      <w:pPr>
        <w:spacing w:after="0" w:line="85"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As part of its oversight of PVH’s financial statements and reporting process, the Committee has met and held discussions with management, internal auditing staff and Ernst &amp; Young LLP, the independent auditors. Management represented to the Committee that the consolidated financial statements were prepared in accordance with accounting principles generally accepted in the United States, and the Committee has reviewed and discussed the audited consolidated financial statements with management and the independent auditors. The Committee discussed with the independent auditors matters required to be discussed by the applicable requirements of the PCAOB and the SEC.</w:t>
      </w:r>
    </w:p>
    <w:p>
      <w:pPr>
        <w:spacing w:after="0" w:line="73"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In addition, the Committee has received the written disclosures and the letter from the independent auditors required by applicable requirements of the PCAOB regarding the independent auditors’ communications with the Committee concerning independence, and has discussed with the independent auditors the auditors’ independence from PVH and PVH management. The Committee also has considered whether the independent auditors’ provision of non-audit services to PVH is compatible with the auditors’ independence.</w:t>
      </w:r>
    </w:p>
    <w:p>
      <w:pPr>
        <w:spacing w:after="0" w:line="73" w:lineRule="exact"/>
        <w:rPr>
          <w:sz w:val="20"/>
          <w:szCs w:val="20"/>
          <w:color w:val="auto"/>
        </w:rPr>
      </w:pPr>
    </w:p>
    <w:p>
      <w:pPr>
        <w:jc w:val="both"/>
        <w:ind w:right="540"/>
        <w:spacing w:after="0" w:line="264" w:lineRule="auto"/>
        <w:rPr>
          <w:sz w:val="20"/>
          <w:szCs w:val="20"/>
          <w:color w:val="auto"/>
        </w:rPr>
      </w:pPr>
      <w:r>
        <w:rPr>
          <w:rFonts w:ascii="Arial" w:cs="Arial" w:eastAsia="Arial" w:hAnsi="Arial"/>
          <w:sz w:val="14"/>
          <w:szCs w:val="14"/>
          <w:color w:val="auto"/>
        </w:rPr>
        <w:t>The Committee discussed with the internal and independent auditors the overall scope and plans for their respective audits. It meets with the internal and independent auditors, with and without management present, to discuss the results of their examinations, the evaluations of PVH’s internal controls, and the overall quality of PVH’s financial reporting.</w:t>
      </w:r>
    </w:p>
    <w:p>
      <w:pPr>
        <w:spacing w:after="0" w:line="81"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In reliance on the reviews and discussions referred to above, the Committee recommended to the Board that the audited consolidated financial statements be included in PVH’s Annual Report on Form 10-K for the year ended February 1, 2026, as filed with the SEC. The Committee also has recommended stockholder ratification of the selection of the independent auditors.</w:t>
      </w:r>
    </w:p>
    <w:p>
      <w:pPr>
        <w:spacing w:after="0" w:line="69"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The members of the Committee reviewed and met with management and the independent auditors on a quarterly basis to discuss PVH’s earnings releases and, as applicable, PVH’s Quarterly Reports on Form 10-Q and Annual Report on Form 10-K. The Committee also reviews and, when needed, meets to discuss earnings guidance issued other than in quarterly earnings releases.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&amp; Risk Management Committee</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Brent Callinicos, Chair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Jesper Andersen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Ajay Bhalla</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Kate Gulliver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Amy McPherson</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AUDIT COMMITTEE REPORT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6955155"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94" w:right="479" w:bottom="1440" w:gutter="0" w:footer="0" w:header="0"/>
        </w:sectPr>
      </w:pPr>
    </w:p>
    <w:bookmarkStart w:id="98" w:name="page99"/>
    <w:bookmarkEnd w:id="98"/>
    <w:p>
      <w:pPr>
        <w:ind w:left="20" w:right="580"/>
        <w:spacing w:after="0" w:line="280" w:lineRule="auto"/>
        <w:rPr>
          <w:sz w:val="20"/>
          <w:szCs w:val="20"/>
          <w:color w:val="auto"/>
        </w:rPr>
      </w:pPr>
      <w:r>
        <w:rPr>
          <w:rFonts w:ascii="Arial" w:cs="Arial" w:eastAsia="Arial" w:hAnsi="Arial"/>
          <w:sz w:val="41"/>
          <w:szCs w:val="41"/>
          <w:b w:val="1"/>
          <w:bCs w:val="1"/>
          <w:color w:val="auto"/>
        </w:rPr>
        <w:t>Security Ownership of Certain Beneficial Owners and Management</w:t>
      </w: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6D98AD"/>
        </w:rPr>
        <w:t>5% Stockholders</w:t>
      </w:r>
    </w:p>
    <w:p>
      <w:pPr>
        <w:spacing w:after="0" w:line="114" w:lineRule="exact"/>
        <w:rPr>
          <w:sz w:val="20"/>
          <w:szCs w:val="20"/>
          <w:color w:val="auto"/>
        </w:rPr>
      </w:pPr>
    </w:p>
    <w:p>
      <w:pPr>
        <w:ind w:left="20"/>
        <w:spacing w:after="0" w:line="282" w:lineRule="auto"/>
        <w:rPr>
          <w:sz w:val="20"/>
          <w:szCs w:val="20"/>
          <w:color w:val="auto"/>
        </w:rPr>
      </w:pPr>
      <w:r>
        <w:rPr>
          <w:rFonts w:ascii="Arial" w:cs="Arial" w:eastAsia="Arial" w:hAnsi="Arial"/>
          <w:sz w:val="14"/>
          <w:szCs w:val="14"/>
          <w:color w:val="auto"/>
        </w:rPr>
        <w:t>The following table presents certain information with respect to the persons who are known by us to be the beneficial owners of more than five percent of our common stock as of the record date for the meeting.</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persons listed below have advised us that they have sole voting and investment power with respect to the shares listed as owned by them, except as otherwise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vMerge w:val="restart"/>
            <w:shd w:val="clear" w:color="auto" w:fill="99B7C6"/>
          </w:tcPr>
          <w:p>
            <w:pPr>
              <w:ind w:left="60"/>
              <w:spacing w:after="0"/>
              <w:rPr>
                <w:sz w:val="20"/>
                <w:szCs w:val="20"/>
                <w:color w:val="auto"/>
              </w:rPr>
            </w:pPr>
            <w:r>
              <w:rPr>
                <w:rFonts w:ascii="Arial" w:cs="Arial" w:eastAsia="Arial" w:hAnsi="Arial"/>
                <w:sz w:val="11"/>
                <w:szCs w:val="11"/>
                <w:b w:val="1"/>
                <w:bCs w:val="1"/>
                <w:color w:val="FFFFFF"/>
              </w:rPr>
              <w:t>Name and Address of Beneficial Owner</w:t>
            </w:r>
          </w:p>
        </w:tc>
        <w:tc>
          <w:tcPr>
            <w:tcW w:w="4260" w:type="dxa"/>
            <w:vAlign w:val="bottom"/>
            <w:shd w:val="clear" w:color="auto" w:fill="99B7C6"/>
          </w:tcPr>
          <w:p>
            <w:pPr>
              <w:jc w:val="right"/>
              <w:ind w:right="274"/>
              <w:spacing w:after="0"/>
              <w:rPr>
                <w:sz w:val="20"/>
                <w:szCs w:val="20"/>
                <w:color w:val="auto"/>
              </w:rPr>
            </w:pPr>
            <w:r>
              <w:rPr>
                <w:rFonts w:ascii="Arial" w:cs="Arial" w:eastAsia="Arial" w:hAnsi="Arial"/>
                <w:sz w:val="11"/>
                <w:szCs w:val="11"/>
                <w:b w:val="1"/>
                <w:bCs w:val="1"/>
                <w:color w:val="FFFFFF"/>
              </w:rPr>
              <w:t>Amount Beneficially</w:t>
            </w:r>
          </w:p>
        </w:tc>
        <w:tc>
          <w:tcPr>
            <w:tcW w:w="1240" w:type="dxa"/>
            <w:vAlign w:val="bottom"/>
            <w:vMerge w:val="restart"/>
            <w:shd w:val="clear" w:color="auto" w:fill="99B7C6"/>
          </w:tcPr>
          <w:p>
            <w:pPr>
              <w:jc w:val="right"/>
              <w:ind w:right="12"/>
              <w:spacing w:after="0"/>
              <w:rPr>
                <w:sz w:val="20"/>
                <w:szCs w:val="20"/>
                <w:color w:val="auto"/>
              </w:rPr>
            </w:pPr>
            <w:r>
              <w:rPr>
                <w:rFonts w:ascii="Arial" w:cs="Arial" w:eastAsia="Arial" w:hAnsi="Arial"/>
                <w:sz w:val="11"/>
                <w:szCs w:val="11"/>
                <w:b w:val="1"/>
                <w:bCs w:val="1"/>
                <w:color w:val="FFFFFF"/>
              </w:rPr>
              <w:t>Percent of Class</w:t>
            </w:r>
          </w:p>
        </w:tc>
        <w:tc>
          <w:tcPr>
            <w:tcW w:w="0" w:type="dxa"/>
            <w:vAlign w:val="bottom"/>
          </w:tcPr>
          <w:p>
            <w:pPr>
              <w:spacing w:after="0"/>
              <w:rPr>
                <w:sz w:val="1"/>
                <w:szCs w:val="1"/>
                <w:color w:val="auto"/>
              </w:rPr>
            </w:pPr>
          </w:p>
        </w:tc>
      </w:tr>
      <w:tr>
        <w:trPr>
          <w:trHeight w:val="168"/>
        </w:trPr>
        <w:tc>
          <w:tcPr>
            <w:tcW w:w="5440" w:type="dxa"/>
            <w:vAlign w:val="bottom"/>
            <w:vMerge w:val="continue"/>
            <w:shd w:val="clear" w:color="auto" w:fill="99B7C6"/>
          </w:tcPr>
          <w:p>
            <w:pPr>
              <w:spacing w:after="0"/>
              <w:rPr>
                <w:sz w:val="14"/>
                <w:szCs w:val="14"/>
                <w:color w:val="auto"/>
              </w:rPr>
            </w:pPr>
          </w:p>
        </w:tc>
        <w:tc>
          <w:tcPr>
            <w:tcW w:w="4260" w:type="dxa"/>
            <w:vAlign w:val="bottom"/>
            <w:shd w:val="clear" w:color="auto" w:fill="99B7C6"/>
          </w:tcPr>
          <w:p>
            <w:pPr>
              <w:jc w:val="right"/>
              <w:ind w:right="234"/>
              <w:spacing w:after="0"/>
              <w:rPr>
                <w:sz w:val="20"/>
                <w:szCs w:val="20"/>
                <w:color w:val="auto"/>
              </w:rPr>
            </w:pPr>
            <w:r>
              <w:rPr>
                <w:rFonts w:ascii="Arial" w:cs="Arial" w:eastAsia="Arial" w:hAnsi="Arial"/>
                <w:sz w:val="11"/>
                <w:szCs w:val="11"/>
                <w:b w:val="1"/>
                <w:bCs w:val="1"/>
                <w:color w:val="FFFFFF"/>
              </w:rPr>
              <w:t>Owned</w:t>
            </w:r>
          </w:p>
        </w:tc>
        <w:tc>
          <w:tcPr>
            <w:tcW w:w="1240" w:type="dxa"/>
            <w:vAlign w:val="bottom"/>
            <w:vMerge w:val="continue"/>
            <w:shd w:val="clear" w:color="auto" w:fill="99B7C6"/>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544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FMR LLC</w:t>
            </w:r>
            <w:r>
              <w:rPr>
                <w:rFonts w:ascii="Arial" w:cs="Arial" w:eastAsia="Arial" w:hAnsi="Arial"/>
                <w:sz w:val="16"/>
                <w:szCs w:val="16"/>
                <w:b w:val="1"/>
                <w:bCs w:val="1"/>
                <w:color w:val="auto"/>
                <w:vertAlign w:val="superscript"/>
              </w:rPr>
              <w:t>1</w:t>
            </w:r>
          </w:p>
        </w:tc>
        <w:tc>
          <w:tcPr>
            <w:tcW w:w="4260" w:type="dxa"/>
            <w:vAlign w:val="bottom"/>
            <w:shd w:val="clear" w:color="auto" w:fill="E9F0F3"/>
          </w:tcPr>
          <w:p>
            <w:pPr>
              <w:jc w:val="right"/>
              <w:ind w:right="234"/>
              <w:spacing w:after="0"/>
              <w:rPr>
                <w:sz w:val="20"/>
                <w:szCs w:val="20"/>
                <w:color w:val="auto"/>
              </w:rPr>
            </w:pPr>
            <w:r>
              <w:rPr>
                <w:rFonts w:ascii="Arial" w:cs="Arial" w:eastAsia="Arial" w:hAnsi="Arial"/>
                <w:sz w:val="14"/>
                <w:szCs w:val="14"/>
                <w:color w:val="auto"/>
              </w:rPr>
              <w:t>6,717,443</w:t>
            </w:r>
          </w:p>
        </w:tc>
        <w:tc>
          <w:tcPr>
            <w:tcW w:w="12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86"/>
        </w:trPr>
        <w:tc>
          <w:tcPr>
            <w:tcW w:w="5440" w:type="dxa"/>
            <w:vAlign w:val="bottom"/>
            <w:shd w:val="clear" w:color="auto" w:fill="E9F0F3"/>
          </w:tcPr>
          <w:p>
            <w:pPr>
              <w:ind w:left="60"/>
              <w:spacing w:after="0"/>
              <w:rPr>
                <w:sz w:val="20"/>
                <w:szCs w:val="20"/>
                <w:color w:val="auto"/>
              </w:rPr>
            </w:pPr>
            <w:r>
              <w:rPr>
                <w:rFonts w:ascii="Arial" w:cs="Arial" w:eastAsia="Arial" w:hAnsi="Arial"/>
                <w:sz w:val="14"/>
                <w:szCs w:val="14"/>
                <w:color w:val="auto"/>
              </w:rPr>
              <w:t>245 Summer Street</w:t>
            </w:r>
          </w:p>
        </w:tc>
        <w:tc>
          <w:tcPr>
            <w:tcW w:w="4260" w:type="dxa"/>
            <w:vAlign w:val="bottom"/>
            <w:shd w:val="clear" w:color="auto" w:fill="E9F0F3"/>
          </w:tcPr>
          <w:p>
            <w:pPr>
              <w:spacing w:after="0"/>
              <w:rPr>
                <w:sz w:val="16"/>
                <w:szCs w:val="16"/>
                <w:color w:val="auto"/>
              </w:rPr>
            </w:pPr>
          </w:p>
        </w:tc>
        <w:tc>
          <w:tcPr>
            <w:tcW w:w="1240" w:type="dxa"/>
            <w:vAlign w:val="bottom"/>
            <w:shd w:val="clear" w:color="auto" w:fill="E9F0F3"/>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40" w:type="dxa"/>
            <w:vAlign w:val="bottom"/>
            <w:shd w:val="clear" w:color="auto" w:fill="E9F0F3"/>
          </w:tcPr>
          <w:p>
            <w:pPr>
              <w:ind w:left="60"/>
              <w:spacing w:after="0"/>
              <w:rPr>
                <w:sz w:val="20"/>
                <w:szCs w:val="20"/>
                <w:color w:val="auto"/>
              </w:rPr>
            </w:pPr>
            <w:r>
              <w:rPr>
                <w:rFonts w:ascii="Arial" w:cs="Arial" w:eastAsia="Arial" w:hAnsi="Arial"/>
                <w:sz w:val="14"/>
                <w:szCs w:val="14"/>
                <w:color w:val="auto"/>
              </w:rPr>
              <w:t>Boston, MA 02210</w:t>
            </w:r>
          </w:p>
        </w:tc>
        <w:tc>
          <w:tcPr>
            <w:tcW w:w="4260" w:type="dxa"/>
            <w:vAlign w:val="bottom"/>
            <w:shd w:val="clear" w:color="auto" w:fill="E9F0F3"/>
          </w:tcPr>
          <w:p>
            <w:pPr>
              <w:spacing w:after="0"/>
              <w:rPr>
                <w:sz w:val="18"/>
                <w:szCs w:val="18"/>
                <w:color w:val="auto"/>
              </w:rPr>
            </w:pPr>
          </w:p>
        </w:tc>
        <w:tc>
          <w:tcPr>
            <w:tcW w:w="1240" w:type="dxa"/>
            <w:vAlign w:val="bottom"/>
            <w:shd w:val="clear" w:color="auto" w:fill="E9F0F3"/>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5440" w:type="dxa"/>
            <w:vAlign w:val="bottom"/>
            <w:shd w:val="clear" w:color="auto" w:fill="E9F0F3"/>
          </w:tcPr>
          <w:p>
            <w:pPr>
              <w:spacing w:after="0"/>
              <w:rPr>
                <w:sz w:val="6"/>
                <w:szCs w:val="6"/>
                <w:color w:val="auto"/>
              </w:rPr>
            </w:pPr>
          </w:p>
        </w:tc>
        <w:tc>
          <w:tcPr>
            <w:tcW w:w="4260" w:type="dxa"/>
            <w:vAlign w:val="bottom"/>
            <w:shd w:val="clear" w:color="auto" w:fill="E9F0F3"/>
          </w:tcPr>
          <w:p>
            <w:pPr>
              <w:spacing w:after="0"/>
              <w:rPr>
                <w:sz w:val="6"/>
                <w:szCs w:val="6"/>
                <w:color w:val="auto"/>
              </w:rPr>
            </w:pPr>
          </w:p>
        </w:tc>
        <w:tc>
          <w:tcPr>
            <w:tcW w:w="124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5440" w:type="dxa"/>
            <w:vAlign w:val="bottom"/>
          </w:tcPr>
          <w:p>
            <w:pPr>
              <w:ind w:left="60"/>
              <w:spacing w:after="0"/>
              <w:rPr>
                <w:sz w:val="20"/>
                <w:szCs w:val="20"/>
                <w:color w:val="auto"/>
              </w:rPr>
            </w:pPr>
            <w:r>
              <w:rPr>
                <w:rFonts w:ascii="Arial" w:cs="Arial" w:eastAsia="Arial" w:hAnsi="Arial"/>
                <w:sz w:val="14"/>
                <w:szCs w:val="14"/>
                <w:b w:val="1"/>
                <w:bCs w:val="1"/>
                <w:color w:val="auto"/>
              </w:rPr>
              <w:t>Pzena Investment Management, LLC</w:t>
            </w:r>
            <w:r>
              <w:rPr>
                <w:rFonts w:ascii="Arial" w:cs="Arial" w:eastAsia="Arial" w:hAnsi="Arial"/>
                <w:sz w:val="16"/>
                <w:szCs w:val="16"/>
                <w:b w:val="1"/>
                <w:bCs w:val="1"/>
                <w:color w:val="auto"/>
                <w:vertAlign w:val="superscript"/>
              </w:rPr>
              <w:t>2</w:t>
            </w:r>
          </w:p>
        </w:tc>
        <w:tc>
          <w:tcPr>
            <w:tcW w:w="4260" w:type="dxa"/>
            <w:vAlign w:val="bottom"/>
          </w:tcPr>
          <w:p>
            <w:pPr>
              <w:jc w:val="right"/>
              <w:ind w:right="234"/>
              <w:spacing w:after="0"/>
              <w:rPr>
                <w:sz w:val="20"/>
                <w:szCs w:val="20"/>
                <w:color w:val="auto"/>
              </w:rPr>
            </w:pPr>
            <w:r>
              <w:rPr>
                <w:rFonts w:ascii="Arial" w:cs="Arial" w:eastAsia="Arial" w:hAnsi="Arial"/>
                <w:sz w:val="14"/>
                <w:szCs w:val="14"/>
                <w:color w:val="auto"/>
              </w:rPr>
              <w:t>6,465,818</w:t>
            </w: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86"/>
        </w:trPr>
        <w:tc>
          <w:tcPr>
            <w:tcW w:w="5440" w:type="dxa"/>
            <w:vAlign w:val="bottom"/>
          </w:tcPr>
          <w:p>
            <w:pPr>
              <w:ind w:left="60"/>
              <w:spacing w:after="0"/>
              <w:rPr>
                <w:sz w:val="20"/>
                <w:szCs w:val="20"/>
                <w:color w:val="auto"/>
              </w:rPr>
            </w:pPr>
            <w:r>
              <w:rPr>
                <w:rFonts w:ascii="Arial" w:cs="Arial" w:eastAsia="Arial" w:hAnsi="Arial"/>
                <w:sz w:val="14"/>
                <w:szCs w:val="14"/>
                <w:color w:val="auto"/>
              </w:rPr>
              <w:t>320 Park Avenue, 8th Floor</w:t>
            </w:r>
          </w:p>
        </w:tc>
        <w:tc>
          <w:tcPr>
            <w:tcW w:w="4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40" w:type="dxa"/>
            <w:vAlign w:val="bottom"/>
          </w:tcPr>
          <w:p>
            <w:pPr>
              <w:ind w:left="60"/>
              <w:spacing w:after="0"/>
              <w:rPr>
                <w:sz w:val="20"/>
                <w:szCs w:val="20"/>
                <w:color w:val="auto"/>
              </w:rPr>
            </w:pPr>
            <w:r>
              <w:rPr>
                <w:rFonts w:ascii="Arial" w:cs="Arial" w:eastAsia="Arial" w:hAnsi="Arial"/>
                <w:sz w:val="14"/>
                <w:szCs w:val="14"/>
                <w:color w:val="auto"/>
              </w:rPr>
              <w:t>New York, NY 10022</w:t>
            </w:r>
          </w:p>
        </w:tc>
        <w:tc>
          <w:tcPr>
            <w:tcW w:w="4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5440" w:type="dxa"/>
            <w:vAlign w:val="bottom"/>
          </w:tcPr>
          <w:p>
            <w:pPr>
              <w:spacing w:after="0"/>
              <w:rPr>
                <w:sz w:val="6"/>
                <w:szCs w:val="6"/>
                <w:color w:val="auto"/>
              </w:rPr>
            </w:pPr>
          </w:p>
        </w:tc>
        <w:tc>
          <w:tcPr>
            <w:tcW w:w="4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544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Blackrock, Inc</w:t>
            </w:r>
            <w:r>
              <w:rPr>
                <w:rFonts w:ascii="Arial" w:cs="Arial" w:eastAsia="Arial" w:hAnsi="Arial"/>
                <w:sz w:val="16"/>
                <w:szCs w:val="16"/>
                <w:b w:val="1"/>
                <w:bCs w:val="1"/>
                <w:color w:val="auto"/>
                <w:vertAlign w:val="superscript"/>
              </w:rPr>
              <w:t>3</w:t>
            </w:r>
          </w:p>
        </w:tc>
        <w:tc>
          <w:tcPr>
            <w:tcW w:w="4260" w:type="dxa"/>
            <w:vAlign w:val="bottom"/>
            <w:shd w:val="clear" w:color="auto" w:fill="E9F0F3"/>
          </w:tcPr>
          <w:p>
            <w:pPr>
              <w:jc w:val="right"/>
              <w:ind w:right="234"/>
              <w:spacing w:after="0"/>
              <w:rPr>
                <w:sz w:val="20"/>
                <w:szCs w:val="20"/>
                <w:color w:val="auto"/>
              </w:rPr>
            </w:pPr>
            <w:r>
              <w:rPr>
                <w:rFonts w:ascii="Arial" w:cs="Arial" w:eastAsia="Arial" w:hAnsi="Arial"/>
                <w:sz w:val="14"/>
                <w:szCs w:val="14"/>
                <w:color w:val="auto"/>
              </w:rPr>
              <w:t>4,342,928</w:t>
            </w:r>
          </w:p>
        </w:tc>
        <w:tc>
          <w:tcPr>
            <w:tcW w:w="12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6"/>
        </w:trPr>
        <w:tc>
          <w:tcPr>
            <w:tcW w:w="5440" w:type="dxa"/>
            <w:vAlign w:val="bottom"/>
            <w:shd w:val="clear" w:color="auto" w:fill="E9F0F3"/>
          </w:tcPr>
          <w:p>
            <w:pPr>
              <w:ind w:left="60"/>
              <w:spacing w:after="0"/>
              <w:rPr>
                <w:sz w:val="20"/>
                <w:szCs w:val="20"/>
                <w:color w:val="auto"/>
              </w:rPr>
            </w:pPr>
            <w:r>
              <w:rPr>
                <w:rFonts w:ascii="Arial" w:cs="Arial" w:eastAsia="Arial" w:hAnsi="Arial"/>
                <w:sz w:val="14"/>
                <w:szCs w:val="14"/>
                <w:color w:val="auto"/>
              </w:rPr>
              <w:t>50 Hudson Yards</w:t>
            </w:r>
          </w:p>
        </w:tc>
        <w:tc>
          <w:tcPr>
            <w:tcW w:w="4260" w:type="dxa"/>
            <w:vAlign w:val="bottom"/>
            <w:shd w:val="clear" w:color="auto" w:fill="E9F0F3"/>
          </w:tcPr>
          <w:p>
            <w:pPr>
              <w:spacing w:after="0"/>
              <w:rPr>
                <w:sz w:val="16"/>
                <w:szCs w:val="16"/>
                <w:color w:val="auto"/>
              </w:rPr>
            </w:pPr>
          </w:p>
        </w:tc>
        <w:tc>
          <w:tcPr>
            <w:tcW w:w="1240" w:type="dxa"/>
            <w:vAlign w:val="bottom"/>
            <w:shd w:val="clear" w:color="auto" w:fill="E9F0F3"/>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40" w:type="dxa"/>
            <w:vAlign w:val="bottom"/>
            <w:shd w:val="clear" w:color="auto" w:fill="E9F0F3"/>
          </w:tcPr>
          <w:p>
            <w:pPr>
              <w:ind w:left="60"/>
              <w:spacing w:after="0"/>
              <w:rPr>
                <w:sz w:val="20"/>
                <w:szCs w:val="20"/>
                <w:color w:val="auto"/>
              </w:rPr>
            </w:pPr>
            <w:r>
              <w:rPr>
                <w:rFonts w:ascii="Arial" w:cs="Arial" w:eastAsia="Arial" w:hAnsi="Arial"/>
                <w:sz w:val="14"/>
                <w:szCs w:val="14"/>
                <w:color w:val="auto"/>
              </w:rPr>
              <w:t>New York, NY 10001</w:t>
            </w:r>
          </w:p>
        </w:tc>
        <w:tc>
          <w:tcPr>
            <w:tcW w:w="4260" w:type="dxa"/>
            <w:vAlign w:val="bottom"/>
            <w:shd w:val="clear" w:color="auto" w:fill="E9F0F3"/>
          </w:tcPr>
          <w:p>
            <w:pPr>
              <w:spacing w:after="0"/>
              <w:rPr>
                <w:sz w:val="18"/>
                <w:szCs w:val="18"/>
                <w:color w:val="auto"/>
              </w:rPr>
            </w:pPr>
          </w:p>
        </w:tc>
        <w:tc>
          <w:tcPr>
            <w:tcW w:w="1240" w:type="dxa"/>
            <w:vAlign w:val="bottom"/>
            <w:shd w:val="clear" w:color="auto" w:fill="E9F0F3"/>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5440" w:type="dxa"/>
            <w:vAlign w:val="bottom"/>
            <w:shd w:val="clear" w:color="auto" w:fill="E9F0F3"/>
          </w:tcPr>
          <w:p>
            <w:pPr>
              <w:spacing w:after="0"/>
              <w:rPr>
                <w:sz w:val="6"/>
                <w:szCs w:val="6"/>
                <w:color w:val="auto"/>
              </w:rPr>
            </w:pPr>
          </w:p>
        </w:tc>
        <w:tc>
          <w:tcPr>
            <w:tcW w:w="4260" w:type="dxa"/>
            <w:vAlign w:val="bottom"/>
            <w:shd w:val="clear" w:color="auto" w:fill="E9F0F3"/>
          </w:tcPr>
          <w:p>
            <w:pPr>
              <w:spacing w:after="0"/>
              <w:rPr>
                <w:sz w:val="6"/>
                <w:szCs w:val="6"/>
                <w:color w:val="auto"/>
              </w:rPr>
            </w:pPr>
          </w:p>
        </w:tc>
        <w:tc>
          <w:tcPr>
            <w:tcW w:w="124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5440" w:type="dxa"/>
            <w:vAlign w:val="bottom"/>
          </w:tcPr>
          <w:p>
            <w:pPr>
              <w:ind w:left="60"/>
              <w:spacing w:after="0"/>
              <w:rPr>
                <w:sz w:val="20"/>
                <w:szCs w:val="20"/>
                <w:color w:val="auto"/>
              </w:rPr>
            </w:pPr>
            <w:r>
              <w:rPr>
                <w:rFonts w:ascii="Arial" w:cs="Arial" w:eastAsia="Arial" w:hAnsi="Arial"/>
                <w:sz w:val="14"/>
                <w:szCs w:val="14"/>
                <w:b w:val="1"/>
                <w:bCs w:val="1"/>
                <w:color w:val="auto"/>
              </w:rPr>
              <w:t>Dimensional Fund Advisors LP</w:t>
            </w:r>
            <w:r>
              <w:rPr>
                <w:rFonts w:ascii="Arial" w:cs="Arial" w:eastAsia="Arial" w:hAnsi="Arial"/>
                <w:sz w:val="16"/>
                <w:szCs w:val="16"/>
                <w:b w:val="1"/>
                <w:bCs w:val="1"/>
                <w:color w:val="auto"/>
                <w:vertAlign w:val="superscript"/>
              </w:rPr>
              <w:t>4</w:t>
            </w:r>
          </w:p>
        </w:tc>
        <w:tc>
          <w:tcPr>
            <w:tcW w:w="4260" w:type="dxa"/>
            <w:vAlign w:val="bottom"/>
          </w:tcPr>
          <w:p>
            <w:pPr>
              <w:jc w:val="right"/>
              <w:ind w:right="234"/>
              <w:spacing w:after="0"/>
              <w:rPr>
                <w:sz w:val="20"/>
                <w:szCs w:val="20"/>
                <w:color w:val="auto"/>
              </w:rPr>
            </w:pPr>
            <w:r>
              <w:rPr>
                <w:rFonts w:ascii="Arial" w:cs="Arial" w:eastAsia="Arial" w:hAnsi="Arial"/>
                <w:sz w:val="14"/>
                <w:szCs w:val="14"/>
                <w:color w:val="auto"/>
              </w:rPr>
              <w:t>3,025,514</w:t>
            </w: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6"/>
        </w:trPr>
        <w:tc>
          <w:tcPr>
            <w:tcW w:w="5440" w:type="dxa"/>
            <w:vAlign w:val="bottom"/>
          </w:tcPr>
          <w:p>
            <w:pPr>
              <w:ind w:left="60"/>
              <w:spacing w:after="0"/>
              <w:rPr>
                <w:sz w:val="20"/>
                <w:szCs w:val="20"/>
                <w:color w:val="auto"/>
              </w:rPr>
            </w:pPr>
            <w:r>
              <w:rPr>
                <w:rFonts w:ascii="Arial" w:cs="Arial" w:eastAsia="Arial" w:hAnsi="Arial"/>
                <w:sz w:val="14"/>
                <w:szCs w:val="14"/>
                <w:color w:val="auto"/>
              </w:rPr>
              <w:t>6300 Bee Cave Road, Building One</w:t>
            </w:r>
          </w:p>
        </w:tc>
        <w:tc>
          <w:tcPr>
            <w:tcW w:w="4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40" w:type="dxa"/>
            <w:vAlign w:val="bottom"/>
          </w:tcPr>
          <w:p>
            <w:pPr>
              <w:ind w:left="60"/>
              <w:spacing w:after="0"/>
              <w:rPr>
                <w:sz w:val="20"/>
                <w:szCs w:val="20"/>
                <w:color w:val="auto"/>
              </w:rPr>
            </w:pPr>
            <w:r>
              <w:rPr>
                <w:rFonts w:ascii="Arial" w:cs="Arial" w:eastAsia="Arial" w:hAnsi="Arial"/>
                <w:sz w:val="14"/>
                <w:szCs w:val="14"/>
                <w:color w:val="auto"/>
              </w:rPr>
              <w:t>Austin, TX 78746</w:t>
            </w:r>
          </w:p>
        </w:tc>
        <w:tc>
          <w:tcPr>
            <w:tcW w:w="4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5440" w:type="dxa"/>
            <w:vAlign w:val="bottom"/>
          </w:tcPr>
          <w:p>
            <w:pPr>
              <w:ind w:left="60"/>
              <w:spacing w:after="0"/>
              <w:rPr>
                <w:sz w:val="20"/>
                <w:szCs w:val="20"/>
                <w:color w:val="auto"/>
              </w:rPr>
            </w:pPr>
            <w:r>
              <w:rPr>
                <w:rFonts w:ascii="Arial" w:cs="Arial" w:eastAsia="Arial" w:hAnsi="Arial"/>
                <w:sz w:val="14"/>
                <w:szCs w:val="14"/>
                <w:b w:val="1"/>
                <w:bCs w:val="1"/>
                <w:color w:val="auto"/>
              </w:rPr>
              <w:t>Vanguard Capital Management</w:t>
            </w:r>
            <w:r>
              <w:rPr>
                <w:rFonts w:ascii="Arial" w:cs="Arial" w:eastAsia="Arial" w:hAnsi="Arial"/>
                <w:sz w:val="16"/>
                <w:szCs w:val="16"/>
                <w:b w:val="1"/>
                <w:bCs w:val="1"/>
                <w:color w:val="auto"/>
                <w:vertAlign w:val="superscript"/>
              </w:rPr>
              <w:t>5</w:t>
            </w:r>
          </w:p>
        </w:tc>
        <w:tc>
          <w:tcPr>
            <w:tcW w:w="4260" w:type="dxa"/>
            <w:vAlign w:val="bottom"/>
          </w:tcPr>
          <w:p>
            <w:pPr>
              <w:jc w:val="right"/>
              <w:ind w:right="234"/>
              <w:spacing w:after="0"/>
              <w:rPr>
                <w:sz w:val="20"/>
                <w:szCs w:val="20"/>
                <w:color w:val="auto"/>
              </w:rPr>
            </w:pPr>
            <w:r>
              <w:rPr>
                <w:rFonts w:ascii="Arial" w:cs="Arial" w:eastAsia="Arial" w:hAnsi="Arial"/>
                <w:sz w:val="14"/>
                <w:szCs w:val="14"/>
                <w:color w:val="auto"/>
              </w:rPr>
              <w:t>2,416,452</w:t>
            </w:r>
          </w:p>
        </w:tc>
        <w:tc>
          <w:tcPr>
            <w:tcW w:w="124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6"/>
        </w:trPr>
        <w:tc>
          <w:tcPr>
            <w:tcW w:w="5440" w:type="dxa"/>
            <w:vAlign w:val="bottom"/>
          </w:tcPr>
          <w:p>
            <w:pPr>
              <w:ind w:left="60"/>
              <w:spacing w:after="0"/>
              <w:rPr>
                <w:sz w:val="20"/>
                <w:szCs w:val="20"/>
                <w:color w:val="auto"/>
              </w:rPr>
            </w:pPr>
            <w:r>
              <w:rPr>
                <w:rFonts w:ascii="Arial" w:cs="Arial" w:eastAsia="Arial" w:hAnsi="Arial"/>
                <w:sz w:val="14"/>
                <w:szCs w:val="14"/>
                <w:color w:val="auto"/>
              </w:rPr>
              <w:t>100 Vanguard Blvd.</w:t>
            </w:r>
          </w:p>
        </w:tc>
        <w:tc>
          <w:tcPr>
            <w:tcW w:w="4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-244475</wp:posOffset>
            </wp:positionV>
            <wp:extent cx="6948170" cy="4260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48170" cy="426085"/>
                    </a:xfrm>
                    <a:prstGeom prst="rect">
                      <a:avLst/>
                    </a:prstGeom>
                    <a:noFill/>
                  </pic:spPr>
                </pic:pic>
              </a:graphicData>
            </a:graphic>
          </wp:anchor>
        </w:drawing>
      </w:r>
    </w:p>
    <w:p>
      <w:pPr>
        <w:spacing w:after="0" w:line="6" w:lineRule="exact"/>
        <w:rPr>
          <w:sz w:val="20"/>
          <w:szCs w:val="20"/>
          <w:color w:val="auto"/>
        </w:rPr>
      </w:pPr>
    </w:p>
    <w:p>
      <w:pPr>
        <w:ind w:left="60"/>
        <w:spacing w:after="0"/>
        <w:rPr>
          <w:sz w:val="20"/>
          <w:szCs w:val="20"/>
          <w:color w:val="auto"/>
        </w:rPr>
      </w:pPr>
      <w:r>
        <w:rPr>
          <w:rFonts w:ascii="Arial" w:cs="Arial" w:eastAsia="Arial" w:hAnsi="Arial"/>
          <w:sz w:val="14"/>
          <w:szCs w:val="14"/>
          <w:color w:val="auto"/>
        </w:rPr>
        <w:t>Malvern, PA 19355</w:t>
      </w:r>
    </w:p>
    <w:p>
      <w:pPr>
        <w:spacing w:after="0" w:line="303" w:lineRule="exact"/>
        <w:rPr>
          <w:sz w:val="20"/>
          <w:szCs w:val="20"/>
          <w:color w:val="auto"/>
        </w:rPr>
      </w:pPr>
    </w:p>
    <w:p>
      <w:pPr>
        <w:ind w:left="160" w:hanging="149"/>
        <w:spacing w:after="0" w:line="229" w:lineRule="auto"/>
        <w:tabs>
          <w:tab w:leader="none" w:pos="167" w:val="left"/>
        </w:tabs>
        <w:numPr>
          <w:ilvl w:val="0"/>
          <w:numId w:val="155"/>
        </w:numPr>
        <w:rPr>
          <w:rFonts w:ascii="Arial" w:cs="Arial" w:eastAsia="Arial" w:hAnsi="Arial"/>
          <w:sz w:val="13"/>
          <w:szCs w:val="13"/>
          <w:color w:val="auto"/>
        </w:rPr>
      </w:pPr>
      <w:r>
        <w:rPr>
          <w:rFonts w:ascii="Arial" w:cs="Arial" w:eastAsia="Arial" w:hAnsi="Arial"/>
          <w:sz w:val="13"/>
          <w:szCs w:val="13"/>
          <w:color w:val="auto"/>
        </w:rPr>
        <w:t>FMR LLC, a parent holding company or control person in accordance with Exchange Act Rule 13d-1(b)(1)(ii)(G), is the beneficial owner of 6,717,443 shares of our common stock, including 5,341,238 shares with respect to which it has sole voting power and as to all 6,717,443 shares of which it has sole dispositive power. Abigail P. Johnson, a Director, the Chairman and the Chief Executive Officer of FMR LLC, has the sole power to dispose of these 6,717,443 shares.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above ownership reflects the securities beneficially owned, or that may be deemed to be beneficially owned, by FMR LLC, certain of its subsidiaries and affiliates, and other companies (collectively, the “FMR Reporters”). The following entities own shares included in the above ownership: FIAM LLC, an investment advisor registered under Section 203 of the Investment Advisors Act of 1940; Fidelity Diversifying Solutions LLC, an investment advisor registered under Section 203 of the Investment Advisors Act of 1940; Fidelity Institutional Asset Management Trust Company, a bank as defined in Section 3(a)(6) of the Exchange Act; Fidelity Management &amp; Research Company LLC, an investment advisor registered under Section 203 of the Investment Advisers Act of 1940; Fidelity Management Trust Company, a bank as defined in Section 3(a)(6) of the Exchange Act; and Strategic Advisers, Inc., an investment adviser registered under Section 203 of the Investment Advisers Act of 1940. The above ownership does not reflect securities, if any, beneficially owned by certain other companies whose beneficial ownership of securities is disaggregated from that of the FMR Reporters in accordance with SEC Release No. 34-39538 (January 12, 1998). Information (other than percentage ownership) reported on the table and in this footnote is as of April 30, 2026, and is based on the Statement of Beneficial Ownership on Schedule 13G/A filed by FMR LLC on May 7, 2026, with the SEC.</w:t>
      </w:r>
    </w:p>
    <w:p>
      <w:pPr>
        <w:spacing w:after="0" w:line="27" w:lineRule="exact"/>
        <w:rPr>
          <w:sz w:val="20"/>
          <w:szCs w:val="20"/>
          <w:color w:val="auto"/>
        </w:rPr>
      </w:pPr>
    </w:p>
    <w:p>
      <w:pPr>
        <w:ind w:left="160" w:right="80" w:hanging="149"/>
        <w:spacing w:after="0" w:line="236" w:lineRule="auto"/>
        <w:tabs>
          <w:tab w:leader="none" w:pos="167" w:val="left"/>
        </w:tabs>
        <w:numPr>
          <w:ilvl w:val="0"/>
          <w:numId w:val="156"/>
        </w:numPr>
        <w:rPr>
          <w:rFonts w:ascii="Arial" w:cs="Arial" w:eastAsia="Arial" w:hAnsi="Arial"/>
          <w:sz w:val="13"/>
          <w:szCs w:val="13"/>
          <w:color w:val="auto"/>
        </w:rPr>
      </w:pPr>
      <w:r>
        <w:rPr>
          <w:rFonts w:ascii="Arial" w:cs="Arial" w:eastAsia="Arial" w:hAnsi="Arial"/>
          <w:sz w:val="13"/>
          <w:szCs w:val="13"/>
          <w:color w:val="auto"/>
        </w:rPr>
        <w:t>Pzena Investment Management, LLC (“Pzena”), an investment adviser registered under section 203 of the Investment Advisers Act, may be deemed the beneficial owner of 6,465,818 shares of our common stock, including 5,340,898 shares with respect to which it has sole voting power and as to all 6,465,818 shares of which it has sole dispositive power. Information (other than percentage ownership) reported on the table and in this footnote is as of June 30, 2025, and is based on the Statement of Beneficial Ownership on Schedule 13G/A filed by Pzena on July 11, 2025, with the SEC.</w:t>
      </w:r>
    </w:p>
    <w:p>
      <w:pPr>
        <w:spacing w:after="0" w:line="24" w:lineRule="exact"/>
        <w:rPr>
          <w:sz w:val="20"/>
          <w:szCs w:val="20"/>
          <w:color w:val="auto"/>
        </w:rPr>
      </w:pPr>
    </w:p>
    <w:p>
      <w:pPr>
        <w:ind w:left="160" w:hanging="149"/>
        <w:spacing w:after="0" w:line="232" w:lineRule="auto"/>
        <w:tabs>
          <w:tab w:leader="none" w:pos="167" w:val="left"/>
        </w:tabs>
        <w:numPr>
          <w:ilvl w:val="0"/>
          <w:numId w:val="157"/>
        </w:numPr>
        <w:rPr>
          <w:rFonts w:ascii="Arial" w:cs="Arial" w:eastAsia="Arial" w:hAnsi="Arial"/>
          <w:sz w:val="13"/>
          <w:szCs w:val="13"/>
          <w:color w:val="auto"/>
        </w:rPr>
      </w:pPr>
      <w:r>
        <w:rPr>
          <w:rFonts w:ascii="Arial" w:cs="Arial" w:eastAsia="Arial" w:hAnsi="Arial"/>
          <w:sz w:val="13"/>
          <w:szCs w:val="13"/>
          <w:color w:val="auto"/>
        </w:rPr>
        <w:t>BlackRock, Inc., a parent holding company or control person in accordance with Exchange Act Rule 13d-1(b)(1)(ii)(G), may be deemed the beneficial owner of 4,342,928 shares of our common stock, including 4,151,726 shares with respect to which it has sole voting power and as to all 4,342,928 shares of which it has sole dispositive power. The following entities own shares included in the above ownership: BlackRock Life Limited; BlackRock Advisors, LLC; BlackRock Fund Advisors; BlackRock (Netherlands) B.V.;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Investment Management (Australia) Limited; BlackRock Advisors (UK) Limited; and BlackRock Fund Managers Ltd. Information (other than percentage ownership) reported on the table and in this footnote is as of June 30, 2025, and is based on the Statement of Beneficial Ownership on Schedule 13G/A filed by BlackRock, Inc. on July 17, 2025, with the SEC.</w:t>
      </w:r>
    </w:p>
    <w:p>
      <w:pPr>
        <w:spacing w:after="0" w:line="25" w:lineRule="exact"/>
        <w:rPr>
          <w:sz w:val="20"/>
          <w:szCs w:val="20"/>
          <w:color w:val="auto"/>
        </w:rPr>
      </w:pPr>
    </w:p>
    <w:p>
      <w:pPr>
        <w:ind w:left="160" w:right="80" w:hanging="149"/>
        <w:spacing w:after="0" w:line="236" w:lineRule="auto"/>
        <w:tabs>
          <w:tab w:leader="none" w:pos="177" w:val="left"/>
        </w:tabs>
        <w:numPr>
          <w:ilvl w:val="0"/>
          <w:numId w:val="158"/>
        </w:numPr>
        <w:rPr>
          <w:rFonts w:ascii="Arial" w:cs="Arial" w:eastAsia="Arial" w:hAnsi="Arial"/>
          <w:sz w:val="13"/>
          <w:szCs w:val="13"/>
          <w:color w:val="auto"/>
        </w:rPr>
      </w:pPr>
      <w:r>
        <w:rPr>
          <w:rFonts w:ascii="Arial" w:cs="Arial" w:eastAsia="Arial" w:hAnsi="Arial"/>
          <w:sz w:val="13"/>
          <w:szCs w:val="13"/>
          <w:color w:val="auto"/>
        </w:rPr>
        <w:t>Dimensional Fund Advisors LP (“Dimensional”), an investment adviser in accordance with Exchange Act Rule 13d-1(b)(1)(ii)(E), may be deemed the beneficial owner of 3,025,514 shares of our common stock, including 2,956,024 shares with respect to which it has sole voting power and as to all 3,025,514 shares of which it has sole dispositive power. Dimensional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 xml:space="preserve">96 </w:t>
      </w:r>
      <w:r>
        <w:rPr>
          <w:rFonts w:ascii="Arial" w:cs="Arial" w:eastAsia="Arial" w:hAnsi="Arial"/>
          <w:sz w:val="11"/>
          <w:szCs w:val="11"/>
          <w:color w:val="auto"/>
        </w:rPr>
        <w:t>/ PVH CORP.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695515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60" w:top="94" w:right="499" w:bottom="1440" w:gutter="0" w:footer="0" w:header="0"/>
        </w:sectPr>
      </w:pPr>
    </w:p>
    <w:bookmarkStart w:id="99" w:name="page100"/>
    <w:bookmarkEnd w:id="99"/>
    <w:p>
      <w:pPr>
        <w:ind w:left="160" w:right="40"/>
        <w:spacing w:after="0" w:line="234" w:lineRule="auto"/>
        <w:rPr>
          <w:sz w:val="20"/>
          <w:szCs w:val="20"/>
          <w:color w:val="auto"/>
        </w:rPr>
      </w:pPr>
      <w:r>
        <w:rPr>
          <w:rFonts w:ascii="Arial" w:cs="Arial" w:eastAsia="Arial" w:hAnsi="Arial"/>
          <w:sz w:val="13"/>
          <w:szCs w:val="13"/>
          <w:color w:val="auto"/>
        </w:rPr>
        <w:t>subsidiaries of Dimensional may act as an adviser or sub-adviser to certain Funds. In its role as investment advisor, sub-adviser and/or manager, Dimensional or its subsidiaries (collectively, the “Dimensional Entities”) may possess voting and/or investment power over the securities of the company that are owned by the Funds, and may be deemed to be the beneficial owner of the shares of the company held by the Funds. However, all securities reported by Dimensional are owned by the Funds. Dimensional disclaims beneficial ownership of such securities. Information (other than percentage ownership) reported on the table and in this footnote is as of June 30, 2025, and is based on the Statement of Beneficial Ownership on Schedule 13G filed by Dimensional on July 15, 2025, with the SEC.</w:t>
      </w:r>
    </w:p>
    <w:p>
      <w:pPr>
        <w:spacing w:after="0" w:line="25" w:lineRule="exact"/>
        <w:rPr>
          <w:sz w:val="20"/>
          <w:szCs w:val="20"/>
          <w:color w:val="auto"/>
        </w:rPr>
      </w:pPr>
    </w:p>
    <w:p>
      <w:pPr>
        <w:ind w:left="160" w:right="40" w:hanging="149"/>
        <w:spacing w:after="0" w:line="231" w:lineRule="auto"/>
        <w:tabs>
          <w:tab w:leader="none" w:pos="167" w:val="left"/>
        </w:tabs>
        <w:numPr>
          <w:ilvl w:val="0"/>
          <w:numId w:val="159"/>
        </w:numPr>
        <w:rPr>
          <w:rFonts w:ascii="Arial" w:cs="Arial" w:eastAsia="Arial" w:hAnsi="Arial"/>
          <w:sz w:val="13"/>
          <w:szCs w:val="13"/>
          <w:color w:val="auto"/>
        </w:rPr>
      </w:pPr>
      <w:r>
        <w:rPr>
          <w:rFonts w:ascii="Arial" w:cs="Arial" w:eastAsia="Arial" w:hAnsi="Arial"/>
          <w:sz w:val="13"/>
          <w:szCs w:val="13"/>
          <w:color w:val="auto"/>
        </w:rPr>
        <w:t>Vanguard Capital Management (“Vanguard Capital”), an investment adviser in accordance with Exchange Act Rule 13d-1(b)(1)(ii)(E), is the beneficial owner of 2,416,452 shares of our common stock, including 350,349 shares with respect to which it has sole voting power and as to all 2,416,452 shares of which it has sole dispositive power. The above ownership reflects the securities beneficially owned, or deemed to be beneficially owned, by Vanguard Capital Management LLC (“Vanguard Capital LLC”) and the following affiliates of Vanguard Capital LLC or business divisions of such affiliates: Vanguard Asset Management Limited, Vanguard Fiduciary Trust Company, Vanguard Global Advisers, LLC and Vanguard Investments Australia Ltd. The above ownership includes securities held by Vanguard funds, or sleeves thereof, over which Vanguard Capital LLC exercises dispositive power, in addition to securities held by clients over which the affiliates or business divisions of such affiliates indicated above exercise dispositive and/or voting power. The above ownership does not include securities, if any, beneficially owned by other subsidiaries or affiliates of Vanguard Capital LLC, or business divisions of such subsidiaries, whose ownership of securities is disaggregated from that of the reporting business unit in accordance with SEC Release No. 34-39538 (January 12, 1998). Information (other than percentage ownership) reported on the table and in this footnote is as of March 31, 2026, and is based on the Statement of Beneficial Ownership on Schedule 13G filed by Vanguard Capital on April 30, 2026 with the SEC.</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6D98AD"/>
        </w:rPr>
        <w:t>Directors, Nominees for Director, and Executive Officers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following table presents certain information with respect to the number of shares of our common stock beneficially owned as of the record date by the following individuals:</w:t>
      </w:r>
    </w:p>
    <w:p>
      <w:pPr>
        <w:spacing w:after="0" w:line="110" w:lineRule="exact"/>
        <w:rPr>
          <w:sz w:val="20"/>
          <w:szCs w:val="20"/>
          <w:color w:val="auto"/>
        </w:rPr>
      </w:pPr>
    </w:p>
    <w:p>
      <w:pPr>
        <w:ind w:left="100" w:hanging="89"/>
        <w:spacing w:after="0"/>
        <w:tabs>
          <w:tab w:leader="none" w:pos="10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Each of our directors</w:t>
      </w:r>
    </w:p>
    <w:p>
      <w:pPr>
        <w:spacing w:after="0" w:line="51" w:lineRule="exact"/>
        <w:rPr>
          <w:rFonts w:ascii="Arial" w:cs="Arial" w:eastAsia="Arial" w:hAnsi="Arial"/>
          <w:sz w:val="14"/>
          <w:szCs w:val="14"/>
          <w:color w:val="auto"/>
        </w:rPr>
      </w:pPr>
    </w:p>
    <w:p>
      <w:pPr>
        <w:ind w:left="100" w:hanging="89"/>
        <w:spacing w:after="0"/>
        <w:tabs>
          <w:tab w:leader="none" w:pos="10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Each of the nominees for director</w:t>
      </w:r>
    </w:p>
    <w:p>
      <w:pPr>
        <w:spacing w:after="0" w:line="51" w:lineRule="exact"/>
        <w:rPr>
          <w:rFonts w:ascii="Arial" w:cs="Arial" w:eastAsia="Arial" w:hAnsi="Arial"/>
          <w:sz w:val="14"/>
          <w:szCs w:val="14"/>
          <w:color w:val="auto"/>
        </w:rPr>
      </w:pPr>
    </w:p>
    <w:p>
      <w:pPr>
        <w:ind w:left="100" w:hanging="89"/>
        <w:spacing w:after="0"/>
        <w:tabs>
          <w:tab w:leader="none" w:pos="10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Our NEOs</w:t>
      </w:r>
    </w:p>
    <w:p>
      <w:pPr>
        <w:spacing w:after="0" w:line="51" w:lineRule="exact"/>
        <w:rPr>
          <w:rFonts w:ascii="Arial" w:cs="Arial" w:eastAsia="Arial" w:hAnsi="Arial"/>
          <w:sz w:val="14"/>
          <w:szCs w:val="14"/>
          <w:color w:val="auto"/>
        </w:rPr>
      </w:pPr>
    </w:p>
    <w:p>
      <w:pPr>
        <w:ind w:left="100" w:hanging="89"/>
        <w:spacing w:after="0"/>
        <w:tabs>
          <w:tab w:leader="none" w:pos="10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Our directors, the nominees for director, and our executive officers, as a group</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Each of the individuals named below has sole voting and investment power with respect to the shares listed as owned by him or her except as otherwise indicated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shd w:val="clear" w:color="auto" w:fill="99B7C6"/>
          </w:tcPr>
          <w:p>
            <w:pPr>
              <w:spacing w:after="0"/>
              <w:rPr>
                <w:sz w:val="15"/>
                <w:szCs w:val="15"/>
                <w:color w:val="auto"/>
              </w:rPr>
            </w:pPr>
          </w:p>
        </w:tc>
        <w:tc>
          <w:tcPr>
            <w:tcW w:w="2740" w:type="dxa"/>
            <w:vAlign w:val="bottom"/>
            <w:shd w:val="clear" w:color="auto" w:fill="99B7C6"/>
          </w:tcPr>
          <w:p>
            <w:pPr>
              <w:jc w:val="right"/>
              <w:ind w:right="271"/>
              <w:spacing w:after="0"/>
              <w:rPr>
                <w:sz w:val="20"/>
                <w:szCs w:val="20"/>
                <w:color w:val="auto"/>
              </w:rPr>
            </w:pPr>
            <w:r>
              <w:rPr>
                <w:rFonts w:ascii="Arial" w:cs="Arial" w:eastAsia="Arial" w:hAnsi="Arial"/>
                <w:sz w:val="11"/>
                <w:szCs w:val="11"/>
                <w:b w:val="1"/>
                <w:bCs w:val="1"/>
                <w:color w:val="FFFFFF"/>
              </w:rPr>
              <w:t>Amount Beneficially</w:t>
            </w:r>
          </w:p>
        </w:tc>
        <w:tc>
          <w:tcPr>
            <w:tcW w:w="1240" w:type="dxa"/>
            <w:vAlign w:val="bottom"/>
            <w:shd w:val="clear" w:color="auto" w:fill="99B7C6"/>
          </w:tcPr>
          <w:p>
            <w:pPr>
              <w:spacing w:after="0"/>
              <w:rPr>
                <w:sz w:val="15"/>
                <w:szCs w:val="15"/>
                <w:color w:val="auto"/>
              </w:rPr>
            </w:pPr>
          </w:p>
        </w:tc>
      </w:tr>
      <w:tr>
        <w:trPr>
          <w:trHeight w:val="209"/>
        </w:trPr>
        <w:tc>
          <w:tcPr>
            <w:tcW w:w="6960" w:type="dxa"/>
            <w:vAlign w:val="bottom"/>
            <w:tcBorders>
              <w:bottom w:val="single" w:sz="8" w:color="99B7C6"/>
            </w:tcBorders>
            <w:shd w:val="clear" w:color="auto" w:fill="99B7C6"/>
          </w:tcPr>
          <w:p>
            <w:pPr>
              <w:spacing w:after="0"/>
              <w:rPr>
                <w:sz w:val="18"/>
                <w:szCs w:val="18"/>
                <w:color w:val="auto"/>
              </w:rPr>
            </w:pPr>
          </w:p>
        </w:tc>
        <w:tc>
          <w:tcPr>
            <w:tcW w:w="2740" w:type="dxa"/>
            <w:vAlign w:val="bottom"/>
            <w:tcBorders>
              <w:bottom w:val="single" w:sz="8" w:color="99B7C6"/>
            </w:tcBorders>
            <w:shd w:val="clear" w:color="auto" w:fill="99B7C6"/>
          </w:tcPr>
          <w:p>
            <w:pPr>
              <w:jc w:val="right"/>
              <w:ind w:right="231"/>
              <w:spacing w:after="0"/>
              <w:rPr>
                <w:sz w:val="20"/>
                <w:szCs w:val="20"/>
                <w:color w:val="auto"/>
              </w:rPr>
            </w:pPr>
            <w:r>
              <w:rPr>
                <w:rFonts w:ascii="Arial" w:cs="Arial" w:eastAsia="Arial" w:hAnsi="Arial"/>
                <w:sz w:val="11"/>
                <w:szCs w:val="11"/>
                <w:b w:val="1"/>
                <w:bCs w:val="1"/>
                <w:color w:val="FFFFFF"/>
              </w:rPr>
              <w:t>Owned</w:t>
            </w:r>
            <w:r>
              <w:rPr>
                <w:rFonts w:ascii="Arial" w:cs="Arial" w:eastAsia="Arial" w:hAnsi="Arial"/>
                <w:sz w:val="12"/>
                <w:szCs w:val="12"/>
                <w:b w:val="1"/>
                <w:bCs w:val="1"/>
                <w:color w:val="FFFFFF"/>
                <w:vertAlign w:val="superscript"/>
              </w:rPr>
              <w:t>1</w:t>
            </w:r>
          </w:p>
        </w:tc>
        <w:tc>
          <w:tcPr>
            <w:tcW w:w="1240" w:type="dxa"/>
            <w:vAlign w:val="bottom"/>
            <w:tcBorders>
              <w:bottom w:val="single" w:sz="8" w:color="99B7C6"/>
            </w:tcBorders>
            <w:shd w:val="clear" w:color="auto" w:fill="99B7C6"/>
          </w:tcPr>
          <w:p>
            <w:pPr>
              <w:jc w:val="right"/>
              <w:ind w:right="10"/>
              <w:spacing w:after="0"/>
              <w:rPr>
                <w:sz w:val="20"/>
                <w:szCs w:val="20"/>
                <w:color w:val="auto"/>
              </w:rPr>
            </w:pPr>
            <w:r>
              <w:rPr>
                <w:rFonts w:ascii="Arial" w:cs="Arial" w:eastAsia="Arial" w:hAnsi="Arial"/>
                <w:sz w:val="11"/>
                <w:szCs w:val="11"/>
                <w:b w:val="1"/>
                <w:bCs w:val="1"/>
                <w:color w:val="FFFFFF"/>
              </w:rPr>
              <w:t>Percent of Class</w:t>
            </w:r>
          </w:p>
        </w:tc>
      </w:tr>
      <w:tr>
        <w:trPr>
          <w:trHeight w:val="229"/>
        </w:trPr>
        <w:tc>
          <w:tcPr>
            <w:tcW w:w="696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Jesper Andersen</w:t>
            </w:r>
          </w:p>
        </w:tc>
        <w:tc>
          <w:tcPr>
            <w:tcW w:w="2740" w:type="dxa"/>
            <w:vAlign w:val="bottom"/>
            <w:shd w:val="clear" w:color="auto" w:fill="E9F0F3"/>
          </w:tcPr>
          <w:p>
            <w:pPr>
              <w:jc w:val="right"/>
              <w:ind w:right="231"/>
              <w:spacing w:after="0"/>
              <w:rPr>
                <w:sz w:val="20"/>
                <w:szCs w:val="20"/>
                <w:color w:val="auto"/>
              </w:rPr>
            </w:pPr>
            <w:r>
              <w:rPr>
                <w:rFonts w:ascii="Arial" w:cs="Arial" w:eastAsia="Arial" w:hAnsi="Arial"/>
                <w:sz w:val="14"/>
                <w:szCs w:val="14"/>
                <w:color w:val="auto"/>
              </w:rPr>
              <w:t>3,512</w:t>
            </w:r>
          </w:p>
        </w:tc>
        <w:tc>
          <w:tcPr>
            <w:tcW w:w="1240" w:type="dxa"/>
            <w:vAlign w:val="bottom"/>
            <w:shd w:val="clear" w:color="auto" w:fill="E9F0F3"/>
          </w:tcPr>
          <w:p>
            <w:pPr>
              <w:jc w:val="right"/>
              <w:ind w:right="10"/>
              <w:spacing w:after="0"/>
              <w:rPr>
                <w:sz w:val="20"/>
                <w:szCs w:val="20"/>
                <w:color w:val="auto"/>
              </w:rPr>
            </w:pPr>
            <w:r>
              <w:rPr>
                <w:rFonts w:ascii="Arial" w:cs="Arial" w:eastAsia="Arial" w:hAnsi="Arial"/>
                <w:sz w:val="14"/>
                <w:szCs w:val="14"/>
                <w:color w:val="auto"/>
              </w:rPr>
              <w:t>*</w:t>
            </w:r>
          </w:p>
        </w:tc>
      </w:tr>
      <w:tr>
        <w:trPr>
          <w:trHeight w:val="66"/>
        </w:trPr>
        <w:tc>
          <w:tcPr>
            <w:tcW w:w="6960" w:type="dxa"/>
            <w:vAlign w:val="bottom"/>
            <w:shd w:val="clear" w:color="auto" w:fill="E9F0F3"/>
          </w:tcPr>
          <w:p>
            <w:pPr>
              <w:spacing w:after="0"/>
              <w:rPr>
                <w:sz w:val="5"/>
                <w:szCs w:val="5"/>
                <w:color w:val="auto"/>
              </w:rPr>
            </w:pPr>
          </w:p>
        </w:tc>
        <w:tc>
          <w:tcPr>
            <w:tcW w:w="2740" w:type="dxa"/>
            <w:vAlign w:val="bottom"/>
            <w:shd w:val="clear" w:color="auto" w:fill="E9F0F3"/>
          </w:tcPr>
          <w:p>
            <w:pPr>
              <w:spacing w:after="0"/>
              <w:rPr>
                <w:sz w:val="5"/>
                <w:szCs w:val="5"/>
                <w:color w:val="auto"/>
              </w:rPr>
            </w:pPr>
          </w:p>
        </w:tc>
        <w:tc>
          <w:tcPr>
            <w:tcW w:w="1240" w:type="dxa"/>
            <w:vAlign w:val="bottom"/>
            <w:shd w:val="clear" w:color="auto" w:fill="E9F0F3"/>
          </w:tcPr>
          <w:p>
            <w:pPr>
              <w:spacing w:after="0"/>
              <w:rPr>
                <w:sz w:val="5"/>
                <w:szCs w:val="5"/>
                <w:color w:val="auto"/>
              </w:rPr>
            </w:pPr>
          </w:p>
        </w:tc>
      </w:tr>
      <w:tr>
        <w:trPr>
          <w:trHeight w:val="229"/>
        </w:trPr>
        <w:tc>
          <w:tcPr>
            <w:tcW w:w="6960" w:type="dxa"/>
            <w:vAlign w:val="bottom"/>
          </w:tcPr>
          <w:p>
            <w:pPr>
              <w:ind w:left="60"/>
              <w:spacing w:after="0"/>
              <w:rPr>
                <w:sz w:val="20"/>
                <w:szCs w:val="20"/>
                <w:color w:val="auto"/>
              </w:rPr>
            </w:pPr>
            <w:r>
              <w:rPr>
                <w:rFonts w:ascii="Arial" w:cs="Arial" w:eastAsia="Arial" w:hAnsi="Arial"/>
                <w:sz w:val="14"/>
                <w:szCs w:val="14"/>
                <w:b w:val="1"/>
                <w:bCs w:val="1"/>
                <w:color w:val="auto"/>
              </w:rPr>
              <w:t>Ajay Bhalla</w:t>
            </w:r>
          </w:p>
        </w:tc>
        <w:tc>
          <w:tcPr>
            <w:tcW w:w="2740" w:type="dxa"/>
            <w:vAlign w:val="bottom"/>
          </w:tcPr>
          <w:p>
            <w:pPr>
              <w:jc w:val="right"/>
              <w:ind w:right="231"/>
              <w:spacing w:after="0"/>
              <w:rPr>
                <w:sz w:val="20"/>
                <w:szCs w:val="20"/>
                <w:color w:val="auto"/>
              </w:rPr>
            </w:pPr>
            <w:r>
              <w:rPr>
                <w:rFonts w:ascii="Arial" w:cs="Arial" w:eastAsia="Arial" w:hAnsi="Arial"/>
                <w:sz w:val="14"/>
                <w:szCs w:val="14"/>
                <w:color w:val="auto"/>
              </w:rPr>
              <w:t>6,572</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66"/>
        </w:trPr>
        <w:tc>
          <w:tcPr>
            <w:tcW w:w="696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74"/>
        </w:trPr>
        <w:tc>
          <w:tcPr>
            <w:tcW w:w="6960" w:type="dxa"/>
            <w:vAlign w:val="bottom"/>
            <w:tcBorders>
              <w:bottom w:val="single" w:sz="8" w:color="E9F0F3"/>
            </w:tcBorders>
            <w:shd w:val="clear" w:color="auto" w:fill="E9F0F3"/>
          </w:tcPr>
          <w:p>
            <w:pPr>
              <w:ind w:left="60"/>
              <w:spacing w:after="0"/>
              <w:rPr>
                <w:sz w:val="20"/>
                <w:szCs w:val="20"/>
                <w:color w:val="auto"/>
              </w:rPr>
            </w:pPr>
            <w:r>
              <w:rPr>
                <w:rFonts w:ascii="Arial" w:cs="Arial" w:eastAsia="Arial" w:hAnsi="Arial"/>
                <w:sz w:val="14"/>
                <w:szCs w:val="14"/>
                <w:b w:val="1"/>
                <w:bCs w:val="1"/>
                <w:color w:val="auto"/>
              </w:rPr>
              <w:t>Michael M. Calbert</w:t>
            </w:r>
          </w:p>
        </w:tc>
        <w:tc>
          <w:tcPr>
            <w:tcW w:w="2740" w:type="dxa"/>
            <w:vAlign w:val="bottom"/>
            <w:tcBorders>
              <w:bottom w:val="single" w:sz="8" w:color="E9F0F3"/>
            </w:tcBorders>
            <w:shd w:val="clear" w:color="auto" w:fill="E9F0F3"/>
          </w:tcPr>
          <w:p>
            <w:pPr>
              <w:jc w:val="right"/>
              <w:ind w:right="231"/>
              <w:spacing w:after="0"/>
              <w:rPr>
                <w:sz w:val="20"/>
                <w:szCs w:val="20"/>
                <w:color w:val="auto"/>
              </w:rPr>
            </w:pPr>
            <w:r>
              <w:rPr>
                <w:rFonts w:ascii="Arial" w:cs="Arial" w:eastAsia="Arial" w:hAnsi="Arial"/>
                <w:sz w:val="14"/>
                <w:szCs w:val="14"/>
                <w:color w:val="auto"/>
              </w:rPr>
              <w:t>86,036</w:t>
            </w:r>
            <w:r>
              <w:rPr>
                <w:rFonts w:ascii="Arial" w:cs="Arial" w:eastAsia="Arial" w:hAnsi="Arial"/>
                <w:sz w:val="16"/>
                <w:szCs w:val="16"/>
                <w:color w:val="auto"/>
                <w:vertAlign w:val="superscript"/>
              </w:rPr>
              <w:t>2</w:t>
            </w:r>
          </w:p>
        </w:tc>
        <w:tc>
          <w:tcPr>
            <w:tcW w:w="1240" w:type="dxa"/>
            <w:vAlign w:val="bottom"/>
            <w:tcBorders>
              <w:bottom w:val="single" w:sz="8" w:color="E9F0F3"/>
            </w:tcBorders>
            <w:shd w:val="clear" w:color="auto" w:fill="E9F0F3"/>
          </w:tcPr>
          <w:p>
            <w:pPr>
              <w:jc w:val="right"/>
              <w:ind w:right="10"/>
              <w:spacing w:after="0"/>
              <w:rPr>
                <w:sz w:val="20"/>
                <w:szCs w:val="20"/>
                <w:color w:val="auto"/>
              </w:rPr>
            </w:pPr>
            <w:r>
              <w:rPr>
                <w:rFonts w:ascii="Arial" w:cs="Arial" w:eastAsia="Arial" w:hAnsi="Arial"/>
                <w:sz w:val="14"/>
                <w:szCs w:val="14"/>
                <w:color w:val="auto"/>
              </w:rPr>
              <w:t>*</w:t>
            </w:r>
          </w:p>
        </w:tc>
      </w:tr>
      <w:tr>
        <w:trPr>
          <w:trHeight w:val="229"/>
        </w:trPr>
        <w:tc>
          <w:tcPr>
            <w:tcW w:w="6960" w:type="dxa"/>
            <w:vAlign w:val="bottom"/>
          </w:tcPr>
          <w:p>
            <w:pPr>
              <w:ind w:left="60"/>
              <w:spacing w:after="0"/>
              <w:rPr>
                <w:sz w:val="20"/>
                <w:szCs w:val="20"/>
                <w:color w:val="auto"/>
              </w:rPr>
            </w:pPr>
            <w:r>
              <w:rPr>
                <w:rFonts w:ascii="Arial" w:cs="Arial" w:eastAsia="Arial" w:hAnsi="Arial"/>
                <w:sz w:val="14"/>
                <w:szCs w:val="14"/>
                <w:b w:val="1"/>
                <w:bCs w:val="1"/>
                <w:color w:val="auto"/>
              </w:rPr>
              <w:t>Brent Callinicos</w:t>
            </w:r>
          </w:p>
        </w:tc>
        <w:tc>
          <w:tcPr>
            <w:tcW w:w="2740" w:type="dxa"/>
            <w:vAlign w:val="bottom"/>
          </w:tcPr>
          <w:p>
            <w:pPr>
              <w:jc w:val="right"/>
              <w:ind w:right="231"/>
              <w:spacing w:after="0"/>
              <w:rPr>
                <w:sz w:val="20"/>
                <w:szCs w:val="20"/>
                <w:color w:val="auto"/>
              </w:rPr>
            </w:pPr>
            <w:r>
              <w:rPr>
                <w:rFonts w:ascii="Arial" w:cs="Arial" w:eastAsia="Arial" w:hAnsi="Arial"/>
                <w:sz w:val="14"/>
                <w:szCs w:val="14"/>
                <w:color w:val="auto"/>
              </w:rPr>
              <w:t>21,940</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66"/>
        </w:trPr>
        <w:tc>
          <w:tcPr>
            <w:tcW w:w="696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29"/>
        </w:trPr>
        <w:tc>
          <w:tcPr>
            <w:tcW w:w="696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George Cheeks</w:t>
            </w:r>
          </w:p>
        </w:tc>
        <w:tc>
          <w:tcPr>
            <w:tcW w:w="2740" w:type="dxa"/>
            <w:vAlign w:val="bottom"/>
            <w:shd w:val="clear" w:color="auto" w:fill="E9F0F3"/>
          </w:tcPr>
          <w:p>
            <w:pPr>
              <w:jc w:val="right"/>
              <w:ind w:right="231"/>
              <w:spacing w:after="0"/>
              <w:rPr>
                <w:sz w:val="20"/>
                <w:szCs w:val="20"/>
                <w:color w:val="auto"/>
              </w:rPr>
            </w:pPr>
            <w:r>
              <w:rPr>
                <w:rFonts w:ascii="Arial" w:cs="Arial" w:eastAsia="Arial" w:hAnsi="Arial"/>
                <w:sz w:val="14"/>
                <w:szCs w:val="14"/>
                <w:color w:val="auto"/>
              </w:rPr>
              <w:t>11,154</w:t>
            </w:r>
          </w:p>
        </w:tc>
        <w:tc>
          <w:tcPr>
            <w:tcW w:w="1240" w:type="dxa"/>
            <w:vAlign w:val="bottom"/>
            <w:shd w:val="clear" w:color="auto" w:fill="E9F0F3"/>
          </w:tcPr>
          <w:p>
            <w:pPr>
              <w:jc w:val="right"/>
              <w:ind w:right="10"/>
              <w:spacing w:after="0"/>
              <w:rPr>
                <w:sz w:val="20"/>
                <w:szCs w:val="20"/>
                <w:color w:val="auto"/>
              </w:rPr>
            </w:pPr>
            <w:r>
              <w:rPr>
                <w:rFonts w:ascii="Arial" w:cs="Arial" w:eastAsia="Arial" w:hAnsi="Arial"/>
                <w:sz w:val="14"/>
                <w:szCs w:val="14"/>
                <w:color w:val="auto"/>
              </w:rPr>
              <w:t>*</w:t>
            </w:r>
          </w:p>
        </w:tc>
      </w:tr>
      <w:tr>
        <w:trPr>
          <w:trHeight w:val="66"/>
        </w:trPr>
        <w:tc>
          <w:tcPr>
            <w:tcW w:w="6960" w:type="dxa"/>
            <w:vAlign w:val="bottom"/>
            <w:shd w:val="clear" w:color="auto" w:fill="E9F0F3"/>
          </w:tcPr>
          <w:p>
            <w:pPr>
              <w:spacing w:after="0"/>
              <w:rPr>
                <w:sz w:val="5"/>
                <w:szCs w:val="5"/>
                <w:color w:val="auto"/>
              </w:rPr>
            </w:pPr>
          </w:p>
        </w:tc>
        <w:tc>
          <w:tcPr>
            <w:tcW w:w="2740" w:type="dxa"/>
            <w:vAlign w:val="bottom"/>
            <w:shd w:val="clear" w:color="auto" w:fill="E9F0F3"/>
          </w:tcPr>
          <w:p>
            <w:pPr>
              <w:spacing w:after="0"/>
              <w:rPr>
                <w:sz w:val="5"/>
                <w:szCs w:val="5"/>
                <w:color w:val="auto"/>
              </w:rPr>
            </w:pPr>
          </w:p>
        </w:tc>
        <w:tc>
          <w:tcPr>
            <w:tcW w:w="1240" w:type="dxa"/>
            <w:vAlign w:val="bottom"/>
            <w:shd w:val="clear" w:color="auto" w:fill="E9F0F3"/>
          </w:tcPr>
          <w:p>
            <w:pPr>
              <w:spacing w:after="0"/>
              <w:rPr>
                <w:sz w:val="5"/>
                <w:szCs w:val="5"/>
                <w:color w:val="auto"/>
              </w:rPr>
            </w:pPr>
          </w:p>
        </w:tc>
      </w:tr>
      <w:tr>
        <w:trPr>
          <w:trHeight w:val="229"/>
        </w:trPr>
        <w:tc>
          <w:tcPr>
            <w:tcW w:w="6960" w:type="dxa"/>
            <w:vAlign w:val="bottom"/>
          </w:tcPr>
          <w:p>
            <w:pPr>
              <w:ind w:left="60"/>
              <w:spacing w:after="0"/>
              <w:rPr>
                <w:sz w:val="20"/>
                <w:szCs w:val="20"/>
                <w:color w:val="auto"/>
              </w:rPr>
            </w:pPr>
            <w:r>
              <w:rPr>
                <w:rFonts w:ascii="Arial" w:cs="Arial" w:eastAsia="Arial" w:hAnsi="Arial"/>
                <w:sz w:val="14"/>
                <w:szCs w:val="14"/>
                <w:b w:val="1"/>
                <w:bCs w:val="1"/>
                <w:color w:val="auto"/>
              </w:rPr>
              <w:t>Zachary J. Coughlin</w:t>
            </w:r>
          </w:p>
        </w:tc>
        <w:tc>
          <w:tcPr>
            <w:tcW w:w="2740" w:type="dxa"/>
            <w:vAlign w:val="bottom"/>
          </w:tcPr>
          <w:p>
            <w:pPr>
              <w:jc w:val="right"/>
              <w:ind w:right="231"/>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66"/>
        </w:trPr>
        <w:tc>
          <w:tcPr>
            <w:tcW w:w="696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29"/>
        </w:trPr>
        <w:tc>
          <w:tcPr>
            <w:tcW w:w="696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Kate Gulliver</w:t>
            </w:r>
          </w:p>
        </w:tc>
        <w:tc>
          <w:tcPr>
            <w:tcW w:w="2740" w:type="dxa"/>
            <w:vAlign w:val="bottom"/>
            <w:shd w:val="clear" w:color="auto" w:fill="E9F0F3"/>
          </w:tcPr>
          <w:p>
            <w:pPr>
              <w:jc w:val="right"/>
              <w:ind w:right="231"/>
              <w:spacing w:after="0"/>
              <w:rPr>
                <w:sz w:val="20"/>
                <w:szCs w:val="20"/>
                <w:color w:val="auto"/>
              </w:rPr>
            </w:pPr>
            <w:r>
              <w:rPr>
                <w:rFonts w:ascii="Arial" w:cs="Arial" w:eastAsia="Arial" w:hAnsi="Arial"/>
                <w:sz w:val="14"/>
                <w:szCs w:val="14"/>
                <w:color w:val="auto"/>
              </w:rPr>
              <w:t>2,776</w:t>
            </w:r>
          </w:p>
        </w:tc>
        <w:tc>
          <w:tcPr>
            <w:tcW w:w="1240" w:type="dxa"/>
            <w:vAlign w:val="bottom"/>
            <w:shd w:val="clear" w:color="auto" w:fill="E9F0F3"/>
          </w:tcPr>
          <w:p>
            <w:pPr>
              <w:jc w:val="right"/>
              <w:ind w:right="10"/>
              <w:spacing w:after="0"/>
              <w:rPr>
                <w:sz w:val="20"/>
                <w:szCs w:val="20"/>
                <w:color w:val="auto"/>
              </w:rPr>
            </w:pPr>
            <w:r>
              <w:rPr>
                <w:rFonts w:ascii="Arial" w:cs="Arial" w:eastAsia="Arial" w:hAnsi="Arial"/>
                <w:sz w:val="14"/>
                <w:szCs w:val="14"/>
                <w:color w:val="auto"/>
              </w:rPr>
              <w:t>*</w:t>
            </w:r>
          </w:p>
        </w:tc>
      </w:tr>
      <w:tr>
        <w:trPr>
          <w:trHeight w:val="66"/>
        </w:trPr>
        <w:tc>
          <w:tcPr>
            <w:tcW w:w="6960" w:type="dxa"/>
            <w:vAlign w:val="bottom"/>
            <w:shd w:val="clear" w:color="auto" w:fill="E9F0F3"/>
          </w:tcPr>
          <w:p>
            <w:pPr>
              <w:spacing w:after="0"/>
              <w:rPr>
                <w:sz w:val="5"/>
                <w:szCs w:val="5"/>
                <w:color w:val="auto"/>
              </w:rPr>
            </w:pPr>
          </w:p>
        </w:tc>
        <w:tc>
          <w:tcPr>
            <w:tcW w:w="2740" w:type="dxa"/>
            <w:vAlign w:val="bottom"/>
            <w:shd w:val="clear" w:color="auto" w:fill="E9F0F3"/>
          </w:tcPr>
          <w:p>
            <w:pPr>
              <w:spacing w:after="0"/>
              <w:rPr>
                <w:sz w:val="5"/>
                <w:szCs w:val="5"/>
                <w:color w:val="auto"/>
              </w:rPr>
            </w:pPr>
          </w:p>
        </w:tc>
        <w:tc>
          <w:tcPr>
            <w:tcW w:w="1240" w:type="dxa"/>
            <w:vAlign w:val="bottom"/>
            <w:shd w:val="clear" w:color="auto" w:fill="E9F0F3"/>
          </w:tcPr>
          <w:p>
            <w:pPr>
              <w:spacing w:after="0"/>
              <w:rPr>
                <w:sz w:val="5"/>
                <w:szCs w:val="5"/>
                <w:color w:val="auto"/>
              </w:rPr>
            </w:pPr>
          </w:p>
        </w:tc>
      </w:tr>
      <w:tr>
        <w:trPr>
          <w:trHeight w:val="229"/>
        </w:trPr>
        <w:tc>
          <w:tcPr>
            <w:tcW w:w="6960" w:type="dxa"/>
            <w:vAlign w:val="bottom"/>
          </w:tcPr>
          <w:p>
            <w:pPr>
              <w:ind w:left="60"/>
              <w:spacing w:after="0"/>
              <w:rPr>
                <w:sz w:val="20"/>
                <w:szCs w:val="20"/>
                <w:color w:val="auto"/>
              </w:rPr>
            </w:pPr>
            <w:r>
              <w:rPr>
                <w:rFonts w:ascii="Arial" w:cs="Arial" w:eastAsia="Arial" w:hAnsi="Arial"/>
                <w:sz w:val="14"/>
                <w:szCs w:val="14"/>
                <w:b w:val="1"/>
                <w:bCs w:val="1"/>
                <w:color w:val="auto"/>
              </w:rPr>
              <w:t>Stefan Larsson</w:t>
            </w:r>
          </w:p>
        </w:tc>
        <w:tc>
          <w:tcPr>
            <w:tcW w:w="2740" w:type="dxa"/>
            <w:vAlign w:val="bottom"/>
          </w:tcPr>
          <w:p>
            <w:pPr>
              <w:jc w:val="right"/>
              <w:ind w:right="231"/>
              <w:spacing w:after="0"/>
              <w:rPr>
                <w:sz w:val="20"/>
                <w:szCs w:val="20"/>
                <w:color w:val="auto"/>
              </w:rPr>
            </w:pPr>
            <w:r>
              <w:rPr>
                <w:rFonts w:ascii="Arial" w:cs="Arial" w:eastAsia="Arial" w:hAnsi="Arial"/>
                <w:sz w:val="14"/>
                <w:szCs w:val="14"/>
                <w:color w:val="auto"/>
              </w:rPr>
              <w:t>447,016</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66"/>
        </w:trPr>
        <w:tc>
          <w:tcPr>
            <w:tcW w:w="696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29"/>
        </w:trPr>
        <w:tc>
          <w:tcPr>
            <w:tcW w:w="696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G. Penny McIntyre</w:t>
            </w:r>
          </w:p>
        </w:tc>
        <w:tc>
          <w:tcPr>
            <w:tcW w:w="2740" w:type="dxa"/>
            <w:vAlign w:val="bottom"/>
            <w:shd w:val="clear" w:color="auto" w:fill="E9F0F3"/>
          </w:tcPr>
          <w:p>
            <w:pPr>
              <w:jc w:val="right"/>
              <w:ind w:right="231"/>
              <w:spacing w:after="0"/>
              <w:rPr>
                <w:sz w:val="20"/>
                <w:szCs w:val="20"/>
                <w:color w:val="auto"/>
              </w:rPr>
            </w:pPr>
            <w:r>
              <w:rPr>
                <w:rFonts w:ascii="Arial" w:cs="Arial" w:eastAsia="Arial" w:hAnsi="Arial"/>
                <w:sz w:val="14"/>
                <w:szCs w:val="14"/>
                <w:color w:val="auto"/>
              </w:rPr>
              <w:t>21,776</w:t>
            </w:r>
          </w:p>
        </w:tc>
        <w:tc>
          <w:tcPr>
            <w:tcW w:w="1240" w:type="dxa"/>
            <w:vAlign w:val="bottom"/>
            <w:shd w:val="clear" w:color="auto" w:fill="E9F0F3"/>
          </w:tcPr>
          <w:p>
            <w:pPr>
              <w:jc w:val="right"/>
              <w:ind w:right="10"/>
              <w:spacing w:after="0"/>
              <w:rPr>
                <w:sz w:val="20"/>
                <w:szCs w:val="20"/>
                <w:color w:val="auto"/>
              </w:rPr>
            </w:pPr>
            <w:r>
              <w:rPr>
                <w:rFonts w:ascii="Arial" w:cs="Arial" w:eastAsia="Arial" w:hAnsi="Arial"/>
                <w:sz w:val="14"/>
                <w:szCs w:val="14"/>
                <w:color w:val="auto"/>
              </w:rPr>
              <w:t>*</w:t>
            </w:r>
          </w:p>
        </w:tc>
      </w:tr>
      <w:tr>
        <w:trPr>
          <w:trHeight w:val="66"/>
        </w:trPr>
        <w:tc>
          <w:tcPr>
            <w:tcW w:w="6960" w:type="dxa"/>
            <w:vAlign w:val="bottom"/>
            <w:shd w:val="clear" w:color="auto" w:fill="E9F0F3"/>
          </w:tcPr>
          <w:p>
            <w:pPr>
              <w:spacing w:after="0"/>
              <w:rPr>
                <w:sz w:val="5"/>
                <w:szCs w:val="5"/>
                <w:color w:val="auto"/>
              </w:rPr>
            </w:pPr>
          </w:p>
        </w:tc>
        <w:tc>
          <w:tcPr>
            <w:tcW w:w="2740" w:type="dxa"/>
            <w:vAlign w:val="bottom"/>
            <w:shd w:val="clear" w:color="auto" w:fill="E9F0F3"/>
          </w:tcPr>
          <w:p>
            <w:pPr>
              <w:spacing w:after="0"/>
              <w:rPr>
                <w:sz w:val="5"/>
                <w:szCs w:val="5"/>
                <w:color w:val="auto"/>
              </w:rPr>
            </w:pPr>
          </w:p>
        </w:tc>
        <w:tc>
          <w:tcPr>
            <w:tcW w:w="1240" w:type="dxa"/>
            <w:vAlign w:val="bottom"/>
            <w:shd w:val="clear" w:color="auto" w:fill="E9F0F3"/>
          </w:tcPr>
          <w:p>
            <w:pPr>
              <w:spacing w:after="0"/>
              <w:rPr>
                <w:sz w:val="5"/>
                <w:szCs w:val="5"/>
                <w:color w:val="auto"/>
              </w:rPr>
            </w:pPr>
          </w:p>
        </w:tc>
      </w:tr>
      <w:tr>
        <w:trPr>
          <w:trHeight w:val="229"/>
        </w:trPr>
        <w:tc>
          <w:tcPr>
            <w:tcW w:w="6960" w:type="dxa"/>
            <w:vAlign w:val="bottom"/>
          </w:tcPr>
          <w:p>
            <w:pPr>
              <w:ind w:left="60"/>
              <w:spacing w:after="0"/>
              <w:rPr>
                <w:sz w:val="20"/>
                <w:szCs w:val="20"/>
                <w:color w:val="auto"/>
              </w:rPr>
            </w:pPr>
            <w:r>
              <w:rPr>
                <w:rFonts w:ascii="Arial" w:cs="Arial" w:eastAsia="Arial" w:hAnsi="Arial"/>
                <w:sz w:val="14"/>
                <w:szCs w:val="14"/>
                <w:b w:val="1"/>
                <w:bCs w:val="1"/>
                <w:color w:val="auto"/>
              </w:rPr>
              <w:t>Amy McPherson</w:t>
            </w:r>
          </w:p>
        </w:tc>
        <w:tc>
          <w:tcPr>
            <w:tcW w:w="2740" w:type="dxa"/>
            <w:vAlign w:val="bottom"/>
          </w:tcPr>
          <w:p>
            <w:pPr>
              <w:jc w:val="right"/>
              <w:ind w:right="231"/>
              <w:spacing w:after="0"/>
              <w:rPr>
                <w:sz w:val="20"/>
                <w:szCs w:val="20"/>
                <w:color w:val="auto"/>
              </w:rPr>
            </w:pPr>
            <w:r>
              <w:rPr>
                <w:rFonts w:ascii="Arial" w:cs="Arial" w:eastAsia="Arial" w:hAnsi="Arial"/>
                <w:sz w:val="14"/>
                <w:szCs w:val="14"/>
                <w:color w:val="auto"/>
              </w:rPr>
              <w:t>18,083</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66"/>
        </w:trPr>
        <w:tc>
          <w:tcPr>
            <w:tcW w:w="696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29"/>
        </w:trPr>
        <w:tc>
          <w:tcPr>
            <w:tcW w:w="696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Lea Rytz Goldman</w:t>
            </w:r>
          </w:p>
        </w:tc>
        <w:tc>
          <w:tcPr>
            <w:tcW w:w="2740" w:type="dxa"/>
            <w:vAlign w:val="bottom"/>
            <w:shd w:val="clear" w:color="auto" w:fill="E9F0F3"/>
          </w:tcPr>
          <w:p>
            <w:pPr>
              <w:jc w:val="right"/>
              <w:ind w:right="231"/>
              <w:spacing w:after="0"/>
              <w:rPr>
                <w:sz w:val="20"/>
                <w:szCs w:val="20"/>
                <w:color w:val="auto"/>
              </w:rPr>
            </w:pPr>
            <w:r>
              <w:rPr>
                <w:rFonts w:ascii="Arial" w:cs="Arial" w:eastAsia="Arial" w:hAnsi="Arial"/>
                <w:sz w:val="14"/>
                <w:szCs w:val="14"/>
                <w:color w:val="auto"/>
              </w:rPr>
              <w:t>3,278</w:t>
            </w:r>
          </w:p>
        </w:tc>
        <w:tc>
          <w:tcPr>
            <w:tcW w:w="1240" w:type="dxa"/>
            <w:vAlign w:val="bottom"/>
            <w:shd w:val="clear" w:color="auto" w:fill="E9F0F3"/>
          </w:tcPr>
          <w:p>
            <w:pPr>
              <w:jc w:val="right"/>
              <w:ind w:right="10"/>
              <w:spacing w:after="0"/>
              <w:rPr>
                <w:sz w:val="20"/>
                <w:szCs w:val="20"/>
                <w:color w:val="auto"/>
              </w:rPr>
            </w:pPr>
            <w:r>
              <w:rPr>
                <w:rFonts w:ascii="Arial" w:cs="Arial" w:eastAsia="Arial" w:hAnsi="Arial"/>
                <w:sz w:val="14"/>
                <w:szCs w:val="14"/>
                <w:color w:val="auto"/>
              </w:rPr>
              <w:t>*</w:t>
            </w:r>
          </w:p>
        </w:tc>
      </w:tr>
      <w:tr>
        <w:trPr>
          <w:trHeight w:val="66"/>
        </w:trPr>
        <w:tc>
          <w:tcPr>
            <w:tcW w:w="6960" w:type="dxa"/>
            <w:vAlign w:val="bottom"/>
            <w:shd w:val="clear" w:color="auto" w:fill="E9F0F3"/>
          </w:tcPr>
          <w:p>
            <w:pPr>
              <w:spacing w:after="0"/>
              <w:rPr>
                <w:sz w:val="5"/>
                <w:szCs w:val="5"/>
                <w:color w:val="auto"/>
              </w:rPr>
            </w:pPr>
          </w:p>
        </w:tc>
        <w:tc>
          <w:tcPr>
            <w:tcW w:w="2740" w:type="dxa"/>
            <w:vAlign w:val="bottom"/>
            <w:shd w:val="clear" w:color="auto" w:fill="E9F0F3"/>
          </w:tcPr>
          <w:p>
            <w:pPr>
              <w:spacing w:after="0"/>
              <w:rPr>
                <w:sz w:val="5"/>
                <w:szCs w:val="5"/>
                <w:color w:val="auto"/>
              </w:rPr>
            </w:pPr>
          </w:p>
        </w:tc>
        <w:tc>
          <w:tcPr>
            <w:tcW w:w="1240" w:type="dxa"/>
            <w:vAlign w:val="bottom"/>
            <w:shd w:val="clear" w:color="auto" w:fill="E9F0F3"/>
          </w:tcPr>
          <w:p>
            <w:pPr>
              <w:spacing w:after="0"/>
              <w:rPr>
                <w:sz w:val="5"/>
                <w:szCs w:val="5"/>
                <w:color w:val="auto"/>
              </w:rPr>
            </w:pPr>
          </w:p>
        </w:tc>
      </w:tr>
      <w:tr>
        <w:trPr>
          <w:trHeight w:val="229"/>
        </w:trPr>
        <w:tc>
          <w:tcPr>
            <w:tcW w:w="6960" w:type="dxa"/>
            <w:vAlign w:val="bottom"/>
          </w:tcPr>
          <w:p>
            <w:pPr>
              <w:ind w:left="60"/>
              <w:spacing w:after="0"/>
              <w:rPr>
                <w:sz w:val="20"/>
                <w:szCs w:val="20"/>
                <w:color w:val="auto"/>
              </w:rPr>
            </w:pPr>
            <w:r>
              <w:rPr>
                <w:rFonts w:ascii="Arial" w:cs="Arial" w:eastAsia="Arial" w:hAnsi="Arial"/>
                <w:sz w:val="14"/>
                <w:szCs w:val="14"/>
                <w:b w:val="1"/>
                <w:bCs w:val="1"/>
                <w:color w:val="auto"/>
              </w:rPr>
              <w:t>Fredrik Olsson</w:t>
            </w:r>
          </w:p>
        </w:tc>
        <w:tc>
          <w:tcPr>
            <w:tcW w:w="2740" w:type="dxa"/>
            <w:vAlign w:val="bottom"/>
          </w:tcPr>
          <w:p>
            <w:pPr>
              <w:jc w:val="right"/>
              <w:ind w:right="231"/>
              <w:spacing w:after="0"/>
              <w:rPr>
                <w:sz w:val="20"/>
                <w:szCs w:val="20"/>
                <w:color w:val="auto"/>
              </w:rPr>
            </w:pPr>
            <w:r>
              <w:rPr>
                <w:rFonts w:ascii="Arial" w:cs="Arial" w:eastAsia="Arial" w:hAnsi="Arial"/>
                <w:sz w:val="14"/>
                <w:szCs w:val="14"/>
                <w:color w:val="auto"/>
              </w:rPr>
              <w:t>1,369</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66"/>
        </w:trPr>
        <w:tc>
          <w:tcPr>
            <w:tcW w:w="696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29"/>
        </w:trPr>
        <w:tc>
          <w:tcPr>
            <w:tcW w:w="696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David Savman</w:t>
            </w:r>
          </w:p>
        </w:tc>
        <w:tc>
          <w:tcPr>
            <w:tcW w:w="2740" w:type="dxa"/>
            <w:vAlign w:val="bottom"/>
            <w:shd w:val="clear" w:color="auto" w:fill="E9F0F3"/>
          </w:tcPr>
          <w:p>
            <w:pPr>
              <w:jc w:val="right"/>
              <w:ind w:right="231"/>
              <w:spacing w:after="0"/>
              <w:rPr>
                <w:sz w:val="20"/>
                <w:szCs w:val="20"/>
                <w:color w:val="auto"/>
              </w:rPr>
            </w:pPr>
            <w:r>
              <w:rPr>
                <w:rFonts w:ascii="Arial" w:cs="Arial" w:eastAsia="Arial" w:hAnsi="Arial"/>
                <w:sz w:val="14"/>
                <w:szCs w:val="14"/>
                <w:color w:val="auto"/>
              </w:rPr>
              <w:t>6,640</w:t>
            </w:r>
          </w:p>
        </w:tc>
        <w:tc>
          <w:tcPr>
            <w:tcW w:w="1240" w:type="dxa"/>
            <w:vAlign w:val="bottom"/>
            <w:shd w:val="clear" w:color="auto" w:fill="E9F0F3"/>
          </w:tcPr>
          <w:p>
            <w:pPr>
              <w:jc w:val="right"/>
              <w:ind w:right="10"/>
              <w:spacing w:after="0"/>
              <w:rPr>
                <w:sz w:val="20"/>
                <w:szCs w:val="20"/>
                <w:color w:val="auto"/>
              </w:rPr>
            </w:pPr>
            <w:r>
              <w:rPr>
                <w:rFonts w:ascii="Arial" w:cs="Arial" w:eastAsia="Arial" w:hAnsi="Arial"/>
                <w:sz w:val="14"/>
                <w:szCs w:val="14"/>
                <w:color w:val="auto"/>
              </w:rPr>
              <w:t>*</w:t>
            </w:r>
          </w:p>
        </w:tc>
      </w:tr>
      <w:tr>
        <w:trPr>
          <w:trHeight w:val="66"/>
        </w:trPr>
        <w:tc>
          <w:tcPr>
            <w:tcW w:w="6960" w:type="dxa"/>
            <w:vAlign w:val="bottom"/>
            <w:shd w:val="clear" w:color="auto" w:fill="E9F0F3"/>
          </w:tcPr>
          <w:p>
            <w:pPr>
              <w:spacing w:after="0"/>
              <w:rPr>
                <w:sz w:val="5"/>
                <w:szCs w:val="5"/>
                <w:color w:val="auto"/>
              </w:rPr>
            </w:pPr>
          </w:p>
        </w:tc>
        <w:tc>
          <w:tcPr>
            <w:tcW w:w="2740" w:type="dxa"/>
            <w:vAlign w:val="bottom"/>
            <w:shd w:val="clear" w:color="auto" w:fill="E9F0F3"/>
          </w:tcPr>
          <w:p>
            <w:pPr>
              <w:spacing w:after="0"/>
              <w:rPr>
                <w:sz w:val="5"/>
                <w:szCs w:val="5"/>
                <w:color w:val="auto"/>
              </w:rPr>
            </w:pPr>
          </w:p>
        </w:tc>
        <w:tc>
          <w:tcPr>
            <w:tcW w:w="1240" w:type="dxa"/>
            <w:vAlign w:val="bottom"/>
            <w:shd w:val="clear" w:color="auto" w:fill="E9F0F3"/>
          </w:tcPr>
          <w:p>
            <w:pPr>
              <w:spacing w:after="0"/>
              <w:rPr>
                <w:sz w:val="5"/>
                <w:szCs w:val="5"/>
                <w:color w:val="auto"/>
              </w:rPr>
            </w:pPr>
          </w:p>
        </w:tc>
      </w:tr>
      <w:tr>
        <w:trPr>
          <w:trHeight w:val="229"/>
        </w:trPr>
        <w:tc>
          <w:tcPr>
            <w:tcW w:w="6960" w:type="dxa"/>
            <w:vAlign w:val="bottom"/>
          </w:tcPr>
          <w:p>
            <w:pPr>
              <w:ind w:left="60"/>
              <w:spacing w:after="0"/>
              <w:rPr>
                <w:sz w:val="20"/>
                <w:szCs w:val="20"/>
                <w:color w:val="auto"/>
              </w:rPr>
            </w:pPr>
            <w:r>
              <w:rPr>
                <w:rFonts w:ascii="Arial" w:cs="Arial" w:eastAsia="Arial" w:hAnsi="Arial"/>
                <w:sz w:val="14"/>
                <w:szCs w:val="14"/>
                <w:b w:val="1"/>
                <w:bCs w:val="1"/>
                <w:color w:val="auto"/>
              </w:rPr>
              <w:t>Eva Serrano</w:t>
            </w:r>
          </w:p>
        </w:tc>
        <w:tc>
          <w:tcPr>
            <w:tcW w:w="2740" w:type="dxa"/>
            <w:vAlign w:val="bottom"/>
          </w:tcPr>
          <w:p>
            <w:pPr>
              <w:jc w:val="right"/>
              <w:ind w:right="231"/>
              <w:spacing w:after="0"/>
              <w:rPr>
                <w:sz w:val="20"/>
                <w:szCs w:val="20"/>
                <w:color w:val="auto"/>
              </w:rPr>
            </w:pPr>
            <w:r>
              <w:rPr>
                <w:rFonts w:ascii="Arial" w:cs="Arial" w:eastAsia="Arial" w:hAnsi="Arial"/>
                <w:sz w:val="14"/>
                <w:szCs w:val="14"/>
                <w:color w:val="auto"/>
              </w:rPr>
              <w:t>5,729</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66"/>
        </w:trPr>
        <w:tc>
          <w:tcPr>
            <w:tcW w:w="696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29"/>
        </w:trPr>
        <w:tc>
          <w:tcPr>
            <w:tcW w:w="696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Melissa Stone</w:t>
            </w:r>
          </w:p>
        </w:tc>
        <w:tc>
          <w:tcPr>
            <w:tcW w:w="2740" w:type="dxa"/>
            <w:vAlign w:val="bottom"/>
            <w:shd w:val="clear" w:color="auto" w:fill="E9F0F3"/>
          </w:tcPr>
          <w:p>
            <w:pPr>
              <w:jc w:val="right"/>
              <w:ind w:right="231"/>
              <w:spacing w:after="0"/>
              <w:rPr>
                <w:sz w:val="20"/>
                <w:szCs w:val="20"/>
                <w:color w:val="auto"/>
              </w:rPr>
            </w:pPr>
            <w:r>
              <w:rPr>
                <w:rFonts w:ascii="Arial" w:cs="Arial" w:eastAsia="Arial" w:hAnsi="Arial"/>
                <w:sz w:val="14"/>
                <w:szCs w:val="14"/>
                <w:color w:val="auto"/>
              </w:rPr>
              <w:t>6,549</w:t>
            </w:r>
          </w:p>
        </w:tc>
        <w:tc>
          <w:tcPr>
            <w:tcW w:w="1240" w:type="dxa"/>
            <w:vAlign w:val="bottom"/>
            <w:shd w:val="clear" w:color="auto" w:fill="E9F0F3"/>
          </w:tcPr>
          <w:p>
            <w:pPr>
              <w:jc w:val="right"/>
              <w:ind w:right="10"/>
              <w:spacing w:after="0"/>
              <w:rPr>
                <w:sz w:val="20"/>
                <w:szCs w:val="20"/>
                <w:color w:val="auto"/>
              </w:rPr>
            </w:pPr>
            <w:r>
              <w:rPr>
                <w:rFonts w:ascii="Arial" w:cs="Arial" w:eastAsia="Arial" w:hAnsi="Arial"/>
                <w:sz w:val="14"/>
                <w:szCs w:val="14"/>
                <w:color w:val="auto"/>
              </w:rPr>
              <w:t>*</w:t>
            </w:r>
          </w:p>
        </w:tc>
      </w:tr>
      <w:tr>
        <w:trPr>
          <w:trHeight w:val="66"/>
        </w:trPr>
        <w:tc>
          <w:tcPr>
            <w:tcW w:w="6960" w:type="dxa"/>
            <w:vAlign w:val="bottom"/>
            <w:shd w:val="clear" w:color="auto" w:fill="E9F0F3"/>
          </w:tcPr>
          <w:p>
            <w:pPr>
              <w:spacing w:after="0"/>
              <w:rPr>
                <w:sz w:val="5"/>
                <w:szCs w:val="5"/>
                <w:color w:val="auto"/>
              </w:rPr>
            </w:pPr>
          </w:p>
        </w:tc>
        <w:tc>
          <w:tcPr>
            <w:tcW w:w="2740" w:type="dxa"/>
            <w:vAlign w:val="bottom"/>
            <w:shd w:val="clear" w:color="auto" w:fill="E9F0F3"/>
          </w:tcPr>
          <w:p>
            <w:pPr>
              <w:spacing w:after="0"/>
              <w:rPr>
                <w:sz w:val="5"/>
                <w:szCs w:val="5"/>
                <w:color w:val="auto"/>
              </w:rPr>
            </w:pPr>
          </w:p>
        </w:tc>
        <w:tc>
          <w:tcPr>
            <w:tcW w:w="1240" w:type="dxa"/>
            <w:vAlign w:val="bottom"/>
            <w:shd w:val="clear" w:color="auto" w:fill="E9F0F3"/>
          </w:tcPr>
          <w:p>
            <w:pPr>
              <w:spacing w:after="0"/>
              <w:rPr>
                <w:sz w:val="5"/>
                <w:szCs w:val="5"/>
                <w:color w:val="auto"/>
              </w:rPr>
            </w:pPr>
          </w:p>
        </w:tc>
      </w:tr>
      <w:tr>
        <w:trPr>
          <w:trHeight w:val="229"/>
        </w:trPr>
        <w:tc>
          <w:tcPr>
            <w:tcW w:w="6960" w:type="dxa"/>
            <w:vAlign w:val="bottom"/>
          </w:tcPr>
          <w:p>
            <w:pPr>
              <w:ind w:left="60"/>
              <w:spacing w:after="0"/>
              <w:rPr>
                <w:sz w:val="20"/>
                <w:szCs w:val="20"/>
                <w:color w:val="auto"/>
              </w:rPr>
            </w:pPr>
            <w:r>
              <w:rPr>
                <w:rFonts w:ascii="Arial" w:cs="Arial" w:eastAsia="Arial" w:hAnsi="Arial"/>
                <w:sz w:val="14"/>
                <w:szCs w:val="14"/>
                <w:b w:val="1"/>
                <w:bCs w:val="1"/>
                <w:color w:val="auto"/>
              </w:rPr>
              <w:t>Amanda Sourry</w:t>
            </w:r>
          </w:p>
        </w:tc>
        <w:tc>
          <w:tcPr>
            <w:tcW w:w="2740" w:type="dxa"/>
            <w:vAlign w:val="bottom"/>
          </w:tcPr>
          <w:p>
            <w:pPr>
              <w:jc w:val="right"/>
              <w:ind w:right="231"/>
              <w:spacing w:after="0"/>
              <w:rPr>
                <w:sz w:val="20"/>
                <w:szCs w:val="20"/>
                <w:color w:val="auto"/>
              </w:rPr>
            </w:pPr>
            <w:r>
              <w:rPr>
                <w:rFonts w:ascii="Arial" w:cs="Arial" w:eastAsia="Arial" w:hAnsi="Arial"/>
                <w:sz w:val="14"/>
                <w:szCs w:val="14"/>
                <w:color w:val="auto"/>
              </w:rPr>
              <w:t>18,083</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66"/>
        </w:trPr>
        <w:tc>
          <w:tcPr>
            <w:tcW w:w="696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29"/>
        </w:trPr>
        <w:tc>
          <w:tcPr>
            <w:tcW w:w="696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All Directors, Nominees for Director and Executive Officers as a Group (18 People)</w:t>
            </w:r>
          </w:p>
        </w:tc>
        <w:tc>
          <w:tcPr>
            <w:tcW w:w="2740" w:type="dxa"/>
            <w:vAlign w:val="bottom"/>
            <w:shd w:val="clear" w:color="auto" w:fill="E9F0F3"/>
          </w:tcPr>
          <w:p>
            <w:pPr>
              <w:jc w:val="right"/>
              <w:ind w:right="231"/>
              <w:spacing w:after="0"/>
              <w:rPr>
                <w:sz w:val="20"/>
                <w:szCs w:val="20"/>
                <w:color w:val="auto"/>
              </w:rPr>
            </w:pPr>
            <w:r>
              <w:rPr>
                <w:rFonts w:ascii="Arial" w:cs="Arial" w:eastAsia="Arial" w:hAnsi="Arial"/>
                <w:sz w:val="14"/>
                <w:szCs w:val="14"/>
                <w:color w:val="auto"/>
              </w:rPr>
              <w:t>688,126</w:t>
            </w:r>
          </w:p>
        </w:tc>
        <w:tc>
          <w:tcPr>
            <w:tcW w:w="1240" w:type="dxa"/>
            <w:vAlign w:val="bottom"/>
            <w:shd w:val="clear" w:color="auto" w:fill="E9F0F3"/>
          </w:tcPr>
          <w:p>
            <w:pPr>
              <w:jc w:val="right"/>
              <w:spacing w:after="0"/>
              <w:rPr>
                <w:sz w:val="20"/>
                <w:szCs w:val="20"/>
                <w:color w:val="auto"/>
              </w:rPr>
            </w:pPr>
            <w:r>
              <w:rPr>
                <w:rFonts w:ascii="Arial" w:cs="Arial" w:eastAsia="Arial" w:hAnsi="Arial"/>
                <w:sz w:val="14"/>
                <w:szCs w:val="14"/>
                <w:color w:val="auto"/>
              </w:rPr>
              <w:t>1.5</w:t>
            </w:r>
          </w:p>
        </w:tc>
      </w:tr>
      <w:tr>
        <w:trPr>
          <w:trHeight w:val="66"/>
        </w:trPr>
        <w:tc>
          <w:tcPr>
            <w:tcW w:w="6960" w:type="dxa"/>
            <w:vAlign w:val="bottom"/>
            <w:shd w:val="clear" w:color="auto" w:fill="E9F0F3"/>
          </w:tcPr>
          <w:p>
            <w:pPr>
              <w:spacing w:after="0"/>
              <w:rPr>
                <w:sz w:val="5"/>
                <w:szCs w:val="5"/>
                <w:color w:val="auto"/>
              </w:rPr>
            </w:pPr>
          </w:p>
        </w:tc>
        <w:tc>
          <w:tcPr>
            <w:tcW w:w="2740" w:type="dxa"/>
            <w:vAlign w:val="bottom"/>
            <w:shd w:val="clear" w:color="auto" w:fill="E9F0F3"/>
          </w:tcPr>
          <w:p>
            <w:pPr>
              <w:spacing w:after="0"/>
              <w:rPr>
                <w:sz w:val="5"/>
                <w:szCs w:val="5"/>
                <w:color w:val="auto"/>
              </w:rPr>
            </w:pPr>
          </w:p>
        </w:tc>
        <w:tc>
          <w:tcPr>
            <w:tcW w:w="1240" w:type="dxa"/>
            <w:vAlign w:val="bottom"/>
            <w:shd w:val="clear" w:color="auto" w:fill="E9F0F3"/>
          </w:tcPr>
          <w:p>
            <w:pPr>
              <w:spacing w:after="0"/>
              <w:rPr>
                <w:sz w:val="5"/>
                <w:szCs w:val="5"/>
                <w:color w:val="auto"/>
              </w:rPr>
            </w:pPr>
          </w:p>
        </w:tc>
      </w:tr>
    </w:tbl>
    <w:p>
      <w:pPr>
        <w:spacing w:after="0" w:line="204" w:lineRule="exact"/>
        <w:rPr>
          <w:sz w:val="20"/>
          <w:szCs w:val="20"/>
          <w:color w:val="auto"/>
        </w:rPr>
      </w:pPr>
    </w:p>
    <w:p>
      <w:pPr>
        <w:ind w:left="20"/>
        <w:spacing w:after="0"/>
        <w:tabs>
          <w:tab w:leader="none" w:pos="1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Less than 1% of class.</w:t>
      </w:r>
    </w:p>
    <w:p>
      <w:pPr>
        <w:spacing w:after="0" w:line="39" w:lineRule="exact"/>
        <w:rPr>
          <w:sz w:val="20"/>
          <w:szCs w:val="20"/>
          <w:color w:val="auto"/>
        </w:rPr>
      </w:pPr>
    </w:p>
    <w:p>
      <w:pPr>
        <w:ind w:left="160" w:right="20" w:hanging="149"/>
        <w:spacing w:after="0" w:line="239" w:lineRule="auto"/>
        <w:tabs>
          <w:tab w:leader="none" w:pos="167"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The figures in the table are based upon information furnished to us by our directors, nominees for director, and executive officers and upon our records. The figures include the shares held for the benefit of our executive officers in a trust for the PVH Stock Fund. The PVH Stock Fund is one of the investment options under our 401(k) plan. Participants in our 401(k) plan who make investments in the PVH Stock Fund may direct the vote of shares of common stock held for their benefit in the trust for the PVH Stock Fund.</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2  Includes an aggregate of 65,700 shares held by trusts for the benefit of Mr. Calbert and his wife (42,000 shares) and trusts for each of his three children (7,900 shares each).</w:t>
      </w:r>
    </w:p>
    <w:p>
      <w:pPr>
        <w:spacing w:after="0" w:line="105" w:lineRule="exact"/>
        <w:rPr>
          <w:sz w:val="20"/>
          <w:szCs w:val="20"/>
          <w:color w:val="auto"/>
        </w:rPr>
      </w:pPr>
    </w:p>
    <w:p>
      <w:pPr>
        <w:ind w:left="20" w:right="460"/>
        <w:spacing w:after="0" w:line="282" w:lineRule="auto"/>
        <w:rPr>
          <w:sz w:val="20"/>
          <w:szCs w:val="20"/>
          <w:color w:val="auto"/>
        </w:rPr>
      </w:pPr>
      <w:r>
        <w:rPr>
          <w:rFonts w:ascii="Arial" w:cs="Arial" w:eastAsia="Arial" w:hAnsi="Arial"/>
          <w:sz w:val="14"/>
          <w:szCs w:val="14"/>
          <w:color w:val="auto"/>
        </w:rPr>
        <w:t>As of the record date, the following persons have the right to cast votes equal to the following number of shares held in the trust for the PVH Stock Fund (rounded to the nearest full share): Melissa Stone, 375 shares; and all of our directors, nominees for director and executive officers as a group, 1,086 shares.</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SECURITY OWNERSHIP OF CERTAIN BENEFICIAL OWNERS AND MANAGEMENT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179" w:right="479" w:bottom="1440" w:gutter="0" w:footer="0" w:header="0"/>
        </w:sectPr>
      </w:pPr>
    </w:p>
    <w:bookmarkStart w:id="100" w:name="page101"/>
    <w:bookmarkEnd w:id="100"/>
    <w:p>
      <w:pPr>
        <w:spacing w:after="0" w:line="253" w:lineRule="auto"/>
        <w:rPr>
          <w:sz w:val="20"/>
          <w:szCs w:val="20"/>
          <w:color w:val="auto"/>
        </w:rPr>
      </w:pPr>
      <w:r>
        <w:rPr>
          <w:rFonts w:ascii="Arial" w:cs="Arial" w:eastAsia="Arial" w:hAnsi="Arial"/>
          <w:sz w:val="14"/>
          <w:szCs w:val="14"/>
          <w:color w:val="auto"/>
        </w:rPr>
        <w:t>The Trustee of the trust for the PVH Stock Fund has the right to vote shares in the trust that are unvoted as of two days prior to the meeting in the same proportion as the vote by all other participants in our 401(k) plan who have cast votes with respect to their investment in the Fund, other than the limited right of a participant to receive a distribution of shares held for his or her benefit. As such, the committee may be deemed to be a beneficial owner of the common stock held in the trust. An executive officer who is not an NEO is one of the two members of that committee. The figures in the table do not include shares in the trust for the Fund to the extent that, as members of the committee, they may be deemed to have beneficial ownership of such shares. There were 182,268 shares of common stock (0.4% of the outstanding shares) held in the trust as of the record date.</w:t>
      </w:r>
    </w:p>
    <w:p>
      <w:pPr>
        <w:spacing w:after="0" w:line="89" w:lineRule="exact"/>
        <w:rPr>
          <w:sz w:val="20"/>
          <w:szCs w:val="20"/>
          <w:color w:val="auto"/>
        </w:rPr>
      </w:pPr>
    </w:p>
    <w:p>
      <w:pPr>
        <w:jc w:val="both"/>
        <w:ind w:right="160"/>
        <w:spacing w:after="0" w:line="282" w:lineRule="auto"/>
        <w:rPr>
          <w:sz w:val="20"/>
          <w:szCs w:val="20"/>
          <w:color w:val="auto"/>
        </w:rPr>
      </w:pPr>
      <w:r>
        <w:rPr>
          <w:rFonts w:ascii="Arial" w:cs="Arial" w:eastAsia="Arial" w:hAnsi="Arial"/>
          <w:sz w:val="14"/>
          <w:szCs w:val="14"/>
          <w:color w:val="auto"/>
        </w:rPr>
        <w:t>The table also includes the following shares that each of the individuals and the group listed on the table have the right to acquire within 60 days of the record date upon the exercise of stock options granted to them: Stefan Larsson, 265,275 shares; and all of our directors, nominees for director and executive officers as a group, 265,275 shares.</w:t>
      </w:r>
    </w:p>
    <w:p>
      <w:pPr>
        <w:spacing w:after="0" w:line="57"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The table also includes the following shares of common stock that are subject to restricted stock unit awards made to the individuals and as a group, the restrictions on which will lapse within 60 days of the record date: Jesper Andersen, 2,776 shares; Ajay Bhalla, 2,776 shares; Brent Callinicos, 2,776 shares; George Cheeks, 2,776 shares; Kate Gulliver, 2,776 shares; Amy McPherson, 2,776 shares; Amanda Sourry, 2,776 shares; and all of our directors, nominees for director and executive officers as a group, 19,925 shares.</w:t>
      </w:r>
    </w:p>
    <w:p>
      <w:pPr>
        <w:spacing w:after="0" w:line="73"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The table also includes the following shares of common stock that are subject to time-vested restricted stock unit awards made to directors with respect to which the named directors have deferred vesting and receipt, principally until the date on which the director separates from service as a director (but in some cases to a date not within 60 days of the record date): Michael M. Calbert, 13,874 shares; G. Penny McIntyre, 20,776 shares; and all of our directors, nominees for director and executive officers as a group, 34,650 shares.</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98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695515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00"/>
          </w:cols>
          <w:pgMar w:left="480" w:top="233" w:right="519" w:bottom="1440" w:gutter="0" w:footer="0" w:header="0"/>
        </w:sectPr>
      </w:pPr>
    </w:p>
    <w:bookmarkStart w:id="101" w:name="page102"/>
    <w:bookmarkEnd w:id="101"/>
    <w:p>
      <w:pPr>
        <w:spacing w:after="0"/>
        <w:rPr>
          <w:sz w:val="20"/>
          <w:szCs w:val="20"/>
          <w:color w:val="auto"/>
        </w:rPr>
      </w:pPr>
      <w:r>
        <w:rPr>
          <w:rFonts w:ascii="Arial" w:cs="Arial" w:eastAsia="Arial" w:hAnsi="Arial"/>
          <w:sz w:val="41"/>
          <w:szCs w:val="41"/>
          <w:b w:val="1"/>
          <w:bCs w:val="1"/>
          <w:color w:val="auto"/>
        </w:rPr>
        <w:t>Delinquent Section 16(a) Reports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Based upon our review of the filings furnished to us pursuant to Rule 16a-3(e) under the Securities Exchange Act of 1934, and on representations from our officers and directors, all filing requirements under Section 16(a) were complied with during the fiscal year ended February 1, 2026, except for the Form 4 Statement of Changes in Beneficial Ownership that was filed five business days late in connection with an RSU grant to Erik Graf, our Executive Vice President and Corporate Controller, on December 16, 2025. The late filing was due to an administrative error.</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DELINQUENT SECTION 16(A) REPORTS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695515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94" w:right="479" w:bottom="1440" w:gutter="0" w:footer="0" w:header="0"/>
        </w:sectPr>
      </w:pPr>
    </w:p>
    <w:bookmarkStart w:id="102" w:name="page103"/>
    <w:bookmarkEnd w:id="102"/>
    <w:p>
      <w:pPr>
        <w:spacing w:after="0"/>
        <w:rPr>
          <w:sz w:val="20"/>
          <w:szCs w:val="20"/>
          <w:color w:val="auto"/>
        </w:rPr>
      </w:pPr>
      <w:r>
        <w:rPr>
          <w:rFonts w:ascii="Arial" w:cs="Arial" w:eastAsia="Arial" w:hAnsi="Arial"/>
          <w:sz w:val="41"/>
          <w:szCs w:val="41"/>
          <w:b w:val="1"/>
          <w:bCs w:val="1"/>
          <w:color w:val="auto"/>
        </w:rPr>
        <w:t>General Information</w:t>
      </w:r>
    </w:p>
    <w:p>
      <w:pPr>
        <w:spacing w:after="0" w:line="30" w:lineRule="exact"/>
        <w:rPr>
          <w:sz w:val="20"/>
          <w:szCs w:val="20"/>
          <w:color w:val="auto"/>
        </w:rPr>
      </w:pPr>
    </w:p>
    <w:p>
      <w:pPr>
        <w:spacing w:after="0"/>
        <w:rPr>
          <w:sz w:val="20"/>
          <w:szCs w:val="20"/>
          <w:color w:val="auto"/>
        </w:rPr>
      </w:pPr>
      <w:r>
        <w:rPr>
          <w:rFonts w:ascii="Arial" w:cs="Arial" w:eastAsia="Arial" w:hAnsi="Arial"/>
          <w:sz w:val="41"/>
          <w:szCs w:val="41"/>
          <w:b w:val="1"/>
          <w:bCs w:val="1"/>
          <w:color w:val="auto"/>
        </w:rPr>
        <w:t>About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40"/>
        <w:spacing w:after="0" w:line="282" w:lineRule="auto"/>
        <w:rPr>
          <w:sz w:val="20"/>
          <w:szCs w:val="20"/>
          <w:color w:val="auto"/>
        </w:rPr>
      </w:pPr>
      <w:r>
        <w:rPr>
          <w:rFonts w:ascii="Arial" w:cs="Arial" w:eastAsia="Arial" w:hAnsi="Arial"/>
          <w:sz w:val="14"/>
          <w:szCs w:val="14"/>
          <w:color w:val="auto"/>
        </w:rPr>
        <w:t>This Proxy Statement is furnished in connection with the solicitation of proxies by the Board of Directors of PVH Corp. to be used at the Annual Meeting of Stockholders on Thursday, June 18, 2026, and at any adjournment or postponement thereof.</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Our principal executive offices are located at 285 Madison Avenue, New York, New York 10017.</w:t>
      </w:r>
    </w:p>
    <w:p>
      <w:pPr>
        <w:spacing w:after="0" w:line="262" w:lineRule="exact"/>
        <w:rPr>
          <w:sz w:val="20"/>
          <w:szCs w:val="20"/>
          <w:color w:val="auto"/>
        </w:rPr>
      </w:pPr>
    </w:p>
    <w:p>
      <w:pPr>
        <w:spacing w:after="0"/>
        <w:rPr>
          <w:sz w:val="20"/>
          <w:szCs w:val="20"/>
          <w:color w:val="auto"/>
        </w:rPr>
      </w:pPr>
      <w:r>
        <w:rPr>
          <w:rFonts w:ascii="Arial" w:cs="Arial" w:eastAsia="Arial" w:hAnsi="Arial"/>
          <w:sz w:val="28"/>
          <w:szCs w:val="28"/>
          <w:b w:val="1"/>
          <w:bCs w:val="1"/>
          <w:color w:val="6D98AD"/>
        </w:rPr>
        <w:t>“Green” Initiative</w:t>
      </w:r>
    </w:p>
    <w:p>
      <w:pPr>
        <w:spacing w:after="0" w:line="114"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Pursuant to SEC rules, we are furnishing this Proxy Statement and our Annual Report on Form 10-K for our fiscal year ended February 1, 2026, excluding the exhibits (which we refer to as the “proxy materials”), to our stockholders via the Internet instead of mailing printed copies. This process gives our stockholders quicker access to the proxy materials, reduces the costs of printing and mailing the proxy materials, and lessens the environmental impact of our Annual Meeting. Accordingly, on or around May 8, 2026, we began sending to our stockholders a Notice Regarding the Availability of Proxy Materials (“Notice”). If you received a Notice, you will not receive a printed copy of the proxy materials unless you request one. The Notice provides instructions on how to access the proxy materials online, how to request a printed set of proxy materials, and how to vote your shares.</w:t>
      </w:r>
    </w:p>
    <w:p>
      <w:pPr>
        <w:spacing w:after="0" w:line="77"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If you received a printed copy of the Notice but would like to enroll in our electronic delivery service, you may do so at any time by going to www.proxyconsent.com/pvh and following the enrollment instructions. If you hold your shares in a bank or brokerage account, please check the information in the proxy materials provided to you by your bank or broker to determine if you can receive these documents electronically in the future.</w:t>
      </w:r>
    </w:p>
    <w:p>
      <w:pPr>
        <w:spacing w:after="0" w:line="69" w:lineRule="exact"/>
        <w:rPr>
          <w:sz w:val="20"/>
          <w:szCs w:val="20"/>
          <w:color w:val="auto"/>
        </w:rPr>
      </w:pPr>
    </w:p>
    <w:p>
      <w:pPr>
        <w:ind w:right="180"/>
        <w:spacing w:after="0" w:line="264" w:lineRule="auto"/>
        <w:rPr>
          <w:sz w:val="20"/>
          <w:szCs w:val="20"/>
          <w:color w:val="auto"/>
        </w:rPr>
      </w:pPr>
      <w:r>
        <w:rPr>
          <w:rFonts w:ascii="Arial" w:cs="Arial" w:eastAsia="Arial" w:hAnsi="Arial"/>
          <w:sz w:val="14"/>
          <w:szCs w:val="14"/>
          <w:color w:val="auto"/>
        </w:rPr>
        <w:t>If you receive more than one copy of the Notice at the same address (perhaps because you share that address with another stockholder), you can opt to save us the cost of mailing duplicates by participating in what is known as “householding.” To opt into householding, or if you no longer wish to participate in householding and would prefer to receive a separate Notice or set of proxy materials, please send your written request, with account information, to the Secretary of PVH at the address shown above.</w:t>
      </w:r>
    </w:p>
    <w:p>
      <w:pPr>
        <w:spacing w:after="0" w:line="222" w:lineRule="exact"/>
        <w:rPr>
          <w:sz w:val="20"/>
          <w:szCs w:val="20"/>
          <w:color w:val="auto"/>
        </w:rPr>
      </w:pPr>
    </w:p>
    <w:p>
      <w:pPr>
        <w:spacing w:after="0"/>
        <w:rPr>
          <w:sz w:val="20"/>
          <w:szCs w:val="20"/>
          <w:color w:val="auto"/>
        </w:rPr>
      </w:pPr>
      <w:r>
        <w:rPr>
          <w:rFonts w:ascii="Arial" w:cs="Arial" w:eastAsia="Arial" w:hAnsi="Arial"/>
          <w:sz w:val="28"/>
          <w:szCs w:val="28"/>
          <w:b w:val="1"/>
          <w:bCs w:val="1"/>
          <w:color w:val="6D98AD"/>
        </w:rPr>
        <w:t>Who Can Vote</w:t>
      </w:r>
    </w:p>
    <w:p>
      <w:pPr>
        <w:spacing w:after="0" w:line="114" w:lineRule="exact"/>
        <w:rPr>
          <w:sz w:val="20"/>
          <w:szCs w:val="20"/>
          <w:color w:val="auto"/>
        </w:rPr>
      </w:pPr>
    </w:p>
    <w:p>
      <w:pPr>
        <w:ind w:right="280"/>
        <w:spacing w:after="0" w:line="282" w:lineRule="auto"/>
        <w:rPr>
          <w:sz w:val="20"/>
          <w:szCs w:val="20"/>
          <w:color w:val="auto"/>
        </w:rPr>
      </w:pPr>
      <w:r>
        <w:rPr>
          <w:rFonts w:ascii="Arial" w:cs="Arial" w:eastAsia="Arial" w:hAnsi="Arial"/>
          <w:sz w:val="14"/>
          <w:szCs w:val="14"/>
          <w:color w:val="auto"/>
        </w:rPr>
        <w:t>Common stockholders of record at the close of business on April 20, 2026, the record date for the meeting, will be entitled to one vote for each share of our common stock then held. As of the record date, there were 46,074,047 shares of common stock outstanding.</w:t>
      </w:r>
    </w:p>
    <w:p>
      <w:pPr>
        <w:spacing w:after="0" w:line="210" w:lineRule="exact"/>
        <w:rPr>
          <w:sz w:val="20"/>
          <w:szCs w:val="20"/>
          <w:color w:val="auto"/>
        </w:rPr>
      </w:pPr>
    </w:p>
    <w:p>
      <w:pPr>
        <w:spacing w:after="0"/>
        <w:rPr>
          <w:sz w:val="20"/>
          <w:szCs w:val="20"/>
          <w:color w:val="auto"/>
        </w:rPr>
      </w:pPr>
      <w:r>
        <w:rPr>
          <w:rFonts w:ascii="Arial" w:cs="Arial" w:eastAsia="Arial" w:hAnsi="Arial"/>
          <w:sz w:val="28"/>
          <w:szCs w:val="28"/>
          <w:b w:val="1"/>
          <w:bCs w:val="1"/>
          <w:color w:val="6D98AD"/>
        </w:rPr>
        <w:t>Who Can Attend</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Attendance at the meeting will be limited to holders of record as of the record date of our common stock or their proxies, beneficial owners, and invited guests of PVH.</w:t>
      </w:r>
    </w:p>
    <w:p>
      <w:pPr>
        <w:spacing w:after="0" w:line="251" w:lineRule="exact"/>
        <w:rPr>
          <w:sz w:val="20"/>
          <w:szCs w:val="20"/>
          <w:color w:val="auto"/>
        </w:rPr>
      </w:pPr>
    </w:p>
    <w:p>
      <w:pPr>
        <w:spacing w:after="0"/>
        <w:rPr>
          <w:sz w:val="20"/>
          <w:szCs w:val="20"/>
          <w:color w:val="auto"/>
        </w:rPr>
      </w:pPr>
      <w:r>
        <w:rPr>
          <w:rFonts w:ascii="Arial" w:cs="Arial" w:eastAsia="Arial" w:hAnsi="Arial"/>
          <w:sz w:val="28"/>
          <w:szCs w:val="28"/>
          <w:b w:val="1"/>
          <w:bCs w:val="1"/>
          <w:color w:val="6D98AD"/>
        </w:rPr>
        <w:t>How to Attend</w:t>
      </w:r>
    </w:p>
    <w:p>
      <w:pPr>
        <w:spacing w:after="0" w:line="114" w:lineRule="exact"/>
        <w:rPr>
          <w:sz w:val="20"/>
          <w:szCs w:val="20"/>
          <w:color w:val="auto"/>
        </w:rPr>
      </w:pPr>
    </w:p>
    <w:p>
      <w:pPr>
        <w:ind w:right="400"/>
        <w:spacing w:after="0" w:line="282" w:lineRule="auto"/>
        <w:rPr>
          <w:sz w:val="20"/>
          <w:szCs w:val="20"/>
          <w:color w:val="auto"/>
        </w:rPr>
      </w:pPr>
      <w:r>
        <w:rPr>
          <w:rFonts w:ascii="Arial" w:cs="Arial" w:eastAsia="Arial" w:hAnsi="Arial"/>
          <w:sz w:val="14"/>
          <w:szCs w:val="14"/>
          <w:color w:val="auto"/>
        </w:rPr>
        <w:t>Our Annual Meeting will be “virtual” — conducted exclusively online via live webcast. You will be able during the virtual meeting to vote your shares electronically, submit questions, and view the list of stockholders entitled to vote at the meeting if you register in advance by following the directions below.</w:t>
      </w:r>
    </w:p>
    <w:p>
      <w:pPr>
        <w:spacing w:after="0" w:line="46"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The Annual Meeting live webcast will begin promptly at 8:45 a.m., EDT, on June 18, 2026. Online check-in will begin promptly at 8:30 a.m., EDT, and you should allow ample time for the online check-in procedures. Virtual attendance at our Annual Meeting constitutes presence in person for purposes of a quorum at the meeting.</w:t>
      </w:r>
    </w:p>
    <w:p>
      <w:pPr>
        <w:spacing w:after="0" w:line="46"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b w:val="1"/>
          <w:bCs w:val="1"/>
          <w:color w:val="6D98AD"/>
        </w:rPr>
        <w:t xml:space="preserve">Stockholders of Record: </w:t>
      </w:r>
      <w:r>
        <w:rPr>
          <w:rFonts w:ascii="Arial" w:cs="Arial" w:eastAsia="Arial" w:hAnsi="Arial"/>
          <w:sz w:val="14"/>
          <w:szCs w:val="14"/>
          <w:color w:val="000000"/>
        </w:rPr>
        <w:t>Holders of record can participate in the virtual meeting by registering at www.proxydocs.com/pvh. After registering, you will receive a confirmation</w:t>
      </w:r>
      <w:r>
        <w:rPr>
          <w:rFonts w:ascii="Arial" w:cs="Arial" w:eastAsia="Arial" w:hAnsi="Arial"/>
          <w:sz w:val="14"/>
          <w:szCs w:val="14"/>
          <w:b w:val="1"/>
          <w:bCs w:val="1"/>
          <w:color w:val="6D98AD"/>
        </w:rPr>
        <w:t xml:space="preserve"> </w:t>
      </w:r>
      <w:r>
        <w:rPr>
          <w:rFonts w:ascii="Arial" w:cs="Arial" w:eastAsia="Arial" w:hAnsi="Arial"/>
          <w:sz w:val="14"/>
          <w:szCs w:val="14"/>
          <w:color w:val="000000"/>
        </w:rPr>
        <w:t>email and a second email approximately one hour prior to the start of the meeting with a unique link to the virtual meeting.</w:t>
      </w:r>
    </w:p>
    <w:p>
      <w:pPr>
        <w:spacing w:after="0" w:line="13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100 </w:t>
      </w:r>
      <w:r>
        <w:rPr>
          <w:rFonts w:ascii="Arial" w:cs="Arial" w:eastAsia="Arial" w:hAnsi="Arial"/>
          <w:sz w:val="11"/>
          <w:szCs w:val="11"/>
          <w:color w:val="auto"/>
        </w:rPr>
        <w:t>/ PVH CORP.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695515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00"/>
          </w:cols>
          <w:pgMar w:left="480" w:top="470" w:right="519" w:bottom="1440" w:gutter="0" w:footer="0" w:header="0"/>
        </w:sectPr>
      </w:pPr>
    </w:p>
    <w:bookmarkStart w:id="103" w:name="page104"/>
    <w:bookmarkEnd w:id="103"/>
    <w:p>
      <w:pPr>
        <w:jc w:val="both"/>
        <w:ind w:right="60"/>
        <w:spacing w:after="0" w:line="282" w:lineRule="auto"/>
        <w:rPr>
          <w:sz w:val="20"/>
          <w:szCs w:val="20"/>
          <w:color w:val="auto"/>
        </w:rPr>
      </w:pPr>
      <w:r>
        <w:rPr>
          <w:rFonts w:ascii="Arial" w:cs="Arial" w:eastAsia="Arial" w:hAnsi="Arial"/>
          <w:sz w:val="14"/>
          <w:szCs w:val="14"/>
          <w:b w:val="1"/>
          <w:bCs w:val="1"/>
          <w:color w:val="6D98AD"/>
        </w:rPr>
        <w:t xml:space="preserve">Beneficial Owners: </w:t>
      </w:r>
      <w:r>
        <w:rPr>
          <w:rFonts w:ascii="Arial" w:cs="Arial" w:eastAsia="Arial" w:hAnsi="Arial"/>
          <w:sz w:val="14"/>
          <w:szCs w:val="14"/>
          <w:color w:val="000000"/>
        </w:rPr>
        <w:t>If you hold shares in a bank or brokerage account, you must obtain a legal proxy and a control number from your brokerage firm to attend the meeting. To</w:t>
      </w:r>
      <w:r>
        <w:rPr>
          <w:rFonts w:ascii="Arial" w:cs="Arial" w:eastAsia="Arial" w:hAnsi="Arial"/>
          <w:sz w:val="14"/>
          <w:szCs w:val="14"/>
          <w:b w:val="1"/>
          <w:bCs w:val="1"/>
          <w:color w:val="6D98AD"/>
        </w:rPr>
        <w:t xml:space="preserve"> </w:t>
      </w:r>
      <w:r>
        <w:rPr>
          <w:rFonts w:ascii="Arial" w:cs="Arial" w:eastAsia="Arial" w:hAnsi="Arial"/>
          <w:sz w:val="14"/>
          <w:szCs w:val="14"/>
          <w:color w:val="000000"/>
        </w:rPr>
        <w:t>access the site with a control number, visit www.proxydocs.com/brokers/pvh.</w:t>
      </w:r>
    </w:p>
    <w:p>
      <w:pPr>
        <w:spacing w:after="0" w:line="46"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After you register using the control number, you will receive a confirmation email and a second email approximately one hour prior to the start of the meeting with a unique link to the virtual meeting.</w:t>
      </w:r>
    </w:p>
    <w:p>
      <w:pPr>
        <w:spacing w:after="0" w:line="210" w:lineRule="exact"/>
        <w:rPr>
          <w:sz w:val="20"/>
          <w:szCs w:val="20"/>
          <w:color w:val="auto"/>
        </w:rPr>
      </w:pPr>
    </w:p>
    <w:p>
      <w:pPr>
        <w:spacing w:after="0"/>
        <w:rPr>
          <w:sz w:val="20"/>
          <w:szCs w:val="20"/>
          <w:color w:val="auto"/>
        </w:rPr>
      </w:pPr>
      <w:r>
        <w:rPr>
          <w:rFonts w:ascii="Arial" w:cs="Arial" w:eastAsia="Arial" w:hAnsi="Arial"/>
          <w:sz w:val="28"/>
          <w:szCs w:val="28"/>
          <w:b w:val="1"/>
          <w:bCs w:val="1"/>
          <w:color w:val="6D98AD"/>
        </w:rPr>
        <w:t>Technical Assistance</w:t>
      </w:r>
    </w:p>
    <w:p>
      <w:pPr>
        <w:spacing w:after="0" w:line="114"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If you want to confirm in advance that you are able to access the meeting, or if you experience technical difficulties during the check-in process or during the meeting, you can get technical support beginning at 9:00 a.m. CDT on May 11, 2026, through the conclusion of the meeting by contacting EQ Shareowner Services at 1-800-469-9716.</w:t>
      </w:r>
    </w:p>
    <w:p>
      <w:pPr>
        <w:spacing w:after="0" w:line="198" w:lineRule="exact"/>
        <w:rPr>
          <w:sz w:val="20"/>
          <w:szCs w:val="20"/>
          <w:color w:val="auto"/>
        </w:rPr>
      </w:pPr>
    </w:p>
    <w:p>
      <w:pPr>
        <w:spacing w:after="0"/>
        <w:rPr>
          <w:sz w:val="20"/>
          <w:szCs w:val="20"/>
          <w:color w:val="auto"/>
        </w:rPr>
      </w:pPr>
      <w:r>
        <w:rPr>
          <w:rFonts w:ascii="Arial" w:cs="Arial" w:eastAsia="Arial" w:hAnsi="Arial"/>
          <w:sz w:val="28"/>
          <w:szCs w:val="28"/>
          <w:b w:val="1"/>
          <w:bCs w:val="1"/>
          <w:color w:val="6D98AD"/>
        </w:rPr>
        <w:t>How to Vote</w:t>
      </w:r>
    </w:p>
    <w:p>
      <w:pPr>
        <w:spacing w:after="0" w:line="114"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b w:val="1"/>
          <w:bCs w:val="1"/>
          <w:color w:val="6D98AD"/>
        </w:rPr>
        <w:t xml:space="preserve">By Internet and telephone: </w:t>
      </w:r>
      <w:r>
        <w:rPr>
          <w:rFonts w:ascii="Arial" w:cs="Arial" w:eastAsia="Arial" w:hAnsi="Arial"/>
          <w:sz w:val="14"/>
          <w:szCs w:val="14"/>
          <w:color w:val="000000"/>
        </w:rPr>
        <w:t>If you are a record owner, you may vote your proxy on the Internet at www.proxydocs.com/pvh. To vote by telephone in the U.S. or Canada, dial</w:t>
      </w:r>
      <w:r>
        <w:rPr>
          <w:rFonts w:ascii="Arial" w:cs="Arial" w:eastAsia="Arial" w:hAnsi="Arial"/>
          <w:sz w:val="14"/>
          <w:szCs w:val="14"/>
          <w:b w:val="1"/>
          <w:bCs w:val="1"/>
          <w:color w:val="6D98AD"/>
        </w:rPr>
        <w:t xml:space="preserve"> </w:t>
      </w:r>
      <w:r>
        <w:rPr>
          <w:rFonts w:ascii="Arial" w:cs="Arial" w:eastAsia="Arial" w:hAnsi="Arial"/>
          <w:sz w:val="14"/>
          <w:szCs w:val="14"/>
          <w:color w:val="000000"/>
        </w:rPr>
        <w:t>toll-free 1-866-883-3382.</w:t>
      </w:r>
    </w:p>
    <w:p>
      <w:pPr>
        <w:spacing w:after="0" w:line="69"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b w:val="1"/>
          <w:bCs w:val="1"/>
          <w:color w:val="6D98AD"/>
        </w:rPr>
        <w:t xml:space="preserve">By written proxy: </w:t>
      </w:r>
      <w:r>
        <w:rPr>
          <w:rFonts w:ascii="Arial" w:cs="Arial" w:eastAsia="Arial" w:hAnsi="Arial"/>
          <w:sz w:val="14"/>
          <w:szCs w:val="14"/>
          <w:color w:val="000000"/>
        </w:rPr>
        <w:t>If you are a record owner, you can mark, sign and date your proxy card and return it in the postage-paid envelope provided. If you received a Notice or the</w:t>
      </w:r>
      <w:r>
        <w:rPr>
          <w:rFonts w:ascii="Arial" w:cs="Arial" w:eastAsia="Arial" w:hAnsi="Arial"/>
          <w:sz w:val="14"/>
          <w:szCs w:val="14"/>
          <w:b w:val="1"/>
          <w:bCs w:val="1"/>
          <w:color w:val="6D98AD"/>
        </w:rPr>
        <w:t xml:space="preserve"> </w:t>
      </w:r>
      <w:r>
        <w:rPr>
          <w:rFonts w:ascii="Arial" w:cs="Arial" w:eastAsia="Arial" w:hAnsi="Arial"/>
          <w:sz w:val="14"/>
          <w:szCs w:val="14"/>
          <w:color w:val="000000"/>
        </w:rPr>
        <w:t>proxy materials electronically, you may request a proxy card by following the instructions on the Notice.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6D98AD"/>
        </w:rPr>
        <w:t xml:space="preserve">At the virtual meeting: </w:t>
      </w:r>
      <w:r>
        <w:rPr>
          <w:rFonts w:ascii="Arial" w:cs="Arial" w:eastAsia="Arial" w:hAnsi="Arial"/>
          <w:sz w:val="14"/>
          <w:szCs w:val="14"/>
          <w:color w:val="000000"/>
        </w:rPr>
        <w:t>If you are a record owner, you may vote electronically during the meeting by following the instructions at www.proxydocs.com/pvh.</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If you hold your shares in a bank or brokerage account, you will receive instructions on how you may vote from your bank or broker.</w:t>
      </w:r>
    </w:p>
    <w:p>
      <w:pPr>
        <w:spacing w:after="0" w:line="262" w:lineRule="exact"/>
        <w:rPr>
          <w:sz w:val="20"/>
          <w:szCs w:val="20"/>
          <w:color w:val="auto"/>
        </w:rPr>
      </w:pPr>
    </w:p>
    <w:p>
      <w:pPr>
        <w:spacing w:after="0"/>
        <w:rPr>
          <w:sz w:val="20"/>
          <w:szCs w:val="20"/>
          <w:color w:val="auto"/>
        </w:rPr>
      </w:pPr>
      <w:r>
        <w:rPr>
          <w:rFonts w:ascii="Arial" w:cs="Arial" w:eastAsia="Arial" w:hAnsi="Arial"/>
          <w:sz w:val="28"/>
          <w:szCs w:val="28"/>
          <w:b w:val="1"/>
          <w:bCs w:val="1"/>
          <w:color w:val="6D98AD"/>
        </w:rPr>
        <w:t>How We Will Treat Incomplete Proxies</w:t>
      </w:r>
    </w:p>
    <w:p>
      <w:pPr>
        <w:spacing w:after="0" w:line="114" w:lineRule="exact"/>
        <w:rPr>
          <w:sz w:val="20"/>
          <w:szCs w:val="20"/>
          <w:color w:val="auto"/>
        </w:rPr>
      </w:pPr>
    </w:p>
    <w:p>
      <w:pPr>
        <w:jc w:val="both"/>
        <w:ind w:right="60"/>
        <w:spacing w:after="0" w:line="264" w:lineRule="auto"/>
        <w:rPr>
          <w:sz w:val="20"/>
          <w:szCs w:val="20"/>
          <w:color w:val="auto"/>
        </w:rPr>
      </w:pPr>
      <w:r>
        <w:rPr>
          <w:rFonts w:ascii="Arial" w:cs="Arial" w:eastAsia="Arial" w:hAnsi="Arial"/>
          <w:sz w:val="14"/>
          <w:szCs w:val="14"/>
          <w:color w:val="auto"/>
        </w:rPr>
        <w:t>The shares represented by any proxy solicited by the Board of Directors will be voted in accordance with the stockholder’s directions unless the proxy is revoked. If we receive a valid submitted proxy card or an electronic ballot that does not include voting instructions for one or all of the proposals, we will vote the shares represented FOR each of the director nominees in Proposal 1 and FOR Proposals 2, 3 and 4.</w:t>
      </w:r>
    </w:p>
    <w:p>
      <w:pPr>
        <w:spacing w:after="0" w:line="222" w:lineRule="exact"/>
        <w:rPr>
          <w:sz w:val="20"/>
          <w:szCs w:val="20"/>
          <w:color w:val="auto"/>
        </w:rPr>
      </w:pPr>
    </w:p>
    <w:p>
      <w:pPr>
        <w:spacing w:after="0"/>
        <w:rPr>
          <w:sz w:val="20"/>
          <w:szCs w:val="20"/>
          <w:color w:val="auto"/>
        </w:rPr>
      </w:pPr>
      <w:r>
        <w:rPr>
          <w:rFonts w:ascii="Arial" w:cs="Arial" w:eastAsia="Arial" w:hAnsi="Arial"/>
          <w:sz w:val="28"/>
          <w:szCs w:val="28"/>
          <w:b w:val="1"/>
          <w:bCs w:val="1"/>
          <w:color w:val="6D98AD"/>
        </w:rPr>
        <w:t>How to Change Your Vote or Revoke Your Proxy</w:t>
      </w:r>
    </w:p>
    <w:p>
      <w:pPr>
        <w:spacing w:after="0" w:line="114"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If you are a stockholder of record, you may revoke your proxy or change your vote before the meeting by sending a written revocation to the Secretary of PVH, or by granting a new proxy bearing a later date (which automatically revokes the earlier proxy). You may change your vote by voting online during the meeting (until the polls close), but you may not revoke a previously submitted proxy once the meeting begins. If you intend to revoke your proxy by providing written notice to the Secretary, please email a copy of your notice to CorporateSecretary@pvh.com. If you are a beneficial owner and you wish to change your vote or revoke your proxy, please contact your bank, brokerage firm or other custodian, nominee, or fiduciary. Shares represented by proxies will be voted at the meeting unless revoked.</w:t>
      </w:r>
    </w:p>
    <w:p>
      <w:pPr>
        <w:spacing w:after="0" w:line="216" w:lineRule="exact"/>
        <w:rPr>
          <w:sz w:val="20"/>
          <w:szCs w:val="20"/>
          <w:color w:val="auto"/>
        </w:rPr>
      </w:pPr>
    </w:p>
    <w:p>
      <w:pPr>
        <w:spacing w:after="0"/>
        <w:rPr>
          <w:sz w:val="20"/>
          <w:szCs w:val="20"/>
          <w:color w:val="auto"/>
        </w:rPr>
      </w:pPr>
      <w:r>
        <w:rPr>
          <w:rFonts w:ascii="Arial" w:cs="Arial" w:eastAsia="Arial" w:hAnsi="Arial"/>
          <w:sz w:val="28"/>
          <w:szCs w:val="28"/>
          <w:b w:val="1"/>
          <w:bCs w:val="1"/>
          <w:color w:val="6D98AD"/>
        </w:rPr>
        <w:t>Stockholder List</w:t>
      </w:r>
    </w:p>
    <w:p>
      <w:pPr>
        <w:spacing w:after="0" w:line="114" w:lineRule="exact"/>
        <w:rPr>
          <w:sz w:val="20"/>
          <w:szCs w:val="20"/>
          <w:color w:val="auto"/>
        </w:rPr>
      </w:pPr>
    </w:p>
    <w:p>
      <w:pPr>
        <w:ind w:right="100"/>
        <w:spacing w:after="0" w:line="264" w:lineRule="auto"/>
        <w:rPr>
          <w:sz w:val="20"/>
          <w:szCs w:val="20"/>
          <w:color w:val="auto"/>
        </w:rPr>
      </w:pPr>
      <w:r>
        <w:rPr>
          <w:rFonts w:ascii="Arial" w:cs="Arial" w:eastAsia="Arial" w:hAnsi="Arial"/>
          <w:sz w:val="14"/>
          <w:szCs w:val="14"/>
          <w:color w:val="auto"/>
        </w:rPr>
        <w:t>Any stockholder as of the record date who has a purpose germane to the meeting may view a complete list of stockholders entitled to vote at the meeting during the ten-day period before the meeting. To request access to the stockholder list, send an email to CorporateSecretary@pvh.com, stating the purpose of the request and providing proof of ownership of our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28"/>
          <w:szCs w:val="28"/>
          <w:b w:val="1"/>
          <w:bCs w:val="1"/>
          <w:color w:val="6D98AD"/>
        </w:rPr>
        <w:t>How to Submit Questions</w:t>
      </w:r>
    </w:p>
    <w:p>
      <w:pPr>
        <w:spacing w:after="0" w:line="114"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Prior to the meeting, stockholders as of the record date may submit written questions via www.proxydocs.com/pvh. During the meeting, stockholders may submit questions in real-time by accessing the virtual meeting site at www.proxydocs.com/pvh. We will try to answer as many questions as time permits. However, we reserve the right to edit profanity or other inappropriate language, or to exclude questions that are not pertinent to meeting matters, are otherwise inappropriate, or fail to comply with the meeting rules of conduct. If we receive substantially similar questions, we will group them together and provide a single response to avoid repetition.</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GENERAL INFORMATION ABOUT THE ANNUAL MEETING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6955155"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221" w:right="479" w:bottom="1440" w:gutter="0" w:footer="0" w:header="0"/>
        </w:sectPr>
      </w:pPr>
    </w:p>
    <w:bookmarkStart w:id="104" w:name="page105"/>
    <w:bookmarkEnd w:id="104"/>
    <w:p>
      <w:pPr>
        <w:ind w:left="20"/>
        <w:spacing w:after="0"/>
        <w:rPr>
          <w:sz w:val="20"/>
          <w:szCs w:val="20"/>
          <w:color w:val="auto"/>
        </w:rPr>
      </w:pPr>
      <w:r>
        <w:rPr>
          <w:rFonts w:ascii="Arial" w:cs="Arial" w:eastAsia="Arial" w:hAnsi="Arial"/>
          <w:sz w:val="28"/>
          <w:szCs w:val="28"/>
          <w:b w:val="1"/>
          <w:bCs w:val="1"/>
          <w:color w:val="6D98AD"/>
        </w:rPr>
        <w:t>Abstentions and Broker Non-Votes</w:t>
      </w:r>
    </w:p>
    <w:p>
      <w:pPr>
        <w:spacing w:after="0" w:line="114" w:lineRule="exact"/>
        <w:rPr>
          <w:sz w:val="20"/>
          <w:szCs w:val="20"/>
          <w:color w:val="auto"/>
        </w:rPr>
      </w:pPr>
    </w:p>
    <w:p>
      <w:pPr>
        <w:ind w:left="20" w:right="240"/>
        <w:spacing w:after="0" w:line="264" w:lineRule="auto"/>
        <w:rPr>
          <w:sz w:val="20"/>
          <w:szCs w:val="20"/>
          <w:color w:val="auto"/>
        </w:rPr>
      </w:pPr>
      <w:r>
        <w:rPr>
          <w:rFonts w:ascii="Arial" w:cs="Arial" w:eastAsia="Arial" w:hAnsi="Arial"/>
          <w:sz w:val="14"/>
          <w:szCs w:val="14"/>
          <w:color w:val="auto"/>
        </w:rPr>
        <w:t>A broker non-vote occurs when a nominee holding shares for a beneficial owner does not vote on a particular proposal because the nominee does not have discretionary voting power with respect to that item and has not received instructions from the beneficial owner. Banks, brokers and other nominees have discretionary voting power only with respect to the ratification of the appointment of our auditor.</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Abstentions and broker non-votes will be included in the determination of the number of shares present at the meeting for quorum purposes.</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6D98AD"/>
        </w:rPr>
        <w:t>Required Vote for Each Proposal</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table below shows the voting requirement for each proposal to be presented at the Annual Meeting.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780" w:type="dxa"/>
            <w:vAlign w:val="bottom"/>
            <w:vMerge w:val="restart"/>
            <w:shd w:val="clear" w:color="auto" w:fill="99B7C6"/>
          </w:tcPr>
          <w:p>
            <w:pPr>
              <w:ind w:left="60"/>
              <w:spacing w:after="0"/>
              <w:rPr>
                <w:sz w:val="20"/>
                <w:szCs w:val="20"/>
                <w:color w:val="auto"/>
              </w:rPr>
            </w:pPr>
            <w:r>
              <w:rPr>
                <w:rFonts w:ascii="Arial" w:cs="Arial" w:eastAsia="Arial" w:hAnsi="Arial"/>
                <w:sz w:val="11"/>
                <w:szCs w:val="11"/>
                <w:b w:val="1"/>
                <w:bCs w:val="1"/>
                <w:color w:val="FFFFFF"/>
              </w:rPr>
              <w:t>Proposal</w:t>
            </w:r>
          </w:p>
        </w:tc>
        <w:tc>
          <w:tcPr>
            <w:tcW w:w="1200" w:type="dxa"/>
            <w:vAlign w:val="bottom"/>
            <w:shd w:val="clear" w:color="auto" w:fill="99B7C6"/>
          </w:tcPr>
          <w:p>
            <w:pPr>
              <w:ind w:left="180"/>
              <w:spacing w:after="0"/>
              <w:rPr>
                <w:sz w:val="20"/>
                <w:szCs w:val="20"/>
                <w:color w:val="auto"/>
              </w:rPr>
            </w:pPr>
            <w:r>
              <w:rPr>
                <w:rFonts w:ascii="Arial" w:cs="Arial" w:eastAsia="Arial" w:hAnsi="Arial"/>
                <w:sz w:val="11"/>
                <w:szCs w:val="11"/>
                <w:b w:val="1"/>
                <w:bCs w:val="1"/>
                <w:color w:val="FFFFFF"/>
              </w:rPr>
              <w:t>Board</w:t>
            </w:r>
          </w:p>
        </w:tc>
        <w:tc>
          <w:tcPr>
            <w:tcW w:w="2660" w:type="dxa"/>
            <w:vAlign w:val="bottom"/>
            <w:vMerge w:val="restart"/>
            <w:shd w:val="clear" w:color="auto" w:fill="99B7C6"/>
          </w:tcPr>
          <w:p>
            <w:pPr>
              <w:ind w:left="140"/>
              <w:spacing w:after="0"/>
              <w:rPr>
                <w:sz w:val="20"/>
                <w:szCs w:val="20"/>
                <w:color w:val="auto"/>
              </w:rPr>
            </w:pPr>
            <w:r>
              <w:rPr>
                <w:rFonts w:ascii="Arial" w:cs="Arial" w:eastAsia="Arial" w:hAnsi="Arial"/>
                <w:sz w:val="11"/>
                <w:szCs w:val="11"/>
                <w:b w:val="1"/>
                <w:bCs w:val="1"/>
                <w:color w:val="FFFFFF"/>
              </w:rPr>
              <w:t>Vote required to pass</w:t>
            </w:r>
          </w:p>
        </w:tc>
        <w:tc>
          <w:tcPr>
            <w:tcW w:w="1620" w:type="dxa"/>
            <w:vAlign w:val="bottom"/>
            <w:shd w:val="clear" w:color="auto" w:fill="99B7C6"/>
          </w:tcPr>
          <w:p>
            <w:pPr>
              <w:ind w:left="140"/>
              <w:spacing w:after="0"/>
              <w:rPr>
                <w:sz w:val="20"/>
                <w:szCs w:val="20"/>
                <w:color w:val="auto"/>
              </w:rPr>
            </w:pPr>
            <w:r>
              <w:rPr>
                <w:rFonts w:ascii="Arial" w:cs="Arial" w:eastAsia="Arial" w:hAnsi="Arial"/>
                <w:sz w:val="11"/>
                <w:szCs w:val="11"/>
                <w:b w:val="1"/>
                <w:bCs w:val="1"/>
                <w:color w:val="FFFFFF"/>
              </w:rPr>
              <w:t>Effect of</w:t>
            </w:r>
          </w:p>
        </w:tc>
        <w:tc>
          <w:tcPr>
            <w:tcW w:w="1680" w:type="dxa"/>
            <w:vAlign w:val="bottom"/>
            <w:shd w:val="clear" w:color="auto" w:fill="99B7C6"/>
          </w:tcPr>
          <w:p>
            <w:pPr>
              <w:ind w:left="120"/>
              <w:spacing w:after="0"/>
              <w:rPr>
                <w:sz w:val="20"/>
                <w:szCs w:val="20"/>
                <w:color w:val="auto"/>
              </w:rPr>
            </w:pPr>
            <w:r>
              <w:rPr>
                <w:rFonts w:ascii="Arial" w:cs="Arial" w:eastAsia="Arial" w:hAnsi="Arial"/>
                <w:sz w:val="11"/>
                <w:szCs w:val="11"/>
                <w:b w:val="1"/>
                <w:bCs w:val="1"/>
                <w:color w:val="FFFFFF"/>
              </w:rPr>
              <w:t>Effect of broker</w:t>
            </w:r>
          </w:p>
        </w:tc>
        <w:tc>
          <w:tcPr>
            <w:tcW w:w="0" w:type="dxa"/>
            <w:vAlign w:val="bottom"/>
          </w:tcPr>
          <w:p>
            <w:pPr>
              <w:spacing w:after="0"/>
              <w:rPr>
                <w:sz w:val="1"/>
                <w:szCs w:val="1"/>
                <w:color w:val="auto"/>
              </w:rPr>
            </w:pPr>
          </w:p>
        </w:tc>
      </w:tr>
      <w:tr>
        <w:trPr>
          <w:trHeight w:val="168"/>
        </w:trPr>
        <w:tc>
          <w:tcPr>
            <w:tcW w:w="3780" w:type="dxa"/>
            <w:vAlign w:val="bottom"/>
            <w:vMerge w:val="continue"/>
            <w:shd w:val="clear" w:color="auto" w:fill="99B7C6"/>
          </w:tcPr>
          <w:p>
            <w:pPr>
              <w:spacing w:after="0"/>
              <w:rPr>
                <w:sz w:val="14"/>
                <w:szCs w:val="14"/>
                <w:color w:val="auto"/>
              </w:rPr>
            </w:pPr>
          </w:p>
        </w:tc>
        <w:tc>
          <w:tcPr>
            <w:tcW w:w="1200" w:type="dxa"/>
            <w:vAlign w:val="bottom"/>
            <w:shd w:val="clear" w:color="auto" w:fill="99B7C6"/>
          </w:tcPr>
          <w:p>
            <w:pPr>
              <w:ind w:left="180"/>
              <w:spacing w:after="0"/>
              <w:rPr>
                <w:sz w:val="20"/>
                <w:szCs w:val="20"/>
                <w:color w:val="auto"/>
              </w:rPr>
            </w:pPr>
            <w:r>
              <w:rPr>
                <w:rFonts w:ascii="Arial" w:cs="Arial" w:eastAsia="Arial" w:hAnsi="Arial"/>
                <w:sz w:val="11"/>
                <w:szCs w:val="11"/>
                <w:b w:val="1"/>
                <w:bCs w:val="1"/>
                <w:color w:val="FFFFFF"/>
              </w:rPr>
              <w:t>recommendation</w:t>
            </w:r>
          </w:p>
        </w:tc>
        <w:tc>
          <w:tcPr>
            <w:tcW w:w="2660" w:type="dxa"/>
            <w:vAlign w:val="bottom"/>
            <w:vMerge w:val="continue"/>
            <w:shd w:val="clear" w:color="auto" w:fill="99B7C6"/>
          </w:tcPr>
          <w:p>
            <w:pPr>
              <w:spacing w:after="0"/>
              <w:rPr>
                <w:sz w:val="14"/>
                <w:szCs w:val="14"/>
                <w:color w:val="auto"/>
              </w:rPr>
            </w:pPr>
          </w:p>
        </w:tc>
        <w:tc>
          <w:tcPr>
            <w:tcW w:w="1620" w:type="dxa"/>
            <w:vAlign w:val="bottom"/>
            <w:shd w:val="clear" w:color="auto" w:fill="99B7C6"/>
          </w:tcPr>
          <w:p>
            <w:pPr>
              <w:ind w:left="140"/>
              <w:spacing w:after="0"/>
              <w:rPr>
                <w:sz w:val="20"/>
                <w:szCs w:val="20"/>
                <w:color w:val="auto"/>
              </w:rPr>
            </w:pPr>
            <w:r>
              <w:rPr>
                <w:rFonts w:ascii="Arial" w:cs="Arial" w:eastAsia="Arial" w:hAnsi="Arial"/>
                <w:sz w:val="11"/>
                <w:szCs w:val="11"/>
                <w:b w:val="1"/>
                <w:bCs w:val="1"/>
                <w:color w:val="FFFFFF"/>
              </w:rPr>
              <w:t>abstentions</w:t>
            </w:r>
          </w:p>
        </w:tc>
        <w:tc>
          <w:tcPr>
            <w:tcW w:w="1680" w:type="dxa"/>
            <w:vAlign w:val="bottom"/>
            <w:shd w:val="clear" w:color="auto" w:fill="99B7C6"/>
          </w:tcPr>
          <w:p>
            <w:pPr>
              <w:ind w:left="120"/>
              <w:spacing w:after="0"/>
              <w:rPr>
                <w:sz w:val="20"/>
                <w:szCs w:val="20"/>
                <w:color w:val="auto"/>
              </w:rPr>
            </w:pPr>
            <w:r>
              <w:rPr>
                <w:rFonts w:ascii="Arial" w:cs="Arial" w:eastAsia="Arial" w:hAnsi="Arial"/>
                <w:sz w:val="11"/>
                <w:szCs w:val="11"/>
                <w:b w:val="1"/>
                <w:bCs w:val="1"/>
                <w:color w:val="FFFFFF"/>
              </w:rPr>
              <w:t>non-votes</w:t>
            </w:r>
          </w:p>
        </w:tc>
        <w:tc>
          <w:tcPr>
            <w:tcW w:w="0" w:type="dxa"/>
            <w:vAlign w:val="bottom"/>
          </w:tcPr>
          <w:p>
            <w:pPr>
              <w:spacing w:after="0"/>
              <w:rPr>
                <w:sz w:val="1"/>
                <w:szCs w:val="1"/>
                <w:color w:val="auto"/>
              </w:rPr>
            </w:pPr>
          </w:p>
        </w:tc>
      </w:tr>
      <w:tr>
        <w:trPr>
          <w:trHeight w:val="200"/>
        </w:trPr>
        <w:tc>
          <w:tcPr>
            <w:tcW w:w="3780" w:type="dxa"/>
            <w:vAlign w:val="bottom"/>
            <w:shd w:val="clear" w:color="auto" w:fill="E9F0F3"/>
          </w:tcPr>
          <w:p>
            <w:pPr>
              <w:ind w:left="60"/>
              <w:spacing w:after="0"/>
              <w:rPr>
                <w:sz w:val="20"/>
                <w:szCs w:val="20"/>
                <w:color w:val="auto"/>
              </w:rPr>
            </w:pPr>
            <w:r>
              <w:rPr>
                <w:rFonts w:ascii="Arial" w:cs="Arial" w:eastAsia="Arial" w:hAnsi="Arial"/>
                <w:sz w:val="14"/>
                <w:szCs w:val="14"/>
                <w:color w:val="auto"/>
              </w:rPr>
              <w:t>Election of directors</w:t>
            </w:r>
          </w:p>
        </w:tc>
        <w:tc>
          <w:tcPr>
            <w:tcW w:w="1200" w:type="dxa"/>
            <w:vAlign w:val="bottom"/>
            <w:shd w:val="clear" w:color="auto" w:fill="E9F0F3"/>
          </w:tcPr>
          <w:p>
            <w:pPr>
              <w:ind w:left="180"/>
              <w:spacing w:after="0"/>
              <w:rPr>
                <w:sz w:val="20"/>
                <w:szCs w:val="20"/>
                <w:color w:val="auto"/>
              </w:rPr>
            </w:pPr>
            <w:r>
              <w:rPr>
                <w:rFonts w:ascii="Arial" w:cs="Arial" w:eastAsia="Arial" w:hAnsi="Arial"/>
                <w:sz w:val="14"/>
                <w:szCs w:val="14"/>
                <w:color w:val="auto"/>
              </w:rPr>
              <w:t>FOR each</w:t>
            </w:r>
          </w:p>
        </w:tc>
        <w:tc>
          <w:tcPr>
            <w:tcW w:w="2660" w:type="dxa"/>
            <w:vAlign w:val="bottom"/>
            <w:shd w:val="clear" w:color="auto" w:fill="E9F0F3"/>
          </w:tcPr>
          <w:p>
            <w:pPr>
              <w:ind w:left="140"/>
              <w:spacing w:after="0"/>
              <w:rPr>
                <w:sz w:val="20"/>
                <w:szCs w:val="20"/>
                <w:color w:val="auto"/>
              </w:rPr>
            </w:pPr>
            <w:r>
              <w:rPr>
                <w:rFonts w:ascii="Arial" w:cs="Arial" w:eastAsia="Arial" w:hAnsi="Arial"/>
                <w:sz w:val="14"/>
                <w:szCs w:val="14"/>
                <w:color w:val="auto"/>
              </w:rPr>
              <w:t>Majority of votes cast</w:t>
            </w:r>
          </w:p>
        </w:tc>
        <w:tc>
          <w:tcPr>
            <w:tcW w:w="1620" w:type="dxa"/>
            <w:vAlign w:val="bottom"/>
            <w:shd w:val="clear" w:color="auto" w:fill="E9F0F3"/>
          </w:tcPr>
          <w:p>
            <w:pPr>
              <w:ind w:left="140"/>
              <w:spacing w:after="0"/>
              <w:rPr>
                <w:sz w:val="20"/>
                <w:szCs w:val="20"/>
                <w:color w:val="auto"/>
              </w:rPr>
            </w:pPr>
            <w:r>
              <w:rPr>
                <w:rFonts w:ascii="Arial" w:cs="Arial" w:eastAsia="Arial" w:hAnsi="Arial"/>
                <w:sz w:val="14"/>
                <w:szCs w:val="14"/>
                <w:color w:val="auto"/>
              </w:rPr>
              <w:t>No effect</w:t>
            </w:r>
          </w:p>
        </w:tc>
        <w:tc>
          <w:tcPr>
            <w:tcW w:w="1680" w:type="dxa"/>
            <w:vAlign w:val="bottom"/>
            <w:shd w:val="clear" w:color="auto" w:fill="E9F0F3"/>
          </w:tcPr>
          <w:p>
            <w:pPr>
              <w:ind w:left="120"/>
              <w:spacing w:after="0"/>
              <w:rPr>
                <w:sz w:val="20"/>
                <w:szCs w:val="20"/>
                <w:color w:val="auto"/>
              </w:rPr>
            </w:pPr>
            <w:r>
              <w:rPr>
                <w:rFonts w:ascii="Arial" w:cs="Arial" w:eastAsia="Arial" w:hAnsi="Arial"/>
                <w:sz w:val="14"/>
                <w:szCs w:val="14"/>
                <w:color w:val="auto"/>
              </w:rPr>
              <w:t>No effect</w:t>
            </w:r>
          </w:p>
        </w:tc>
        <w:tc>
          <w:tcPr>
            <w:tcW w:w="0" w:type="dxa"/>
            <w:vAlign w:val="bottom"/>
          </w:tcPr>
          <w:p>
            <w:pPr>
              <w:spacing w:after="0"/>
              <w:rPr>
                <w:sz w:val="1"/>
                <w:szCs w:val="1"/>
                <w:color w:val="auto"/>
              </w:rPr>
            </w:pPr>
          </w:p>
        </w:tc>
      </w:tr>
      <w:tr>
        <w:trPr>
          <w:trHeight w:val="186"/>
        </w:trPr>
        <w:tc>
          <w:tcPr>
            <w:tcW w:w="3780" w:type="dxa"/>
            <w:vAlign w:val="bottom"/>
            <w:shd w:val="clear" w:color="auto" w:fill="E9F0F3"/>
          </w:tcPr>
          <w:p>
            <w:pPr>
              <w:spacing w:after="0"/>
              <w:rPr>
                <w:sz w:val="16"/>
                <w:szCs w:val="16"/>
                <w:color w:val="auto"/>
              </w:rPr>
            </w:pPr>
          </w:p>
        </w:tc>
        <w:tc>
          <w:tcPr>
            <w:tcW w:w="1200" w:type="dxa"/>
            <w:vAlign w:val="bottom"/>
            <w:shd w:val="clear" w:color="auto" w:fill="E9F0F3"/>
          </w:tcPr>
          <w:p>
            <w:pPr>
              <w:ind w:left="180"/>
              <w:spacing w:after="0"/>
              <w:rPr>
                <w:sz w:val="20"/>
                <w:szCs w:val="20"/>
                <w:color w:val="auto"/>
              </w:rPr>
            </w:pPr>
            <w:r>
              <w:rPr>
                <w:rFonts w:ascii="Arial" w:cs="Arial" w:eastAsia="Arial" w:hAnsi="Arial"/>
                <w:sz w:val="14"/>
                <w:szCs w:val="14"/>
                <w:color w:val="auto"/>
              </w:rPr>
              <w:t>nominee</w:t>
            </w:r>
          </w:p>
        </w:tc>
        <w:tc>
          <w:tcPr>
            <w:tcW w:w="2660" w:type="dxa"/>
            <w:vAlign w:val="bottom"/>
            <w:shd w:val="clear" w:color="auto" w:fill="E9F0F3"/>
          </w:tcPr>
          <w:p>
            <w:pPr>
              <w:spacing w:after="0"/>
              <w:rPr>
                <w:sz w:val="16"/>
                <w:szCs w:val="16"/>
                <w:color w:val="auto"/>
              </w:rPr>
            </w:pPr>
          </w:p>
        </w:tc>
        <w:tc>
          <w:tcPr>
            <w:tcW w:w="1620" w:type="dxa"/>
            <w:vAlign w:val="bottom"/>
            <w:shd w:val="clear" w:color="auto" w:fill="E9F0F3"/>
          </w:tcPr>
          <w:p>
            <w:pPr>
              <w:spacing w:after="0"/>
              <w:rPr>
                <w:sz w:val="16"/>
                <w:szCs w:val="16"/>
                <w:color w:val="auto"/>
              </w:rPr>
            </w:pPr>
          </w:p>
        </w:tc>
        <w:tc>
          <w:tcPr>
            <w:tcW w:w="1680" w:type="dxa"/>
            <w:vAlign w:val="bottom"/>
            <w:shd w:val="clear" w:color="auto" w:fill="E9F0F3"/>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3780" w:type="dxa"/>
            <w:vAlign w:val="bottom"/>
            <w:shd w:val="clear" w:color="auto" w:fill="E9F0F3"/>
          </w:tcPr>
          <w:p>
            <w:pPr>
              <w:spacing w:after="0"/>
              <w:rPr>
                <w:sz w:val="6"/>
                <w:szCs w:val="6"/>
                <w:color w:val="auto"/>
              </w:rPr>
            </w:pPr>
          </w:p>
        </w:tc>
        <w:tc>
          <w:tcPr>
            <w:tcW w:w="1200" w:type="dxa"/>
            <w:vAlign w:val="bottom"/>
            <w:shd w:val="clear" w:color="auto" w:fill="E9F0F3"/>
          </w:tcPr>
          <w:p>
            <w:pPr>
              <w:spacing w:after="0"/>
              <w:rPr>
                <w:sz w:val="6"/>
                <w:szCs w:val="6"/>
                <w:color w:val="auto"/>
              </w:rPr>
            </w:pPr>
          </w:p>
        </w:tc>
        <w:tc>
          <w:tcPr>
            <w:tcW w:w="2660" w:type="dxa"/>
            <w:vAlign w:val="bottom"/>
            <w:shd w:val="clear" w:color="auto" w:fill="E9F0F3"/>
          </w:tcPr>
          <w:p>
            <w:pPr>
              <w:spacing w:after="0"/>
              <w:rPr>
                <w:sz w:val="6"/>
                <w:szCs w:val="6"/>
                <w:color w:val="auto"/>
              </w:rPr>
            </w:pPr>
          </w:p>
        </w:tc>
        <w:tc>
          <w:tcPr>
            <w:tcW w:w="1620" w:type="dxa"/>
            <w:vAlign w:val="bottom"/>
            <w:shd w:val="clear" w:color="auto" w:fill="E9F0F3"/>
          </w:tcPr>
          <w:p>
            <w:pPr>
              <w:spacing w:after="0"/>
              <w:rPr>
                <w:sz w:val="6"/>
                <w:szCs w:val="6"/>
                <w:color w:val="auto"/>
              </w:rPr>
            </w:pPr>
          </w:p>
        </w:tc>
        <w:tc>
          <w:tcPr>
            <w:tcW w:w="168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3780" w:type="dxa"/>
            <w:vAlign w:val="bottom"/>
          </w:tcPr>
          <w:p>
            <w:pPr>
              <w:ind w:left="60"/>
              <w:spacing w:after="0"/>
              <w:rPr>
                <w:sz w:val="20"/>
                <w:szCs w:val="20"/>
                <w:color w:val="auto"/>
              </w:rPr>
            </w:pPr>
            <w:r>
              <w:rPr>
                <w:rFonts w:ascii="Arial" w:cs="Arial" w:eastAsia="Arial" w:hAnsi="Arial"/>
                <w:sz w:val="14"/>
                <w:szCs w:val="14"/>
                <w:color w:val="auto"/>
              </w:rPr>
              <w:t>Advisory vote on executive compensation</w:t>
            </w:r>
          </w:p>
        </w:tc>
        <w:tc>
          <w:tcPr>
            <w:tcW w:w="1200" w:type="dxa"/>
            <w:vAlign w:val="bottom"/>
          </w:tcPr>
          <w:p>
            <w:pPr>
              <w:ind w:left="180"/>
              <w:spacing w:after="0"/>
              <w:rPr>
                <w:sz w:val="20"/>
                <w:szCs w:val="20"/>
                <w:color w:val="auto"/>
              </w:rPr>
            </w:pPr>
            <w:r>
              <w:rPr>
                <w:rFonts w:ascii="Arial" w:cs="Arial" w:eastAsia="Arial" w:hAnsi="Arial"/>
                <w:sz w:val="14"/>
                <w:szCs w:val="14"/>
                <w:color w:val="auto"/>
              </w:rPr>
              <w:t>FOR</w:t>
            </w:r>
          </w:p>
        </w:tc>
        <w:tc>
          <w:tcPr>
            <w:tcW w:w="2660" w:type="dxa"/>
            <w:vAlign w:val="bottom"/>
          </w:tcPr>
          <w:p>
            <w:pPr>
              <w:ind w:left="140"/>
              <w:spacing w:after="0"/>
              <w:rPr>
                <w:sz w:val="20"/>
                <w:szCs w:val="20"/>
                <w:color w:val="auto"/>
              </w:rPr>
            </w:pPr>
            <w:r>
              <w:rPr>
                <w:rFonts w:ascii="Arial" w:cs="Arial" w:eastAsia="Arial" w:hAnsi="Arial"/>
                <w:sz w:val="14"/>
                <w:szCs w:val="14"/>
                <w:color w:val="auto"/>
              </w:rPr>
              <w:t>Majority of shares present and entitled</w:t>
            </w:r>
          </w:p>
        </w:tc>
        <w:tc>
          <w:tcPr>
            <w:tcW w:w="1620" w:type="dxa"/>
            <w:vAlign w:val="bottom"/>
          </w:tcPr>
          <w:p>
            <w:pPr>
              <w:ind w:left="140"/>
              <w:spacing w:after="0"/>
              <w:rPr>
                <w:sz w:val="20"/>
                <w:szCs w:val="20"/>
                <w:color w:val="auto"/>
              </w:rPr>
            </w:pPr>
            <w:r>
              <w:rPr>
                <w:rFonts w:ascii="Arial" w:cs="Arial" w:eastAsia="Arial" w:hAnsi="Arial"/>
                <w:sz w:val="14"/>
                <w:szCs w:val="14"/>
                <w:color w:val="auto"/>
              </w:rPr>
              <w:t>Same effect as a vote</w:t>
            </w:r>
          </w:p>
        </w:tc>
        <w:tc>
          <w:tcPr>
            <w:tcW w:w="1680" w:type="dxa"/>
            <w:vAlign w:val="bottom"/>
          </w:tcPr>
          <w:p>
            <w:pPr>
              <w:ind w:left="120"/>
              <w:spacing w:after="0"/>
              <w:rPr>
                <w:sz w:val="20"/>
                <w:szCs w:val="20"/>
                <w:color w:val="auto"/>
              </w:rPr>
            </w:pPr>
            <w:r>
              <w:rPr>
                <w:rFonts w:ascii="Arial" w:cs="Arial" w:eastAsia="Arial" w:hAnsi="Arial"/>
                <w:sz w:val="14"/>
                <w:szCs w:val="14"/>
                <w:color w:val="auto"/>
              </w:rPr>
              <w:t>No effect</w:t>
            </w: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60" w:type="dxa"/>
            <w:vAlign w:val="bottom"/>
          </w:tcPr>
          <w:p>
            <w:pPr>
              <w:ind w:left="140"/>
              <w:spacing w:after="0"/>
              <w:rPr>
                <w:sz w:val="20"/>
                <w:szCs w:val="20"/>
                <w:color w:val="auto"/>
              </w:rPr>
            </w:pPr>
            <w:r>
              <w:rPr>
                <w:rFonts w:ascii="Arial" w:cs="Arial" w:eastAsia="Arial" w:hAnsi="Arial"/>
                <w:sz w:val="14"/>
                <w:szCs w:val="14"/>
                <w:color w:val="auto"/>
              </w:rPr>
              <w:t>to vote on this matter</w:t>
            </w:r>
          </w:p>
        </w:tc>
        <w:tc>
          <w:tcPr>
            <w:tcW w:w="1620" w:type="dxa"/>
            <w:vAlign w:val="bottom"/>
          </w:tcPr>
          <w:p>
            <w:pPr>
              <w:ind w:left="140"/>
              <w:spacing w:after="0"/>
              <w:rPr>
                <w:sz w:val="20"/>
                <w:szCs w:val="20"/>
                <w:color w:val="auto"/>
              </w:rPr>
            </w:pPr>
            <w:r>
              <w:rPr>
                <w:rFonts w:ascii="Arial" w:cs="Arial" w:eastAsia="Arial" w:hAnsi="Arial"/>
                <w:sz w:val="14"/>
                <w:szCs w:val="14"/>
                <w:color w:val="auto"/>
              </w:rPr>
              <w:t>AGAINST</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3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3780" w:type="dxa"/>
            <w:vAlign w:val="bottom"/>
            <w:shd w:val="clear" w:color="auto" w:fill="E9F0F3"/>
          </w:tcPr>
          <w:p>
            <w:pPr>
              <w:ind w:left="60"/>
              <w:spacing w:after="0"/>
              <w:rPr>
                <w:sz w:val="20"/>
                <w:szCs w:val="20"/>
                <w:color w:val="auto"/>
              </w:rPr>
            </w:pPr>
            <w:r>
              <w:rPr>
                <w:rFonts w:ascii="Arial" w:cs="Arial" w:eastAsia="Arial" w:hAnsi="Arial"/>
                <w:sz w:val="14"/>
                <w:szCs w:val="14"/>
                <w:color w:val="auto"/>
              </w:rPr>
              <w:t>Approval of amendments to PVH Corp.’s Stock Incentive</w:t>
            </w:r>
          </w:p>
        </w:tc>
        <w:tc>
          <w:tcPr>
            <w:tcW w:w="1200" w:type="dxa"/>
            <w:vAlign w:val="bottom"/>
            <w:shd w:val="clear" w:color="auto" w:fill="E9F0F3"/>
          </w:tcPr>
          <w:p>
            <w:pPr>
              <w:ind w:left="180"/>
              <w:spacing w:after="0"/>
              <w:rPr>
                <w:sz w:val="20"/>
                <w:szCs w:val="20"/>
                <w:color w:val="auto"/>
              </w:rPr>
            </w:pPr>
            <w:r>
              <w:rPr>
                <w:rFonts w:ascii="Arial" w:cs="Arial" w:eastAsia="Arial" w:hAnsi="Arial"/>
                <w:sz w:val="14"/>
                <w:szCs w:val="14"/>
                <w:color w:val="auto"/>
              </w:rPr>
              <w:t>FOR</w:t>
            </w:r>
          </w:p>
        </w:tc>
        <w:tc>
          <w:tcPr>
            <w:tcW w:w="2660" w:type="dxa"/>
            <w:vAlign w:val="bottom"/>
            <w:shd w:val="clear" w:color="auto" w:fill="E9F0F3"/>
          </w:tcPr>
          <w:p>
            <w:pPr>
              <w:ind w:left="140"/>
              <w:spacing w:after="0"/>
              <w:rPr>
                <w:sz w:val="20"/>
                <w:szCs w:val="20"/>
                <w:color w:val="auto"/>
              </w:rPr>
            </w:pPr>
            <w:r>
              <w:rPr>
                <w:rFonts w:ascii="Arial" w:cs="Arial" w:eastAsia="Arial" w:hAnsi="Arial"/>
                <w:sz w:val="14"/>
                <w:szCs w:val="14"/>
                <w:color w:val="auto"/>
              </w:rPr>
              <w:t>Majority of shares present and entitled</w:t>
            </w:r>
          </w:p>
        </w:tc>
        <w:tc>
          <w:tcPr>
            <w:tcW w:w="1620" w:type="dxa"/>
            <w:vAlign w:val="bottom"/>
            <w:shd w:val="clear" w:color="auto" w:fill="E9F0F3"/>
          </w:tcPr>
          <w:p>
            <w:pPr>
              <w:ind w:left="140"/>
              <w:spacing w:after="0"/>
              <w:rPr>
                <w:sz w:val="20"/>
                <w:szCs w:val="20"/>
                <w:color w:val="auto"/>
              </w:rPr>
            </w:pPr>
            <w:r>
              <w:rPr>
                <w:rFonts w:ascii="Arial" w:cs="Arial" w:eastAsia="Arial" w:hAnsi="Arial"/>
                <w:sz w:val="14"/>
                <w:szCs w:val="14"/>
                <w:color w:val="auto"/>
              </w:rPr>
              <w:t>Same effect as a vote</w:t>
            </w:r>
          </w:p>
        </w:tc>
        <w:tc>
          <w:tcPr>
            <w:tcW w:w="1680" w:type="dxa"/>
            <w:vAlign w:val="bottom"/>
            <w:shd w:val="clear" w:color="auto" w:fill="E9F0F3"/>
          </w:tcPr>
          <w:p>
            <w:pPr>
              <w:ind w:left="120"/>
              <w:spacing w:after="0"/>
              <w:rPr>
                <w:sz w:val="20"/>
                <w:szCs w:val="20"/>
                <w:color w:val="auto"/>
              </w:rPr>
            </w:pPr>
            <w:r>
              <w:rPr>
                <w:rFonts w:ascii="Arial" w:cs="Arial" w:eastAsia="Arial" w:hAnsi="Arial"/>
                <w:sz w:val="14"/>
                <w:szCs w:val="14"/>
                <w:color w:val="auto"/>
              </w:rPr>
              <w:t>No effect</w:t>
            </w:r>
          </w:p>
        </w:tc>
        <w:tc>
          <w:tcPr>
            <w:tcW w:w="0" w:type="dxa"/>
            <w:vAlign w:val="bottom"/>
          </w:tcPr>
          <w:p>
            <w:pPr>
              <w:spacing w:after="0"/>
              <w:rPr>
                <w:sz w:val="1"/>
                <w:szCs w:val="1"/>
                <w:color w:val="auto"/>
              </w:rPr>
            </w:pPr>
          </w:p>
        </w:tc>
      </w:tr>
      <w:tr>
        <w:trPr>
          <w:trHeight w:val="186"/>
        </w:trPr>
        <w:tc>
          <w:tcPr>
            <w:tcW w:w="3780" w:type="dxa"/>
            <w:vAlign w:val="bottom"/>
            <w:shd w:val="clear" w:color="auto" w:fill="E9F0F3"/>
          </w:tcPr>
          <w:p>
            <w:pPr>
              <w:ind w:left="60"/>
              <w:spacing w:after="0"/>
              <w:rPr>
                <w:sz w:val="20"/>
                <w:szCs w:val="20"/>
                <w:color w:val="auto"/>
              </w:rPr>
            </w:pPr>
            <w:r>
              <w:rPr>
                <w:rFonts w:ascii="Arial" w:cs="Arial" w:eastAsia="Arial" w:hAnsi="Arial"/>
                <w:sz w:val="14"/>
                <w:szCs w:val="14"/>
                <w:color w:val="auto"/>
              </w:rPr>
              <w:t>Plan</w:t>
            </w:r>
          </w:p>
        </w:tc>
        <w:tc>
          <w:tcPr>
            <w:tcW w:w="1200" w:type="dxa"/>
            <w:vAlign w:val="bottom"/>
            <w:shd w:val="clear" w:color="auto" w:fill="E9F0F3"/>
          </w:tcPr>
          <w:p>
            <w:pPr>
              <w:spacing w:after="0"/>
              <w:rPr>
                <w:sz w:val="16"/>
                <w:szCs w:val="16"/>
                <w:color w:val="auto"/>
              </w:rPr>
            </w:pPr>
          </w:p>
        </w:tc>
        <w:tc>
          <w:tcPr>
            <w:tcW w:w="2660" w:type="dxa"/>
            <w:vAlign w:val="bottom"/>
            <w:shd w:val="clear" w:color="auto" w:fill="E9F0F3"/>
          </w:tcPr>
          <w:p>
            <w:pPr>
              <w:ind w:left="140"/>
              <w:spacing w:after="0"/>
              <w:rPr>
                <w:sz w:val="20"/>
                <w:szCs w:val="20"/>
                <w:color w:val="auto"/>
              </w:rPr>
            </w:pPr>
            <w:r>
              <w:rPr>
                <w:rFonts w:ascii="Arial" w:cs="Arial" w:eastAsia="Arial" w:hAnsi="Arial"/>
                <w:sz w:val="14"/>
                <w:szCs w:val="14"/>
                <w:color w:val="auto"/>
              </w:rPr>
              <w:t>to vote on this matter</w:t>
            </w:r>
          </w:p>
        </w:tc>
        <w:tc>
          <w:tcPr>
            <w:tcW w:w="1620" w:type="dxa"/>
            <w:vAlign w:val="bottom"/>
            <w:shd w:val="clear" w:color="auto" w:fill="E9F0F3"/>
          </w:tcPr>
          <w:p>
            <w:pPr>
              <w:ind w:left="140"/>
              <w:spacing w:after="0"/>
              <w:rPr>
                <w:sz w:val="20"/>
                <w:szCs w:val="20"/>
                <w:color w:val="auto"/>
              </w:rPr>
            </w:pPr>
            <w:r>
              <w:rPr>
                <w:rFonts w:ascii="Arial" w:cs="Arial" w:eastAsia="Arial" w:hAnsi="Arial"/>
                <w:sz w:val="14"/>
                <w:szCs w:val="14"/>
                <w:color w:val="auto"/>
              </w:rPr>
              <w:t>AGAINST</w:t>
            </w:r>
          </w:p>
        </w:tc>
        <w:tc>
          <w:tcPr>
            <w:tcW w:w="1680" w:type="dxa"/>
            <w:vAlign w:val="bottom"/>
            <w:shd w:val="clear" w:color="auto" w:fill="E9F0F3"/>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3780" w:type="dxa"/>
            <w:vAlign w:val="bottom"/>
            <w:shd w:val="clear" w:color="auto" w:fill="E9F0F3"/>
          </w:tcPr>
          <w:p>
            <w:pPr>
              <w:spacing w:after="0"/>
              <w:rPr>
                <w:sz w:val="6"/>
                <w:szCs w:val="6"/>
                <w:color w:val="auto"/>
              </w:rPr>
            </w:pPr>
          </w:p>
        </w:tc>
        <w:tc>
          <w:tcPr>
            <w:tcW w:w="1200" w:type="dxa"/>
            <w:vAlign w:val="bottom"/>
            <w:shd w:val="clear" w:color="auto" w:fill="E9F0F3"/>
          </w:tcPr>
          <w:p>
            <w:pPr>
              <w:spacing w:after="0"/>
              <w:rPr>
                <w:sz w:val="6"/>
                <w:szCs w:val="6"/>
                <w:color w:val="auto"/>
              </w:rPr>
            </w:pPr>
          </w:p>
        </w:tc>
        <w:tc>
          <w:tcPr>
            <w:tcW w:w="2660" w:type="dxa"/>
            <w:vAlign w:val="bottom"/>
            <w:shd w:val="clear" w:color="auto" w:fill="E9F0F3"/>
          </w:tcPr>
          <w:p>
            <w:pPr>
              <w:spacing w:after="0"/>
              <w:rPr>
                <w:sz w:val="6"/>
                <w:szCs w:val="6"/>
                <w:color w:val="auto"/>
              </w:rPr>
            </w:pPr>
          </w:p>
        </w:tc>
        <w:tc>
          <w:tcPr>
            <w:tcW w:w="1620" w:type="dxa"/>
            <w:vAlign w:val="bottom"/>
            <w:shd w:val="clear" w:color="auto" w:fill="E9F0F3"/>
          </w:tcPr>
          <w:p>
            <w:pPr>
              <w:spacing w:after="0"/>
              <w:rPr>
                <w:sz w:val="6"/>
                <w:szCs w:val="6"/>
                <w:color w:val="auto"/>
              </w:rPr>
            </w:pPr>
          </w:p>
        </w:tc>
        <w:tc>
          <w:tcPr>
            <w:tcW w:w="168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3780" w:type="dxa"/>
            <w:vAlign w:val="bottom"/>
          </w:tcPr>
          <w:p>
            <w:pPr>
              <w:ind w:left="60"/>
              <w:spacing w:after="0"/>
              <w:rPr>
                <w:sz w:val="20"/>
                <w:szCs w:val="20"/>
                <w:color w:val="auto"/>
              </w:rPr>
            </w:pPr>
            <w:r>
              <w:rPr>
                <w:rFonts w:ascii="Arial" w:cs="Arial" w:eastAsia="Arial" w:hAnsi="Arial"/>
                <w:sz w:val="14"/>
                <w:szCs w:val="14"/>
                <w:color w:val="auto"/>
              </w:rPr>
              <w:t>Ratification of Ernst &amp; Young LLP as our independent</w:t>
            </w:r>
          </w:p>
        </w:tc>
        <w:tc>
          <w:tcPr>
            <w:tcW w:w="1200" w:type="dxa"/>
            <w:vAlign w:val="bottom"/>
          </w:tcPr>
          <w:p>
            <w:pPr>
              <w:ind w:left="180"/>
              <w:spacing w:after="0"/>
              <w:rPr>
                <w:sz w:val="20"/>
                <w:szCs w:val="20"/>
                <w:color w:val="auto"/>
              </w:rPr>
            </w:pPr>
            <w:r>
              <w:rPr>
                <w:rFonts w:ascii="Arial" w:cs="Arial" w:eastAsia="Arial" w:hAnsi="Arial"/>
                <w:sz w:val="14"/>
                <w:szCs w:val="14"/>
                <w:color w:val="auto"/>
              </w:rPr>
              <w:t>FOR</w:t>
            </w:r>
          </w:p>
        </w:tc>
        <w:tc>
          <w:tcPr>
            <w:tcW w:w="2660" w:type="dxa"/>
            <w:vAlign w:val="bottom"/>
          </w:tcPr>
          <w:p>
            <w:pPr>
              <w:ind w:left="140"/>
              <w:spacing w:after="0"/>
              <w:rPr>
                <w:sz w:val="20"/>
                <w:szCs w:val="20"/>
                <w:color w:val="auto"/>
              </w:rPr>
            </w:pPr>
            <w:r>
              <w:rPr>
                <w:rFonts w:ascii="Arial" w:cs="Arial" w:eastAsia="Arial" w:hAnsi="Arial"/>
                <w:sz w:val="14"/>
                <w:szCs w:val="14"/>
                <w:color w:val="auto"/>
              </w:rPr>
              <w:t>Majority of shares present and entitled</w:t>
            </w:r>
          </w:p>
        </w:tc>
        <w:tc>
          <w:tcPr>
            <w:tcW w:w="1620" w:type="dxa"/>
            <w:vAlign w:val="bottom"/>
          </w:tcPr>
          <w:p>
            <w:pPr>
              <w:ind w:left="140"/>
              <w:spacing w:after="0"/>
              <w:rPr>
                <w:sz w:val="20"/>
                <w:szCs w:val="20"/>
                <w:color w:val="auto"/>
              </w:rPr>
            </w:pPr>
            <w:r>
              <w:rPr>
                <w:rFonts w:ascii="Arial" w:cs="Arial" w:eastAsia="Arial" w:hAnsi="Arial"/>
                <w:sz w:val="14"/>
                <w:szCs w:val="14"/>
                <w:color w:val="auto"/>
              </w:rPr>
              <w:t>Same effect as a vote</w:t>
            </w:r>
          </w:p>
        </w:tc>
        <w:tc>
          <w:tcPr>
            <w:tcW w:w="1680" w:type="dxa"/>
            <w:vAlign w:val="bottom"/>
          </w:tcPr>
          <w:p>
            <w:pPr>
              <w:ind w:left="120"/>
              <w:spacing w:after="0"/>
              <w:rPr>
                <w:sz w:val="20"/>
                <w:szCs w:val="20"/>
                <w:color w:val="auto"/>
              </w:rPr>
            </w:pPr>
            <w:r>
              <w:rPr>
                <w:rFonts w:ascii="Arial" w:cs="Arial" w:eastAsia="Arial" w:hAnsi="Arial"/>
                <w:sz w:val="14"/>
                <w:szCs w:val="14"/>
                <w:color w:val="auto"/>
              </w:rPr>
              <w:t>No effect/not applicable</w:t>
            </w:r>
          </w:p>
        </w:tc>
        <w:tc>
          <w:tcPr>
            <w:tcW w:w="0" w:type="dxa"/>
            <w:vAlign w:val="bottom"/>
          </w:tcPr>
          <w:p>
            <w:pPr>
              <w:spacing w:after="0"/>
              <w:rPr>
                <w:sz w:val="1"/>
                <w:szCs w:val="1"/>
                <w:color w:val="auto"/>
              </w:rPr>
            </w:pPr>
          </w:p>
        </w:tc>
      </w:tr>
      <w:tr>
        <w:trPr>
          <w:trHeight w:val="186"/>
        </w:trPr>
        <w:tc>
          <w:tcPr>
            <w:tcW w:w="3780" w:type="dxa"/>
            <w:vAlign w:val="bottom"/>
          </w:tcPr>
          <w:p>
            <w:pPr>
              <w:ind w:left="60"/>
              <w:spacing w:after="0"/>
              <w:rPr>
                <w:sz w:val="20"/>
                <w:szCs w:val="20"/>
                <w:color w:val="auto"/>
              </w:rPr>
            </w:pPr>
            <w:r>
              <w:rPr>
                <w:rFonts w:ascii="Arial" w:cs="Arial" w:eastAsia="Arial" w:hAnsi="Arial"/>
                <w:sz w:val="14"/>
                <w:szCs w:val="14"/>
                <w:color w:val="auto"/>
              </w:rPr>
              <w:t>auditor for fiscal year 2026</w:t>
            </w:r>
          </w:p>
        </w:tc>
        <w:tc>
          <w:tcPr>
            <w:tcW w:w="1200" w:type="dxa"/>
            <w:vAlign w:val="bottom"/>
          </w:tcPr>
          <w:p>
            <w:pPr>
              <w:spacing w:after="0"/>
              <w:rPr>
                <w:sz w:val="16"/>
                <w:szCs w:val="16"/>
                <w:color w:val="auto"/>
              </w:rPr>
            </w:pPr>
          </w:p>
        </w:tc>
        <w:tc>
          <w:tcPr>
            <w:tcW w:w="2660" w:type="dxa"/>
            <w:vAlign w:val="bottom"/>
          </w:tcPr>
          <w:p>
            <w:pPr>
              <w:ind w:left="140"/>
              <w:spacing w:after="0"/>
              <w:rPr>
                <w:sz w:val="20"/>
                <w:szCs w:val="20"/>
                <w:color w:val="auto"/>
              </w:rPr>
            </w:pPr>
            <w:r>
              <w:rPr>
                <w:rFonts w:ascii="Arial" w:cs="Arial" w:eastAsia="Arial" w:hAnsi="Arial"/>
                <w:sz w:val="14"/>
                <w:szCs w:val="14"/>
                <w:color w:val="auto"/>
              </w:rPr>
              <w:t>to vote on this matter</w:t>
            </w:r>
          </w:p>
        </w:tc>
        <w:tc>
          <w:tcPr>
            <w:tcW w:w="1620" w:type="dxa"/>
            <w:vAlign w:val="bottom"/>
          </w:tcPr>
          <w:p>
            <w:pPr>
              <w:ind w:left="140"/>
              <w:spacing w:after="0"/>
              <w:rPr>
                <w:sz w:val="20"/>
                <w:szCs w:val="20"/>
                <w:color w:val="auto"/>
              </w:rPr>
            </w:pPr>
            <w:r>
              <w:rPr>
                <w:rFonts w:ascii="Arial" w:cs="Arial" w:eastAsia="Arial" w:hAnsi="Arial"/>
                <w:sz w:val="14"/>
                <w:szCs w:val="14"/>
                <w:color w:val="auto"/>
              </w:rPr>
              <w:t>AGAINST</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6D98AD"/>
        </w:rPr>
        <w:t>Other Matters Presented at the Annual Meeting</w:t>
      </w:r>
    </w:p>
    <w:p>
      <w:pPr>
        <w:spacing w:after="0" w:line="114" w:lineRule="exact"/>
        <w:rPr>
          <w:sz w:val="20"/>
          <w:szCs w:val="20"/>
          <w:color w:val="auto"/>
        </w:rPr>
      </w:pPr>
    </w:p>
    <w:p>
      <w:pPr>
        <w:ind w:left="20" w:right="60"/>
        <w:spacing w:after="0" w:line="258" w:lineRule="auto"/>
        <w:rPr>
          <w:sz w:val="20"/>
          <w:szCs w:val="20"/>
          <w:color w:val="auto"/>
        </w:rPr>
      </w:pPr>
      <w:r>
        <w:rPr>
          <w:rFonts w:ascii="Arial" w:cs="Arial" w:eastAsia="Arial" w:hAnsi="Arial"/>
          <w:sz w:val="14"/>
          <w:szCs w:val="14"/>
          <w:color w:val="auto"/>
        </w:rPr>
        <w:t>In accordance with the requirements of advance notice described in our By-Laws, no stockholder nominations or stockholder proposals other than those included in this Proxy Statement will be presented at the Annual Meeting. The Board of Directors does not intend to present any matter of business at the meeting other than those described in this Proxy Statement. However, if other matters properly come before the meeting, the individuals named in the enclosed form of proxy will vote any proxies in accordance with their judgment.</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6D98AD"/>
        </w:rPr>
        <w:t>Stockholder Proposals for the 2027 Annual Meeting</w:t>
      </w:r>
    </w:p>
    <w:p>
      <w:pPr>
        <w:spacing w:after="0" w:line="114" w:lineRule="exact"/>
        <w:rPr>
          <w:sz w:val="20"/>
          <w:szCs w:val="20"/>
          <w:color w:val="auto"/>
        </w:rPr>
      </w:pPr>
    </w:p>
    <w:p>
      <w:pPr>
        <w:ind w:left="20" w:right="680"/>
        <w:spacing w:after="0" w:line="282" w:lineRule="auto"/>
        <w:rPr>
          <w:sz w:val="20"/>
          <w:szCs w:val="20"/>
          <w:color w:val="auto"/>
        </w:rPr>
      </w:pPr>
      <w:r>
        <w:rPr>
          <w:rFonts w:ascii="Arial" w:cs="Arial" w:eastAsia="Arial" w:hAnsi="Arial"/>
          <w:sz w:val="14"/>
          <w:szCs w:val="14"/>
          <w:color w:val="auto"/>
        </w:rPr>
        <w:t>If you wish to present a proposal at our 2027 Annual Meeting of Stockholders and want that proposal included in our Proxy Statement, we must receive the requisite information on or before January 8, 2027.</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6D98AD"/>
        </w:rPr>
        <w:t>Director Nominations for Inclusion in 2027 Proxy Statement</w:t>
      </w:r>
    </w:p>
    <w:p>
      <w:pPr>
        <w:spacing w:after="0" w:line="114" w:lineRule="exact"/>
        <w:rPr>
          <w:sz w:val="20"/>
          <w:szCs w:val="20"/>
          <w:color w:val="auto"/>
        </w:rPr>
      </w:pPr>
    </w:p>
    <w:p>
      <w:pPr>
        <w:ind w:left="20"/>
        <w:spacing w:after="0" w:line="264" w:lineRule="auto"/>
        <w:rPr>
          <w:sz w:val="20"/>
          <w:szCs w:val="20"/>
          <w:color w:val="auto"/>
        </w:rPr>
      </w:pPr>
      <w:r>
        <w:rPr>
          <w:rFonts w:ascii="Arial" w:cs="Arial" w:eastAsia="Arial" w:hAnsi="Arial"/>
          <w:sz w:val="14"/>
          <w:szCs w:val="14"/>
          <w:color w:val="auto"/>
        </w:rPr>
        <w:t>If you wish to nominate a person for election as a director at our 2027 Annual Meeting of Stockholders and want the nominee included in our Proxy Statement pursuant to the proxy access provisions of our By-Laws, we must receive notice between December 9, 2026, and January 8, 2027. The notice must contain the information required by our By-Laws.</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6D98AD"/>
        </w:rPr>
        <w:t>Other Stockholder Proposals</w:t>
      </w:r>
    </w:p>
    <w:p>
      <w:pPr>
        <w:spacing w:after="0" w:line="114" w:lineRule="exact"/>
        <w:rPr>
          <w:sz w:val="20"/>
          <w:szCs w:val="20"/>
          <w:color w:val="auto"/>
        </w:rPr>
      </w:pPr>
    </w:p>
    <w:p>
      <w:pPr>
        <w:ind w:left="20"/>
        <w:spacing w:after="0" w:line="264" w:lineRule="auto"/>
        <w:rPr>
          <w:sz w:val="20"/>
          <w:szCs w:val="20"/>
          <w:color w:val="auto"/>
        </w:rPr>
      </w:pPr>
      <w:r>
        <w:rPr>
          <w:rFonts w:ascii="Arial" w:cs="Arial" w:eastAsia="Arial" w:hAnsi="Arial"/>
          <w:sz w:val="14"/>
          <w:szCs w:val="14"/>
          <w:color w:val="auto"/>
        </w:rPr>
        <w:t>If you intend to present a proposal or nominate a person for election as a director at our 2027 Annual Meeting of Stockholders other than as described above, you must comply with the requirements set forth in our By-Laws. Our By-Laws require, among other things, that we receive written notice of the intent to present a proposal or nomination between the close of business on February 18, 2027, and the close of business on March 20, 2027. The notice must contain the information required by our By-Laws.</w:t>
      </w:r>
    </w:p>
    <w:p>
      <w:pPr>
        <w:spacing w:after="0" w:line="69" w:lineRule="exact"/>
        <w:rPr>
          <w:sz w:val="20"/>
          <w:szCs w:val="20"/>
          <w:color w:val="auto"/>
        </w:rPr>
      </w:pPr>
    </w:p>
    <w:p>
      <w:pPr>
        <w:ind w:left="20" w:right="20"/>
        <w:spacing w:after="0" w:line="282" w:lineRule="auto"/>
        <w:rPr>
          <w:sz w:val="20"/>
          <w:szCs w:val="20"/>
          <w:color w:val="auto"/>
        </w:rPr>
      </w:pPr>
      <w:r>
        <w:rPr>
          <w:rFonts w:ascii="Arial" w:cs="Arial" w:eastAsia="Arial" w:hAnsi="Arial"/>
          <w:sz w:val="14"/>
          <w:szCs w:val="14"/>
          <w:color w:val="auto"/>
        </w:rPr>
        <w:t>In addition to satisfying the foregoing requirements under our By-Laws, to comply with the universal proxy rules, stockholders who intend to solicit proxies in support of director nominees other than our nominees must also comply with the additional requirements of Rule 14a-19 under the Exchange Act.</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 xml:space="preserve">102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GENERAL 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60" w:top="386" w:right="499" w:bottom="1440" w:gutter="0" w:footer="0" w:header="0"/>
        </w:sectPr>
      </w:pPr>
    </w:p>
    <w:bookmarkStart w:id="105" w:name="page106"/>
    <w:bookmarkEnd w:id="105"/>
    <w:p>
      <w:pPr>
        <w:spacing w:after="0"/>
        <w:rPr>
          <w:sz w:val="20"/>
          <w:szCs w:val="20"/>
          <w:color w:val="auto"/>
        </w:rPr>
      </w:pPr>
      <w:r>
        <w:rPr>
          <w:rFonts w:ascii="Arial" w:cs="Arial" w:eastAsia="Arial" w:hAnsi="Arial"/>
          <w:sz w:val="28"/>
          <w:szCs w:val="28"/>
          <w:b w:val="1"/>
          <w:bCs w:val="1"/>
          <w:color w:val="6D98AD"/>
        </w:rPr>
        <w:t>Costs of This Proxy Solicitation</w:t>
      </w:r>
    </w:p>
    <w:p>
      <w:pPr>
        <w:spacing w:after="0" w:line="114"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We will bear the cost of preparing, assembling and mailing the enclosed form of proxy, this Proxy Statement and other material that may be sent to stockholders in connection herewith.</w:t>
      </w:r>
    </w:p>
    <w:p>
      <w:pPr>
        <w:spacing w:after="0" w:line="57"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Solicitation may be made by mail, telephone, or in-person. We may reimburse persons holding shares in their names or in the names of nominees for their expense in sending proxies and proxy materials to their principals. In addition, D.F. King &amp; Co., Inc. will aid in the solicitation of proxies for a fee of $11,000 plus expenses.</w:t>
      </w:r>
    </w:p>
    <w:p>
      <w:pPr>
        <w:spacing w:after="0" w:line="210" w:lineRule="exact"/>
        <w:rPr>
          <w:sz w:val="20"/>
          <w:szCs w:val="20"/>
          <w:color w:val="auto"/>
        </w:rPr>
      </w:pPr>
    </w:p>
    <w:p>
      <w:pPr>
        <w:spacing w:after="0"/>
        <w:rPr>
          <w:sz w:val="20"/>
          <w:szCs w:val="20"/>
          <w:color w:val="auto"/>
        </w:rPr>
      </w:pPr>
      <w:r>
        <w:rPr>
          <w:rFonts w:ascii="Arial" w:cs="Arial" w:eastAsia="Arial" w:hAnsi="Arial"/>
          <w:sz w:val="28"/>
          <w:szCs w:val="28"/>
          <w:b w:val="1"/>
          <w:bCs w:val="1"/>
          <w:color w:val="6D98AD"/>
        </w:rPr>
        <w:t>Interests of Certain Persons in Matters to Be Acted Upon</w:t>
      </w:r>
    </w:p>
    <w:p>
      <w:pPr>
        <w:spacing w:after="0" w:line="114"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No director or executive officer of PVH who has served at any time since the beginning of the 2025 fiscal year, and no nominee for election as a director, or any of their respective associates, has any substantial interest, direct or indirect, in any matter to be acted upon at the Annual Meeting other than the interests held by such persons through their respective beneficial ownership of the shares of our capital stock set forth above in the section entitled “Security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54610</wp:posOffset>
            </wp:positionV>
            <wp:extent cx="1159510" cy="2768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59510" cy="27686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 D. Fischer</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Secretary</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May 8, 2026</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GENERAL INFORMATION ABOUT THE ANNUAL MEETING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6955155"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386" w:right="479" w:bottom="1440" w:gutter="0" w:footer="0" w:header="0"/>
        </w:sectPr>
      </w:pPr>
    </w:p>
    <w:bookmarkStart w:id="106" w:name="page107"/>
    <w:bookmarkEnd w:id="106"/>
    <w:p>
      <w:pPr>
        <w:ind w:left="20"/>
        <w:spacing w:after="0"/>
        <w:rPr>
          <w:sz w:val="20"/>
          <w:szCs w:val="20"/>
          <w:color w:val="auto"/>
        </w:rPr>
      </w:pPr>
      <w:r>
        <w:rPr>
          <w:rFonts w:ascii="Arial" w:cs="Arial" w:eastAsia="Arial" w:hAnsi="Arial"/>
          <w:sz w:val="41"/>
          <w:szCs w:val="41"/>
          <w:b w:val="1"/>
          <w:bCs w:val="1"/>
          <w:color w:val="auto"/>
        </w:rPr>
        <w:t>Exhibit A</w:t>
      </w: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6D98AD"/>
        </w:rPr>
        <w:t>GAAP to Non-GAAP Reconciliations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(Dollars and shares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6948170" cy="156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48170" cy="156845"/>
                    </a:xfrm>
                    <a:prstGeom prst="rect">
                      <a:avLst/>
                    </a:prstGeom>
                    <a:noFill/>
                  </pic:spPr>
                </pic:pic>
              </a:graphicData>
            </a:graphic>
          </wp:anchor>
        </w:drawing>
      </w:r>
    </w:p>
    <w:p>
      <w:pPr>
        <w:spacing w:after="0" w:line="240"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FFFFFF"/>
        </w:rPr>
        <w:t>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00" w:type="dxa"/>
            <w:vAlign w:val="bottom"/>
            <w:shd w:val="clear" w:color="auto" w:fill="99B7C6"/>
          </w:tcPr>
          <w:p>
            <w:pPr>
              <w:spacing w:after="0"/>
              <w:rPr>
                <w:sz w:val="12"/>
                <w:szCs w:val="12"/>
                <w:color w:val="auto"/>
              </w:rPr>
            </w:pPr>
          </w:p>
        </w:tc>
        <w:tc>
          <w:tcPr>
            <w:tcW w:w="2080" w:type="dxa"/>
            <w:vAlign w:val="bottom"/>
            <w:shd w:val="clear" w:color="auto" w:fill="99B7C6"/>
          </w:tcPr>
          <w:p>
            <w:pPr>
              <w:spacing w:after="0"/>
              <w:rPr>
                <w:sz w:val="12"/>
                <w:szCs w:val="12"/>
                <w:color w:val="auto"/>
              </w:rPr>
            </w:pPr>
          </w:p>
        </w:tc>
        <w:tc>
          <w:tcPr>
            <w:tcW w:w="1060" w:type="dxa"/>
            <w:vAlign w:val="bottom"/>
            <w:shd w:val="clear" w:color="auto" w:fill="99B7C6"/>
          </w:tcPr>
          <w:p>
            <w:pPr>
              <w:spacing w:after="0"/>
              <w:rPr>
                <w:sz w:val="12"/>
                <w:szCs w:val="12"/>
                <w:color w:val="auto"/>
              </w:rPr>
            </w:pPr>
          </w:p>
        </w:tc>
        <w:tc>
          <w:tcPr>
            <w:tcW w:w="880" w:type="dxa"/>
            <w:vAlign w:val="bottom"/>
            <w:shd w:val="clear" w:color="auto" w:fill="99B7C6"/>
          </w:tcPr>
          <w:p>
            <w:pPr>
              <w:spacing w:after="0"/>
              <w:rPr>
                <w:sz w:val="12"/>
                <w:szCs w:val="12"/>
                <w:color w:val="auto"/>
              </w:rPr>
            </w:pPr>
          </w:p>
        </w:tc>
        <w:tc>
          <w:tcPr>
            <w:tcW w:w="1040" w:type="dxa"/>
            <w:vAlign w:val="bottom"/>
            <w:shd w:val="clear" w:color="auto" w:fill="99B7C6"/>
          </w:tcPr>
          <w:p>
            <w:pPr>
              <w:jc w:val="right"/>
              <w:ind w:right="115"/>
              <w:spacing w:after="0"/>
              <w:rPr>
                <w:sz w:val="20"/>
                <w:szCs w:val="20"/>
                <w:color w:val="auto"/>
              </w:rPr>
            </w:pPr>
            <w:r>
              <w:rPr>
                <w:rFonts w:ascii="Arial" w:cs="Arial" w:eastAsia="Arial" w:hAnsi="Arial"/>
                <w:sz w:val="11"/>
                <w:szCs w:val="11"/>
                <w:b w:val="1"/>
                <w:bCs w:val="1"/>
                <w:color w:val="FFFFFF"/>
              </w:rPr>
              <w:t>Foreign</w:t>
            </w:r>
          </w:p>
        </w:tc>
        <w:tc>
          <w:tcPr>
            <w:tcW w:w="780" w:type="dxa"/>
            <w:vAlign w:val="bottom"/>
            <w:vMerge w:val="restart"/>
            <w:shd w:val="clear" w:color="auto" w:fill="99B7C6"/>
          </w:tcPr>
          <w:p>
            <w:pPr>
              <w:jc w:val="right"/>
              <w:spacing w:after="0"/>
              <w:rPr>
                <w:sz w:val="20"/>
                <w:szCs w:val="20"/>
                <w:color w:val="auto"/>
              </w:rPr>
            </w:pPr>
            <w:r>
              <w:rPr>
                <w:rFonts w:ascii="Arial" w:cs="Arial" w:eastAsia="Arial" w:hAnsi="Arial"/>
                <w:sz w:val="11"/>
                <w:szCs w:val="11"/>
                <w:b w:val="1"/>
                <w:bCs w:val="1"/>
                <w:color w:val="FFFFFF"/>
              </w:rPr>
              <w:t>Constant</w:t>
            </w:r>
          </w:p>
        </w:tc>
        <w:tc>
          <w:tcPr>
            <w:tcW w:w="0" w:type="dxa"/>
            <w:vAlign w:val="bottom"/>
          </w:tcPr>
          <w:p>
            <w:pPr>
              <w:spacing w:after="0"/>
              <w:rPr>
                <w:sz w:val="1"/>
                <w:szCs w:val="1"/>
                <w:color w:val="auto"/>
              </w:rPr>
            </w:pPr>
          </w:p>
        </w:tc>
      </w:tr>
      <w:tr>
        <w:trPr>
          <w:trHeight w:val="118"/>
        </w:trPr>
        <w:tc>
          <w:tcPr>
            <w:tcW w:w="5100" w:type="dxa"/>
            <w:vAlign w:val="bottom"/>
            <w:shd w:val="clear" w:color="auto" w:fill="99B7C6"/>
          </w:tcPr>
          <w:p>
            <w:pPr>
              <w:spacing w:after="0"/>
              <w:rPr>
                <w:sz w:val="10"/>
                <w:szCs w:val="10"/>
                <w:color w:val="auto"/>
              </w:rPr>
            </w:pPr>
          </w:p>
        </w:tc>
        <w:tc>
          <w:tcPr>
            <w:tcW w:w="2080" w:type="dxa"/>
            <w:vAlign w:val="bottom"/>
            <w:vMerge w:val="restart"/>
            <w:shd w:val="clear" w:color="auto" w:fill="99B7C6"/>
          </w:tcPr>
          <w:p>
            <w:pPr>
              <w:jc w:val="right"/>
              <w:ind w:right="51"/>
              <w:spacing w:after="0"/>
              <w:rPr>
                <w:sz w:val="20"/>
                <w:szCs w:val="20"/>
                <w:color w:val="auto"/>
              </w:rPr>
            </w:pPr>
            <w:r>
              <w:rPr>
                <w:rFonts w:ascii="Arial" w:cs="Arial" w:eastAsia="Arial" w:hAnsi="Arial"/>
                <w:sz w:val="11"/>
                <w:szCs w:val="11"/>
                <w:b w:val="1"/>
                <w:bCs w:val="1"/>
                <w:color w:val="FFFFFF"/>
              </w:rPr>
              <w:t>GAAP</w:t>
            </w:r>
          </w:p>
        </w:tc>
        <w:tc>
          <w:tcPr>
            <w:tcW w:w="1060" w:type="dxa"/>
            <w:vAlign w:val="bottom"/>
            <w:vMerge w:val="restart"/>
            <w:shd w:val="clear" w:color="auto" w:fill="99B7C6"/>
          </w:tcPr>
          <w:p>
            <w:pPr>
              <w:jc w:val="right"/>
              <w:ind w:right="135"/>
              <w:spacing w:after="0"/>
              <w:rPr>
                <w:sz w:val="20"/>
                <w:szCs w:val="20"/>
                <w:color w:val="auto"/>
              </w:rPr>
            </w:pPr>
            <w:r>
              <w:rPr>
                <w:rFonts w:ascii="Arial" w:cs="Arial" w:eastAsia="Arial" w:hAnsi="Arial"/>
                <w:sz w:val="11"/>
                <w:szCs w:val="11"/>
                <w:b w:val="1"/>
                <w:bCs w:val="1"/>
                <w:color w:val="FFFFFF"/>
              </w:rPr>
              <w:t>Adjustments</w:t>
            </w:r>
            <w:r>
              <w:rPr>
                <w:rFonts w:ascii="Arial" w:cs="Arial" w:eastAsia="Arial" w:hAnsi="Arial"/>
                <w:sz w:val="12"/>
                <w:szCs w:val="12"/>
                <w:b w:val="1"/>
                <w:bCs w:val="1"/>
                <w:color w:val="FFFFFF"/>
                <w:vertAlign w:val="superscript"/>
              </w:rPr>
              <w:t>(1)</w:t>
            </w:r>
          </w:p>
        </w:tc>
        <w:tc>
          <w:tcPr>
            <w:tcW w:w="880" w:type="dxa"/>
            <w:vAlign w:val="bottom"/>
            <w:vMerge w:val="restart"/>
            <w:shd w:val="clear" w:color="auto" w:fill="99B7C6"/>
          </w:tcPr>
          <w:p>
            <w:pPr>
              <w:jc w:val="right"/>
              <w:ind w:right="51"/>
              <w:spacing w:after="0"/>
              <w:rPr>
                <w:sz w:val="20"/>
                <w:szCs w:val="20"/>
                <w:color w:val="auto"/>
              </w:rPr>
            </w:pPr>
            <w:r>
              <w:rPr>
                <w:rFonts w:ascii="Arial" w:cs="Arial" w:eastAsia="Arial" w:hAnsi="Arial"/>
                <w:sz w:val="11"/>
                <w:szCs w:val="11"/>
                <w:b w:val="1"/>
                <w:bCs w:val="1"/>
                <w:color w:val="FFFFFF"/>
              </w:rPr>
              <w:t>Non-GAAP</w:t>
            </w:r>
          </w:p>
        </w:tc>
        <w:tc>
          <w:tcPr>
            <w:tcW w:w="1040" w:type="dxa"/>
            <w:vAlign w:val="bottom"/>
            <w:shd w:val="clear" w:color="auto" w:fill="99B7C6"/>
          </w:tcPr>
          <w:p>
            <w:pPr>
              <w:jc w:val="right"/>
              <w:ind w:right="115"/>
              <w:spacing w:after="0" w:line="118" w:lineRule="exact"/>
              <w:rPr>
                <w:sz w:val="20"/>
                <w:szCs w:val="20"/>
                <w:color w:val="auto"/>
              </w:rPr>
            </w:pPr>
            <w:r>
              <w:rPr>
                <w:rFonts w:ascii="Arial" w:cs="Arial" w:eastAsia="Arial" w:hAnsi="Arial"/>
                <w:sz w:val="11"/>
                <w:szCs w:val="11"/>
                <w:b w:val="1"/>
                <w:bCs w:val="1"/>
                <w:color w:val="FFFFFF"/>
              </w:rPr>
              <w:t>Exchange</w:t>
            </w:r>
          </w:p>
        </w:tc>
        <w:tc>
          <w:tcPr>
            <w:tcW w:w="780" w:type="dxa"/>
            <w:vAlign w:val="bottom"/>
            <w:vMerge w:val="continue"/>
            <w:shd w:val="clear" w:color="auto" w:fill="99B7C6"/>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5100" w:type="dxa"/>
            <w:vAlign w:val="bottom"/>
            <w:shd w:val="clear" w:color="auto" w:fill="99B7C6"/>
          </w:tcPr>
          <w:p>
            <w:pPr>
              <w:spacing w:after="0"/>
              <w:rPr>
                <w:sz w:val="14"/>
                <w:szCs w:val="14"/>
                <w:color w:val="auto"/>
              </w:rPr>
            </w:pPr>
          </w:p>
        </w:tc>
        <w:tc>
          <w:tcPr>
            <w:tcW w:w="2080" w:type="dxa"/>
            <w:vAlign w:val="bottom"/>
            <w:vMerge w:val="continue"/>
            <w:shd w:val="clear" w:color="auto" w:fill="99B7C6"/>
          </w:tcPr>
          <w:p>
            <w:pPr>
              <w:spacing w:after="0"/>
              <w:rPr>
                <w:sz w:val="14"/>
                <w:szCs w:val="14"/>
                <w:color w:val="auto"/>
              </w:rPr>
            </w:pPr>
          </w:p>
        </w:tc>
        <w:tc>
          <w:tcPr>
            <w:tcW w:w="1060" w:type="dxa"/>
            <w:vAlign w:val="bottom"/>
            <w:vMerge w:val="continue"/>
            <w:shd w:val="clear" w:color="auto" w:fill="99B7C6"/>
          </w:tcPr>
          <w:p>
            <w:pPr>
              <w:spacing w:after="0"/>
              <w:rPr>
                <w:sz w:val="14"/>
                <w:szCs w:val="14"/>
                <w:color w:val="auto"/>
              </w:rPr>
            </w:pPr>
          </w:p>
        </w:tc>
        <w:tc>
          <w:tcPr>
            <w:tcW w:w="880" w:type="dxa"/>
            <w:vAlign w:val="bottom"/>
            <w:vMerge w:val="continue"/>
            <w:shd w:val="clear" w:color="auto" w:fill="99B7C6"/>
          </w:tcPr>
          <w:p>
            <w:pPr>
              <w:spacing w:after="0"/>
              <w:rPr>
                <w:sz w:val="14"/>
                <w:szCs w:val="14"/>
                <w:color w:val="auto"/>
              </w:rPr>
            </w:pPr>
          </w:p>
        </w:tc>
        <w:tc>
          <w:tcPr>
            <w:tcW w:w="1040" w:type="dxa"/>
            <w:vAlign w:val="bottom"/>
            <w:shd w:val="clear" w:color="auto" w:fill="99B7C6"/>
          </w:tcPr>
          <w:p>
            <w:pPr>
              <w:jc w:val="right"/>
              <w:ind w:right="115"/>
              <w:spacing w:after="0"/>
              <w:rPr>
                <w:sz w:val="20"/>
                <w:szCs w:val="20"/>
                <w:color w:val="auto"/>
              </w:rPr>
            </w:pPr>
            <w:r>
              <w:rPr>
                <w:rFonts w:ascii="Arial" w:cs="Arial" w:eastAsia="Arial" w:hAnsi="Arial"/>
                <w:sz w:val="11"/>
                <w:szCs w:val="11"/>
                <w:b w:val="1"/>
                <w:bCs w:val="1"/>
                <w:color w:val="FFFFFF"/>
              </w:rPr>
              <w:t>Impact</w:t>
            </w:r>
          </w:p>
        </w:tc>
        <w:tc>
          <w:tcPr>
            <w:tcW w:w="780" w:type="dxa"/>
            <w:vAlign w:val="bottom"/>
            <w:shd w:val="clear" w:color="auto" w:fill="99B7C6"/>
          </w:tcPr>
          <w:p>
            <w:pPr>
              <w:jc w:val="right"/>
              <w:spacing w:after="0"/>
              <w:rPr>
                <w:sz w:val="20"/>
                <w:szCs w:val="20"/>
                <w:color w:val="auto"/>
              </w:rPr>
            </w:pPr>
            <w:r>
              <w:rPr>
                <w:rFonts w:ascii="Arial" w:cs="Arial" w:eastAsia="Arial" w:hAnsi="Arial"/>
                <w:sz w:val="11"/>
                <w:szCs w:val="11"/>
                <w:b w:val="1"/>
                <w:bCs w:val="1"/>
                <w:color w:val="FFFFFF"/>
              </w:rPr>
              <w:t>Currency</w:t>
            </w:r>
          </w:p>
        </w:tc>
        <w:tc>
          <w:tcPr>
            <w:tcW w:w="0" w:type="dxa"/>
            <w:vAlign w:val="bottom"/>
          </w:tcPr>
          <w:p>
            <w:pPr>
              <w:spacing w:after="0"/>
              <w:rPr>
                <w:sz w:val="1"/>
                <w:szCs w:val="1"/>
                <w:color w:val="auto"/>
              </w:rPr>
            </w:pPr>
          </w:p>
        </w:tc>
      </w:tr>
      <w:tr>
        <w:trPr>
          <w:trHeight w:val="229"/>
        </w:trPr>
        <w:tc>
          <w:tcPr>
            <w:tcW w:w="51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Revenue – Consolidated</w:t>
            </w:r>
          </w:p>
        </w:tc>
        <w:tc>
          <w:tcPr>
            <w:tcW w:w="2080" w:type="dxa"/>
            <w:vAlign w:val="bottom"/>
            <w:shd w:val="clear" w:color="auto" w:fill="E9F0F3"/>
          </w:tcPr>
          <w:p>
            <w:pPr>
              <w:jc w:val="right"/>
              <w:ind w:right="51"/>
              <w:spacing w:after="0"/>
              <w:rPr>
                <w:sz w:val="20"/>
                <w:szCs w:val="20"/>
                <w:color w:val="auto"/>
              </w:rPr>
            </w:pPr>
            <w:r>
              <w:rPr>
                <w:rFonts w:ascii="Arial" w:cs="Arial" w:eastAsia="Arial" w:hAnsi="Arial"/>
                <w:sz w:val="14"/>
                <w:szCs w:val="14"/>
                <w:color w:val="auto"/>
              </w:rPr>
              <w:t>$8,950</w:t>
            </w:r>
          </w:p>
        </w:tc>
        <w:tc>
          <w:tcPr>
            <w:tcW w:w="1060" w:type="dxa"/>
            <w:vAlign w:val="bottom"/>
            <w:shd w:val="clear" w:color="auto" w:fill="E9F0F3"/>
          </w:tcPr>
          <w:p>
            <w:pPr>
              <w:spacing w:after="0"/>
              <w:rPr>
                <w:sz w:val="19"/>
                <w:szCs w:val="19"/>
                <w:color w:val="auto"/>
              </w:rPr>
            </w:pPr>
          </w:p>
        </w:tc>
        <w:tc>
          <w:tcPr>
            <w:tcW w:w="880" w:type="dxa"/>
            <w:vAlign w:val="bottom"/>
            <w:shd w:val="clear" w:color="auto" w:fill="E9F0F3"/>
          </w:tcPr>
          <w:p>
            <w:pPr>
              <w:spacing w:after="0"/>
              <w:rPr>
                <w:sz w:val="19"/>
                <w:szCs w:val="19"/>
                <w:color w:val="auto"/>
              </w:rPr>
            </w:pPr>
          </w:p>
        </w:tc>
        <w:tc>
          <w:tcPr>
            <w:tcW w:w="1040" w:type="dxa"/>
            <w:vAlign w:val="bottom"/>
            <w:shd w:val="clear" w:color="auto" w:fill="E9F0F3"/>
          </w:tcPr>
          <w:p>
            <w:pPr>
              <w:jc w:val="right"/>
              <w:ind w:right="115"/>
              <w:spacing w:after="0"/>
              <w:rPr>
                <w:sz w:val="20"/>
                <w:szCs w:val="20"/>
                <w:color w:val="auto"/>
              </w:rPr>
            </w:pPr>
            <w:r>
              <w:rPr>
                <w:rFonts w:ascii="Arial" w:cs="Arial" w:eastAsia="Arial" w:hAnsi="Arial"/>
                <w:sz w:val="14"/>
                <w:szCs w:val="14"/>
                <w:color w:val="auto"/>
              </w:rPr>
              <w:t>$(251)</w:t>
            </w:r>
          </w:p>
        </w:tc>
        <w:tc>
          <w:tcPr>
            <w:tcW w:w="7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$8,699</w:t>
            </w:r>
          </w:p>
        </w:tc>
        <w:tc>
          <w:tcPr>
            <w:tcW w:w="0" w:type="dxa"/>
            <w:vAlign w:val="bottom"/>
          </w:tcPr>
          <w:p>
            <w:pPr>
              <w:spacing w:after="0"/>
              <w:rPr>
                <w:sz w:val="1"/>
                <w:szCs w:val="1"/>
                <w:color w:val="auto"/>
              </w:rPr>
            </w:pPr>
          </w:p>
        </w:tc>
      </w:tr>
      <w:tr>
        <w:trPr>
          <w:trHeight w:val="66"/>
        </w:trPr>
        <w:tc>
          <w:tcPr>
            <w:tcW w:w="5100" w:type="dxa"/>
            <w:vAlign w:val="bottom"/>
            <w:shd w:val="clear" w:color="auto" w:fill="E9F0F3"/>
          </w:tcPr>
          <w:p>
            <w:pPr>
              <w:spacing w:after="0"/>
              <w:rPr>
                <w:sz w:val="5"/>
                <w:szCs w:val="5"/>
                <w:color w:val="auto"/>
              </w:rPr>
            </w:pPr>
          </w:p>
        </w:tc>
        <w:tc>
          <w:tcPr>
            <w:tcW w:w="2080" w:type="dxa"/>
            <w:vAlign w:val="bottom"/>
            <w:shd w:val="clear" w:color="auto" w:fill="E9F0F3"/>
          </w:tcPr>
          <w:p>
            <w:pPr>
              <w:spacing w:after="0"/>
              <w:rPr>
                <w:sz w:val="5"/>
                <w:szCs w:val="5"/>
                <w:color w:val="auto"/>
              </w:rPr>
            </w:pPr>
          </w:p>
        </w:tc>
        <w:tc>
          <w:tcPr>
            <w:tcW w:w="1060" w:type="dxa"/>
            <w:vAlign w:val="bottom"/>
            <w:shd w:val="clear" w:color="auto" w:fill="E9F0F3"/>
          </w:tcPr>
          <w:p>
            <w:pPr>
              <w:spacing w:after="0"/>
              <w:rPr>
                <w:sz w:val="5"/>
                <w:szCs w:val="5"/>
                <w:color w:val="auto"/>
              </w:rPr>
            </w:pPr>
          </w:p>
        </w:tc>
        <w:tc>
          <w:tcPr>
            <w:tcW w:w="880" w:type="dxa"/>
            <w:vAlign w:val="bottom"/>
            <w:shd w:val="clear" w:color="auto" w:fill="E9F0F3"/>
          </w:tcPr>
          <w:p>
            <w:pPr>
              <w:spacing w:after="0"/>
              <w:rPr>
                <w:sz w:val="5"/>
                <w:szCs w:val="5"/>
                <w:color w:val="auto"/>
              </w:rPr>
            </w:pPr>
          </w:p>
        </w:tc>
        <w:tc>
          <w:tcPr>
            <w:tcW w:w="1040" w:type="dxa"/>
            <w:vAlign w:val="bottom"/>
            <w:shd w:val="clear" w:color="auto" w:fill="E9F0F3"/>
          </w:tcPr>
          <w:p>
            <w:pPr>
              <w:spacing w:after="0"/>
              <w:rPr>
                <w:sz w:val="5"/>
                <w:szCs w:val="5"/>
                <w:color w:val="auto"/>
              </w:rPr>
            </w:pPr>
          </w:p>
        </w:tc>
        <w:tc>
          <w:tcPr>
            <w:tcW w:w="78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5100" w:type="dxa"/>
            <w:vAlign w:val="bottom"/>
          </w:tcPr>
          <w:p>
            <w:pPr>
              <w:ind w:left="60"/>
              <w:spacing w:after="0"/>
              <w:rPr>
                <w:sz w:val="20"/>
                <w:szCs w:val="20"/>
                <w:color w:val="auto"/>
              </w:rPr>
            </w:pPr>
            <w:r>
              <w:rPr>
                <w:rFonts w:ascii="Arial" w:cs="Arial" w:eastAsia="Arial" w:hAnsi="Arial"/>
                <w:sz w:val="14"/>
                <w:szCs w:val="14"/>
                <w:color w:val="auto"/>
              </w:rPr>
              <w:t>Europe, the Middle East and Africa (“EMEA”)</w:t>
            </w:r>
          </w:p>
        </w:tc>
        <w:tc>
          <w:tcPr>
            <w:tcW w:w="2080" w:type="dxa"/>
            <w:vAlign w:val="bottom"/>
          </w:tcPr>
          <w:p>
            <w:pPr>
              <w:jc w:val="right"/>
              <w:ind w:right="51"/>
              <w:spacing w:after="0"/>
              <w:rPr>
                <w:sz w:val="20"/>
                <w:szCs w:val="20"/>
                <w:color w:val="auto"/>
              </w:rPr>
            </w:pPr>
            <w:r>
              <w:rPr>
                <w:rFonts w:ascii="Arial" w:cs="Arial" w:eastAsia="Arial" w:hAnsi="Arial"/>
                <w:sz w:val="14"/>
                <w:szCs w:val="14"/>
                <w:color w:val="auto"/>
              </w:rPr>
              <w:t>4,274</w:t>
            </w: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Arial" w:cs="Arial" w:eastAsia="Arial" w:hAnsi="Arial"/>
                <w:sz w:val="14"/>
                <w:szCs w:val="14"/>
                <w:color w:val="auto"/>
              </w:rPr>
              <w:t>(249)</w:t>
            </w:r>
          </w:p>
        </w:tc>
        <w:tc>
          <w:tcPr>
            <w:tcW w:w="780" w:type="dxa"/>
            <w:vAlign w:val="bottom"/>
          </w:tcPr>
          <w:p>
            <w:pPr>
              <w:jc w:val="right"/>
              <w:spacing w:after="0"/>
              <w:rPr>
                <w:sz w:val="20"/>
                <w:szCs w:val="20"/>
                <w:color w:val="auto"/>
              </w:rPr>
            </w:pPr>
            <w:r>
              <w:rPr>
                <w:rFonts w:ascii="Arial" w:cs="Arial" w:eastAsia="Arial" w:hAnsi="Arial"/>
                <w:sz w:val="14"/>
                <w:szCs w:val="14"/>
                <w:color w:val="auto"/>
              </w:rPr>
              <w:t>4,025</w:t>
            </w:r>
          </w:p>
        </w:tc>
        <w:tc>
          <w:tcPr>
            <w:tcW w:w="0" w:type="dxa"/>
            <w:vAlign w:val="bottom"/>
          </w:tcPr>
          <w:p>
            <w:pPr>
              <w:spacing w:after="0"/>
              <w:rPr>
                <w:sz w:val="1"/>
                <w:szCs w:val="1"/>
                <w:color w:val="auto"/>
              </w:rPr>
            </w:pPr>
          </w:p>
        </w:tc>
      </w:tr>
      <w:tr>
        <w:trPr>
          <w:trHeight w:val="74"/>
        </w:trPr>
        <w:tc>
          <w:tcPr>
            <w:tcW w:w="510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E9F0F3"/>
          </w:tcPr>
          <w:p>
            <w:pPr>
              <w:ind w:left="60"/>
              <w:spacing w:after="0"/>
              <w:rPr>
                <w:sz w:val="20"/>
                <w:szCs w:val="20"/>
                <w:color w:val="auto"/>
              </w:rPr>
            </w:pPr>
            <w:r>
              <w:rPr>
                <w:rFonts w:ascii="Arial" w:cs="Arial" w:eastAsia="Arial" w:hAnsi="Arial"/>
                <w:sz w:val="14"/>
                <w:szCs w:val="14"/>
                <w:color w:val="auto"/>
              </w:rPr>
              <w:t>Americas</w:t>
            </w:r>
          </w:p>
        </w:tc>
        <w:tc>
          <w:tcPr>
            <w:tcW w:w="2080" w:type="dxa"/>
            <w:vAlign w:val="bottom"/>
            <w:shd w:val="clear" w:color="auto" w:fill="E9F0F3"/>
          </w:tcPr>
          <w:p>
            <w:pPr>
              <w:jc w:val="right"/>
              <w:ind w:right="51"/>
              <w:spacing w:after="0"/>
              <w:rPr>
                <w:sz w:val="20"/>
                <w:szCs w:val="20"/>
                <w:color w:val="auto"/>
              </w:rPr>
            </w:pPr>
            <w:r>
              <w:rPr>
                <w:rFonts w:ascii="Arial" w:cs="Arial" w:eastAsia="Arial" w:hAnsi="Arial"/>
                <w:sz w:val="14"/>
                <w:szCs w:val="14"/>
                <w:color w:val="auto"/>
              </w:rPr>
              <w:t>2,740</w:t>
            </w:r>
          </w:p>
        </w:tc>
        <w:tc>
          <w:tcPr>
            <w:tcW w:w="1060" w:type="dxa"/>
            <w:vAlign w:val="bottom"/>
            <w:shd w:val="clear" w:color="auto" w:fill="E9F0F3"/>
          </w:tcPr>
          <w:p>
            <w:pPr>
              <w:spacing w:after="0"/>
              <w:rPr>
                <w:sz w:val="19"/>
                <w:szCs w:val="19"/>
                <w:color w:val="auto"/>
              </w:rPr>
            </w:pPr>
          </w:p>
        </w:tc>
        <w:tc>
          <w:tcPr>
            <w:tcW w:w="880" w:type="dxa"/>
            <w:vAlign w:val="bottom"/>
            <w:shd w:val="clear" w:color="auto" w:fill="E9F0F3"/>
          </w:tcPr>
          <w:p>
            <w:pPr>
              <w:spacing w:after="0"/>
              <w:rPr>
                <w:sz w:val="19"/>
                <w:szCs w:val="19"/>
                <w:color w:val="auto"/>
              </w:rPr>
            </w:pPr>
          </w:p>
        </w:tc>
        <w:tc>
          <w:tcPr>
            <w:tcW w:w="1040" w:type="dxa"/>
            <w:vAlign w:val="bottom"/>
            <w:shd w:val="clear" w:color="auto" w:fill="E9F0F3"/>
          </w:tcPr>
          <w:p>
            <w:pPr>
              <w:jc w:val="right"/>
              <w:ind w:right="115"/>
              <w:spacing w:after="0"/>
              <w:rPr>
                <w:sz w:val="20"/>
                <w:szCs w:val="20"/>
                <w:color w:val="auto"/>
              </w:rPr>
            </w:pPr>
            <w:r>
              <w:rPr>
                <w:rFonts w:ascii="Arial" w:cs="Arial" w:eastAsia="Arial" w:hAnsi="Arial"/>
                <w:sz w:val="14"/>
                <w:szCs w:val="14"/>
                <w:color w:val="auto"/>
              </w:rPr>
              <w:t>3</w:t>
            </w:r>
          </w:p>
        </w:tc>
        <w:tc>
          <w:tcPr>
            <w:tcW w:w="7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2,743</w:t>
            </w:r>
          </w:p>
        </w:tc>
        <w:tc>
          <w:tcPr>
            <w:tcW w:w="0" w:type="dxa"/>
            <w:vAlign w:val="bottom"/>
          </w:tcPr>
          <w:p>
            <w:pPr>
              <w:spacing w:after="0"/>
              <w:rPr>
                <w:sz w:val="1"/>
                <w:szCs w:val="1"/>
                <w:color w:val="auto"/>
              </w:rPr>
            </w:pPr>
          </w:p>
        </w:tc>
      </w:tr>
      <w:tr>
        <w:trPr>
          <w:trHeight w:val="74"/>
        </w:trPr>
        <w:tc>
          <w:tcPr>
            <w:tcW w:w="5100" w:type="dxa"/>
            <w:vAlign w:val="bottom"/>
            <w:shd w:val="clear" w:color="auto" w:fill="E9F0F3"/>
          </w:tcPr>
          <w:p>
            <w:pPr>
              <w:spacing w:after="0"/>
              <w:rPr>
                <w:sz w:val="6"/>
                <w:szCs w:val="6"/>
                <w:color w:val="auto"/>
              </w:rPr>
            </w:pPr>
          </w:p>
        </w:tc>
        <w:tc>
          <w:tcPr>
            <w:tcW w:w="2080" w:type="dxa"/>
            <w:vAlign w:val="bottom"/>
            <w:shd w:val="clear" w:color="auto" w:fill="E9F0F3"/>
          </w:tcPr>
          <w:p>
            <w:pPr>
              <w:spacing w:after="0"/>
              <w:rPr>
                <w:sz w:val="6"/>
                <w:szCs w:val="6"/>
                <w:color w:val="auto"/>
              </w:rPr>
            </w:pPr>
          </w:p>
        </w:tc>
        <w:tc>
          <w:tcPr>
            <w:tcW w:w="1060" w:type="dxa"/>
            <w:vAlign w:val="bottom"/>
            <w:shd w:val="clear" w:color="auto" w:fill="E9F0F3"/>
          </w:tcPr>
          <w:p>
            <w:pPr>
              <w:spacing w:after="0"/>
              <w:rPr>
                <w:sz w:val="6"/>
                <w:szCs w:val="6"/>
                <w:color w:val="auto"/>
              </w:rPr>
            </w:pPr>
          </w:p>
        </w:tc>
        <w:tc>
          <w:tcPr>
            <w:tcW w:w="880" w:type="dxa"/>
            <w:vAlign w:val="bottom"/>
            <w:shd w:val="clear" w:color="auto" w:fill="E9F0F3"/>
          </w:tcPr>
          <w:p>
            <w:pPr>
              <w:spacing w:after="0"/>
              <w:rPr>
                <w:sz w:val="6"/>
                <w:szCs w:val="6"/>
                <w:color w:val="auto"/>
              </w:rPr>
            </w:pPr>
          </w:p>
        </w:tc>
        <w:tc>
          <w:tcPr>
            <w:tcW w:w="1040" w:type="dxa"/>
            <w:vAlign w:val="bottom"/>
            <w:shd w:val="clear" w:color="auto" w:fill="E9F0F3"/>
          </w:tcPr>
          <w:p>
            <w:pPr>
              <w:spacing w:after="0"/>
              <w:rPr>
                <w:sz w:val="6"/>
                <w:szCs w:val="6"/>
                <w:color w:val="auto"/>
              </w:rPr>
            </w:pPr>
          </w:p>
        </w:tc>
        <w:tc>
          <w:tcPr>
            <w:tcW w:w="78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100" w:type="dxa"/>
            <w:vAlign w:val="bottom"/>
          </w:tcPr>
          <w:p>
            <w:pPr>
              <w:ind w:left="60"/>
              <w:spacing w:after="0"/>
              <w:rPr>
                <w:sz w:val="20"/>
                <w:szCs w:val="20"/>
                <w:color w:val="auto"/>
              </w:rPr>
            </w:pPr>
            <w:r>
              <w:rPr>
                <w:rFonts w:ascii="Arial" w:cs="Arial" w:eastAsia="Arial" w:hAnsi="Arial"/>
                <w:sz w:val="14"/>
                <w:szCs w:val="14"/>
                <w:color w:val="auto"/>
              </w:rPr>
              <w:t>Asia-Pacific (“APAC”)</w:t>
            </w:r>
          </w:p>
        </w:tc>
        <w:tc>
          <w:tcPr>
            <w:tcW w:w="2080" w:type="dxa"/>
            <w:vAlign w:val="bottom"/>
          </w:tcPr>
          <w:p>
            <w:pPr>
              <w:jc w:val="right"/>
              <w:ind w:right="51"/>
              <w:spacing w:after="0"/>
              <w:rPr>
                <w:sz w:val="20"/>
                <w:szCs w:val="20"/>
                <w:color w:val="auto"/>
              </w:rPr>
            </w:pPr>
            <w:r>
              <w:rPr>
                <w:rFonts w:ascii="Arial" w:cs="Arial" w:eastAsia="Arial" w:hAnsi="Arial"/>
                <w:sz w:val="14"/>
                <w:szCs w:val="14"/>
                <w:color w:val="auto"/>
              </w:rPr>
              <w:t>1,516</w:t>
            </w: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Arial" w:cs="Arial" w:eastAsia="Arial" w:hAnsi="Arial"/>
                <w:sz w:val="14"/>
                <w:szCs w:val="14"/>
                <w:color w:val="auto"/>
              </w:rPr>
              <w:t>(6)</w:t>
            </w:r>
          </w:p>
        </w:tc>
        <w:tc>
          <w:tcPr>
            <w:tcW w:w="780" w:type="dxa"/>
            <w:vAlign w:val="bottom"/>
          </w:tcPr>
          <w:p>
            <w:pPr>
              <w:jc w:val="right"/>
              <w:spacing w:after="0"/>
              <w:rPr>
                <w:sz w:val="20"/>
                <w:szCs w:val="20"/>
                <w:color w:val="auto"/>
              </w:rPr>
            </w:pPr>
            <w:r>
              <w:rPr>
                <w:rFonts w:ascii="Arial" w:cs="Arial" w:eastAsia="Arial" w:hAnsi="Arial"/>
                <w:sz w:val="14"/>
                <w:szCs w:val="14"/>
                <w:color w:val="auto"/>
              </w:rPr>
              <w:t>1,510</w:t>
            </w:r>
          </w:p>
        </w:tc>
        <w:tc>
          <w:tcPr>
            <w:tcW w:w="0" w:type="dxa"/>
            <w:vAlign w:val="bottom"/>
          </w:tcPr>
          <w:p>
            <w:pPr>
              <w:spacing w:after="0"/>
              <w:rPr>
                <w:sz w:val="1"/>
                <w:szCs w:val="1"/>
                <w:color w:val="auto"/>
              </w:rPr>
            </w:pPr>
          </w:p>
        </w:tc>
      </w:tr>
      <w:tr>
        <w:trPr>
          <w:trHeight w:val="74"/>
        </w:trPr>
        <w:tc>
          <w:tcPr>
            <w:tcW w:w="510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E9F0F3"/>
          </w:tcPr>
          <w:p>
            <w:pPr>
              <w:ind w:left="60"/>
              <w:spacing w:after="0"/>
              <w:rPr>
                <w:sz w:val="20"/>
                <w:szCs w:val="20"/>
                <w:color w:val="auto"/>
              </w:rPr>
            </w:pPr>
            <w:r>
              <w:rPr>
                <w:rFonts w:ascii="Arial" w:cs="Arial" w:eastAsia="Arial" w:hAnsi="Arial"/>
                <w:sz w:val="14"/>
                <w:szCs w:val="14"/>
                <w:color w:val="auto"/>
              </w:rPr>
              <w:t>Licensing</w:t>
            </w:r>
          </w:p>
        </w:tc>
        <w:tc>
          <w:tcPr>
            <w:tcW w:w="2080" w:type="dxa"/>
            <w:vAlign w:val="bottom"/>
            <w:shd w:val="clear" w:color="auto" w:fill="E9F0F3"/>
          </w:tcPr>
          <w:p>
            <w:pPr>
              <w:jc w:val="right"/>
              <w:ind w:right="51"/>
              <w:spacing w:after="0"/>
              <w:rPr>
                <w:sz w:val="20"/>
                <w:szCs w:val="20"/>
                <w:color w:val="auto"/>
              </w:rPr>
            </w:pPr>
            <w:r>
              <w:rPr>
                <w:rFonts w:ascii="Arial" w:cs="Arial" w:eastAsia="Arial" w:hAnsi="Arial"/>
                <w:sz w:val="14"/>
                <w:szCs w:val="14"/>
                <w:color w:val="auto"/>
              </w:rPr>
              <w:t>421</w:t>
            </w:r>
          </w:p>
        </w:tc>
        <w:tc>
          <w:tcPr>
            <w:tcW w:w="1060" w:type="dxa"/>
            <w:vAlign w:val="bottom"/>
            <w:shd w:val="clear" w:color="auto" w:fill="E9F0F3"/>
          </w:tcPr>
          <w:p>
            <w:pPr>
              <w:spacing w:after="0"/>
              <w:rPr>
                <w:sz w:val="19"/>
                <w:szCs w:val="19"/>
                <w:color w:val="auto"/>
              </w:rPr>
            </w:pPr>
          </w:p>
        </w:tc>
        <w:tc>
          <w:tcPr>
            <w:tcW w:w="880" w:type="dxa"/>
            <w:vAlign w:val="bottom"/>
            <w:shd w:val="clear" w:color="auto" w:fill="E9F0F3"/>
          </w:tcPr>
          <w:p>
            <w:pPr>
              <w:spacing w:after="0"/>
              <w:rPr>
                <w:sz w:val="19"/>
                <w:szCs w:val="19"/>
                <w:color w:val="auto"/>
              </w:rPr>
            </w:pPr>
          </w:p>
        </w:tc>
        <w:tc>
          <w:tcPr>
            <w:tcW w:w="1040" w:type="dxa"/>
            <w:vAlign w:val="bottom"/>
            <w:shd w:val="clear" w:color="auto" w:fill="E9F0F3"/>
          </w:tcPr>
          <w:p>
            <w:pPr>
              <w:spacing w:after="0"/>
              <w:rPr>
                <w:sz w:val="19"/>
                <w:szCs w:val="19"/>
                <w:color w:val="auto"/>
              </w:rPr>
            </w:pPr>
          </w:p>
        </w:tc>
        <w:tc>
          <w:tcPr>
            <w:tcW w:w="780" w:type="dxa"/>
            <w:vAlign w:val="bottom"/>
            <w:shd w:val="clear" w:color="auto" w:fill="E9F0F3"/>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5100" w:type="dxa"/>
            <w:vAlign w:val="bottom"/>
            <w:shd w:val="clear" w:color="auto" w:fill="E9F0F3"/>
          </w:tcPr>
          <w:p>
            <w:pPr>
              <w:spacing w:after="0"/>
              <w:rPr>
                <w:sz w:val="6"/>
                <w:szCs w:val="6"/>
                <w:color w:val="auto"/>
              </w:rPr>
            </w:pPr>
          </w:p>
        </w:tc>
        <w:tc>
          <w:tcPr>
            <w:tcW w:w="2080" w:type="dxa"/>
            <w:vAlign w:val="bottom"/>
            <w:shd w:val="clear" w:color="auto" w:fill="E9F0F3"/>
          </w:tcPr>
          <w:p>
            <w:pPr>
              <w:spacing w:after="0"/>
              <w:rPr>
                <w:sz w:val="6"/>
                <w:szCs w:val="6"/>
                <w:color w:val="auto"/>
              </w:rPr>
            </w:pPr>
          </w:p>
        </w:tc>
        <w:tc>
          <w:tcPr>
            <w:tcW w:w="1060" w:type="dxa"/>
            <w:vAlign w:val="bottom"/>
            <w:shd w:val="clear" w:color="auto" w:fill="E9F0F3"/>
          </w:tcPr>
          <w:p>
            <w:pPr>
              <w:spacing w:after="0"/>
              <w:rPr>
                <w:sz w:val="6"/>
                <w:szCs w:val="6"/>
                <w:color w:val="auto"/>
              </w:rPr>
            </w:pPr>
          </w:p>
        </w:tc>
        <w:tc>
          <w:tcPr>
            <w:tcW w:w="880" w:type="dxa"/>
            <w:vAlign w:val="bottom"/>
            <w:shd w:val="clear" w:color="auto" w:fill="E9F0F3"/>
          </w:tcPr>
          <w:p>
            <w:pPr>
              <w:spacing w:after="0"/>
              <w:rPr>
                <w:sz w:val="6"/>
                <w:szCs w:val="6"/>
                <w:color w:val="auto"/>
              </w:rPr>
            </w:pPr>
          </w:p>
        </w:tc>
        <w:tc>
          <w:tcPr>
            <w:tcW w:w="1040" w:type="dxa"/>
            <w:vAlign w:val="bottom"/>
            <w:shd w:val="clear" w:color="auto" w:fill="E9F0F3"/>
          </w:tcPr>
          <w:p>
            <w:pPr>
              <w:spacing w:after="0"/>
              <w:rPr>
                <w:sz w:val="6"/>
                <w:szCs w:val="6"/>
                <w:color w:val="auto"/>
              </w:rPr>
            </w:pPr>
          </w:p>
        </w:tc>
        <w:tc>
          <w:tcPr>
            <w:tcW w:w="78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5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E9F0F3"/>
          </w:tcPr>
          <w:p>
            <w:pPr>
              <w:ind w:left="60"/>
              <w:spacing w:after="0"/>
              <w:rPr>
                <w:sz w:val="20"/>
                <w:szCs w:val="20"/>
                <w:color w:val="auto"/>
              </w:rPr>
            </w:pPr>
            <w:r>
              <w:rPr>
                <w:rFonts w:ascii="Arial" w:cs="Arial" w:eastAsia="Arial" w:hAnsi="Arial"/>
                <w:sz w:val="14"/>
                <w:szCs w:val="14"/>
                <w:color w:val="auto"/>
              </w:rPr>
              <w:t>Tommy Hilfiger</w:t>
            </w:r>
          </w:p>
        </w:tc>
        <w:tc>
          <w:tcPr>
            <w:tcW w:w="2080" w:type="dxa"/>
            <w:vAlign w:val="bottom"/>
            <w:shd w:val="clear" w:color="auto" w:fill="E9F0F3"/>
          </w:tcPr>
          <w:p>
            <w:pPr>
              <w:jc w:val="right"/>
              <w:ind w:right="51"/>
              <w:spacing w:after="0"/>
              <w:rPr>
                <w:sz w:val="20"/>
                <w:szCs w:val="20"/>
                <w:color w:val="auto"/>
              </w:rPr>
            </w:pPr>
            <w:r>
              <w:rPr>
                <w:rFonts w:ascii="Arial" w:cs="Arial" w:eastAsia="Arial" w:hAnsi="Arial"/>
                <w:sz w:val="14"/>
                <w:szCs w:val="14"/>
                <w:color w:val="auto"/>
              </w:rPr>
              <w:t>4,771</w:t>
            </w:r>
          </w:p>
        </w:tc>
        <w:tc>
          <w:tcPr>
            <w:tcW w:w="1060" w:type="dxa"/>
            <w:vAlign w:val="bottom"/>
            <w:shd w:val="clear" w:color="auto" w:fill="E9F0F3"/>
          </w:tcPr>
          <w:p>
            <w:pPr>
              <w:spacing w:after="0"/>
              <w:rPr>
                <w:sz w:val="19"/>
                <w:szCs w:val="19"/>
                <w:color w:val="auto"/>
              </w:rPr>
            </w:pPr>
          </w:p>
        </w:tc>
        <w:tc>
          <w:tcPr>
            <w:tcW w:w="880" w:type="dxa"/>
            <w:vAlign w:val="bottom"/>
            <w:shd w:val="clear" w:color="auto" w:fill="E9F0F3"/>
          </w:tcPr>
          <w:p>
            <w:pPr>
              <w:spacing w:after="0"/>
              <w:rPr>
                <w:sz w:val="19"/>
                <w:szCs w:val="19"/>
                <w:color w:val="auto"/>
              </w:rPr>
            </w:pPr>
          </w:p>
        </w:tc>
        <w:tc>
          <w:tcPr>
            <w:tcW w:w="1040" w:type="dxa"/>
            <w:vAlign w:val="bottom"/>
            <w:shd w:val="clear" w:color="auto" w:fill="E9F0F3"/>
          </w:tcPr>
          <w:p>
            <w:pPr>
              <w:jc w:val="right"/>
              <w:ind w:right="115"/>
              <w:spacing w:after="0"/>
              <w:rPr>
                <w:sz w:val="20"/>
                <w:szCs w:val="20"/>
                <w:color w:val="auto"/>
              </w:rPr>
            </w:pPr>
            <w:r>
              <w:rPr>
                <w:rFonts w:ascii="Arial" w:cs="Arial" w:eastAsia="Arial" w:hAnsi="Arial"/>
                <w:sz w:val="14"/>
                <w:szCs w:val="14"/>
                <w:color w:val="auto"/>
              </w:rPr>
              <w:t>(159)</w:t>
            </w:r>
          </w:p>
        </w:tc>
        <w:tc>
          <w:tcPr>
            <w:tcW w:w="7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4,612</w:t>
            </w:r>
          </w:p>
        </w:tc>
        <w:tc>
          <w:tcPr>
            <w:tcW w:w="0" w:type="dxa"/>
            <w:vAlign w:val="bottom"/>
          </w:tcPr>
          <w:p>
            <w:pPr>
              <w:spacing w:after="0"/>
              <w:rPr>
                <w:sz w:val="1"/>
                <w:szCs w:val="1"/>
                <w:color w:val="auto"/>
              </w:rPr>
            </w:pPr>
          </w:p>
        </w:tc>
      </w:tr>
      <w:tr>
        <w:trPr>
          <w:trHeight w:val="74"/>
        </w:trPr>
        <w:tc>
          <w:tcPr>
            <w:tcW w:w="5100" w:type="dxa"/>
            <w:vAlign w:val="bottom"/>
            <w:shd w:val="clear" w:color="auto" w:fill="E9F0F3"/>
          </w:tcPr>
          <w:p>
            <w:pPr>
              <w:spacing w:after="0"/>
              <w:rPr>
                <w:sz w:val="6"/>
                <w:szCs w:val="6"/>
                <w:color w:val="auto"/>
              </w:rPr>
            </w:pPr>
          </w:p>
        </w:tc>
        <w:tc>
          <w:tcPr>
            <w:tcW w:w="2080" w:type="dxa"/>
            <w:vAlign w:val="bottom"/>
            <w:shd w:val="clear" w:color="auto" w:fill="E9F0F3"/>
          </w:tcPr>
          <w:p>
            <w:pPr>
              <w:spacing w:after="0"/>
              <w:rPr>
                <w:sz w:val="6"/>
                <w:szCs w:val="6"/>
                <w:color w:val="auto"/>
              </w:rPr>
            </w:pPr>
          </w:p>
        </w:tc>
        <w:tc>
          <w:tcPr>
            <w:tcW w:w="1060" w:type="dxa"/>
            <w:vAlign w:val="bottom"/>
            <w:shd w:val="clear" w:color="auto" w:fill="E9F0F3"/>
          </w:tcPr>
          <w:p>
            <w:pPr>
              <w:spacing w:after="0"/>
              <w:rPr>
                <w:sz w:val="6"/>
                <w:szCs w:val="6"/>
                <w:color w:val="auto"/>
              </w:rPr>
            </w:pPr>
          </w:p>
        </w:tc>
        <w:tc>
          <w:tcPr>
            <w:tcW w:w="880" w:type="dxa"/>
            <w:vAlign w:val="bottom"/>
            <w:shd w:val="clear" w:color="auto" w:fill="E9F0F3"/>
          </w:tcPr>
          <w:p>
            <w:pPr>
              <w:spacing w:after="0"/>
              <w:rPr>
                <w:sz w:val="6"/>
                <w:szCs w:val="6"/>
                <w:color w:val="auto"/>
              </w:rPr>
            </w:pPr>
          </w:p>
        </w:tc>
        <w:tc>
          <w:tcPr>
            <w:tcW w:w="1040" w:type="dxa"/>
            <w:vAlign w:val="bottom"/>
            <w:shd w:val="clear" w:color="auto" w:fill="E9F0F3"/>
          </w:tcPr>
          <w:p>
            <w:pPr>
              <w:spacing w:after="0"/>
              <w:rPr>
                <w:sz w:val="6"/>
                <w:szCs w:val="6"/>
                <w:color w:val="auto"/>
              </w:rPr>
            </w:pPr>
          </w:p>
        </w:tc>
        <w:tc>
          <w:tcPr>
            <w:tcW w:w="78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100" w:type="dxa"/>
            <w:vAlign w:val="bottom"/>
          </w:tcPr>
          <w:p>
            <w:pPr>
              <w:ind w:left="60"/>
              <w:spacing w:after="0"/>
              <w:rPr>
                <w:sz w:val="20"/>
                <w:szCs w:val="20"/>
                <w:color w:val="auto"/>
              </w:rPr>
            </w:pPr>
            <w:r>
              <w:rPr>
                <w:rFonts w:ascii="Arial" w:cs="Arial" w:eastAsia="Arial" w:hAnsi="Arial"/>
                <w:sz w:val="14"/>
                <w:szCs w:val="14"/>
                <w:color w:val="auto"/>
              </w:rPr>
              <w:t>Calvin Klein</w:t>
            </w:r>
          </w:p>
        </w:tc>
        <w:tc>
          <w:tcPr>
            <w:tcW w:w="2080" w:type="dxa"/>
            <w:vAlign w:val="bottom"/>
          </w:tcPr>
          <w:p>
            <w:pPr>
              <w:jc w:val="right"/>
              <w:ind w:right="51"/>
              <w:spacing w:after="0"/>
              <w:rPr>
                <w:sz w:val="20"/>
                <w:szCs w:val="20"/>
                <w:color w:val="auto"/>
              </w:rPr>
            </w:pPr>
            <w:r>
              <w:rPr>
                <w:rFonts w:ascii="Arial" w:cs="Arial" w:eastAsia="Arial" w:hAnsi="Arial"/>
                <w:sz w:val="14"/>
                <w:szCs w:val="14"/>
                <w:color w:val="auto"/>
              </w:rPr>
              <w:t>3,964</w:t>
            </w: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40" w:type="dxa"/>
            <w:vAlign w:val="bottom"/>
          </w:tcPr>
          <w:p>
            <w:pPr>
              <w:jc w:val="right"/>
              <w:ind w:right="115"/>
              <w:spacing w:after="0"/>
              <w:rPr>
                <w:sz w:val="20"/>
                <w:szCs w:val="20"/>
                <w:color w:val="auto"/>
              </w:rPr>
            </w:pPr>
            <w:r>
              <w:rPr>
                <w:rFonts w:ascii="Arial" w:cs="Arial" w:eastAsia="Arial" w:hAnsi="Arial"/>
                <w:sz w:val="14"/>
                <w:szCs w:val="14"/>
                <w:color w:val="auto"/>
              </w:rPr>
              <w:t>(90)</w:t>
            </w:r>
          </w:p>
        </w:tc>
        <w:tc>
          <w:tcPr>
            <w:tcW w:w="780" w:type="dxa"/>
            <w:vAlign w:val="bottom"/>
          </w:tcPr>
          <w:p>
            <w:pPr>
              <w:jc w:val="right"/>
              <w:spacing w:after="0"/>
              <w:rPr>
                <w:sz w:val="20"/>
                <w:szCs w:val="20"/>
                <w:color w:val="auto"/>
              </w:rPr>
            </w:pPr>
            <w:r>
              <w:rPr>
                <w:rFonts w:ascii="Arial" w:cs="Arial" w:eastAsia="Arial" w:hAnsi="Arial"/>
                <w:sz w:val="14"/>
                <w:szCs w:val="14"/>
                <w:color w:val="auto"/>
              </w:rPr>
              <w:t>3,875</w:t>
            </w:r>
          </w:p>
        </w:tc>
        <w:tc>
          <w:tcPr>
            <w:tcW w:w="0" w:type="dxa"/>
            <w:vAlign w:val="bottom"/>
          </w:tcPr>
          <w:p>
            <w:pPr>
              <w:spacing w:after="0"/>
              <w:rPr>
                <w:sz w:val="1"/>
                <w:szCs w:val="1"/>
                <w:color w:val="auto"/>
              </w:rPr>
            </w:pPr>
          </w:p>
        </w:tc>
      </w:tr>
      <w:tr>
        <w:trPr>
          <w:trHeight w:val="74"/>
        </w:trPr>
        <w:tc>
          <w:tcPr>
            <w:tcW w:w="510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Earnings Before Interest and Taxes (“EBIT”)</w:t>
            </w:r>
          </w:p>
        </w:tc>
        <w:tc>
          <w:tcPr>
            <w:tcW w:w="2080" w:type="dxa"/>
            <w:vAlign w:val="bottom"/>
            <w:shd w:val="clear" w:color="auto" w:fill="E9F0F3"/>
          </w:tcPr>
          <w:p>
            <w:pPr>
              <w:jc w:val="right"/>
              <w:ind w:right="51"/>
              <w:spacing w:after="0"/>
              <w:rPr>
                <w:sz w:val="20"/>
                <w:szCs w:val="20"/>
                <w:color w:val="auto"/>
              </w:rPr>
            </w:pPr>
            <w:r>
              <w:rPr>
                <w:rFonts w:ascii="Arial" w:cs="Arial" w:eastAsia="Arial" w:hAnsi="Arial"/>
                <w:sz w:val="14"/>
                <w:szCs w:val="14"/>
                <w:color w:val="auto"/>
              </w:rPr>
              <w:t>$231</w:t>
            </w:r>
          </w:p>
        </w:tc>
        <w:tc>
          <w:tcPr>
            <w:tcW w:w="1060" w:type="dxa"/>
            <w:vAlign w:val="bottom"/>
            <w:shd w:val="clear" w:color="auto" w:fill="E9F0F3"/>
          </w:tcPr>
          <w:p>
            <w:pPr>
              <w:jc w:val="right"/>
              <w:ind w:right="135"/>
              <w:spacing w:after="0"/>
              <w:rPr>
                <w:sz w:val="20"/>
                <w:szCs w:val="20"/>
                <w:color w:val="auto"/>
              </w:rPr>
            </w:pPr>
            <w:r>
              <w:rPr>
                <w:rFonts w:ascii="Arial" w:cs="Arial" w:eastAsia="Arial" w:hAnsi="Arial"/>
                <w:sz w:val="14"/>
                <w:szCs w:val="14"/>
                <w:color w:val="auto"/>
              </w:rPr>
              <w:t>$(560)</w:t>
            </w:r>
          </w:p>
        </w:tc>
        <w:tc>
          <w:tcPr>
            <w:tcW w:w="880" w:type="dxa"/>
            <w:vAlign w:val="bottom"/>
            <w:shd w:val="clear" w:color="auto" w:fill="E9F0F3"/>
          </w:tcPr>
          <w:p>
            <w:pPr>
              <w:jc w:val="right"/>
              <w:ind w:right="51"/>
              <w:spacing w:after="0"/>
              <w:rPr>
                <w:sz w:val="20"/>
                <w:szCs w:val="20"/>
                <w:color w:val="auto"/>
              </w:rPr>
            </w:pPr>
            <w:r>
              <w:rPr>
                <w:rFonts w:ascii="Arial" w:cs="Arial" w:eastAsia="Arial" w:hAnsi="Arial"/>
                <w:sz w:val="14"/>
                <w:szCs w:val="14"/>
                <w:color w:val="auto"/>
              </w:rPr>
              <w:t>$791</w:t>
            </w:r>
          </w:p>
        </w:tc>
        <w:tc>
          <w:tcPr>
            <w:tcW w:w="1040" w:type="dxa"/>
            <w:vAlign w:val="bottom"/>
            <w:shd w:val="clear" w:color="auto" w:fill="E9F0F3"/>
          </w:tcPr>
          <w:p>
            <w:pPr>
              <w:spacing w:after="0"/>
              <w:rPr>
                <w:sz w:val="19"/>
                <w:szCs w:val="19"/>
                <w:color w:val="auto"/>
              </w:rPr>
            </w:pPr>
          </w:p>
        </w:tc>
        <w:tc>
          <w:tcPr>
            <w:tcW w:w="780" w:type="dxa"/>
            <w:vAlign w:val="bottom"/>
            <w:shd w:val="clear" w:color="auto" w:fill="E9F0F3"/>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5100" w:type="dxa"/>
            <w:vAlign w:val="bottom"/>
            <w:shd w:val="clear" w:color="auto" w:fill="E9F0F3"/>
          </w:tcPr>
          <w:p>
            <w:pPr>
              <w:spacing w:after="0"/>
              <w:rPr>
                <w:sz w:val="5"/>
                <w:szCs w:val="5"/>
                <w:color w:val="auto"/>
              </w:rPr>
            </w:pPr>
          </w:p>
        </w:tc>
        <w:tc>
          <w:tcPr>
            <w:tcW w:w="2080" w:type="dxa"/>
            <w:vAlign w:val="bottom"/>
            <w:shd w:val="clear" w:color="auto" w:fill="E9F0F3"/>
          </w:tcPr>
          <w:p>
            <w:pPr>
              <w:spacing w:after="0"/>
              <w:rPr>
                <w:sz w:val="5"/>
                <w:szCs w:val="5"/>
                <w:color w:val="auto"/>
              </w:rPr>
            </w:pPr>
          </w:p>
        </w:tc>
        <w:tc>
          <w:tcPr>
            <w:tcW w:w="1060" w:type="dxa"/>
            <w:vAlign w:val="bottom"/>
            <w:shd w:val="clear" w:color="auto" w:fill="E9F0F3"/>
          </w:tcPr>
          <w:p>
            <w:pPr>
              <w:spacing w:after="0"/>
              <w:rPr>
                <w:sz w:val="5"/>
                <w:szCs w:val="5"/>
                <w:color w:val="auto"/>
              </w:rPr>
            </w:pPr>
          </w:p>
        </w:tc>
        <w:tc>
          <w:tcPr>
            <w:tcW w:w="880" w:type="dxa"/>
            <w:vAlign w:val="bottom"/>
            <w:shd w:val="clear" w:color="auto" w:fill="E9F0F3"/>
          </w:tcPr>
          <w:p>
            <w:pPr>
              <w:spacing w:after="0"/>
              <w:rPr>
                <w:sz w:val="5"/>
                <w:szCs w:val="5"/>
                <w:color w:val="auto"/>
              </w:rPr>
            </w:pPr>
          </w:p>
        </w:tc>
        <w:tc>
          <w:tcPr>
            <w:tcW w:w="1040" w:type="dxa"/>
            <w:vAlign w:val="bottom"/>
            <w:shd w:val="clear" w:color="auto" w:fill="E9F0F3"/>
          </w:tcPr>
          <w:p>
            <w:pPr>
              <w:spacing w:after="0"/>
              <w:rPr>
                <w:sz w:val="5"/>
                <w:szCs w:val="5"/>
                <w:color w:val="auto"/>
              </w:rPr>
            </w:pPr>
          </w:p>
        </w:tc>
        <w:tc>
          <w:tcPr>
            <w:tcW w:w="78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60"/>
              <w:spacing w:after="0"/>
              <w:rPr>
                <w:sz w:val="20"/>
                <w:szCs w:val="20"/>
                <w:color w:val="auto"/>
              </w:rPr>
            </w:pPr>
            <w:r>
              <w:rPr>
                <w:rFonts w:ascii="Arial" w:cs="Arial" w:eastAsia="Arial" w:hAnsi="Arial"/>
                <w:sz w:val="14"/>
                <w:szCs w:val="14"/>
                <w:b w:val="1"/>
                <w:bCs w:val="1"/>
                <w:color w:val="auto"/>
              </w:rPr>
              <w:t>Net Income per Common Share Calculation</w:t>
            </w:r>
          </w:p>
        </w:tc>
        <w:tc>
          <w:tcPr>
            <w:tcW w:w="2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51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E9F0F3"/>
          </w:tcPr>
          <w:p>
            <w:pPr>
              <w:ind w:left="60"/>
              <w:spacing w:after="0"/>
              <w:rPr>
                <w:sz w:val="20"/>
                <w:szCs w:val="20"/>
                <w:color w:val="auto"/>
              </w:rPr>
            </w:pPr>
            <w:r>
              <w:rPr>
                <w:rFonts w:ascii="Arial" w:cs="Arial" w:eastAsia="Arial" w:hAnsi="Arial"/>
                <w:sz w:val="14"/>
                <w:szCs w:val="14"/>
                <w:color w:val="auto"/>
              </w:rPr>
              <w:t>Net Income</w:t>
            </w:r>
          </w:p>
        </w:tc>
        <w:tc>
          <w:tcPr>
            <w:tcW w:w="2080" w:type="dxa"/>
            <w:vAlign w:val="bottom"/>
            <w:shd w:val="clear" w:color="auto" w:fill="E9F0F3"/>
          </w:tcPr>
          <w:p>
            <w:pPr>
              <w:jc w:val="right"/>
              <w:ind w:right="51"/>
              <w:spacing w:after="0"/>
              <w:rPr>
                <w:sz w:val="20"/>
                <w:szCs w:val="20"/>
                <w:color w:val="auto"/>
              </w:rPr>
            </w:pPr>
            <w:r>
              <w:rPr>
                <w:rFonts w:ascii="Arial" w:cs="Arial" w:eastAsia="Arial" w:hAnsi="Arial"/>
                <w:sz w:val="14"/>
                <w:szCs w:val="14"/>
                <w:color w:val="auto"/>
              </w:rPr>
              <w:t>$25</w:t>
            </w:r>
          </w:p>
        </w:tc>
        <w:tc>
          <w:tcPr>
            <w:tcW w:w="1060" w:type="dxa"/>
            <w:vAlign w:val="bottom"/>
            <w:shd w:val="clear" w:color="auto" w:fill="E9F0F3"/>
          </w:tcPr>
          <w:p>
            <w:pPr>
              <w:jc w:val="right"/>
              <w:ind w:right="135"/>
              <w:spacing w:after="0"/>
              <w:rPr>
                <w:sz w:val="20"/>
                <w:szCs w:val="20"/>
                <w:color w:val="auto"/>
              </w:rPr>
            </w:pPr>
            <w:r>
              <w:rPr>
                <w:rFonts w:ascii="Arial" w:cs="Arial" w:eastAsia="Arial" w:hAnsi="Arial"/>
                <w:sz w:val="14"/>
                <w:szCs w:val="14"/>
                <w:color w:val="auto"/>
              </w:rPr>
              <w:t>$(528)</w:t>
            </w:r>
          </w:p>
        </w:tc>
        <w:tc>
          <w:tcPr>
            <w:tcW w:w="880" w:type="dxa"/>
            <w:vAlign w:val="bottom"/>
            <w:shd w:val="clear" w:color="auto" w:fill="E9F0F3"/>
          </w:tcPr>
          <w:p>
            <w:pPr>
              <w:jc w:val="right"/>
              <w:ind w:right="51"/>
              <w:spacing w:after="0"/>
              <w:rPr>
                <w:sz w:val="20"/>
                <w:szCs w:val="20"/>
                <w:color w:val="auto"/>
              </w:rPr>
            </w:pPr>
            <w:r>
              <w:rPr>
                <w:rFonts w:ascii="Arial" w:cs="Arial" w:eastAsia="Arial" w:hAnsi="Arial"/>
                <w:sz w:val="14"/>
                <w:szCs w:val="14"/>
                <w:color w:val="auto"/>
              </w:rPr>
              <w:t>$553</w:t>
            </w:r>
          </w:p>
        </w:tc>
        <w:tc>
          <w:tcPr>
            <w:tcW w:w="1040" w:type="dxa"/>
            <w:vAlign w:val="bottom"/>
            <w:shd w:val="clear" w:color="auto" w:fill="E9F0F3"/>
          </w:tcPr>
          <w:p>
            <w:pPr>
              <w:spacing w:after="0"/>
              <w:rPr>
                <w:sz w:val="19"/>
                <w:szCs w:val="19"/>
                <w:color w:val="auto"/>
              </w:rPr>
            </w:pPr>
          </w:p>
        </w:tc>
        <w:tc>
          <w:tcPr>
            <w:tcW w:w="780" w:type="dxa"/>
            <w:vAlign w:val="bottom"/>
            <w:shd w:val="clear" w:color="auto" w:fill="E9F0F3"/>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5100" w:type="dxa"/>
            <w:vAlign w:val="bottom"/>
            <w:shd w:val="clear" w:color="auto" w:fill="E9F0F3"/>
          </w:tcPr>
          <w:p>
            <w:pPr>
              <w:spacing w:after="0"/>
              <w:rPr>
                <w:sz w:val="6"/>
                <w:szCs w:val="6"/>
                <w:color w:val="auto"/>
              </w:rPr>
            </w:pPr>
          </w:p>
        </w:tc>
        <w:tc>
          <w:tcPr>
            <w:tcW w:w="2080" w:type="dxa"/>
            <w:vAlign w:val="bottom"/>
            <w:shd w:val="clear" w:color="auto" w:fill="E9F0F3"/>
          </w:tcPr>
          <w:p>
            <w:pPr>
              <w:spacing w:after="0"/>
              <w:rPr>
                <w:sz w:val="6"/>
                <w:szCs w:val="6"/>
                <w:color w:val="auto"/>
              </w:rPr>
            </w:pPr>
          </w:p>
        </w:tc>
        <w:tc>
          <w:tcPr>
            <w:tcW w:w="1060" w:type="dxa"/>
            <w:vAlign w:val="bottom"/>
            <w:shd w:val="clear" w:color="auto" w:fill="E9F0F3"/>
          </w:tcPr>
          <w:p>
            <w:pPr>
              <w:spacing w:after="0"/>
              <w:rPr>
                <w:sz w:val="6"/>
                <w:szCs w:val="6"/>
                <w:color w:val="auto"/>
              </w:rPr>
            </w:pPr>
          </w:p>
        </w:tc>
        <w:tc>
          <w:tcPr>
            <w:tcW w:w="880" w:type="dxa"/>
            <w:vAlign w:val="bottom"/>
            <w:shd w:val="clear" w:color="auto" w:fill="E9F0F3"/>
          </w:tcPr>
          <w:p>
            <w:pPr>
              <w:spacing w:after="0"/>
              <w:rPr>
                <w:sz w:val="6"/>
                <w:szCs w:val="6"/>
                <w:color w:val="auto"/>
              </w:rPr>
            </w:pPr>
          </w:p>
        </w:tc>
        <w:tc>
          <w:tcPr>
            <w:tcW w:w="1040" w:type="dxa"/>
            <w:vAlign w:val="bottom"/>
            <w:shd w:val="clear" w:color="auto" w:fill="E9F0F3"/>
          </w:tcPr>
          <w:p>
            <w:pPr>
              <w:spacing w:after="0"/>
              <w:rPr>
                <w:sz w:val="6"/>
                <w:szCs w:val="6"/>
                <w:color w:val="auto"/>
              </w:rPr>
            </w:pPr>
          </w:p>
        </w:tc>
        <w:tc>
          <w:tcPr>
            <w:tcW w:w="78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100" w:type="dxa"/>
            <w:vAlign w:val="bottom"/>
          </w:tcPr>
          <w:p>
            <w:pPr>
              <w:ind w:left="60"/>
              <w:spacing w:after="0"/>
              <w:rPr>
                <w:sz w:val="20"/>
                <w:szCs w:val="20"/>
                <w:color w:val="auto"/>
              </w:rPr>
            </w:pPr>
            <w:r>
              <w:rPr>
                <w:rFonts w:ascii="Arial" w:cs="Arial" w:eastAsia="Arial" w:hAnsi="Arial"/>
                <w:sz w:val="14"/>
                <w:szCs w:val="14"/>
                <w:color w:val="auto"/>
              </w:rPr>
              <w:t>Total Shares for Diluted Net Income per Common Share</w:t>
            </w:r>
          </w:p>
        </w:tc>
        <w:tc>
          <w:tcPr>
            <w:tcW w:w="2080" w:type="dxa"/>
            <w:vAlign w:val="bottom"/>
          </w:tcPr>
          <w:p>
            <w:pPr>
              <w:jc w:val="right"/>
              <w:ind w:right="51"/>
              <w:spacing w:after="0"/>
              <w:rPr>
                <w:sz w:val="20"/>
                <w:szCs w:val="20"/>
                <w:color w:val="auto"/>
              </w:rPr>
            </w:pPr>
            <w:r>
              <w:rPr>
                <w:rFonts w:ascii="Arial" w:cs="Arial" w:eastAsia="Arial" w:hAnsi="Arial"/>
                <w:sz w:val="14"/>
                <w:szCs w:val="14"/>
                <w:color w:val="auto"/>
              </w:rPr>
              <w:t>49</w:t>
            </w:r>
          </w:p>
        </w:tc>
        <w:tc>
          <w:tcPr>
            <w:tcW w:w="106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49</w:t>
            </w: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510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E9F0F3"/>
          </w:tcPr>
          <w:p>
            <w:pPr>
              <w:ind w:left="60"/>
              <w:spacing w:after="0"/>
              <w:rPr>
                <w:sz w:val="20"/>
                <w:szCs w:val="20"/>
                <w:color w:val="auto"/>
              </w:rPr>
            </w:pPr>
            <w:r>
              <w:rPr>
                <w:rFonts w:ascii="Arial" w:cs="Arial" w:eastAsia="Arial" w:hAnsi="Arial"/>
                <w:sz w:val="14"/>
                <w:szCs w:val="14"/>
                <w:color w:val="auto"/>
              </w:rPr>
              <w:t>Diluted Net Income per Common Share (“EPS”)</w:t>
            </w:r>
          </w:p>
        </w:tc>
        <w:tc>
          <w:tcPr>
            <w:tcW w:w="2080" w:type="dxa"/>
            <w:vAlign w:val="bottom"/>
            <w:shd w:val="clear" w:color="auto" w:fill="E9F0F3"/>
          </w:tcPr>
          <w:p>
            <w:pPr>
              <w:jc w:val="right"/>
              <w:ind w:right="51"/>
              <w:spacing w:after="0"/>
              <w:rPr>
                <w:sz w:val="20"/>
                <w:szCs w:val="20"/>
                <w:color w:val="auto"/>
              </w:rPr>
            </w:pPr>
            <w:r>
              <w:rPr>
                <w:rFonts w:ascii="Arial" w:cs="Arial" w:eastAsia="Arial" w:hAnsi="Arial"/>
                <w:sz w:val="14"/>
                <w:szCs w:val="14"/>
                <w:color w:val="auto"/>
              </w:rPr>
              <w:t>$0.52</w:t>
            </w:r>
          </w:p>
        </w:tc>
        <w:tc>
          <w:tcPr>
            <w:tcW w:w="1060" w:type="dxa"/>
            <w:vAlign w:val="bottom"/>
            <w:shd w:val="clear" w:color="auto" w:fill="E9F0F3"/>
          </w:tcPr>
          <w:p>
            <w:pPr>
              <w:spacing w:after="0"/>
              <w:rPr>
                <w:sz w:val="19"/>
                <w:szCs w:val="19"/>
                <w:color w:val="auto"/>
              </w:rPr>
            </w:pPr>
          </w:p>
        </w:tc>
        <w:tc>
          <w:tcPr>
            <w:tcW w:w="880" w:type="dxa"/>
            <w:vAlign w:val="bottom"/>
            <w:shd w:val="clear" w:color="auto" w:fill="E9F0F3"/>
          </w:tcPr>
          <w:p>
            <w:pPr>
              <w:jc w:val="right"/>
              <w:ind w:right="51"/>
              <w:spacing w:after="0"/>
              <w:rPr>
                <w:sz w:val="20"/>
                <w:szCs w:val="20"/>
                <w:color w:val="auto"/>
              </w:rPr>
            </w:pPr>
            <w:r>
              <w:rPr>
                <w:rFonts w:ascii="Arial" w:cs="Arial" w:eastAsia="Arial" w:hAnsi="Arial"/>
                <w:sz w:val="14"/>
                <w:szCs w:val="14"/>
                <w:color w:val="auto"/>
              </w:rPr>
              <w:t>$11.40</w:t>
            </w:r>
          </w:p>
        </w:tc>
        <w:tc>
          <w:tcPr>
            <w:tcW w:w="1040" w:type="dxa"/>
            <w:vAlign w:val="bottom"/>
            <w:shd w:val="clear" w:color="auto" w:fill="E9F0F3"/>
          </w:tcPr>
          <w:p>
            <w:pPr>
              <w:spacing w:after="0"/>
              <w:rPr>
                <w:sz w:val="19"/>
                <w:szCs w:val="19"/>
                <w:color w:val="auto"/>
              </w:rPr>
            </w:pPr>
          </w:p>
        </w:tc>
        <w:tc>
          <w:tcPr>
            <w:tcW w:w="780" w:type="dxa"/>
            <w:vAlign w:val="bottom"/>
            <w:shd w:val="clear" w:color="auto" w:fill="E9F0F3"/>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5100" w:type="dxa"/>
            <w:vAlign w:val="bottom"/>
            <w:shd w:val="clear" w:color="auto" w:fill="E9F0F3"/>
          </w:tcPr>
          <w:p>
            <w:pPr>
              <w:spacing w:after="0"/>
              <w:rPr>
                <w:sz w:val="6"/>
                <w:szCs w:val="6"/>
                <w:color w:val="auto"/>
              </w:rPr>
            </w:pPr>
          </w:p>
        </w:tc>
        <w:tc>
          <w:tcPr>
            <w:tcW w:w="2080" w:type="dxa"/>
            <w:vAlign w:val="bottom"/>
            <w:shd w:val="clear" w:color="auto" w:fill="E9F0F3"/>
          </w:tcPr>
          <w:p>
            <w:pPr>
              <w:spacing w:after="0"/>
              <w:rPr>
                <w:sz w:val="6"/>
                <w:szCs w:val="6"/>
                <w:color w:val="auto"/>
              </w:rPr>
            </w:pPr>
          </w:p>
        </w:tc>
        <w:tc>
          <w:tcPr>
            <w:tcW w:w="1060" w:type="dxa"/>
            <w:vAlign w:val="bottom"/>
            <w:shd w:val="clear" w:color="auto" w:fill="E9F0F3"/>
          </w:tcPr>
          <w:p>
            <w:pPr>
              <w:spacing w:after="0"/>
              <w:rPr>
                <w:sz w:val="6"/>
                <w:szCs w:val="6"/>
                <w:color w:val="auto"/>
              </w:rPr>
            </w:pPr>
          </w:p>
        </w:tc>
        <w:tc>
          <w:tcPr>
            <w:tcW w:w="880" w:type="dxa"/>
            <w:vAlign w:val="bottom"/>
            <w:shd w:val="clear" w:color="auto" w:fill="E9F0F3"/>
          </w:tcPr>
          <w:p>
            <w:pPr>
              <w:spacing w:after="0"/>
              <w:rPr>
                <w:sz w:val="6"/>
                <w:szCs w:val="6"/>
                <w:color w:val="auto"/>
              </w:rPr>
            </w:pPr>
          </w:p>
        </w:tc>
        <w:tc>
          <w:tcPr>
            <w:tcW w:w="1040" w:type="dxa"/>
            <w:vAlign w:val="bottom"/>
            <w:shd w:val="clear" w:color="auto" w:fill="E9F0F3"/>
          </w:tcPr>
          <w:p>
            <w:pPr>
              <w:spacing w:after="0"/>
              <w:rPr>
                <w:sz w:val="6"/>
                <w:szCs w:val="6"/>
                <w:color w:val="auto"/>
              </w:rPr>
            </w:pPr>
          </w:p>
        </w:tc>
        <w:tc>
          <w:tcPr>
            <w:tcW w:w="78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51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5100" w:type="dxa"/>
            <w:vAlign w:val="bottom"/>
            <w:shd w:val="clear" w:color="auto" w:fill="6D98AD"/>
          </w:tcPr>
          <w:p>
            <w:pPr>
              <w:ind w:left="60"/>
              <w:spacing w:after="0"/>
              <w:rPr>
                <w:sz w:val="20"/>
                <w:szCs w:val="20"/>
                <w:color w:val="auto"/>
              </w:rPr>
            </w:pPr>
            <w:r>
              <w:rPr>
                <w:rFonts w:ascii="Arial" w:cs="Arial" w:eastAsia="Arial" w:hAnsi="Arial"/>
                <w:sz w:val="11"/>
                <w:szCs w:val="11"/>
                <w:b w:val="1"/>
                <w:bCs w:val="1"/>
                <w:color w:val="FFFFFF"/>
              </w:rPr>
              <w:t>2024</w:t>
            </w:r>
          </w:p>
        </w:tc>
        <w:tc>
          <w:tcPr>
            <w:tcW w:w="2080" w:type="dxa"/>
            <w:vAlign w:val="bottom"/>
            <w:shd w:val="clear" w:color="auto" w:fill="6D98AD"/>
          </w:tcPr>
          <w:p>
            <w:pPr>
              <w:spacing w:after="0"/>
              <w:rPr>
                <w:sz w:val="21"/>
                <w:szCs w:val="21"/>
                <w:color w:val="auto"/>
              </w:rPr>
            </w:pPr>
          </w:p>
        </w:tc>
        <w:tc>
          <w:tcPr>
            <w:tcW w:w="1060" w:type="dxa"/>
            <w:vAlign w:val="bottom"/>
            <w:shd w:val="clear" w:color="auto" w:fill="6D98AD"/>
          </w:tcPr>
          <w:p>
            <w:pPr>
              <w:spacing w:after="0"/>
              <w:rPr>
                <w:sz w:val="21"/>
                <w:szCs w:val="21"/>
                <w:color w:val="auto"/>
              </w:rPr>
            </w:pPr>
          </w:p>
        </w:tc>
        <w:tc>
          <w:tcPr>
            <w:tcW w:w="880" w:type="dxa"/>
            <w:vAlign w:val="bottom"/>
            <w:shd w:val="clear" w:color="auto" w:fill="6D98AD"/>
          </w:tcPr>
          <w:p>
            <w:pPr>
              <w:spacing w:after="0"/>
              <w:rPr>
                <w:sz w:val="21"/>
                <w:szCs w:val="21"/>
                <w:color w:val="auto"/>
              </w:rPr>
            </w:pPr>
          </w:p>
        </w:tc>
        <w:tc>
          <w:tcPr>
            <w:tcW w:w="1040" w:type="dxa"/>
            <w:vAlign w:val="bottom"/>
            <w:shd w:val="clear" w:color="auto" w:fill="6D98AD"/>
          </w:tcPr>
          <w:p>
            <w:pPr>
              <w:spacing w:after="0"/>
              <w:rPr>
                <w:sz w:val="21"/>
                <w:szCs w:val="21"/>
                <w:color w:val="auto"/>
              </w:rPr>
            </w:pPr>
          </w:p>
        </w:tc>
        <w:tc>
          <w:tcPr>
            <w:tcW w:w="780" w:type="dxa"/>
            <w:vAlign w:val="bottom"/>
            <w:shd w:val="clear" w:color="auto" w:fill="6D98A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100" w:type="dxa"/>
            <w:vAlign w:val="bottom"/>
            <w:shd w:val="clear" w:color="auto" w:fill="99B7C6"/>
          </w:tcPr>
          <w:p>
            <w:pPr>
              <w:spacing w:after="0"/>
              <w:rPr>
                <w:sz w:val="21"/>
                <w:szCs w:val="21"/>
                <w:color w:val="auto"/>
              </w:rPr>
            </w:pPr>
          </w:p>
        </w:tc>
        <w:tc>
          <w:tcPr>
            <w:tcW w:w="2080" w:type="dxa"/>
            <w:vAlign w:val="bottom"/>
            <w:shd w:val="clear" w:color="auto" w:fill="99B7C6"/>
          </w:tcPr>
          <w:p>
            <w:pPr>
              <w:spacing w:after="0"/>
              <w:rPr>
                <w:sz w:val="21"/>
                <w:szCs w:val="21"/>
                <w:color w:val="auto"/>
              </w:rPr>
            </w:pPr>
          </w:p>
        </w:tc>
        <w:tc>
          <w:tcPr>
            <w:tcW w:w="1060" w:type="dxa"/>
            <w:vAlign w:val="bottom"/>
            <w:shd w:val="clear" w:color="auto" w:fill="99B7C6"/>
          </w:tcPr>
          <w:p>
            <w:pPr>
              <w:spacing w:after="0"/>
              <w:rPr>
                <w:sz w:val="21"/>
                <w:szCs w:val="21"/>
                <w:color w:val="auto"/>
              </w:rPr>
            </w:pPr>
          </w:p>
        </w:tc>
        <w:tc>
          <w:tcPr>
            <w:tcW w:w="880" w:type="dxa"/>
            <w:vAlign w:val="bottom"/>
            <w:shd w:val="clear" w:color="auto" w:fill="99B7C6"/>
          </w:tcPr>
          <w:p>
            <w:pPr>
              <w:jc w:val="right"/>
              <w:ind w:right="51"/>
              <w:spacing w:after="0"/>
              <w:rPr>
                <w:sz w:val="20"/>
                <w:szCs w:val="20"/>
                <w:color w:val="auto"/>
              </w:rPr>
            </w:pPr>
            <w:r>
              <w:rPr>
                <w:rFonts w:ascii="Arial" w:cs="Arial" w:eastAsia="Arial" w:hAnsi="Arial"/>
                <w:sz w:val="11"/>
                <w:szCs w:val="11"/>
                <w:b w:val="1"/>
                <w:bCs w:val="1"/>
                <w:color w:val="FFFFFF"/>
              </w:rPr>
              <w:t>GAAP</w:t>
            </w:r>
          </w:p>
        </w:tc>
        <w:tc>
          <w:tcPr>
            <w:tcW w:w="1040" w:type="dxa"/>
            <w:vAlign w:val="bottom"/>
            <w:shd w:val="clear" w:color="auto" w:fill="99B7C6"/>
          </w:tcPr>
          <w:p>
            <w:pPr>
              <w:jc w:val="right"/>
              <w:ind w:right="115"/>
              <w:spacing w:after="0"/>
              <w:rPr>
                <w:sz w:val="20"/>
                <w:szCs w:val="20"/>
                <w:color w:val="auto"/>
              </w:rPr>
            </w:pPr>
            <w:r>
              <w:rPr>
                <w:rFonts w:ascii="Arial" w:cs="Arial" w:eastAsia="Arial" w:hAnsi="Arial"/>
                <w:sz w:val="11"/>
                <w:szCs w:val="11"/>
                <w:b w:val="1"/>
                <w:bCs w:val="1"/>
                <w:color w:val="FFFFFF"/>
              </w:rPr>
              <w:t>Adjustments</w:t>
            </w:r>
            <w:r>
              <w:rPr>
                <w:rFonts w:ascii="Arial" w:cs="Arial" w:eastAsia="Arial" w:hAnsi="Arial"/>
                <w:sz w:val="12"/>
                <w:szCs w:val="12"/>
                <w:b w:val="1"/>
                <w:bCs w:val="1"/>
                <w:color w:val="FFFFFF"/>
                <w:vertAlign w:val="superscript"/>
              </w:rPr>
              <w:t>(2)</w:t>
            </w:r>
          </w:p>
        </w:tc>
        <w:tc>
          <w:tcPr>
            <w:tcW w:w="780" w:type="dxa"/>
            <w:vAlign w:val="bottom"/>
            <w:shd w:val="clear" w:color="auto" w:fill="99B7C6"/>
          </w:tcPr>
          <w:p>
            <w:pPr>
              <w:jc w:val="right"/>
              <w:spacing w:after="0"/>
              <w:rPr>
                <w:sz w:val="20"/>
                <w:szCs w:val="20"/>
                <w:color w:val="auto"/>
              </w:rPr>
            </w:pPr>
            <w:r>
              <w:rPr>
                <w:rFonts w:ascii="Arial" w:cs="Arial" w:eastAsia="Arial" w:hAnsi="Arial"/>
                <w:sz w:val="11"/>
                <w:szCs w:val="11"/>
                <w:b w:val="1"/>
                <w:bCs w:val="1"/>
                <w:color w:val="FFFFFF"/>
              </w:rPr>
              <w:t>Non-GAAP</w:t>
            </w:r>
          </w:p>
        </w:tc>
        <w:tc>
          <w:tcPr>
            <w:tcW w:w="0" w:type="dxa"/>
            <w:vAlign w:val="bottom"/>
          </w:tcPr>
          <w:p>
            <w:pPr>
              <w:spacing w:after="0"/>
              <w:rPr>
                <w:sz w:val="1"/>
                <w:szCs w:val="1"/>
                <w:color w:val="auto"/>
              </w:rPr>
            </w:pPr>
          </w:p>
        </w:tc>
      </w:tr>
      <w:tr>
        <w:trPr>
          <w:trHeight w:val="229"/>
        </w:trPr>
        <w:tc>
          <w:tcPr>
            <w:tcW w:w="51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Revenue – Consolidated</w:t>
            </w:r>
          </w:p>
        </w:tc>
        <w:tc>
          <w:tcPr>
            <w:tcW w:w="2080" w:type="dxa"/>
            <w:vAlign w:val="bottom"/>
            <w:shd w:val="clear" w:color="auto" w:fill="E9F0F3"/>
          </w:tcPr>
          <w:p>
            <w:pPr>
              <w:spacing w:after="0"/>
              <w:rPr>
                <w:sz w:val="19"/>
                <w:szCs w:val="19"/>
                <w:color w:val="auto"/>
              </w:rPr>
            </w:pPr>
          </w:p>
        </w:tc>
        <w:tc>
          <w:tcPr>
            <w:tcW w:w="1060" w:type="dxa"/>
            <w:vAlign w:val="bottom"/>
            <w:shd w:val="clear" w:color="auto" w:fill="E9F0F3"/>
          </w:tcPr>
          <w:p>
            <w:pPr>
              <w:spacing w:after="0"/>
              <w:rPr>
                <w:sz w:val="19"/>
                <w:szCs w:val="19"/>
                <w:color w:val="auto"/>
              </w:rPr>
            </w:pPr>
          </w:p>
        </w:tc>
        <w:tc>
          <w:tcPr>
            <w:tcW w:w="880" w:type="dxa"/>
            <w:vAlign w:val="bottom"/>
            <w:shd w:val="clear" w:color="auto" w:fill="E9F0F3"/>
          </w:tcPr>
          <w:p>
            <w:pPr>
              <w:jc w:val="right"/>
              <w:ind w:right="51"/>
              <w:spacing w:after="0"/>
              <w:rPr>
                <w:sz w:val="20"/>
                <w:szCs w:val="20"/>
                <w:color w:val="auto"/>
              </w:rPr>
            </w:pPr>
            <w:r>
              <w:rPr>
                <w:rFonts w:ascii="Arial" w:cs="Arial" w:eastAsia="Arial" w:hAnsi="Arial"/>
                <w:sz w:val="14"/>
                <w:szCs w:val="14"/>
                <w:color w:val="auto"/>
              </w:rPr>
              <w:t>$8,653</w:t>
            </w:r>
          </w:p>
        </w:tc>
        <w:tc>
          <w:tcPr>
            <w:tcW w:w="1040" w:type="dxa"/>
            <w:vAlign w:val="bottom"/>
            <w:shd w:val="clear" w:color="auto" w:fill="E9F0F3"/>
          </w:tcPr>
          <w:p>
            <w:pPr>
              <w:spacing w:after="0"/>
              <w:rPr>
                <w:sz w:val="19"/>
                <w:szCs w:val="19"/>
                <w:color w:val="auto"/>
              </w:rPr>
            </w:pPr>
          </w:p>
        </w:tc>
        <w:tc>
          <w:tcPr>
            <w:tcW w:w="780" w:type="dxa"/>
            <w:vAlign w:val="bottom"/>
            <w:shd w:val="clear" w:color="auto" w:fill="E9F0F3"/>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5100" w:type="dxa"/>
            <w:vAlign w:val="bottom"/>
            <w:shd w:val="clear" w:color="auto" w:fill="E9F0F3"/>
          </w:tcPr>
          <w:p>
            <w:pPr>
              <w:spacing w:after="0"/>
              <w:rPr>
                <w:sz w:val="5"/>
                <w:szCs w:val="5"/>
                <w:color w:val="auto"/>
              </w:rPr>
            </w:pPr>
          </w:p>
        </w:tc>
        <w:tc>
          <w:tcPr>
            <w:tcW w:w="2080" w:type="dxa"/>
            <w:vAlign w:val="bottom"/>
            <w:shd w:val="clear" w:color="auto" w:fill="E9F0F3"/>
          </w:tcPr>
          <w:p>
            <w:pPr>
              <w:spacing w:after="0"/>
              <w:rPr>
                <w:sz w:val="5"/>
                <w:szCs w:val="5"/>
                <w:color w:val="auto"/>
              </w:rPr>
            </w:pPr>
          </w:p>
        </w:tc>
        <w:tc>
          <w:tcPr>
            <w:tcW w:w="1060" w:type="dxa"/>
            <w:vAlign w:val="bottom"/>
            <w:shd w:val="clear" w:color="auto" w:fill="E9F0F3"/>
          </w:tcPr>
          <w:p>
            <w:pPr>
              <w:spacing w:after="0"/>
              <w:rPr>
                <w:sz w:val="5"/>
                <w:szCs w:val="5"/>
                <w:color w:val="auto"/>
              </w:rPr>
            </w:pPr>
          </w:p>
        </w:tc>
        <w:tc>
          <w:tcPr>
            <w:tcW w:w="880" w:type="dxa"/>
            <w:vAlign w:val="bottom"/>
            <w:shd w:val="clear" w:color="auto" w:fill="E9F0F3"/>
          </w:tcPr>
          <w:p>
            <w:pPr>
              <w:spacing w:after="0"/>
              <w:rPr>
                <w:sz w:val="5"/>
                <w:szCs w:val="5"/>
                <w:color w:val="auto"/>
              </w:rPr>
            </w:pPr>
          </w:p>
        </w:tc>
        <w:tc>
          <w:tcPr>
            <w:tcW w:w="1040" w:type="dxa"/>
            <w:vAlign w:val="bottom"/>
            <w:shd w:val="clear" w:color="auto" w:fill="E9F0F3"/>
          </w:tcPr>
          <w:p>
            <w:pPr>
              <w:spacing w:after="0"/>
              <w:rPr>
                <w:sz w:val="5"/>
                <w:szCs w:val="5"/>
                <w:color w:val="auto"/>
              </w:rPr>
            </w:pPr>
          </w:p>
        </w:tc>
        <w:tc>
          <w:tcPr>
            <w:tcW w:w="78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5100" w:type="dxa"/>
            <w:vAlign w:val="bottom"/>
          </w:tcPr>
          <w:p>
            <w:pPr>
              <w:ind w:left="60"/>
              <w:spacing w:after="0"/>
              <w:rPr>
                <w:sz w:val="20"/>
                <w:szCs w:val="20"/>
                <w:color w:val="auto"/>
              </w:rPr>
            </w:pPr>
            <w:r>
              <w:rPr>
                <w:rFonts w:ascii="Arial" w:cs="Arial" w:eastAsia="Arial" w:hAnsi="Arial"/>
                <w:sz w:val="14"/>
                <w:szCs w:val="14"/>
                <w:color w:val="auto"/>
              </w:rPr>
              <w:t>EMEA</w:t>
            </w:r>
          </w:p>
        </w:tc>
        <w:tc>
          <w:tcPr>
            <w:tcW w:w="2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4,064</w:t>
            </w: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510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E9F0F3"/>
          </w:tcPr>
          <w:p>
            <w:pPr>
              <w:ind w:left="60"/>
              <w:spacing w:after="0"/>
              <w:rPr>
                <w:sz w:val="20"/>
                <w:szCs w:val="20"/>
                <w:color w:val="auto"/>
              </w:rPr>
            </w:pPr>
            <w:r>
              <w:rPr>
                <w:rFonts w:ascii="Arial" w:cs="Arial" w:eastAsia="Arial" w:hAnsi="Arial"/>
                <w:sz w:val="14"/>
                <w:szCs w:val="14"/>
                <w:color w:val="auto"/>
              </w:rPr>
              <w:t>Americas</w:t>
            </w:r>
          </w:p>
        </w:tc>
        <w:tc>
          <w:tcPr>
            <w:tcW w:w="2080" w:type="dxa"/>
            <w:vAlign w:val="bottom"/>
            <w:shd w:val="clear" w:color="auto" w:fill="E9F0F3"/>
          </w:tcPr>
          <w:p>
            <w:pPr>
              <w:spacing w:after="0"/>
              <w:rPr>
                <w:sz w:val="19"/>
                <w:szCs w:val="19"/>
                <w:color w:val="auto"/>
              </w:rPr>
            </w:pPr>
          </w:p>
        </w:tc>
        <w:tc>
          <w:tcPr>
            <w:tcW w:w="1060" w:type="dxa"/>
            <w:vAlign w:val="bottom"/>
            <w:shd w:val="clear" w:color="auto" w:fill="E9F0F3"/>
          </w:tcPr>
          <w:p>
            <w:pPr>
              <w:spacing w:after="0"/>
              <w:rPr>
                <w:sz w:val="19"/>
                <w:szCs w:val="19"/>
                <w:color w:val="auto"/>
              </w:rPr>
            </w:pPr>
          </w:p>
        </w:tc>
        <w:tc>
          <w:tcPr>
            <w:tcW w:w="880" w:type="dxa"/>
            <w:vAlign w:val="bottom"/>
            <w:shd w:val="clear" w:color="auto" w:fill="E9F0F3"/>
          </w:tcPr>
          <w:p>
            <w:pPr>
              <w:jc w:val="right"/>
              <w:ind w:right="51"/>
              <w:spacing w:after="0"/>
              <w:rPr>
                <w:sz w:val="20"/>
                <w:szCs w:val="20"/>
                <w:color w:val="auto"/>
              </w:rPr>
            </w:pPr>
            <w:r>
              <w:rPr>
                <w:rFonts w:ascii="Arial" w:cs="Arial" w:eastAsia="Arial" w:hAnsi="Arial"/>
                <w:sz w:val="14"/>
                <w:szCs w:val="14"/>
                <w:color w:val="auto"/>
              </w:rPr>
              <w:t>2,586</w:t>
            </w:r>
          </w:p>
        </w:tc>
        <w:tc>
          <w:tcPr>
            <w:tcW w:w="1040" w:type="dxa"/>
            <w:vAlign w:val="bottom"/>
            <w:shd w:val="clear" w:color="auto" w:fill="E9F0F3"/>
          </w:tcPr>
          <w:p>
            <w:pPr>
              <w:spacing w:after="0"/>
              <w:rPr>
                <w:sz w:val="19"/>
                <w:szCs w:val="19"/>
                <w:color w:val="auto"/>
              </w:rPr>
            </w:pPr>
          </w:p>
        </w:tc>
        <w:tc>
          <w:tcPr>
            <w:tcW w:w="780" w:type="dxa"/>
            <w:vAlign w:val="bottom"/>
            <w:shd w:val="clear" w:color="auto" w:fill="E9F0F3"/>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5100" w:type="dxa"/>
            <w:vAlign w:val="bottom"/>
            <w:shd w:val="clear" w:color="auto" w:fill="E9F0F3"/>
          </w:tcPr>
          <w:p>
            <w:pPr>
              <w:spacing w:after="0"/>
              <w:rPr>
                <w:sz w:val="6"/>
                <w:szCs w:val="6"/>
                <w:color w:val="auto"/>
              </w:rPr>
            </w:pPr>
          </w:p>
        </w:tc>
        <w:tc>
          <w:tcPr>
            <w:tcW w:w="2080" w:type="dxa"/>
            <w:vAlign w:val="bottom"/>
            <w:shd w:val="clear" w:color="auto" w:fill="E9F0F3"/>
          </w:tcPr>
          <w:p>
            <w:pPr>
              <w:spacing w:after="0"/>
              <w:rPr>
                <w:sz w:val="6"/>
                <w:szCs w:val="6"/>
                <w:color w:val="auto"/>
              </w:rPr>
            </w:pPr>
          </w:p>
        </w:tc>
        <w:tc>
          <w:tcPr>
            <w:tcW w:w="1060" w:type="dxa"/>
            <w:vAlign w:val="bottom"/>
            <w:shd w:val="clear" w:color="auto" w:fill="E9F0F3"/>
          </w:tcPr>
          <w:p>
            <w:pPr>
              <w:spacing w:after="0"/>
              <w:rPr>
                <w:sz w:val="6"/>
                <w:szCs w:val="6"/>
                <w:color w:val="auto"/>
              </w:rPr>
            </w:pPr>
          </w:p>
        </w:tc>
        <w:tc>
          <w:tcPr>
            <w:tcW w:w="880" w:type="dxa"/>
            <w:vAlign w:val="bottom"/>
            <w:shd w:val="clear" w:color="auto" w:fill="E9F0F3"/>
          </w:tcPr>
          <w:p>
            <w:pPr>
              <w:spacing w:after="0"/>
              <w:rPr>
                <w:sz w:val="6"/>
                <w:szCs w:val="6"/>
                <w:color w:val="auto"/>
              </w:rPr>
            </w:pPr>
          </w:p>
        </w:tc>
        <w:tc>
          <w:tcPr>
            <w:tcW w:w="1040" w:type="dxa"/>
            <w:vAlign w:val="bottom"/>
            <w:shd w:val="clear" w:color="auto" w:fill="E9F0F3"/>
          </w:tcPr>
          <w:p>
            <w:pPr>
              <w:spacing w:after="0"/>
              <w:rPr>
                <w:sz w:val="6"/>
                <w:szCs w:val="6"/>
                <w:color w:val="auto"/>
              </w:rPr>
            </w:pPr>
          </w:p>
        </w:tc>
        <w:tc>
          <w:tcPr>
            <w:tcW w:w="78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100" w:type="dxa"/>
            <w:vAlign w:val="bottom"/>
          </w:tcPr>
          <w:p>
            <w:pPr>
              <w:ind w:left="60"/>
              <w:spacing w:after="0"/>
              <w:rPr>
                <w:sz w:val="20"/>
                <w:szCs w:val="20"/>
                <w:color w:val="auto"/>
              </w:rPr>
            </w:pPr>
            <w:r>
              <w:rPr>
                <w:rFonts w:ascii="Arial" w:cs="Arial" w:eastAsia="Arial" w:hAnsi="Arial"/>
                <w:sz w:val="14"/>
                <w:szCs w:val="14"/>
                <w:color w:val="auto"/>
              </w:rPr>
              <w:t>APAC</w:t>
            </w:r>
          </w:p>
        </w:tc>
        <w:tc>
          <w:tcPr>
            <w:tcW w:w="2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1,576</w:t>
            </w: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510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E9F0F3"/>
          </w:tcPr>
          <w:p>
            <w:pPr>
              <w:ind w:left="60"/>
              <w:spacing w:after="0"/>
              <w:rPr>
                <w:sz w:val="20"/>
                <w:szCs w:val="20"/>
                <w:color w:val="auto"/>
              </w:rPr>
            </w:pPr>
            <w:r>
              <w:rPr>
                <w:rFonts w:ascii="Arial" w:cs="Arial" w:eastAsia="Arial" w:hAnsi="Arial"/>
                <w:sz w:val="14"/>
                <w:szCs w:val="14"/>
                <w:color w:val="auto"/>
              </w:rPr>
              <w:t>Licensing</w:t>
            </w:r>
          </w:p>
        </w:tc>
        <w:tc>
          <w:tcPr>
            <w:tcW w:w="2080" w:type="dxa"/>
            <w:vAlign w:val="bottom"/>
            <w:shd w:val="clear" w:color="auto" w:fill="E9F0F3"/>
          </w:tcPr>
          <w:p>
            <w:pPr>
              <w:spacing w:after="0"/>
              <w:rPr>
                <w:sz w:val="19"/>
                <w:szCs w:val="19"/>
                <w:color w:val="auto"/>
              </w:rPr>
            </w:pPr>
          </w:p>
        </w:tc>
        <w:tc>
          <w:tcPr>
            <w:tcW w:w="1060" w:type="dxa"/>
            <w:vAlign w:val="bottom"/>
            <w:shd w:val="clear" w:color="auto" w:fill="E9F0F3"/>
          </w:tcPr>
          <w:p>
            <w:pPr>
              <w:spacing w:after="0"/>
              <w:rPr>
                <w:sz w:val="19"/>
                <w:szCs w:val="19"/>
                <w:color w:val="auto"/>
              </w:rPr>
            </w:pPr>
          </w:p>
        </w:tc>
        <w:tc>
          <w:tcPr>
            <w:tcW w:w="880" w:type="dxa"/>
            <w:vAlign w:val="bottom"/>
            <w:shd w:val="clear" w:color="auto" w:fill="E9F0F3"/>
          </w:tcPr>
          <w:p>
            <w:pPr>
              <w:jc w:val="right"/>
              <w:ind w:right="51"/>
              <w:spacing w:after="0"/>
              <w:rPr>
                <w:sz w:val="20"/>
                <w:szCs w:val="20"/>
                <w:color w:val="auto"/>
              </w:rPr>
            </w:pPr>
            <w:r>
              <w:rPr>
                <w:rFonts w:ascii="Arial" w:cs="Arial" w:eastAsia="Arial" w:hAnsi="Arial"/>
                <w:sz w:val="14"/>
                <w:szCs w:val="14"/>
                <w:color w:val="auto"/>
              </w:rPr>
              <w:t>428</w:t>
            </w:r>
          </w:p>
        </w:tc>
        <w:tc>
          <w:tcPr>
            <w:tcW w:w="1040" w:type="dxa"/>
            <w:vAlign w:val="bottom"/>
            <w:shd w:val="clear" w:color="auto" w:fill="E9F0F3"/>
          </w:tcPr>
          <w:p>
            <w:pPr>
              <w:spacing w:after="0"/>
              <w:rPr>
                <w:sz w:val="19"/>
                <w:szCs w:val="19"/>
                <w:color w:val="auto"/>
              </w:rPr>
            </w:pPr>
          </w:p>
        </w:tc>
        <w:tc>
          <w:tcPr>
            <w:tcW w:w="780" w:type="dxa"/>
            <w:vAlign w:val="bottom"/>
            <w:shd w:val="clear" w:color="auto" w:fill="E9F0F3"/>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5100" w:type="dxa"/>
            <w:vAlign w:val="bottom"/>
            <w:shd w:val="clear" w:color="auto" w:fill="E9F0F3"/>
          </w:tcPr>
          <w:p>
            <w:pPr>
              <w:spacing w:after="0"/>
              <w:rPr>
                <w:sz w:val="6"/>
                <w:szCs w:val="6"/>
                <w:color w:val="auto"/>
              </w:rPr>
            </w:pPr>
          </w:p>
        </w:tc>
        <w:tc>
          <w:tcPr>
            <w:tcW w:w="2080" w:type="dxa"/>
            <w:vAlign w:val="bottom"/>
            <w:shd w:val="clear" w:color="auto" w:fill="E9F0F3"/>
          </w:tcPr>
          <w:p>
            <w:pPr>
              <w:spacing w:after="0"/>
              <w:rPr>
                <w:sz w:val="6"/>
                <w:szCs w:val="6"/>
                <w:color w:val="auto"/>
              </w:rPr>
            </w:pPr>
          </w:p>
        </w:tc>
        <w:tc>
          <w:tcPr>
            <w:tcW w:w="1060" w:type="dxa"/>
            <w:vAlign w:val="bottom"/>
            <w:shd w:val="clear" w:color="auto" w:fill="E9F0F3"/>
          </w:tcPr>
          <w:p>
            <w:pPr>
              <w:spacing w:after="0"/>
              <w:rPr>
                <w:sz w:val="6"/>
                <w:szCs w:val="6"/>
                <w:color w:val="auto"/>
              </w:rPr>
            </w:pPr>
          </w:p>
        </w:tc>
        <w:tc>
          <w:tcPr>
            <w:tcW w:w="880" w:type="dxa"/>
            <w:vAlign w:val="bottom"/>
            <w:shd w:val="clear" w:color="auto" w:fill="E9F0F3"/>
          </w:tcPr>
          <w:p>
            <w:pPr>
              <w:spacing w:after="0"/>
              <w:rPr>
                <w:sz w:val="6"/>
                <w:szCs w:val="6"/>
                <w:color w:val="auto"/>
              </w:rPr>
            </w:pPr>
          </w:p>
        </w:tc>
        <w:tc>
          <w:tcPr>
            <w:tcW w:w="1040" w:type="dxa"/>
            <w:vAlign w:val="bottom"/>
            <w:shd w:val="clear" w:color="auto" w:fill="E9F0F3"/>
          </w:tcPr>
          <w:p>
            <w:pPr>
              <w:spacing w:after="0"/>
              <w:rPr>
                <w:sz w:val="6"/>
                <w:szCs w:val="6"/>
                <w:color w:val="auto"/>
              </w:rPr>
            </w:pPr>
          </w:p>
        </w:tc>
        <w:tc>
          <w:tcPr>
            <w:tcW w:w="78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5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E9F0F3"/>
          </w:tcPr>
          <w:p>
            <w:pPr>
              <w:ind w:left="60"/>
              <w:spacing w:after="0"/>
              <w:rPr>
                <w:sz w:val="20"/>
                <w:szCs w:val="20"/>
                <w:color w:val="auto"/>
              </w:rPr>
            </w:pPr>
            <w:r>
              <w:rPr>
                <w:rFonts w:ascii="Arial" w:cs="Arial" w:eastAsia="Arial" w:hAnsi="Arial"/>
                <w:sz w:val="14"/>
                <w:szCs w:val="14"/>
                <w:color w:val="auto"/>
              </w:rPr>
              <w:t>Tommy Hilfiger</w:t>
            </w:r>
          </w:p>
        </w:tc>
        <w:tc>
          <w:tcPr>
            <w:tcW w:w="2080" w:type="dxa"/>
            <w:vAlign w:val="bottom"/>
            <w:shd w:val="clear" w:color="auto" w:fill="E9F0F3"/>
          </w:tcPr>
          <w:p>
            <w:pPr>
              <w:spacing w:after="0"/>
              <w:rPr>
                <w:sz w:val="19"/>
                <w:szCs w:val="19"/>
                <w:color w:val="auto"/>
              </w:rPr>
            </w:pPr>
          </w:p>
        </w:tc>
        <w:tc>
          <w:tcPr>
            <w:tcW w:w="1060" w:type="dxa"/>
            <w:vAlign w:val="bottom"/>
            <w:shd w:val="clear" w:color="auto" w:fill="E9F0F3"/>
          </w:tcPr>
          <w:p>
            <w:pPr>
              <w:spacing w:after="0"/>
              <w:rPr>
                <w:sz w:val="19"/>
                <w:szCs w:val="19"/>
                <w:color w:val="auto"/>
              </w:rPr>
            </w:pPr>
          </w:p>
        </w:tc>
        <w:tc>
          <w:tcPr>
            <w:tcW w:w="880" w:type="dxa"/>
            <w:vAlign w:val="bottom"/>
            <w:shd w:val="clear" w:color="auto" w:fill="E9F0F3"/>
          </w:tcPr>
          <w:p>
            <w:pPr>
              <w:jc w:val="right"/>
              <w:ind w:right="51"/>
              <w:spacing w:after="0"/>
              <w:rPr>
                <w:sz w:val="20"/>
                <w:szCs w:val="20"/>
                <w:color w:val="auto"/>
              </w:rPr>
            </w:pPr>
            <w:r>
              <w:rPr>
                <w:rFonts w:ascii="Arial" w:cs="Arial" w:eastAsia="Arial" w:hAnsi="Arial"/>
                <w:sz w:val="14"/>
                <w:szCs w:val="14"/>
                <w:color w:val="auto"/>
              </w:rPr>
              <w:t>4,590</w:t>
            </w:r>
          </w:p>
        </w:tc>
        <w:tc>
          <w:tcPr>
            <w:tcW w:w="1040" w:type="dxa"/>
            <w:vAlign w:val="bottom"/>
            <w:shd w:val="clear" w:color="auto" w:fill="E9F0F3"/>
          </w:tcPr>
          <w:p>
            <w:pPr>
              <w:spacing w:after="0"/>
              <w:rPr>
                <w:sz w:val="19"/>
                <w:szCs w:val="19"/>
                <w:color w:val="auto"/>
              </w:rPr>
            </w:pPr>
          </w:p>
        </w:tc>
        <w:tc>
          <w:tcPr>
            <w:tcW w:w="780" w:type="dxa"/>
            <w:vAlign w:val="bottom"/>
            <w:shd w:val="clear" w:color="auto" w:fill="E9F0F3"/>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5100" w:type="dxa"/>
            <w:vAlign w:val="bottom"/>
            <w:shd w:val="clear" w:color="auto" w:fill="E9F0F3"/>
          </w:tcPr>
          <w:p>
            <w:pPr>
              <w:spacing w:after="0"/>
              <w:rPr>
                <w:sz w:val="6"/>
                <w:szCs w:val="6"/>
                <w:color w:val="auto"/>
              </w:rPr>
            </w:pPr>
          </w:p>
        </w:tc>
        <w:tc>
          <w:tcPr>
            <w:tcW w:w="2080" w:type="dxa"/>
            <w:vAlign w:val="bottom"/>
            <w:shd w:val="clear" w:color="auto" w:fill="E9F0F3"/>
          </w:tcPr>
          <w:p>
            <w:pPr>
              <w:spacing w:after="0"/>
              <w:rPr>
                <w:sz w:val="6"/>
                <w:szCs w:val="6"/>
                <w:color w:val="auto"/>
              </w:rPr>
            </w:pPr>
          </w:p>
        </w:tc>
        <w:tc>
          <w:tcPr>
            <w:tcW w:w="1060" w:type="dxa"/>
            <w:vAlign w:val="bottom"/>
            <w:shd w:val="clear" w:color="auto" w:fill="E9F0F3"/>
          </w:tcPr>
          <w:p>
            <w:pPr>
              <w:spacing w:after="0"/>
              <w:rPr>
                <w:sz w:val="6"/>
                <w:szCs w:val="6"/>
                <w:color w:val="auto"/>
              </w:rPr>
            </w:pPr>
          </w:p>
        </w:tc>
        <w:tc>
          <w:tcPr>
            <w:tcW w:w="880" w:type="dxa"/>
            <w:vAlign w:val="bottom"/>
            <w:shd w:val="clear" w:color="auto" w:fill="E9F0F3"/>
          </w:tcPr>
          <w:p>
            <w:pPr>
              <w:spacing w:after="0"/>
              <w:rPr>
                <w:sz w:val="6"/>
                <w:szCs w:val="6"/>
                <w:color w:val="auto"/>
              </w:rPr>
            </w:pPr>
          </w:p>
        </w:tc>
        <w:tc>
          <w:tcPr>
            <w:tcW w:w="1040" w:type="dxa"/>
            <w:vAlign w:val="bottom"/>
            <w:shd w:val="clear" w:color="auto" w:fill="E9F0F3"/>
          </w:tcPr>
          <w:p>
            <w:pPr>
              <w:spacing w:after="0"/>
              <w:rPr>
                <w:sz w:val="6"/>
                <w:szCs w:val="6"/>
                <w:color w:val="auto"/>
              </w:rPr>
            </w:pPr>
          </w:p>
        </w:tc>
        <w:tc>
          <w:tcPr>
            <w:tcW w:w="78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100" w:type="dxa"/>
            <w:vAlign w:val="bottom"/>
          </w:tcPr>
          <w:p>
            <w:pPr>
              <w:ind w:left="60"/>
              <w:spacing w:after="0"/>
              <w:rPr>
                <w:sz w:val="20"/>
                <w:szCs w:val="20"/>
                <w:color w:val="auto"/>
              </w:rPr>
            </w:pPr>
            <w:r>
              <w:rPr>
                <w:rFonts w:ascii="Arial" w:cs="Arial" w:eastAsia="Arial" w:hAnsi="Arial"/>
                <w:sz w:val="14"/>
                <w:szCs w:val="14"/>
                <w:color w:val="auto"/>
              </w:rPr>
              <w:t>Calvin Klein</w:t>
            </w:r>
          </w:p>
        </w:tc>
        <w:tc>
          <w:tcPr>
            <w:tcW w:w="2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3,857</w:t>
            </w: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510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EBIT</w:t>
            </w:r>
          </w:p>
        </w:tc>
        <w:tc>
          <w:tcPr>
            <w:tcW w:w="2080" w:type="dxa"/>
            <w:vAlign w:val="bottom"/>
            <w:shd w:val="clear" w:color="auto" w:fill="E9F0F3"/>
          </w:tcPr>
          <w:p>
            <w:pPr>
              <w:spacing w:after="0"/>
              <w:rPr>
                <w:sz w:val="19"/>
                <w:szCs w:val="19"/>
                <w:color w:val="auto"/>
              </w:rPr>
            </w:pPr>
          </w:p>
        </w:tc>
        <w:tc>
          <w:tcPr>
            <w:tcW w:w="1060" w:type="dxa"/>
            <w:vAlign w:val="bottom"/>
            <w:shd w:val="clear" w:color="auto" w:fill="E9F0F3"/>
          </w:tcPr>
          <w:p>
            <w:pPr>
              <w:spacing w:after="0"/>
              <w:rPr>
                <w:sz w:val="19"/>
                <w:szCs w:val="19"/>
                <w:color w:val="auto"/>
              </w:rPr>
            </w:pPr>
          </w:p>
        </w:tc>
        <w:tc>
          <w:tcPr>
            <w:tcW w:w="880" w:type="dxa"/>
            <w:vAlign w:val="bottom"/>
            <w:shd w:val="clear" w:color="auto" w:fill="E9F0F3"/>
          </w:tcPr>
          <w:p>
            <w:pPr>
              <w:jc w:val="right"/>
              <w:ind w:right="51"/>
              <w:spacing w:after="0"/>
              <w:rPr>
                <w:sz w:val="20"/>
                <w:szCs w:val="20"/>
                <w:color w:val="auto"/>
              </w:rPr>
            </w:pPr>
            <w:r>
              <w:rPr>
                <w:rFonts w:ascii="Arial" w:cs="Arial" w:eastAsia="Arial" w:hAnsi="Arial"/>
                <w:sz w:val="14"/>
                <w:szCs w:val="14"/>
                <w:color w:val="auto"/>
              </w:rPr>
              <w:t>$772</w:t>
            </w:r>
          </w:p>
        </w:tc>
        <w:tc>
          <w:tcPr>
            <w:tcW w:w="1040" w:type="dxa"/>
            <w:vAlign w:val="bottom"/>
            <w:shd w:val="clear" w:color="auto" w:fill="E9F0F3"/>
          </w:tcPr>
          <w:p>
            <w:pPr>
              <w:jc w:val="right"/>
              <w:ind w:right="115"/>
              <w:spacing w:after="0"/>
              <w:rPr>
                <w:sz w:val="20"/>
                <w:szCs w:val="20"/>
                <w:color w:val="auto"/>
              </w:rPr>
            </w:pPr>
            <w:r>
              <w:rPr>
                <w:rFonts w:ascii="Arial" w:cs="Arial" w:eastAsia="Arial" w:hAnsi="Arial"/>
                <w:sz w:val="14"/>
                <w:szCs w:val="14"/>
                <w:color w:val="auto"/>
              </w:rPr>
              <w:t>$(93)</w:t>
            </w:r>
          </w:p>
        </w:tc>
        <w:tc>
          <w:tcPr>
            <w:tcW w:w="7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66"/>
        </w:trPr>
        <w:tc>
          <w:tcPr>
            <w:tcW w:w="5100" w:type="dxa"/>
            <w:vAlign w:val="bottom"/>
            <w:shd w:val="clear" w:color="auto" w:fill="E9F0F3"/>
          </w:tcPr>
          <w:p>
            <w:pPr>
              <w:spacing w:after="0"/>
              <w:rPr>
                <w:sz w:val="5"/>
                <w:szCs w:val="5"/>
                <w:color w:val="auto"/>
              </w:rPr>
            </w:pPr>
          </w:p>
        </w:tc>
        <w:tc>
          <w:tcPr>
            <w:tcW w:w="2080" w:type="dxa"/>
            <w:vAlign w:val="bottom"/>
            <w:shd w:val="clear" w:color="auto" w:fill="E9F0F3"/>
          </w:tcPr>
          <w:p>
            <w:pPr>
              <w:spacing w:after="0"/>
              <w:rPr>
                <w:sz w:val="5"/>
                <w:szCs w:val="5"/>
                <w:color w:val="auto"/>
              </w:rPr>
            </w:pPr>
          </w:p>
        </w:tc>
        <w:tc>
          <w:tcPr>
            <w:tcW w:w="1060" w:type="dxa"/>
            <w:vAlign w:val="bottom"/>
            <w:shd w:val="clear" w:color="auto" w:fill="E9F0F3"/>
          </w:tcPr>
          <w:p>
            <w:pPr>
              <w:spacing w:after="0"/>
              <w:rPr>
                <w:sz w:val="5"/>
                <w:szCs w:val="5"/>
                <w:color w:val="auto"/>
              </w:rPr>
            </w:pPr>
          </w:p>
        </w:tc>
        <w:tc>
          <w:tcPr>
            <w:tcW w:w="880" w:type="dxa"/>
            <w:vAlign w:val="bottom"/>
            <w:shd w:val="clear" w:color="auto" w:fill="E9F0F3"/>
          </w:tcPr>
          <w:p>
            <w:pPr>
              <w:spacing w:after="0"/>
              <w:rPr>
                <w:sz w:val="5"/>
                <w:szCs w:val="5"/>
                <w:color w:val="auto"/>
              </w:rPr>
            </w:pPr>
          </w:p>
        </w:tc>
        <w:tc>
          <w:tcPr>
            <w:tcW w:w="1040" w:type="dxa"/>
            <w:vAlign w:val="bottom"/>
            <w:shd w:val="clear" w:color="auto" w:fill="E9F0F3"/>
          </w:tcPr>
          <w:p>
            <w:pPr>
              <w:spacing w:after="0"/>
              <w:rPr>
                <w:sz w:val="5"/>
                <w:szCs w:val="5"/>
                <w:color w:val="auto"/>
              </w:rPr>
            </w:pPr>
          </w:p>
        </w:tc>
        <w:tc>
          <w:tcPr>
            <w:tcW w:w="780" w:type="dxa"/>
            <w:vAlign w:val="bottom"/>
            <w:shd w:val="clear" w:color="auto" w:fill="E9F0F3"/>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60"/>
              <w:spacing w:after="0"/>
              <w:rPr>
                <w:sz w:val="20"/>
                <w:szCs w:val="20"/>
                <w:color w:val="auto"/>
              </w:rPr>
            </w:pPr>
            <w:r>
              <w:rPr>
                <w:rFonts w:ascii="Arial" w:cs="Arial" w:eastAsia="Arial" w:hAnsi="Arial"/>
                <w:sz w:val="14"/>
                <w:szCs w:val="14"/>
                <w:b w:val="1"/>
                <w:bCs w:val="1"/>
                <w:color w:val="auto"/>
              </w:rPr>
              <w:t>Net Income per Common Share Calculation</w:t>
            </w:r>
          </w:p>
        </w:tc>
        <w:tc>
          <w:tcPr>
            <w:tcW w:w="2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51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E9F0F3"/>
          </w:tcPr>
          <w:p>
            <w:pPr>
              <w:ind w:left="60"/>
              <w:spacing w:after="0"/>
              <w:rPr>
                <w:sz w:val="20"/>
                <w:szCs w:val="20"/>
                <w:color w:val="auto"/>
              </w:rPr>
            </w:pPr>
            <w:r>
              <w:rPr>
                <w:rFonts w:ascii="Arial" w:cs="Arial" w:eastAsia="Arial" w:hAnsi="Arial"/>
                <w:sz w:val="14"/>
                <w:szCs w:val="14"/>
                <w:color w:val="auto"/>
              </w:rPr>
              <w:t>Net Income</w:t>
            </w:r>
          </w:p>
        </w:tc>
        <w:tc>
          <w:tcPr>
            <w:tcW w:w="2080" w:type="dxa"/>
            <w:vAlign w:val="bottom"/>
            <w:shd w:val="clear" w:color="auto" w:fill="E9F0F3"/>
          </w:tcPr>
          <w:p>
            <w:pPr>
              <w:spacing w:after="0"/>
              <w:rPr>
                <w:sz w:val="19"/>
                <w:szCs w:val="19"/>
                <w:color w:val="auto"/>
              </w:rPr>
            </w:pPr>
          </w:p>
        </w:tc>
        <w:tc>
          <w:tcPr>
            <w:tcW w:w="1060" w:type="dxa"/>
            <w:vAlign w:val="bottom"/>
            <w:shd w:val="clear" w:color="auto" w:fill="E9F0F3"/>
          </w:tcPr>
          <w:p>
            <w:pPr>
              <w:spacing w:after="0"/>
              <w:rPr>
                <w:sz w:val="19"/>
                <w:szCs w:val="19"/>
                <w:color w:val="auto"/>
              </w:rPr>
            </w:pPr>
          </w:p>
        </w:tc>
        <w:tc>
          <w:tcPr>
            <w:tcW w:w="880" w:type="dxa"/>
            <w:vAlign w:val="bottom"/>
            <w:shd w:val="clear" w:color="auto" w:fill="E9F0F3"/>
          </w:tcPr>
          <w:p>
            <w:pPr>
              <w:jc w:val="right"/>
              <w:ind w:right="51"/>
              <w:spacing w:after="0"/>
              <w:rPr>
                <w:sz w:val="20"/>
                <w:szCs w:val="20"/>
                <w:color w:val="auto"/>
              </w:rPr>
            </w:pPr>
            <w:r>
              <w:rPr>
                <w:rFonts w:ascii="Arial" w:cs="Arial" w:eastAsia="Arial" w:hAnsi="Arial"/>
                <w:sz w:val="14"/>
                <w:szCs w:val="14"/>
                <w:color w:val="auto"/>
              </w:rPr>
              <w:t>$599</w:t>
            </w:r>
          </w:p>
        </w:tc>
        <w:tc>
          <w:tcPr>
            <w:tcW w:w="1040" w:type="dxa"/>
            <w:vAlign w:val="bottom"/>
            <w:shd w:val="clear" w:color="auto" w:fill="E9F0F3"/>
          </w:tcPr>
          <w:p>
            <w:pPr>
              <w:jc w:val="right"/>
              <w:ind w:right="115"/>
              <w:spacing w:after="0"/>
              <w:rPr>
                <w:sz w:val="20"/>
                <w:szCs w:val="20"/>
                <w:color w:val="auto"/>
              </w:rPr>
            </w:pPr>
            <w:r>
              <w:rPr>
                <w:rFonts w:ascii="Arial" w:cs="Arial" w:eastAsia="Arial" w:hAnsi="Arial"/>
                <w:sz w:val="14"/>
                <w:szCs w:val="14"/>
                <w:color w:val="auto"/>
              </w:rPr>
              <w:t>$(67)</w:t>
            </w:r>
          </w:p>
        </w:tc>
        <w:tc>
          <w:tcPr>
            <w:tcW w:w="7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74"/>
        </w:trPr>
        <w:tc>
          <w:tcPr>
            <w:tcW w:w="5100" w:type="dxa"/>
            <w:vAlign w:val="bottom"/>
            <w:shd w:val="clear" w:color="auto" w:fill="E9F0F3"/>
          </w:tcPr>
          <w:p>
            <w:pPr>
              <w:spacing w:after="0"/>
              <w:rPr>
                <w:sz w:val="6"/>
                <w:szCs w:val="6"/>
                <w:color w:val="auto"/>
              </w:rPr>
            </w:pPr>
          </w:p>
        </w:tc>
        <w:tc>
          <w:tcPr>
            <w:tcW w:w="2080" w:type="dxa"/>
            <w:vAlign w:val="bottom"/>
            <w:shd w:val="clear" w:color="auto" w:fill="E9F0F3"/>
          </w:tcPr>
          <w:p>
            <w:pPr>
              <w:spacing w:after="0"/>
              <w:rPr>
                <w:sz w:val="6"/>
                <w:szCs w:val="6"/>
                <w:color w:val="auto"/>
              </w:rPr>
            </w:pPr>
          </w:p>
        </w:tc>
        <w:tc>
          <w:tcPr>
            <w:tcW w:w="1060" w:type="dxa"/>
            <w:vAlign w:val="bottom"/>
            <w:shd w:val="clear" w:color="auto" w:fill="E9F0F3"/>
          </w:tcPr>
          <w:p>
            <w:pPr>
              <w:spacing w:after="0"/>
              <w:rPr>
                <w:sz w:val="6"/>
                <w:szCs w:val="6"/>
                <w:color w:val="auto"/>
              </w:rPr>
            </w:pPr>
          </w:p>
        </w:tc>
        <w:tc>
          <w:tcPr>
            <w:tcW w:w="880" w:type="dxa"/>
            <w:vAlign w:val="bottom"/>
            <w:shd w:val="clear" w:color="auto" w:fill="E9F0F3"/>
          </w:tcPr>
          <w:p>
            <w:pPr>
              <w:spacing w:after="0"/>
              <w:rPr>
                <w:sz w:val="6"/>
                <w:szCs w:val="6"/>
                <w:color w:val="auto"/>
              </w:rPr>
            </w:pPr>
          </w:p>
        </w:tc>
        <w:tc>
          <w:tcPr>
            <w:tcW w:w="1040" w:type="dxa"/>
            <w:vAlign w:val="bottom"/>
            <w:shd w:val="clear" w:color="auto" w:fill="E9F0F3"/>
          </w:tcPr>
          <w:p>
            <w:pPr>
              <w:spacing w:after="0"/>
              <w:rPr>
                <w:sz w:val="6"/>
                <w:szCs w:val="6"/>
                <w:color w:val="auto"/>
              </w:rPr>
            </w:pPr>
          </w:p>
        </w:tc>
        <w:tc>
          <w:tcPr>
            <w:tcW w:w="78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100" w:type="dxa"/>
            <w:vAlign w:val="bottom"/>
          </w:tcPr>
          <w:p>
            <w:pPr>
              <w:ind w:left="60"/>
              <w:spacing w:after="0"/>
              <w:rPr>
                <w:sz w:val="20"/>
                <w:szCs w:val="20"/>
                <w:color w:val="auto"/>
              </w:rPr>
            </w:pPr>
            <w:r>
              <w:rPr>
                <w:rFonts w:ascii="Arial" w:cs="Arial" w:eastAsia="Arial" w:hAnsi="Arial"/>
                <w:sz w:val="14"/>
                <w:szCs w:val="14"/>
                <w:color w:val="auto"/>
              </w:rPr>
              <w:t>Total Shares for Diluted Net Income per Common Share</w:t>
            </w:r>
          </w:p>
        </w:tc>
        <w:tc>
          <w:tcPr>
            <w:tcW w:w="2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57</w:t>
            </w:r>
          </w:p>
        </w:tc>
        <w:tc>
          <w:tcPr>
            <w:tcW w:w="10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74"/>
        </w:trPr>
        <w:tc>
          <w:tcPr>
            <w:tcW w:w="510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100" w:type="dxa"/>
            <w:vAlign w:val="bottom"/>
            <w:shd w:val="clear" w:color="auto" w:fill="E9F0F3"/>
          </w:tcPr>
          <w:p>
            <w:pPr>
              <w:ind w:left="60"/>
              <w:spacing w:after="0"/>
              <w:rPr>
                <w:sz w:val="20"/>
                <w:szCs w:val="20"/>
                <w:color w:val="auto"/>
              </w:rPr>
            </w:pPr>
            <w:r>
              <w:rPr>
                <w:rFonts w:ascii="Arial" w:cs="Arial" w:eastAsia="Arial" w:hAnsi="Arial"/>
                <w:sz w:val="14"/>
                <w:szCs w:val="14"/>
                <w:color w:val="auto"/>
              </w:rPr>
              <w:t>EPS</w:t>
            </w:r>
          </w:p>
        </w:tc>
        <w:tc>
          <w:tcPr>
            <w:tcW w:w="2080" w:type="dxa"/>
            <w:vAlign w:val="bottom"/>
            <w:shd w:val="clear" w:color="auto" w:fill="E9F0F3"/>
          </w:tcPr>
          <w:p>
            <w:pPr>
              <w:spacing w:after="0"/>
              <w:rPr>
                <w:sz w:val="19"/>
                <w:szCs w:val="19"/>
                <w:color w:val="auto"/>
              </w:rPr>
            </w:pPr>
          </w:p>
        </w:tc>
        <w:tc>
          <w:tcPr>
            <w:tcW w:w="1060" w:type="dxa"/>
            <w:vAlign w:val="bottom"/>
            <w:shd w:val="clear" w:color="auto" w:fill="E9F0F3"/>
          </w:tcPr>
          <w:p>
            <w:pPr>
              <w:spacing w:after="0"/>
              <w:rPr>
                <w:sz w:val="19"/>
                <w:szCs w:val="19"/>
                <w:color w:val="auto"/>
              </w:rPr>
            </w:pPr>
          </w:p>
        </w:tc>
        <w:tc>
          <w:tcPr>
            <w:tcW w:w="880" w:type="dxa"/>
            <w:vAlign w:val="bottom"/>
            <w:shd w:val="clear" w:color="auto" w:fill="E9F0F3"/>
          </w:tcPr>
          <w:p>
            <w:pPr>
              <w:jc w:val="right"/>
              <w:ind w:right="51"/>
              <w:spacing w:after="0"/>
              <w:rPr>
                <w:sz w:val="20"/>
                <w:szCs w:val="20"/>
                <w:color w:val="auto"/>
              </w:rPr>
            </w:pPr>
            <w:r>
              <w:rPr>
                <w:rFonts w:ascii="Arial" w:cs="Arial" w:eastAsia="Arial" w:hAnsi="Arial"/>
                <w:sz w:val="14"/>
                <w:szCs w:val="14"/>
                <w:color w:val="auto"/>
              </w:rPr>
              <w:t>$10.56</w:t>
            </w:r>
          </w:p>
        </w:tc>
        <w:tc>
          <w:tcPr>
            <w:tcW w:w="1040" w:type="dxa"/>
            <w:vAlign w:val="bottom"/>
            <w:shd w:val="clear" w:color="auto" w:fill="E9F0F3"/>
          </w:tcPr>
          <w:p>
            <w:pPr>
              <w:spacing w:after="0"/>
              <w:rPr>
                <w:sz w:val="19"/>
                <w:szCs w:val="19"/>
                <w:color w:val="auto"/>
              </w:rPr>
            </w:pPr>
          </w:p>
        </w:tc>
        <w:tc>
          <w:tcPr>
            <w:tcW w:w="7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$11.74</w:t>
            </w:r>
          </w:p>
        </w:tc>
        <w:tc>
          <w:tcPr>
            <w:tcW w:w="0" w:type="dxa"/>
            <w:vAlign w:val="bottom"/>
          </w:tcPr>
          <w:p>
            <w:pPr>
              <w:spacing w:after="0"/>
              <w:rPr>
                <w:sz w:val="1"/>
                <w:szCs w:val="1"/>
                <w:color w:val="auto"/>
              </w:rPr>
            </w:pPr>
          </w:p>
        </w:tc>
      </w:tr>
      <w:tr>
        <w:trPr>
          <w:trHeight w:val="74"/>
        </w:trPr>
        <w:tc>
          <w:tcPr>
            <w:tcW w:w="5100" w:type="dxa"/>
            <w:vAlign w:val="bottom"/>
            <w:shd w:val="clear" w:color="auto" w:fill="E9F0F3"/>
          </w:tcPr>
          <w:p>
            <w:pPr>
              <w:spacing w:after="0"/>
              <w:rPr>
                <w:sz w:val="6"/>
                <w:szCs w:val="6"/>
                <w:color w:val="auto"/>
              </w:rPr>
            </w:pPr>
          </w:p>
        </w:tc>
        <w:tc>
          <w:tcPr>
            <w:tcW w:w="2080" w:type="dxa"/>
            <w:vAlign w:val="bottom"/>
            <w:shd w:val="clear" w:color="auto" w:fill="E9F0F3"/>
          </w:tcPr>
          <w:p>
            <w:pPr>
              <w:spacing w:after="0"/>
              <w:rPr>
                <w:sz w:val="6"/>
                <w:szCs w:val="6"/>
                <w:color w:val="auto"/>
              </w:rPr>
            </w:pPr>
          </w:p>
        </w:tc>
        <w:tc>
          <w:tcPr>
            <w:tcW w:w="1060" w:type="dxa"/>
            <w:vAlign w:val="bottom"/>
            <w:shd w:val="clear" w:color="auto" w:fill="E9F0F3"/>
          </w:tcPr>
          <w:p>
            <w:pPr>
              <w:spacing w:after="0"/>
              <w:rPr>
                <w:sz w:val="6"/>
                <w:szCs w:val="6"/>
                <w:color w:val="auto"/>
              </w:rPr>
            </w:pPr>
          </w:p>
        </w:tc>
        <w:tc>
          <w:tcPr>
            <w:tcW w:w="880" w:type="dxa"/>
            <w:vAlign w:val="bottom"/>
            <w:shd w:val="clear" w:color="auto" w:fill="E9F0F3"/>
          </w:tcPr>
          <w:p>
            <w:pPr>
              <w:spacing w:after="0"/>
              <w:rPr>
                <w:sz w:val="6"/>
                <w:szCs w:val="6"/>
                <w:color w:val="auto"/>
              </w:rPr>
            </w:pPr>
          </w:p>
        </w:tc>
        <w:tc>
          <w:tcPr>
            <w:tcW w:w="1040" w:type="dxa"/>
            <w:vAlign w:val="bottom"/>
            <w:shd w:val="clear" w:color="auto" w:fill="E9F0F3"/>
          </w:tcPr>
          <w:p>
            <w:pPr>
              <w:spacing w:after="0"/>
              <w:rPr>
                <w:sz w:val="6"/>
                <w:szCs w:val="6"/>
                <w:color w:val="auto"/>
              </w:rPr>
            </w:pPr>
          </w:p>
        </w:tc>
        <w:tc>
          <w:tcPr>
            <w:tcW w:w="780" w:type="dxa"/>
            <w:vAlign w:val="bottom"/>
            <w:shd w:val="clear" w:color="auto" w:fill="E9F0F3"/>
          </w:tcPr>
          <w:p>
            <w:pPr>
              <w:spacing w:after="0"/>
              <w:rPr>
                <w:sz w:val="6"/>
                <w:szCs w:val="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60" w:right="160" w:hanging="149"/>
        <w:spacing w:after="0" w:line="234" w:lineRule="auto"/>
        <w:tabs>
          <w:tab w:leader="none" w:pos="167" w:val="left"/>
        </w:tabs>
        <w:numPr>
          <w:ilvl w:val="0"/>
          <w:numId w:val="162"/>
        </w:numPr>
        <w:rPr>
          <w:rFonts w:ascii="Arial" w:cs="Arial" w:eastAsia="Arial" w:hAnsi="Arial"/>
          <w:sz w:val="13"/>
          <w:szCs w:val="13"/>
          <w:color w:val="auto"/>
        </w:rPr>
      </w:pPr>
      <w:r>
        <w:rPr>
          <w:rFonts w:ascii="Arial" w:cs="Arial" w:eastAsia="Arial" w:hAnsi="Arial"/>
          <w:sz w:val="13"/>
          <w:szCs w:val="13"/>
          <w:color w:val="auto"/>
        </w:rPr>
        <w:t>Adjustments for 2025 represent the elimination of (i) the gain recorded in connection with the sale of our Heritage Brands women’s intimates business (the “Heritage Brands intimates transaction”); (ii) the net restructuring costs related to our multi-year initiative to simplify our operating model by centralizing processes and improving systems and automation to drive more efficient, cost-effective ways of working across the organization (the “Growth Driver 5 Actions”); (iii) the costs incurred in connection with an amendment to Mr. Tommy Hilfiger’s employment agreement pursuant to which we made a cash buyout of a portion of future payments to Mr. Hilfiger (the “Mr. Hilfiger amendment”); (iv) the recognized actuarial loss on retirement plans; and (v) the tax effects associated with the foregoing pre-tax items.</w:t>
      </w:r>
    </w:p>
    <w:p>
      <w:pPr>
        <w:spacing w:after="0" w:line="25" w:lineRule="exact"/>
        <w:rPr>
          <w:sz w:val="20"/>
          <w:szCs w:val="20"/>
          <w:color w:val="auto"/>
        </w:rPr>
      </w:pPr>
    </w:p>
    <w:p>
      <w:pPr>
        <w:ind w:left="160" w:right="80" w:hanging="149"/>
        <w:spacing w:after="0" w:line="236" w:lineRule="auto"/>
        <w:tabs>
          <w:tab w:leader="none" w:pos="167" w:val="left"/>
        </w:tabs>
        <w:numPr>
          <w:ilvl w:val="0"/>
          <w:numId w:val="163"/>
        </w:numPr>
        <w:rPr>
          <w:rFonts w:ascii="Arial" w:cs="Arial" w:eastAsia="Arial" w:hAnsi="Arial"/>
          <w:sz w:val="13"/>
          <w:szCs w:val="13"/>
          <w:color w:val="auto"/>
        </w:rPr>
      </w:pPr>
      <w:r>
        <w:rPr>
          <w:rFonts w:ascii="Arial" w:cs="Arial" w:eastAsia="Arial" w:hAnsi="Arial"/>
          <w:sz w:val="13"/>
          <w:szCs w:val="13"/>
          <w:color w:val="auto"/>
        </w:rPr>
        <w:t>Adjustments for February 04, 2024 represent the elimination of (i) the gain recorded in connection with the Heritage Brands intimates transaction, which includes a gain on the sale, less costs to sell; (ii) the costs related to the Heritage Brands intimates transaction, consisting of severance and other termination benefits; (iii) the costs related to actions taken under the plans announced in August 2022 to reduce people costs in our global offices by approximately 10% by the end of February 04, 2024, (the “2022 cost savings initiative”), consisting principally of severance; (iv) the recognized actuarial gain on retirement plans; and (v) the tax effects associated with the foregoing pre-tax items.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PVH CORP. 2026 PROXY STATEMENT / </w:t>
      </w:r>
      <w:r>
        <w:rPr>
          <w:rFonts w:ascii="Arial" w:cs="Arial" w:eastAsia="Arial" w:hAnsi="Arial"/>
          <w:sz w:val="11"/>
          <w:szCs w:val="11"/>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94" w:right="479" w:bottom="1440" w:gutter="0" w:footer="0" w:header="0"/>
        </w:sectPr>
      </w:pPr>
    </w:p>
    <w:bookmarkStart w:id="107" w:name="page108"/>
    <w:bookmarkEnd w:id="107"/>
    <w:p>
      <w:pPr>
        <w:ind w:left="20"/>
        <w:spacing w:after="0"/>
        <w:rPr>
          <w:sz w:val="20"/>
          <w:szCs w:val="20"/>
          <w:color w:val="auto"/>
        </w:rPr>
      </w:pPr>
      <w:r>
        <w:rPr>
          <w:rFonts w:ascii="Arial" w:cs="Arial" w:eastAsia="Arial" w:hAnsi="Arial"/>
          <w:sz w:val="28"/>
          <w:szCs w:val="28"/>
          <w:b w:val="1"/>
          <w:bCs w:val="1"/>
          <w:color w:val="6D98AD"/>
        </w:rPr>
        <w:t>Reconciliations of GAAP EBIT to EBIT on a non-GAAP basis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460" w:type="dxa"/>
            <w:vAlign w:val="bottom"/>
            <w:shd w:val="clear" w:color="auto" w:fill="99B7C6"/>
          </w:tcPr>
          <w:p>
            <w:pPr>
              <w:spacing w:after="0"/>
              <w:rPr>
                <w:sz w:val="21"/>
                <w:szCs w:val="21"/>
                <w:color w:val="auto"/>
              </w:rPr>
            </w:pPr>
          </w:p>
        </w:tc>
        <w:tc>
          <w:tcPr>
            <w:tcW w:w="1800" w:type="dxa"/>
            <w:vAlign w:val="bottom"/>
            <w:shd w:val="clear" w:color="auto" w:fill="99B7C6"/>
          </w:tcPr>
          <w:p>
            <w:pPr>
              <w:jc w:val="right"/>
              <w:ind w:right="229"/>
              <w:spacing w:after="0"/>
              <w:rPr>
                <w:sz w:val="20"/>
                <w:szCs w:val="20"/>
                <w:color w:val="auto"/>
              </w:rPr>
            </w:pPr>
            <w:r>
              <w:rPr>
                <w:rFonts w:ascii="Arial" w:cs="Arial" w:eastAsia="Arial" w:hAnsi="Arial"/>
                <w:sz w:val="14"/>
                <w:szCs w:val="14"/>
                <w:b w:val="1"/>
                <w:bCs w:val="1"/>
                <w:color w:val="FFFFFF"/>
              </w:rPr>
              <w:t>2025</w:t>
            </w:r>
          </w:p>
        </w:tc>
        <w:tc>
          <w:tcPr>
            <w:tcW w:w="680" w:type="dxa"/>
            <w:vAlign w:val="bottom"/>
            <w:shd w:val="clear" w:color="auto" w:fill="99B7C6"/>
          </w:tcPr>
          <w:p>
            <w:pPr>
              <w:jc w:val="right"/>
              <w:spacing w:after="0"/>
              <w:rPr>
                <w:sz w:val="20"/>
                <w:szCs w:val="20"/>
                <w:color w:val="auto"/>
              </w:rPr>
            </w:pPr>
            <w:r>
              <w:rPr>
                <w:rFonts w:ascii="Arial" w:cs="Arial" w:eastAsia="Arial" w:hAnsi="Arial"/>
                <w:sz w:val="14"/>
                <w:szCs w:val="14"/>
                <w:b w:val="1"/>
                <w:bCs w:val="1"/>
                <w:color w:val="FFFFFF"/>
              </w:rPr>
              <w:t>2024</w:t>
            </w:r>
          </w:p>
        </w:tc>
      </w:tr>
      <w:tr>
        <w:trPr>
          <w:trHeight w:val="221"/>
        </w:trPr>
        <w:tc>
          <w:tcPr>
            <w:tcW w:w="8460" w:type="dxa"/>
            <w:vAlign w:val="bottom"/>
            <w:shd w:val="clear" w:color="auto" w:fill="E9F0F3"/>
          </w:tcPr>
          <w:p>
            <w:pPr>
              <w:ind w:left="60"/>
              <w:spacing w:after="0"/>
              <w:rPr>
                <w:sz w:val="20"/>
                <w:szCs w:val="20"/>
                <w:color w:val="auto"/>
              </w:rPr>
            </w:pPr>
            <w:r>
              <w:rPr>
                <w:rFonts w:ascii="Arial" w:cs="Arial" w:eastAsia="Arial" w:hAnsi="Arial"/>
                <w:sz w:val="14"/>
                <w:szCs w:val="14"/>
                <w:color w:val="auto"/>
              </w:rPr>
              <w:t>EBIT</w:t>
            </w:r>
          </w:p>
        </w:tc>
        <w:tc>
          <w:tcPr>
            <w:tcW w:w="1800" w:type="dxa"/>
            <w:vAlign w:val="bottom"/>
            <w:shd w:val="clear" w:color="auto" w:fill="E9F0F3"/>
          </w:tcPr>
          <w:p>
            <w:pPr>
              <w:jc w:val="right"/>
              <w:ind w:right="229"/>
              <w:spacing w:after="0"/>
              <w:rPr>
                <w:sz w:val="20"/>
                <w:szCs w:val="20"/>
                <w:color w:val="auto"/>
              </w:rPr>
            </w:pPr>
            <w:r>
              <w:rPr>
                <w:rFonts w:ascii="Arial" w:cs="Arial" w:eastAsia="Arial" w:hAnsi="Arial"/>
                <w:sz w:val="14"/>
                <w:szCs w:val="14"/>
                <w:color w:val="auto"/>
              </w:rPr>
              <w:t>$231</w:t>
            </w:r>
          </w:p>
        </w:tc>
        <w:tc>
          <w:tcPr>
            <w:tcW w:w="6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$772</w:t>
            </w:r>
          </w:p>
        </w:tc>
      </w:tr>
      <w:tr>
        <w:trPr>
          <w:trHeight w:val="74"/>
        </w:trPr>
        <w:tc>
          <w:tcPr>
            <w:tcW w:w="8460" w:type="dxa"/>
            <w:vAlign w:val="bottom"/>
            <w:shd w:val="clear" w:color="auto" w:fill="E9F0F3"/>
          </w:tcPr>
          <w:p>
            <w:pPr>
              <w:spacing w:after="0"/>
              <w:rPr>
                <w:sz w:val="6"/>
                <w:szCs w:val="6"/>
                <w:color w:val="auto"/>
              </w:rPr>
            </w:pPr>
          </w:p>
        </w:tc>
        <w:tc>
          <w:tcPr>
            <w:tcW w:w="1800" w:type="dxa"/>
            <w:vAlign w:val="bottom"/>
            <w:shd w:val="clear" w:color="auto" w:fill="E9F0F3"/>
          </w:tcPr>
          <w:p>
            <w:pPr>
              <w:spacing w:after="0"/>
              <w:rPr>
                <w:sz w:val="6"/>
                <w:szCs w:val="6"/>
                <w:color w:val="auto"/>
              </w:rPr>
            </w:pPr>
          </w:p>
        </w:tc>
        <w:tc>
          <w:tcPr>
            <w:tcW w:w="680" w:type="dxa"/>
            <w:vAlign w:val="bottom"/>
            <w:shd w:val="clear" w:color="auto" w:fill="E9F0F3"/>
          </w:tcPr>
          <w:p>
            <w:pPr>
              <w:spacing w:after="0"/>
              <w:rPr>
                <w:sz w:val="6"/>
                <w:szCs w:val="6"/>
                <w:color w:val="auto"/>
              </w:rPr>
            </w:pPr>
          </w:p>
        </w:tc>
      </w:tr>
      <w:tr>
        <w:trPr>
          <w:trHeight w:val="229"/>
        </w:trPr>
        <w:tc>
          <w:tcPr>
            <w:tcW w:w="8460" w:type="dxa"/>
            <w:vAlign w:val="bottom"/>
          </w:tcPr>
          <w:p>
            <w:pPr>
              <w:ind w:left="60"/>
              <w:spacing w:after="0"/>
              <w:rPr>
                <w:sz w:val="20"/>
                <w:szCs w:val="20"/>
                <w:color w:val="auto"/>
              </w:rPr>
            </w:pPr>
            <w:r>
              <w:rPr>
                <w:rFonts w:ascii="Arial" w:cs="Arial" w:eastAsia="Arial" w:hAnsi="Arial"/>
                <w:sz w:val="14"/>
                <w:szCs w:val="14"/>
                <w:b w:val="1"/>
                <w:bCs w:val="1"/>
                <w:color w:val="auto"/>
              </w:rPr>
              <w:t>Items excluded:</w:t>
            </w:r>
          </w:p>
        </w:tc>
        <w:tc>
          <w:tcPr>
            <w:tcW w:w="18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66"/>
        </w:trPr>
        <w:tc>
          <w:tcPr>
            <w:tcW w:w="84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680" w:type="dxa"/>
            <w:vAlign w:val="bottom"/>
          </w:tcPr>
          <w:p>
            <w:pPr>
              <w:spacing w:after="0"/>
              <w:rPr>
                <w:sz w:val="5"/>
                <w:szCs w:val="5"/>
                <w:color w:val="auto"/>
              </w:rPr>
            </w:pPr>
          </w:p>
        </w:tc>
      </w:tr>
      <w:tr>
        <w:trPr>
          <w:trHeight w:val="221"/>
        </w:trPr>
        <w:tc>
          <w:tcPr>
            <w:tcW w:w="8460" w:type="dxa"/>
            <w:vAlign w:val="bottom"/>
            <w:shd w:val="clear" w:color="auto" w:fill="E9F0F3"/>
          </w:tcPr>
          <w:p>
            <w:pPr>
              <w:ind w:left="60"/>
              <w:spacing w:after="0"/>
              <w:rPr>
                <w:sz w:val="20"/>
                <w:szCs w:val="20"/>
                <w:color w:val="auto"/>
              </w:rPr>
            </w:pPr>
            <w:r>
              <w:rPr>
                <w:rFonts w:ascii="Arial" w:cs="Arial" w:eastAsia="Arial" w:hAnsi="Arial"/>
                <w:sz w:val="14"/>
                <w:szCs w:val="14"/>
                <w:color w:val="auto"/>
              </w:rPr>
              <w:t>SG&amp;A expenses associated with Growth Driver 5 actions</w:t>
            </w:r>
          </w:p>
        </w:tc>
        <w:tc>
          <w:tcPr>
            <w:tcW w:w="1800" w:type="dxa"/>
            <w:vAlign w:val="bottom"/>
            <w:shd w:val="clear" w:color="auto" w:fill="E9F0F3"/>
          </w:tcPr>
          <w:p>
            <w:pPr>
              <w:jc w:val="right"/>
              <w:ind w:right="229"/>
              <w:spacing w:after="0"/>
              <w:rPr>
                <w:sz w:val="20"/>
                <w:szCs w:val="20"/>
                <w:color w:val="auto"/>
              </w:rPr>
            </w:pPr>
            <w:r>
              <w:rPr>
                <w:rFonts w:ascii="Arial" w:cs="Arial" w:eastAsia="Arial" w:hAnsi="Arial"/>
                <w:sz w:val="14"/>
                <w:szCs w:val="14"/>
                <w:color w:val="auto"/>
              </w:rPr>
              <w:t>93</w:t>
            </w:r>
          </w:p>
        </w:tc>
        <w:tc>
          <w:tcPr>
            <w:tcW w:w="6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33</w:t>
            </w:r>
          </w:p>
        </w:tc>
      </w:tr>
      <w:tr>
        <w:trPr>
          <w:trHeight w:val="74"/>
        </w:trPr>
        <w:tc>
          <w:tcPr>
            <w:tcW w:w="8460" w:type="dxa"/>
            <w:vAlign w:val="bottom"/>
            <w:shd w:val="clear" w:color="auto" w:fill="E9F0F3"/>
          </w:tcPr>
          <w:p>
            <w:pPr>
              <w:spacing w:after="0"/>
              <w:rPr>
                <w:sz w:val="6"/>
                <w:szCs w:val="6"/>
                <w:color w:val="auto"/>
              </w:rPr>
            </w:pPr>
          </w:p>
        </w:tc>
        <w:tc>
          <w:tcPr>
            <w:tcW w:w="1800" w:type="dxa"/>
            <w:vAlign w:val="bottom"/>
            <w:shd w:val="clear" w:color="auto" w:fill="E9F0F3"/>
          </w:tcPr>
          <w:p>
            <w:pPr>
              <w:spacing w:after="0"/>
              <w:rPr>
                <w:sz w:val="6"/>
                <w:szCs w:val="6"/>
                <w:color w:val="auto"/>
              </w:rPr>
            </w:pPr>
          </w:p>
        </w:tc>
        <w:tc>
          <w:tcPr>
            <w:tcW w:w="680" w:type="dxa"/>
            <w:vAlign w:val="bottom"/>
            <w:shd w:val="clear" w:color="auto" w:fill="E9F0F3"/>
          </w:tcPr>
          <w:p>
            <w:pPr>
              <w:spacing w:after="0"/>
              <w:rPr>
                <w:sz w:val="6"/>
                <w:szCs w:val="6"/>
                <w:color w:val="auto"/>
              </w:rPr>
            </w:pPr>
          </w:p>
        </w:tc>
      </w:tr>
      <w:tr>
        <w:trPr>
          <w:trHeight w:val="221"/>
        </w:trPr>
        <w:tc>
          <w:tcPr>
            <w:tcW w:w="8460" w:type="dxa"/>
            <w:vAlign w:val="bottom"/>
          </w:tcPr>
          <w:p>
            <w:pPr>
              <w:ind w:left="60"/>
              <w:spacing w:after="0"/>
              <w:rPr>
                <w:sz w:val="20"/>
                <w:szCs w:val="20"/>
                <w:color w:val="auto"/>
              </w:rPr>
            </w:pPr>
            <w:r>
              <w:rPr>
                <w:rFonts w:ascii="Arial" w:cs="Arial" w:eastAsia="Arial" w:hAnsi="Arial"/>
                <w:sz w:val="14"/>
                <w:szCs w:val="14"/>
                <w:color w:val="auto"/>
              </w:rPr>
              <w:t>SG&amp;A expenses associated with the Mr. Hilfiger amendment</w:t>
            </w:r>
          </w:p>
        </w:tc>
        <w:tc>
          <w:tcPr>
            <w:tcW w:w="18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74"/>
        </w:trPr>
        <w:tc>
          <w:tcPr>
            <w:tcW w:w="84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221"/>
        </w:trPr>
        <w:tc>
          <w:tcPr>
            <w:tcW w:w="8460" w:type="dxa"/>
            <w:vAlign w:val="bottom"/>
            <w:shd w:val="clear" w:color="auto" w:fill="E9F0F3"/>
          </w:tcPr>
          <w:p>
            <w:pPr>
              <w:ind w:left="60"/>
              <w:spacing w:after="0"/>
              <w:rPr>
                <w:sz w:val="20"/>
                <w:szCs w:val="20"/>
                <w:color w:val="auto"/>
              </w:rPr>
            </w:pPr>
            <w:r>
              <w:rPr>
                <w:rFonts w:ascii="Arial" w:cs="Arial" w:eastAsia="Arial" w:hAnsi="Arial"/>
                <w:sz w:val="14"/>
                <w:szCs w:val="14"/>
                <w:color w:val="auto"/>
              </w:rPr>
              <w:t>Goodwill and other intangible asset impairments</w:t>
            </w:r>
          </w:p>
        </w:tc>
        <w:tc>
          <w:tcPr>
            <w:tcW w:w="1800" w:type="dxa"/>
            <w:vAlign w:val="bottom"/>
            <w:shd w:val="clear" w:color="auto" w:fill="E9F0F3"/>
          </w:tcPr>
          <w:p>
            <w:pPr>
              <w:jc w:val="right"/>
              <w:ind w:right="229"/>
              <w:spacing w:after="0"/>
              <w:rPr>
                <w:sz w:val="20"/>
                <w:szCs w:val="20"/>
                <w:color w:val="auto"/>
              </w:rPr>
            </w:pPr>
            <w:r>
              <w:rPr>
                <w:rFonts w:ascii="Arial" w:cs="Arial" w:eastAsia="Arial" w:hAnsi="Arial"/>
                <w:sz w:val="14"/>
                <w:szCs w:val="14"/>
                <w:color w:val="auto"/>
              </w:rPr>
              <w:t>480</w:t>
            </w:r>
          </w:p>
        </w:tc>
        <w:tc>
          <w:tcPr>
            <w:tcW w:w="680" w:type="dxa"/>
            <w:vAlign w:val="bottom"/>
            <w:shd w:val="clear" w:color="auto" w:fill="E9F0F3"/>
          </w:tcPr>
          <w:p>
            <w:pPr>
              <w:spacing w:after="0"/>
              <w:rPr>
                <w:sz w:val="19"/>
                <w:szCs w:val="19"/>
                <w:color w:val="auto"/>
              </w:rPr>
            </w:pPr>
          </w:p>
        </w:tc>
      </w:tr>
      <w:tr>
        <w:trPr>
          <w:trHeight w:val="74"/>
        </w:trPr>
        <w:tc>
          <w:tcPr>
            <w:tcW w:w="8460" w:type="dxa"/>
            <w:vAlign w:val="bottom"/>
            <w:shd w:val="clear" w:color="auto" w:fill="E9F0F3"/>
          </w:tcPr>
          <w:p>
            <w:pPr>
              <w:spacing w:after="0"/>
              <w:rPr>
                <w:sz w:val="6"/>
                <w:szCs w:val="6"/>
                <w:color w:val="auto"/>
              </w:rPr>
            </w:pPr>
          </w:p>
        </w:tc>
        <w:tc>
          <w:tcPr>
            <w:tcW w:w="1800" w:type="dxa"/>
            <w:vAlign w:val="bottom"/>
            <w:shd w:val="clear" w:color="auto" w:fill="E9F0F3"/>
          </w:tcPr>
          <w:p>
            <w:pPr>
              <w:spacing w:after="0"/>
              <w:rPr>
                <w:sz w:val="6"/>
                <w:szCs w:val="6"/>
                <w:color w:val="auto"/>
              </w:rPr>
            </w:pPr>
          </w:p>
        </w:tc>
        <w:tc>
          <w:tcPr>
            <w:tcW w:w="680" w:type="dxa"/>
            <w:vAlign w:val="bottom"/>
            <w:shd w:val="clear" w:color="auto" w:fill="E9F0F3"/>
          </w:tcPr>
          <w:p>
            <w:pPr>
              <w:spacing w:after="0"/>
              <w:rPr>
                <w:sz w:val="6"/>
                <w:szCs w:val="6"/>
                <w:color w:val="auto"/>
              </w:rPr>
            </w:pPr>
          </w:p>
        </w:tc>
      </w:tr>
      <w:tr>
        <w:trPr>
          <w:trHeight w:val="221"/>
        </w:trPr>
        <w:tc>
          <w:tcPr>
            <w:tcW w:w="8460" w:type="dxa"/>
            <w:vAlign w:val="bottom"/>
          </w:tcPr>
          <w:p>
            <w:pPr>
              <w:ind w:left="60"/>
              <w:spacing w:after="0"/>
              <w:rPr>
                <w:sz w:val="20"/>
                <w:szCs w:val="20"/>
                <w:color w:val="auto"/>
              </w:rPr>
            </w:pPr>
            <w:r>
              <w:rPr>
                <w:rFonts w:ascii="Arial" w:cs="Arial" w:eastAsia="Arial" w:hAnsi="Arial"/>
                <w:sz w:val="14"/>
                <w:szCs w:val="14"/>
                <w:color w:val="auto"/>
              </w:rPr>
              <w:t>Actuarial loss (gain) on retirement plans (recorded in non-service related pension and postretirement (cost) income)</w:t>
            </w:r>
          </w:p>
        </w:tc>
        <w:tc>
          <w:tcPr>
            <w:tcW w:w="1800" w:type="dxa"/>
            <w:vAlign w:val="bottom"/>
          </w:tcPr>
          <w:p>
            <w:pPr>
              <w:jc w:val="right"/>
              <w:ind w:right="229"/>
              <w:spacing w:after="0"/>
              <w:rPr>
                <w:sz w:val="20"/>
                <w:szCs w:val="20"/>
                <w:color w:val="auto"/>
              </w:rPr>
            </w:pPr>
            <w:r>
              <w:rPr>
                <w:rFonts w:ascii="Arial" w:cs="Arial" w:eastAsia="Arial" w:hAnsi="Arial"/>
                <w:sz w:val="14"/>
                <w:szCs w:val="14"/>
                <w:color w:val="auto"/>
              </w:rPr>
              <w:t>(13)</w:t>
            </w:r>
          </w:p>
        </w:tc>
        <w:tc>
          <w:tcPr>
            <w:tcW w:w="6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74"/>
        </w:trPr>
        <w:tc>
          <w:tcPr>
            <w:tcW w:w="84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221"/>
        </w:trPr>
        <w:tc>
          <w:tcPr>
            <w:tcW w:w="8460" w:type="dxa"/>
            <w:vAlign w:val="bottom"/>
            <w:shd w:val="clear" w:color="auto" w:fill="E9F0F3"/>
          </w:tcPr>
          <w:p>
            <w:pPr>
              <w:ind w:left="60"/>
              <w:spacing w:after="0"/>
              <w:rPr>
                <w:sz w:val="20"/>
                <w:szCs w:val="20"/>
                <w:color w:val="auto"/>
              </w:rPr>
            </w:pPr>
            <w:r>
              <w:rPr>
                <w:rFonts w:ascii="Arial" w:cs="Arial" w:eastAsia="Arial" w:hAnsi="Arial"/>
                <w:sz w:val="14"/>
                <w:szCs w:val="14"/>
                <w:color w:val="auto"/>
              </w:rPr>
              <w:t>Gain in connection with Growth Driver 5 actions (recorded in other gain)</w:t>
            </w:r>
          </w:p>
        </w:tc>
        <w:tc>
          <w:tcPr>
            <w:tcW w:w="1800" w:type="dxa"/>
            <w:vAlign w:val="bottom"/>
            <w:shd w:val="clear" w:color="auto" w:fill="E9F0F3"/>
          </w:tcPr>
          <w:p>
            <w:pPr>
              <w:spacing w:after="0"/>
              <w:rPr>
                <w:sz w:val="19"/>
                <w:szCs w:val="19"/>
                <w:color w:val="auto"/>
              </w:rPr>
            </w:pPr>
          </w:p>
        </w:tc>
        <w:tc>
          <w:tcPr>
            <w:tcW w:w="6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(10)</w:t>
            </w:r>
          </w:p>
        </w:tc>
      </w:tr>
      <w:tr>
        <w:trPr>
          <w:trHeight w:val="74"/>
        </w:trPr>
        <w:tc>
          <w:tcPr>
            <w:tcW w:w="8460" w:type="dxa"/>
            <w:vAlign w:val="bottom"/>
            <w:shd w:val="clear" w:color="auto" w:fill="E9F0F3"/>
          </w:tcPr>
          <w:p>
            <w:pPr>
              <w:spacing w:after="0"/>
              <w:rPr>
                <w:sz w:val="6"/>
                <w:szCs w:val="6"/>
                <w:color w:val="auto"/>
              </w:rPr>
            </w:pPr>
          </w:p>
        </w:tc>
        <w:tc>
          <w:tcPr>
            <w:tcW w:w="1800" w:type="dxa"/>
            <w:vAlign w:val="bottom"/>
            <w:shd w:val="clear" w:color="auto" w:fill="E9F0F3"/>
          </w:tcPr>
          <w:p>
            <w:pPr>
              <w:spacing w:after="0"/>
              <w:rPr>
                <w:sz w:val="6"/>
                <w:szCs w:val="6"/>
                <w:color w:val="auto"/>
              </w:rPr>
            </w:pPr>
          </w:p>
        </w:tc>
        <w:tc>
          <w:tcPr>
            <w:tcW w:w="680" w:type="dxa"/>
            <w:vAlign w:val="bottom"/>
            <w:shd w:val="clear" w:color="auto" w:fill="E9F0F3"/>
          </w:tcPr>
          <w:p>
            <w:pPr>
              <w:spacing w:after="0"/>
              <w:rPr>
                <w:sz w:val="6"/>
                <w:szCs w:val="6"/>
                <w:color w:val="auto"/>
              </w:rPr>
            </w:pPr>
          </w:p>
        </w:tc>
      </w:tr>
      <w:tr>
        <w:trPr>
          <w:trHeight w:val="221"/>
        </w:trPr>
        <w:tc>
          <w:tcPr>
            <w:tcW w:w="8460" w:type="dxa"/>
            <w:vAlign w:val="bottom"/>
          </w:tcPr>
          <w:p>
            <w:pPr>
              <w:ind w:left="60"/>
              <w:spacing w:after="0"/>
              <w:rPr>
                <w:sz w:val="20"/>
                <w:szCs w:val="20"/>
                <w:color w:val="auto"/>
              </w:rPr>
            </w:pPr>
            <w:r>
              <w:rPr>
                <w:rFonts w:ascii="Arial" w:cs="Arial" w:eastAsia="Arial" w:hAnsi="Arial"/>
                <w:sz w:val="14"/>
                <w:szCs w:val="14"/>
                <w:color w:val="auto"/>
              </w:rPr>
              <w:t>Gain in connection with the Heritage Brands intimates transaction (recorded in other gain)</w:t>
            </w:r>
          </w:p>
        </w:tc>
        <w:tc>
          <w:tcPr>
            <w:tcW w:w="18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74"/>
        </w:trPr>
        <w:tc>
          <w:tcPr>
            <w:tcW w:w="84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221"/>
        </w:trPr>
        <w:tc>
          <w:tcPr>
            <w:tcW w:w="8460" w:type="dxa"/>
            <w:vAlign w:val="bottom"/>
            <w:shd w:val="clear" w:color="auto" w:fill="E9F0F3"/>
          </w:tcPr>
          <w:p>
            <w:pPr>
              <w:ind w:left="60"/>
              <w:spacing w:after="0"/>
              <w:rPr>
                <w:sz w:val="20"/>
                <w:szCs w:val="20"/>
                <w:color w:val="auto"/>
              </w:rPr>
            </w:pPr>
            <w:r>
              <w:rPr>
                <w:rFonts w:ascii="Arial" w:cs="Arial" w:eastAsia="Arial" w:hAnsi="Arial"/>
                <w:sz w:val="14"/>
                <w:szCs w:val="14"/>
                <w:color w:val="auto"/>
              </w:rPr>
              <w:t>EBIT on a non-GAAP basis</w:t>
            </w:r>
          </w:p>
        </w:tc>
        <w:tc>
          <w:tcPr>
            <w:tcW w:w="1800" w:type="dxa"/>
            <w:vAlign w:val="bottom"/>
            <w:shd w:val="clear" w:color="auto" w:fill="E9F0F3"/>
          </w:tcPr>
          <w:p>
            <w:pPr>
              <w:jc w:val="right"/>
              <w:ind w:right="229"/>
              <w:spacing w:after="0"/>
              <w:rPr>
                <w:sz w:val="20"/>
                <w:szCs w:val="20"/>
                <w:color w:val="auto"/>
              </w:rPr>
            </w:pPr>
            <w:r>
              <w:rPr>
                <w:rFonts w:ascii="Arial" w:cs="Arial" w:eastAsia="Arial" w:hAnsi="Arial"/>
                <w:sz w:val="14"/>
                <w:szCs w:val="14"/>
                <w:color w:val="auto"/>
              </w:rPr>
              <w:t>$791</w:t>
            </w:r>
          </w:p>
        </w:tc>
        <w:tc>
          <w:tcPr>
            <w:tcW w:w="680" w:type="dxa"/>
            <w:vAlign w:val="bottom"/>
            <w:shd w:val="clear" w:color="auto" w:fill="E9F0F3"/>
          </w:tcPr>
          <w:p>
            <w:pPr>
              <w:jc w:val="right"/>
              <w:spacing w:after="0"/>
              <w:rPr>
                <w:sz w:val="20"/>
                <w:szCs w:val="20"/>
                <w:color w:val="auto"/>
              </w:rPr>
            </w:pPr>
            <w:r>
              <w:rPr>
                <w:rFonts w:ascii="Arial" w:cs="Arial" w:eastAsia="Arial" w:hAnsi="Arial"/>
                <w:sz w:val="14"/>
                <w:szCs w:val="14"/>
                <w:color w:val="auto"/>
              </w:rPr>
              <w:t>$865</w:t>
            </w:r>
          </w:p>
        </w:tc>
      </w:tr>
      <w:tr>
        <w:trPr>
          <w:trHeight w:val="74"/>
        </w:trPr>
        <w:tc>
          <w:tcPr>
            <w:tcW w:w="8460" w:type="dxa"/>
            <w:vAlign w:val="bottom"/>
            <w:shd w:val="clear" w:color="auto" w:fill="E9F0F3"/>
          </w:tcPr>
          <w:p>
            <w:pPr>
              <w:spacing w:after="0"/>
              <w:rPr>
                <w:sz w:val="6"/>
                <w:szCs w:val="6"/>
                <w:color w:val="auto"/>
              </w:rPr>
            </w:pPr>
          </w:p>
        </w:tc>
        <w:tc>
          <w:tcPr>
            <w:tcW w:w="1800" w:type="dxa"/>
            <w:vAlign w:val="bottom"/>
            <w:shd w:val="clear" w:color="auto" w:fill="E9F0F3"/>
          </w:tcPr>
          <w:p>
            <w:pPr>
              <w:spacing w:after="0"/>
              <w:rPr>
                <w:sz w:val="6"/>
                <w:szCs w:val="6"/>
                <w:color w:val="auto"/>
              </w:rPr>
            </w:pPr>
          </w:p>
        </w:tc>
        <w:tc>
          <w:tcPr>
            <w:tcW w:w="680" w:type="dxa"/>
            <w:vAlign w:val="bottom"/>
            <w:shd w:val="clear" w:color="auto" w:fill="E9F0F3"/>
          </w:tcPr>
          <w:p>
            <w:pPr>
              <w:spacing w:after="0"/>
              <w:rPr>
                <w:sz w:val="6"/>
                <w:szCs w:val="6"/>
                <w:color w:val="auto"/>
              </w:rPr>
            </w:pPr>
          </w:p>
        </w:tc>
      </w:tr>
    </w:tbl>
    <w:p>
      <w:pPr>
        <w:spacing w:after="0" w:line="17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 xml:space="preserve">A-2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6955155"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60" w:top="256" w:right="499" w:bottom="1440" w:gutter="0" w:footer="0" w:header="0"/>
        </w:sectPr>
      </w:pPr>
    </w:p>
    <w:bookmarkStart w:id="108" w:name="page109"/>
    <w:bookmarkEnd w:id="108"/>
    <w:p>
      <w:pPr>
        <w:ind w:left="20"/>
        <w:spacing w:after="0"/>
        <w:rPr>
          <w:sz w:val="20"/>
          <w:szCs w:val="20"/>
          <w:color w:val="auto"/>
        </w:rPr>
      </w:pPr>
      <w:r>
        <w:rPr>
          <w:rFonts w:ascii="Arial" w:cs="Arial" w:eastAsia="Arial" w:hAnsi="Arial"/>
          <w:sz w:val="41"/>
          <w:szCs w:val="41"/>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6D98AD"/>
        </w:rPr>
        <w:t>NEO Employment Agreements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00" w:type="dxa"/>
            <w:vAlign w:val="bottom"/>
            <w:shd w:val="clear" w:color="auto" w:fill="99B7C6"/>
          </w:tcPr>
          <w:p>
            <w:pPr>
              <w:ind w:left="60"/>
              <w:spacing w:after="0"/>
              <w:rPr>
                <w:sz w:val="20"/>
                <w:szCs w:val="20"/>
                <w:color w:val="auto"/>
              </w:rPr>
            </w:pPr>
            <w:r>
              <w:rPr>
                <w:rFonts w:ascii="Arial" w:cs="Arial" w:eastAsia="Arial" w:hAnsi="Arial"/>
                <w:sz w:val="11"/>
                <w:szCs w:val="11"/>
                <w:b w:val="1"/>
                <w:bCs w:val="1"/>
                <w:color w:val="FFFFFF"/>
              </w:rPr>
              <w:t>Name</w:t>
            </w:r>
          </w:p>
        </w:tc>
        <w:tc>
          <w:tcPr>
            <w:tcW w:w="3560" w:type="dxa"/>
            <w:vAlign w:val="bottom"/>
            <w:gridSpan w:val="2"/>
            <w:shd w:val="clear" w:color="auto" w:fill="99B7C6"/>
          </w:tcPr>
          <w:p>
            <w:pPr>
              <w:ind w:left="200"/>
              <w:spacing w:after="0"/>
              <w:rPr>
                <w:sz w:val="20"/>
                <w:szCs w:val="20"/>
                <w:color w:val="auto"/>
              </w:rPr>
            </w:pPr>
            <w:r>
              <w:rPr>
                <w:rFonts w:ascii="Arial" w:cs="Arial" w:eastAsia="Arial" w:hAnsi="Arial"/>
                <w:sz w:val="11"/>
                <w:szCs w:val="11"/>
                <w:b w:val="1"/>
                <w:bCs w:val="1"/>
                <w:color w:val="FFFFFF"/>
              </w:rPr>
              <w:t>Description</w:t>
            </w:r>
          </w:p>
        </w:tc>
        <w:tc>
          <w:tcPr>
            <w:tcW w:w="5780" w:type="dxa"/>
            <w:vAlign w:val="bottom"/>
            <w:shd w:val="clear" w:color="auto" w:fill="99B7C6"/>
          </w:tcPr>
          <w:p>
            <w:pPr>
              <w:ind w:left="160"/>
              <w:spacing w:after="0"/>
              <w:rPr>
                <w:sz w:val="20"/>
                <w:szCs w:val="20"/>
                <w:color w:val="auto"/>
              </w:rPr>
            </w:pPr>
            <w:r>
              <w:rPr>
                <w:rFonts w:ascii="Arial" w:cs="Arial" w:eastAsia="Arial" w:hAnsi="Arial"/>
                <w:sz w:val="11"/>
                <w:szCs w:val="11"/>
                <w:b w:val="1"/>
                <w:bCs w:val="1"/>
                <w:color w:val="FFFFFF"/>
              </w:rPr>
              <w:t>SEC Filing</w:t>
            </w:r>
          </w:p>
        </w:tc>
      </w:tr>
      <w:tr>
        <w:trPr>
          <w:trHeight w:val="66"/>
        </w:trPr>
        <w:tc>
          <w:tcPr>
            <w:tcW w:w="1600" w:type="dxa"/>
            <w:vAlign w:val="bottom"/>
            <w:shd w:val="clear" w:color="auto" w:fill="99B7C6"/>
          </w:tcPr>
          <w:p>
            <w:pPr>
              <w:spacing w:after="0"/>
              <w:rPr>
                <w:sz w:val="5"/>
                <w:szCs w:val="5"/>
                <w:color w:val="auto"/>
              </w:rPr>
            </w:pPr>
          </w:p>
        </w:tc>
        <w:tc>
          <w:tcPr>
            <w:tcW w:w="300" w:type="dxa"/>
            <w:vAlign w:val="bottom"/>
            <w:shd w:val="clear" w:color="auto" w:fill="99B7C6"/>
          </w:tcPr>
          <w:p>
            <w:pPr>
              <w:spacing w:after="0"/>
              <w:rPr>
                <w:sz w:val="5"/>
                <w:szCs w:val="5"/>
                <w:color w:val="auto"/>
              </w:rPr>
            </w:pPr>
          </w:p>
        </w:tc>
        <w:tc>
          <w:tcPr>
            <w:tcW w:w="3260" w:type="dxa"/>
            <w:vAlign w:val="bottom"/>
            <w:shd w:val="clear" w:color="auto" w:fill="99B7C6"/>
          </w:tcPr>
          <w:p>
            <w:pPr>
              <w:spacing w:after="0"/>
              <w:rPr>
                <w:sz w:val="5"/>
                <w:szCs w:val="5"/>
                <w:color w:val="auto"/>
              </w:rPr>
            </w:pPr>
          </w:p>
        </w:tc>
        <w:tc>
          <w:tcPr>
            <w:tcW w:w="5780" w:type="dxa"/>
            <w:vAlign w:val="bottom"/>
            <w:shd w:val="clear" w:color="auto" w:fill="99B7C6"/>
          </w:tcPr>
          <w:p>
            <w:pPr>
              <w:spacing w:after="0"/>
              <w:rPr>
                <w:sz w:val="5"/>
                <w:szCs w:val="5"/>
                <w:color w:val="auto"/>
              </w:rPr>
            </w:pPr>
          </w:p>
        </w:tc>
      </w:tr>
      <w:tr>
        <w:trPr>
          <w:trHeight w:val="229"/>
        </w:trPr>
        <w:tc>
          <w:tcPr>
            <w:tcW w:w="16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Stefan Larsson</w:t>
            </w:r>
          </w:p>
        </w:tc>
        <w:tc>
          <w:tcPr>
            <w:tcW w:w="300" w:type="dxa"/>
            <w:vAlign w:val="bottom"/>
            <w:shd w:val="clear" w:color="auto" w:fill="E9F0F3"/>
          </w:tcPr>
          <w:p>
            <w:pPr>
              <w:ind w:left="200"/>
              <w:spacing w:after="0"/>
              <w:rPr>
                <w:sz w:val="20"/>
                <w:szCs w:val="20"/>
                <w:color w:val="auto"/>
              </w:rPr>
            </w:pPr>
            <w:r>
              <w:rPr>
                <w:rFonts w:ascii="Arial" w:cs="Arial" w:eastAsia="Arial" w:hAnsi="Arial"/>
                <w:sz w:val="14"/>
                <w:szCs w:val="14"/>
                <w:color w:val="auto"/>
              </w:rPr>
              <w:t>•</w:t>
            </w:r>
          </w:p>
        </w:tc>
        <w:tc>
          <w:tcPr>
            <w:tcW w:w="3260" w:type="dxa"/>
            <w:vAlign w:val="bottom"/>
            <w:shd w:val="clear" w:color="auto" w:fill="E9F0F3"/>
          </w:tcPr>
          <w:p>
            <w:pPr>
              <w:ind w:left="40"/>
              <w:spacing w:after="0"/>
              <w:rPr>
                <w:sz w:val="20"/>
                <w:szCs w:val="20"/>
                <w:color w:val="auto"/>
              </w:rPr>
            </w:pPr>
            <w:r>
              <w:rPr>
                <w:rFonts w:ascii="Arial" w:cs="Arial" w:eastAsia="Arial" w:hAnsi="Arial"/>
                <w:sz w:val="14"/>
                <w:szCs w:val="14"/>
                <w:color w:val="auto"/>
              </w:rPr>
              <w:t>Employment Agreement</w:t>
            </w:r>
          </w:p>
        </w:tc>
        <w:tc>
          <w:tcPr>
            <w:tcW w:w="5780" w:type="dxa"/>
            <w:vAlign w:val="bottom"/>
            <w:shd w:val="clear" w:color="auto" w:fill="E9F0F3"/>
          </w:tcPr>
          <w:p>
            <w:pPr>
              <w:ind w:left="160"/>
              <w:spacing w:after="0"/>
              <w:rPr>
                <w:sz w:val="20"/>
                <w:szCs w:val="20"/>
                <w:color w:val="auto"/>
              </w:rPr>
            </w:pPr>
            <w:r>
              <w:rPr>
                <w:rFonts w:ascii="Arial" w:cs="Arial" w:eastAsia="Arial" w:hAnsi="Arial"/>
                <w:sz w:val="14"/>
                <w:szCs w:val="14"/>
                <w:color w:val="auto"/>
              </w:rPr>
              <w:t>• Current Report on Form 8-K filed on May 22, 2019, Exhibit 10.1</w:t>
            </w:r>
          </w:p>
        </w:tc>
      </w:tr>
      <w:tr>
        <w:trPr>
          <w:trHeight w:val="251"/>
        </w:trPr>
        <w:tc>
          <w:tcPr>
            <w:tcW w:w="1600" w:type="dxa"/>
            <w:vAlign w:val="bottom"/>
            <w:shd w:val="clear" w:color="auto" w:fill="E9F0F3"/>
          </w:tcPr>
          <w:p>
            <w:pPr>
              <w:spacing w:after="0"/>
              <w:rPr>
                <w:sz w:val="21"/>
                <w:szCs w:val="21"/>
                <w:color w:val="auto"/>
              </w:rPr>
            </w:pPr>
          </w:p>
        </w:tc>
        <w:tc>
          <w:tcPr>
            <w:tcW w:w="3560" w:type="dxa"/>
            <w:vAlign w:val="bottom"/>
            <w:gridSpan w:val="2"/>
            <w:shd w:val="clear" w:color="auto" w:fill="E9F0F3"/>
          </w:tcPr>
          <w:p>
            <w:pPr>
              <w:ind w:left="200"/>
              <w:spacing w:after="0"/>
              <w:rPr>
                <w:sz w:val="20"/>
                <w:szCs w:val="20"/>
                <w:color w:val="auto"/>
              </w:rPr>
            </w:pPr>
            <w:r>
              <w:rPr>
                <w:rFonts w:ascii="Arial" w:cs="Arial" w:eastAsia="Arial" w:hAnsi="Arial"/>
                <w:sz w:val="14"/>
                <w:szCs w:val="14"/>
                <w:color w:val="auto"/>
              </w:rPr>
              <w:t>• First Amendment to Employment Agreement</w:t>
            </w:r>
          </w:p>
        </w:tc>
        <w:tc>
          <w:tcPr>
            <w:tcW w:w="5780" w:type="dxa"/>
            <w:vAlign w:val="bottom"/>
            <w:shd w:val="clear" w:color="auto" w:fill="E9F0F3"/>
          </w:tcPr>
          <w:p>
            <w:pPr>
              <w:ind w:left="160"/>
              <w:spacing w:after="0"/>
              <w:rPr>
                <w:sz w:val="20"/>
                <w:szCs w:val="20"/>
                <w:color w:val="auto"/>
              </w:rPr>
            </w:pPr>
            <w:r>
              <w:rPr>
                <w:rFonts w:ascii="Arial" w:cs="Arial" w:eastAsia="Arial" w:hAnsi="Arial"/>
                <w:sz w:val="14"/>
                <w:szCs w:val="14"/>
                <w:color w:val="auto"/>
              </w:rPr>
              <w:t>• Current Report on Form 8-K filed on February 1, 2021, Exhibit 10.1</w:t>
            </w:r>
          </w:p>
        </w:tc>
      </w:tr>
      <w:tr>
        <w:trPr>
          <w:trHeight w:val="121"/>
        </w:trPr>
        <w:tc>
          <w:tcPr>
            <w:tcW w:w="1600" w:type="dxa"/>
            <w:vAlign w:val="bottom"/>
            <w:shd w:val="clear" w:color="auto" w:fill="E9F0F3"/>
          </w:tcPr>
          <w:p>
            <w:pPr>
              <w:spacing w:after="0"/>
              <w:rPr>
                <w:sz w:val="10"/>
                <w:szCs w:val="10"/>
                <w:color w:val="auto"/>
              </w:rPr>
            </w:pPr>
          </w:p>
        </w:tc>
        <w:tc>
          <w:tcPr>
            <w:tcW w:w="300" w:type="dxa"/>
            <w:vAlign w:val="bottom"/>
            <w:shd w:val="clear" w:color="auto" w:fill="E9F0F3"/>
          </w:tcPr>
          <w:p>
            <w:pPr>
              <w:spacing w:after="0"/>
              <w:rPr>
                <w:sz w:val="10"/>
                <w:szCs w:val="10"/>
                <w:color w:val="auto"/>
              </w:rPr>
            </w:pPr>
          </w:p>
        </w:tc>
        <w:tc>
          <w:tcPr>
            <w:tcW w:w="3260" w:type="dxa"/>
            <w:vAlign w:val="bottom"/>
            <w:shd w:val="clear" w:color="auto" w:fill="E9F0F3"/>
          </w:tcPr>
          <w:p>
            <w:pPr>
              <w:spacing w:after="0"/>
              <w:rPr>
                <w:sz w:val="10"/>
                <w:szCs w:val="10"/>
                <w:color w:val="auto"/>
              </w:rPr>
            </w:pPr>
          </w:p>
        </w:tc>
        <w:tc>
          <w:tcPr>
            <w:tcW w:w="5780" w:type="dxa"/>
            <w:vAlign w:val="bottom"/>
            <w:shd w:val="clear" w:color="auto" w:fill="E9F0F3"/>
          </w:tcPr>
          <w:p>
            <w:pPr>
              <w:spacing w:after="0"/>
              <w:rPr>
                <w:sz w:val="10"/>
                <w:szCs w:val="10"/>
                <w:color w:val="auto"/>
              </w:rPr>
            </w:pPr>
          </w:p>
        </w:tc>
      </w:tr>
      <w:tr>
        <w:trPr>
          <w:trHeight w:val="229"/>
        </w:trPr>
        <w:tc>
          <w:tcPr>
            <w:tcW w:w="1600" w:type="dxa"/>
            <w:vAlign w:val="bottom"/>
          </w:tcPr>
          <w:p>
            <w:pPr>
              <w:ind w:left="60"/>
              <w:spacing w:after="0"/>
              <w:rPr>
                <w:sz w:val="20"/>
                <w:szCs w:val="20"/>
                <w:color w:val="auto"/>
              </w:rPr>
            </w:pPr>
            <w:r>
              <w:rPr>
                <w:rFonts w:ascii="Arial" w:cs="Arial" w:eastAsia="Arial" w:hAnsi="Arial"/>
                <w:sz w:val="14"/>
                <w:szCs w:val="14"/>
                <w:b w:val="1"/>
                <w:bCs w:val="1"/>
                <w:color w:val="auto"/>
              </w:rPr>
              <w:t>Melissa Stone</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3260" w:type="dxa"/>
            <w:vAlign w:val="bottom"/>
          </w:tcPr>
          <w:p>
            <w:pPr>
              <w:ind w:left="40"/>
              <w:spacing w:after="0"/>
              <w:rPr>
                <w:sz w:val="20"/>
                <w:szCs w:val="20"/>
                <w:color w:val="auto"/>
              </w:rPr>
            </w:pPr>
            <w:r>
              <w:rPr>
                <w:rFonts w:ascii="Arial" w:cs="Arial" w:eastAsia="Arial" w:hAnsi="Arial"/>
                <w:sz w:val="14"/>
                <w:szCs w:val="14"/>
                <w:color w:val="auto"/>
              </w:rPr>
              <w:t>Employment Agreement</w:t>
            </w:r>
          </w:p>
        </w:tc>
        <w:tc>
          <w:tcPr>
            <w:tcW w:w="5780" w:type="dxa"/>
            <w:vAlign w:val="bottom"/>
          </w:tcPr>
          <w:p>
            <w:pPr>
              <w:ind w:left="160"/>
              <w:spacing w:after="0"/>
              <w:rPr>
                <w:sz w:val="20"/>
                <w:szCs w:val="20"/>
                <w:color w:val="auto"/>
              </w:rPr>
            </w:pPr>
            <w:r>
              <w:rPr>
                <w:rFonts w:ascii="Arial" w:cs="Arial" w:eastAsia="Arial" w:hAnsi="Arial"/>
                <w:sz w:val="14"/>
                <w:szCs w:val="14"/>
                <w:color w:val="auto"/>
              </w:rPr>
              <w:t>• Annual Report on Form 10-K for the fiscal year ended February 1, 2026, Exhibit 10.22</w:t>
            </w:r>
          </w:p>
        </w:tc>
      </w:tr>
      <w:tr>
        <w:trPr>
          <w:trHeight w:val="113"/>
        </w:trPr>
        <w:tc>
          <w:tcPr>
            <w:tcW w:w="1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60" w:type="dxa"/>
            <w:vAlign w:val="bottom"/>
          </w:tcPr>
          <w:p>
            <w:pPr>
              <w:spacing w:after="0"/>
              <w:rPr>
                <w:sz w:val="9"/>
                <w:szCs w:val="9"/>
                <w:color w:val="auto"/>
              </w:rPr>
            </w:pPr>
          </w:p>
        </w:tc>
        <w:tc>
          <w:tcPr>
            <w:tcW w:w="5780" w:type="dxa"/>
            <w:vAlign w:val="bottom"/>
          </w:tcPr>
          <w:p>
            <w:pPr>
              <w:spacing w:after="0"/>
              <w:rPr>
                <w:sz w:val="9"/>
                <w:szCs w:val="9"/>
                <w:color w:val="auto"/>
              </w:rPr>
            </w:pPr>
          </w:p>
        </w:tc>
      </w:tr>
      <w:tr>
        <w:trPr>
          <w:trHeight w:val="229"/>
        </w:trPr>
        <w:tc>
          <w:tcPr>
            <w:tcW w:w="16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Lea Rytz Goldman</w:t>
            </w:r>
          </w:p>
        </w:tc>
        <w:tc>
          <w:tcPr>
            <w:tcW w:w="300" w:type="dxa"/>
            <w:vAlign w:val="bottom"/>
            <w:shd w:val="clear" w:color="auto" w:fill="E9F0F3"/>
          </w:tcPr>
          <w:p>
            <w:pPr>
              <w:ind w:left="200"/>
              <w:spacing w:after="0"/>
              <w:rPr>
                <w:sz w:val="20"/>
                <w:szCs w:val="20"/>
                <w:color w:val="auto"/>
              </w:rPr>
            </w:pPr>
            <w:r>
              <w:rPr>
                <w:rFonts w:ascii="Arial" w:cs="Arial" w:eastAsia="Arial" w:hAnsi="Arial"/>
                <w:sz w:val="14"/>
                <w:szCs w:val="14"/>
                <w:color w:val="auto"/>
              </w:rPr>
              <w:t>•</w:t>
            </w:r>
          </w:p>
        </w:tc>
        <w:tc>
          <w:tcPr>
            <w:tcW w:w="3260" w:type="dxa"/>
            <w:vAlign w:val="bottom"/>
            <w:shd w:val="clear" w:color="auto" w:fill="E9F0F3"/>
          </w:tcPr>
          <w:p>
            <w:pPr>
              <w:ind w:left="40"/>
              <w:spacing w:after="0"/>
              <w:rPr>
                <w:sz w:val="20"/>
                <w:szCs w:val="20"/>
                <w:color w:val="auto"/>
              </w:rPr>
            </w:pPr>
            <w:r>
              <w:rPr>
                <w:rFonts w:ascii="Arial" w:cs="Arial" w:eastAsia="Arial" w:hAnsi="Arial"/>
                <w:sz w:val="14"/>
                <w:szCs w:val="14"/>
                <w:color w:val="auto"/>
              </w:rPr>
              <w:t>Employment Agreement</w:t>
            </w:r>
          </w:p>
        </w:tc>
        <w:tc>
          <w:tcPr>
            <w:tcW w:w="5780" w:type="dxa"/>
            <w:vAlign w:val="bottom"/>
            <w:shd w:val="clear" w:color="auto" w:fill="E9F0F3"/>
          </w:tcPr>
          <w:p>
            <w:pPr>
              <w:ind w:left="160"/>
              <w:spacing w:after="0"/>
              <w:rPr>
                <w:sz w:val="20"/>
                <w:szCs w:val="20"/>
                <w:color w:val="auto"/>
              </w:rPr>
            </w:pPr>
            <w:r>
              <w:rPr>
                <w:rFonts w:ascii="Arial" w:cs="Arial" w:eastAsia="Arial" w:hAnsi="Arial"/>
                <w:sz w:val="14"/>
                <w:szCs w:val="14"/>
                <w:color w:val="auto"/>
              </w:rPr>
              <w:t>• Annual Report on Form 10-K for the fiscal year ended February 2, 2025, Exhibit 10.23</w:t>
            </w:r>
          </w:p>
        </w:tc>
      </w:tr>
      <w:tr>
        <w:trPr>
          <w:trHeight w:val="66"/>
        </w:trPr>
        <w:tc>
          <w:tcPr>
            <w:tcW w:w="1600" w:type="dxa"/>
            <w:vAlign w:val="bottom"/>
            <w:shd w:val="clear" w:color="auto" w:fill="E9F0F3"/>
          </w:tcPr>
          <w:p>
            <w:pPr>
              <w:spacing w:after="0"/>
              <w:rPr>
                <w:sz w:val="5"/>
                <w:szCs w:val="5"/>
                <w:color w:val="auto"/>
              </w:rPr>
            </w:pPr>
          </w:p>
        </w:tc>
        <w:tc>
          <w:tcPr>
            <w:tcW w:w="300" w:type="dxa"/>
            <w:vAlign w:val="bottom"/>
            <w:shd w:val="clear" w:color="auto" w:fill="E9F0F3"/>
          </w:tcPr>
          <w:p>
            <w:pPr>
              <w:spacing w:after="0"/>
              <w:rPr>
                <w:sz w:val="5"/>
                <w:szCs w:val="5"/>
                <w:color w:val="auto"/>
              </w:rPr>
            </w:pPr>
          </w:p>
        </w:tc>
        <w:tc>
          <w:tcPr>
            <w:tcW w:w="3260" w:type="dxa"/>
            <w:vAlign w:val="bottom"/>
            <w:shd w:val="clear" w:color="auto" w:fill="E9F0F3"/>
          </w:tcPr>
          <w:p>
            <w:pPr>
              <w:spacing w:after="0"/>
              <w:rPr>
                <w:sz w:val="5"/>
                <w:szCs w:val="5"/>
                <w:color w:val="auto"/>
              </w:rPr>
            </w:pPr>
          </w:p>
        </w:tc>
        <w:tc>
          <w:tcPr>
            <w:tcW w:w="5780" w:type="dxa"/>
            <w:vAlign w:val="bottom"/>
            <w:shd w:val="clear" w:color="auto" w:fill="E9F0F3"/>
          </w:tcPr>
          <w:p>
            <w:pPr>
              <w:spacing w:after="0"/>
              <w:rPr>
                <w:sz w:val="5"/>
                <w:szCs w:val="5"/>
                <w:color w:val="auto"/>
              </w:rPr>
            </w:pPr>
          </w:p>
        </w:tc>
      </w:tr>
      <w:tr>
        <w:trPr>
          <w:trHeight w:val="229"/>
        </w:trPr>
        <w:tc>
          <w:tcPr>
            <w:tcW w:w="1600" w:type="dxa"/>
            <w:vAlign w:val="bottom"/>
          </w:tcPr>
          <w:p>
            <w:pPr>
              <w:ind w:left="60"/>
              <w:spacing w:after="0"/>
              <w:rPr>
                <w:sz w:val="20"/>
                <w:szCs w:val="20"/>
                <w:color w:val="auto"/>
              </w:rPr>
            </w:pPr>
            <w:r>
              <w:rPr>
                <w:rFonts w:ascii="Arial" w:cs="Arial" w:eastAsia="Arial" w:hAnsi="Arial"/>
                <w:sz w:val="14"/>
                <w:szCs w:val="14"/>
                <w:b w:val="1"/>
                <w:bCs w:val="1"/>
                <w:color w:val="auto"/>
              </w:rPr>
              <w:t>Fredrik Olsson</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3260" w:type="dxa"/>
            <w:vAlign w:val="bottom"/>
          </w:tcPr>
          <w:p>
            <w:pPr>
              <w:ind w:left="40"/>
              <w:spacing w:after="0"/>
              <w:rPr>
                <w:sz w:val="20"/>
                <w:szCs w:val="20"/>
                <w:color w:val="auto"/>
              </w:rPr>
            </w:pPr>
            <w:r>
              <w:rPr>
                <w:rFonts w:ascii="Arial" w:cs="Arial" w:eastAsia="Arial" w:hAnsi="Arial"/>
                <w:sz w:val="14"/>
                <w:szCs w:val="14"/>
                <w:color w:val="auto"/>
              </w:rPr>
              <w:t>Employment Agreement</w:t>
            </w:r>
          </w:p>
        </w:tc>
        <w:tc>
          <w:tcPr>
            <w:tcW w:w="5780" w:type="dxa"/>
            <w:vAlign w:val="bottom"/>
          </w:tcPr>
          <w:p>
            <w:pPr>
              <w:ind w:left="160"/>
              <w:spacing w:after="0"/>
              <w:rPr>
                <w:sz w:val="20"/>
                <w:szCs w:val="20"/>
                <w:color w:val="auto"/>
              </w:rPr>
            </w:pPr>
            <w:r>
              <w:rPr>
                <w:rFonts w:ascii="Arial" w:cs="Arial" w:eastAsia="Arial" w:hAnsi="Arial"/>
                <w:sz w:val="14"/>
                <w:szCs w:val="14"/>
                <w:color w:val="auto"/>
              </w:rPr>
              <w:t>• Annual Report on Form 10-K for the fiscal year ended February 1, 2026, Exhibit 10.23</w:t>
            </w:r>
          </w:p>
        </w:tc>
      </w:tr>
      <w:tr>
        <w:trPr>
          <w:trHeight w:val="113"/>
        </w:trPr>
        <w:tc>
          <w:tcPr>
            <w:tcW w:w="1600" w:type="dxa"/>
            <w:vAlign w:val="bottom"/>
          </w:tcPr>
          <w:p>
            <w:pPr>
              <w:spacing w:after="0"/>
              <w:rPr>
                <w:sz w:val="9"/>
                <w:szCs w:val="9"/>
                <w:color w:val="auto"/>
              </w:rPr>
            </w:pPr>
          </w:p>
        </w:tc>
        <w:tc>
          <w:tcPr>
            <w:tcW w:w="3560" w:type="dxa"/>
            <w:vAlign w:val="bottom"/>
            <w:gridSpan w:val="2"/>
          </w:tcPr>
          <w:p>
            <w:pPr>
              <w:spacing w:after="0"/>
              <w:rPr>
                <w:sz w:val="9"/>
                <w:szCs w:val="9"/>
                <w:color w:val="auto"/>
              </w:rPr>
            </w:pPr>
          </w:p>
        </w:tc>
        <w:tc>
          <w:tcPr>
            <w:tcW w:w="5780" w:type="dxa"/>
            <w:vAlign w:val="bottom"/>
          </w:tcPr>
          <w:p>
            <w:pPr>
              <w:spacing w:after="0"/>
              <w:rPr>
                <w:sz w:val="9"/>
                <w:szCs w:val="9"/>
                <w:color w:val="auto"/>
              </w:rPr>
            </w:pPr>
          </w:p>
        </w:tc>
      </w:tr>
      <w:tr>
        <w:trPr>
          <w:trHeight w:val="200"/>
        </w:trPr>
        <w:tc>
          <w:tcPr>
            <w:tcW w:w="16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David Savman</w:t>
            </w:r>
          </w:p>
        </w:tc>
        <w:tc>
          <w:tcPr>
            <w:tcW w:w="3560" w:type="dxa"/>
            <w:vAlign w:val="bottom"/>
            <w:gridSpan w:val="2"/>
            <w:shd w:val="clear" w:color="auto" w:fill="E9F0F3"/>
          </w:tcPr>
          <w:p>
            <w:pPr>
              <w:ind w:left="200"/>
              <w:spacing w:after="0"/>
              <w:rPr>
                <w:sz w:val="20"/>
                <w:szCs w:val="20"/>
                <w:color w:val="auto"/>
              </w:rPr>
            </w:pPr>
            <w:r>
              <w:rPr>
                <w:rFonts w:ascii="Arial" w:cs="Arial" w:eastAsia="Arial" w:hAnsi="Arial"/>
                <w:sz w:val="14"/>
                <w:szCs w:val="14"/>
                <w:color w:val="auto"/>
              </w:rPr>
              <w:t>• Employment Agreement and First Amendment to</w:t>
            </w:r>
          </w:p>
        </w:tc>
        <w:tc>
          <w:tcPr>
            <w:tcW w:w="5780" w:type="dxa"/>
            <w:vAlign w:val="bottom"/>
            <w:shd w:val="clear" w:color="auto" w:fill="E9F0F3"/>
          </w:tcPr>
          <w:p>
            <w:pPr>
              <w:ind w:left="160"/>
              <w:spacing w:after="0"/>
              <w:rPr>
                <w:sz w:val="20"/>
                <w:szCs w:val="20"/>
                <w:color w:val="auto"/>
              </w:rPr>
            </w:pPr>
            <w:r>
              <w:rPr>
                <w:rFonts w:ascii="Arial" w:cs="Arial" w:eastAsia="Arial" w:hAnsi="Arial"/>
                <w:sz w:val="14"/>
                <w:szCs w:val="14"/>
                <w:color w:val="auto"/>
              </w:rPr>
              <w:t>• Annual Report on Form 10-K for the fiscal year ended February 2, 2025, Exhibit 10.22</w:t>
            </w:r>
          </w:p>
        </w:tc>
      </w:tr>
      <w:tr>
        <w:trPr>
          <w:trHeight w:val="186"/>
        </w:trPr>
        <w:tc>
          <w:tcPr>
            <w:tcW w:w="1600" w:type="dxa"/>
            <w:vAlign w:val="bottom"/>
            <w:shd w:val="clear" w:color="auto" w:fill="E9F0F3"/>
          </w:tcPr>
          <w:p>
            <w:pPr>
              <w:spacing w:after="0"/>
              <w:rPr>
                <w:sz w:val="16"/>
                <w:szCs w:val="16"/>
                <w:color w:val="auto"/>
              </w:rPr>
            </w:pPr>
          </w:p>
        </w:tc>
        <w:tc>
          <w:tcPr>
            <w:tcW w:w="300" w:type="dxa"/>
            <w:vAlign w:val="bottom"/>
            <w:shd w:val="clear" w:color="auto" w:fill="E9F0F3"/>
          </w:tcPr>
          <w:p>
            <w:pPr>
              <w:spacing w:after="0"/>
              <w:rPr>
                <w:sz w:val="16"/>
                <w:szCs w:val="16"/>
                <w:color w:val="auto"/>
              </w:rPr>
            </w:pPr>
          </w:p>
        </w:tc>
        <w:tc>
          <w:tcPr>
            <w:tcW w:w="3260" w:type="dxa"/>
            <w:vAlign w:val="bottom"/>
            <w:shd w:val="clear" w:color="auto" w:fill="E9F0F3"/>
          </w:tcPr>
          <w:p>
            <w:pPr>
              <w:ind w:left="40"/>
              <w:spacing w:after="0"/>
              <w:rPr>
                <w:sz w:val="20"/>
                <w:szCs w:val="20"/>
                <w:color w:val="auto"/>
              </w:rPr>
            </w:pPr>
            <w:r>
              <w:rPr>
                <w:rFonts w:ascii="Arial" w:cs="Arial" w:eastAsia="Arial" w:hAnsi="Arial"/>
                <w:sz w:val="14"/>
                <w:szCs w:val="14"/>
                <w:color w:val="auto"/>
              </w:rPr>
              <w:t>Employment Agreement</w:t>
            </w:r>
          </w:p>
        </w:tc>
        <w:tc>
          <w:tcPr>
            <w:tcW w:w="5780" w:type="dxa"/>
            <w:vAlign w:val="bottom"/>
            <w:shd w:val="clear" w:color="auto" w:fill="E9F0F3"/>
          </w:tcPr>
          <w:p>
            <w:pPr>
              <w:spacing w:after="0"/>
              <w:rPr>
                <w:sz w:val="16"/>
                <w:szCs w:val="16"/>
                <w:color w:val="auto"/>
              </w:rPr>
            </w:pPr>
          </w:p>
        </w:tc>
      </w:tr>
      <w:tr>
        <w:trPr>
          <w:trHeight w:val="74"/>
        </w:trPr>
        <w:tc>
          <w:tcPr>
            <w:tcW w:w="1600" w:type="dxa"/>
            <w:vAlign w:val="bottom"/>
            <w:shd w:val="clear" w:color="auto" w:fill="E9F0F3"/>
          </w:tcPr>
          <w:p>
            <w:pPr>
              <w:spacing w:after="0"/>
              <w:rPr>
                <w:sz w:val="6"/>
                <w:szCs w:val="6"/>
                <w:color w:val="auto"/>
              </w:rPr>
            </w:pPr>
          </w:p>
        </w:tc>
        <w:tc>
          <w:tcPr>
            <w:tcW w:w="300" w:type="dxa"/>
            <w:vAlign w:val="bottom"/>
            <w:shd w:val="clear" w:color="auto" w:fill="E9F0F3"/>
          </w:tcPr>
          <w:p>
            <w:pPr>
              <w:spacing w:after="0"/>
              <w:rPr>
                <w:sz w:val="6"/>
                <w:szCs w:val="6"/>
                <w:color w:val="auto"/>
              </w:rPr>
            </w:pPr>
          </w:p>
        </w:tc>
        <w:tc>
          <w:tcPr>
            <w:tcW w:w="3260" w:type="dxa"/>
            <w:vAlign w:val="bottom"/>
            <w:shd w:val="clear" w:color="auto" w:fill="E9F0F3"/>
          </w:tcPr>
          <w:p>
            <w:pPr>
              <w:spacing w:after="0"/>
              <w:rPr>
                <w:sz w:val="6"/>
                <w:szCs w:val="6"/>
                <w:color w:val="auto"/>
              </w:rPr>
            </w:pPr>
          </w:p>
        </w:tc>
        <w:tc>
          <w:tcPr>
            <w:tcW w:w="5780" w:type="dxa"/>
            <w:vAlign w:val="bottom"/>
            <w:shd w:val="clear" w:color="auto" w:fill="E9F0F3"/>
          </w:tcPr>
          <w:p>
            <w:pPr>
              <w:spacing w:after="0"/>
              <w:rPr>
                <w:sz w:val="6"/>
                <w:szCs w:val="6"/>
                <w:color w:val="auto"/>
              </w:rPr>
            </w:pPr>
          </w:p>
        </w:tc>
      </w:tr>
      <w:tr>
        <w:trPr>
          <w:trHeight w:val="229"/>
        </w:trPr>
        <w:tc>
          <w:tcPr>
            <w:tcW w:w="1600" w:type="dxa"/>
            <w:vAlign w:val="bottom"/>
          </w:tcPr>
          <w:p>
            <w:pPr>
              <w:ind w:left="60"/>
              <w:spacing w:after="0"/>
              <w:rPr>
                <w:sz w:val="20"/>
                <w:szCs w:val="20"/>
                <w:color w:val="auto"/>
              </w:rPr>
            </w:pPr>
            <w:r>
              <w:rPr>
                <w:rFonts w:ascii="Arial" w:cs="Arial" w:eastAsia="Arial" w:hAnsi="Arial"/>
                <w:sz w:val="14"/>
                <w:szCs w:val="14"/>
                <w:b w:val="1"/>
                <w:bCs w:val="1"/>
                <w:color w:val="auto"/>
              </w:rPr>
              <w:t>Zachary J. Coughlin</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3260" w:type="dxa"/>
            <w:vAlign w:val="bottom"/>
          </w:tcPr>
          <w:p>
            <w:pPr>
              <w:ind w:left="40"/>
              <w:spacing w:after="0"/>
              <w:rPr>
                <w:sz w:val="20"/>
                <w:szCs w:val="20"/>
                <w:color w:val="auto"/>
              </w:rPr>
            </w:pPr>
            <w:r>
              <w:rPr>
                <w:rFonts w:ascii="Arial" w:cs="Arial" w:eastAsia="Arial" w:hAnsi="Arial"/>
                <w:sz w:val="14"/>
                <w:szCs w:val="14"/>
                <w:color w:val="auto"/>
              </w:rPr>
              <w:t>Employment Agreement</w:t>
            </w:r>
          </w:p>
        </w:tc>
        <w:tc>
          <w:tcPr>
            <w:tcW w:w="5780" w:type="dxa"/>
            <w:vAlign w:val="bottom"/>
          </w:tcPr>
          <w:p>
            <w:pPr>
              <w:ind w:left="160"/>
              <w:spacing w:after="0"/>
              <w:rPr>
                <w:sz w:val="20"/>
                <w:szCs w:val="20"/>
                <w:color w:val="auto"/>
              </w:rPr>
            </w:pPr>
            <w:r>
              <w:rPr>
                <w:rFonts w:ascii="Arial" w:cs="Arial" w:eastAsia="Arial" w:hAnsi="Arial"/>
                <w:sz w:val="14"/>
                <w:szCs w:val="14"/>
                <w:color w:val="auto"/>
              </w:rPr>
              <w:t>• Current Report on Form 8-K filed on February 9, 2022, Exhibit 10.1</w:t>
            </w:r>
          </w:p>
        </w:tc>
      </w:tr>
      <w:tr>
        <w:trPr>
          <w:trHeight w:val="66"/>
        </w:trPr>
        <w:tc>
          <w:tcPr>
            <w:tcW w:w="1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60" w:type="dxa"/>
            <w:vAlign w:val="bottom"/>
          </w:tcPr>
          <w:p>
            <w:pPr>
              <w:spacing w:after="0"/>
              <w:rPr>
                <w:sz w:val="5"/>
                <w:szCs w:val="5"/>
                <w:color w:val="auto"/>
              </w:rPr>
            </w:pPr>
          </w:p>
        </w:tc>
        <w:tc>
          <w:tcPr>
            <w:tcW w:w="5780" w:type="dxa"/>
            <w:vAlign w:val="bottom"/>
          </w:tcPr>
          <w:p>
            <w:pPr>
              <w:spacing w:after="0"/>
              <w:rPr>
                <w:sz w:val="5"/>
                <w:szCs w:val="5"/>
                <w:color w:val="auto"/>
              </w:rPr>
            </w:pPr>
          </w:p>
        </w:tc>
      </w:tr>
      <w:tr>
        <w:trPr>
          <w:trHeight w:val="229"/>
        </w:trPr>
        <w:tc>
          <w:tcPr>
            <w:tcW w:w="1600" w:type="dxa"/>
            <w:vAlign w:val="bottom"/>
            <w:shd w:val="clear" w:color="auto" w:fill="E9F0F3"/>
          </w:tcPr>
          <w:p>
            <w:pPr>
              <w:ind w:left="60"/>
              <w:spacing w:after="0"/>
              <w:rPr>
                <w:sz w:val="20"/>
                <w:szCs w:val="20"/>
                <w:color w:val="auto"/>
              </w:rPr>
            </w:pPr>
            <w:r>
              <w:rPr>
                <w:rFonts w:ascii="Arial" w:cs="Arial" w:eastAsia="Arial" w:hAnsi="Arial"/>
                <w:sz w:val="14"/>
                <w:szCs w:val="14"/>
                <w:b w:val="1"/>
                <w:bCs w:val="1"/>
                <w:color w:val="auto"/>
              </w:rPr>
              <w:t>Eva Serrano</w:t>
            </w:r>
          </w:p>
        </w:tc>
        <w:tc>
          <w:tcPr>
            <w:tcW w:w="300" w:type="dxa"/>
            <w:vAlign w:val="bottom"/>
            <w:shd w:val="clear" w:color="auto" w:fill="E9F0F3"/>
          </w:tcPr>
          <w:p>
            <w:pPr>
              <w:ind w:left="200"/>
              <w:spacing w:after="0"/>
              <w:rPr>
                <w:sz w:val="20"/>
                <w:szCs w:val="20"/>
                <w:color w:val="auto"/>
              </w:rPr>
            </w:pPr>
            <w:r>
              <w:rPr>
                <w:rFonts w:ascii="Arial" w:cs="Arial" w:eastAsia="Arial" w:hAnsi="Arial"/>
                <w:sz w:val="14"/>
                <w:szCs w:val="14"/>
                <w:color w:val="auto"/>
              </w:rPr>
              <w:t>•</w:t>
            </w:r>
          </w:p>
        </w:tc>
        <w:tc>
          <w:tcPr>
            <w:tcW w:w="3260" w:type="dxa"/>
            <w:vAlign w:val="bottom"/>
            <w:shd w:val="clear" w:color="auto" w:fill="E9F0F3"/>
          </w:tcPr>
          <w:p>
            <w:pPr>
              <w:ind w:left="40"/>
              <w:spacing w:after="0"/>
              <w:rPr>
                <w:sz w:val="20"/>
                <w:szCs w:val="20"/>
                <w:color w:val="auto"/>
              </w:rPr>
            </w:pPr>
            <w:r>
              <w:rPr>
                <w:rFonts w:ascii="Arial" w:cs="Arial" w:eastAsia="Arial" w:hAnsi="Arial"/>
                <w:sz w:val="14"/>
                <w:szCs w:val="14"/>
                <w:color w:val="auto"/>
              </w:rPr>
              <w:t>Employment Agreement</w:t>
            </w:r>
          </w:p>
        </w:tc>
        <w:tc>
          <w:tcPr>
            <w:tcW w:w="5780" w:type="dxa"/>
            <w:vAlign w:val="bottom"/>
            <w:shd w:val="clear" w:color="auto" w:fill="E9F0F3"/>
          </w:tcPr>
          <w:p>
            <w:pPr>
              <w:ind w:left="160"/>
              <w:spacing w:after="0"/>
              <w:rPr>
                <w:sz w:val="20"/>
                <w:szCs w:val="20"/>
                <w:color w:val="auto"/>
              </w:rPr>
            </w:pPr>
            <w:r>
              <w:rPr>
                <w:rFonts w:ascii="Arial" w:cs="Arial" w:eastAsia="Arial" w:hAnsi="Arial"/>
                <w:sz w:val="14"/>
                <w:szCs w:val="14"/>
                <w:color w:val="auto"/>
              </w:rPr>
              <w:t>• Annual Report on Form 10-K for the fiscal year ended February 4, 2024, Exhibit 10.22</w:t>
            </w:r>
          </w:p>
        </w:tc>
      </w:tr>
      <w:tr>
        <w:trPr>
          <w:trHeight w:val="66"/>
        </w:trPr>
        <w:tc>
          <w:tcPr>
            <w:tcW w:w="1600" w:type="dxa"/>
            <w:vAlign w:val="bottom"/>
            <w:shd w:val="clear" w:color="auto" w:fill="E9F0F3"/>
          </w:tcPr>
          <w:p>
            <w:pPr>
              <w:spacing w:after="0"/>
              <w:rPr>
                <w:sz w:val="5"/>
                <w:szCs w:val="5"/>
                <w:color w:val="auto"/>
              </w:rPr>
            </w:pPr>
          </w:p>
        </w:tc>
        <w:tc>
          <w:tcPr>
            <w:tcW w:w="300" w:type="dxa"/>
            <w:vAlign w:val="bottom"/>
            <w:shd w:val="clear" w:color="auto" w:fill="E9F0F3"/>
          </w:tcPr>
          <w:p>
            <w:pPr>
              <w:spacing w:after="0"/>
              <w:rPr>
                <w:sz w:val="5"/>
                <w:szCs w:val="5"/>
                <w:color w:val="auto"/>
              </w:rPr>
            </w:pPr>
          </w:p>
        </w:tc>
        <w:tc>
          <w:tcPr>
            <w:tcW w:w="3260" w:type="dxa"/>
            <w:vAlign w:val="bottom"/>
            <w:shd w:val="clear" w:color="auto" w:fill="E9F0F3"/>
          </w:tcPr>
          <w:p>
            <w:pPr>
              <w:spacing w:after="0"/>
              <w:rPr>
                <w:sz w:val="5"/>
                <w:szCs w:val="5"/>
                <w:color w:val="auto"/>
              </w:rPr>
            </w:pPr>
          </w:p>
        </w:tc>
        <w:tc>
          <w:tcPr>
            <w:tcW w:w="5780" w:type="dxa"/>
            <w:vAlign w:val="bottom"/>
            <w:shd w:val="clear" w:color="auto" w:fill="E9F0F3"/>
          </w:tcPr>
          <w:p>
            <w:pPr>
              <w:spacing w:after="0"/>
              <w:rPr>
                <w:sz w:val="5"/>
                <w:szCs w:val="5"/>
                <w:color w:val="auto"/>
              </w:rPr>
            </w:pPr>
          </w:p>
        </w:tc>
      </w:tr>
    </w:tbl>
    <w:p>
      <w:pPr>
        <w:spacing w:after="0" w:line="17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EXHIBIT B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6955155"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60"/>
          </w:cols>
          <w:pgMar w:left="460" w:top="94" w:right="479" w:bottom="1440" w:gutter="0" w:footer="0" w:header="0"/>
        </w:sectPr>
      </w:pPr>
    </w:p>
    <w:bookmarkStart w:id="109" w:name="page110"/>
    <w:bookmarkEnd w:id="109"/>
    <w:p>
      <w:pPr>
        <w:ind w:left="9"/>
        <w:spacing w:after="0"/>
        <w:rPr>
          <w:sz w:val="20"/>
          <w:szCs w:val="20"/>
          <w:color w:val="auto"/>
        </w:rPr>
      </w:pPr>
      <w:r>
        <w:rPr>
          <w:rFonts w:ascii="Arial" w:cs="Arial" w:eastAsia="Arial" w:hAnsi="Arial"/>
          <w:sz w:val="41"/>
          <w:szCs w:val="41"/>
          <w:b w:val="1"/>
          <w:bCs w:val="1"/>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
        <w:spacing w:after="0"/>
        <w:rPr>
          <w:sz w:val="20"/>
          <w:szCs w:val="20"/>
          <w:color w:val="auto"/>
        </w:rPr>
      </w:pPr>
      <w:r>
        <w:rPr>
          <w:rFonts w:ascii="Arial" w:cs="Arial" w:eastAsia="Arial" w:hAnsi="Arial"/>
          <w:sz w:val="28"/>
          <w:szCs w:val="28"/>
          <w:b w:val="1"/>
          <w:bCs w:val="1"/>
          <w:color w:val="6D98AD"/>
        </w:rPr>
        <w:t>PVH CORP.</w:t>
      </w:r>
    </w:p>
    <w:p>
      <w:pPr>
        <w:spacing w:after="0" w:line="36" w:lineRule="exact"/>
        <w:rPr>
          <w:sz w:val="20"/>
          <w:szCs w:val="20"/>
          <w:color w:val="auto"/>
        </w:rPr>
      </w:pPr>
    </w:p>
    <w:p>
      <w:pPr>
        <w:jc w:val="center"/>
        <w:ind w:right="-8"/>
        <w:spacing w:after="0"/>
        <w:rPr>
          <w:sz w:val="20"/>
          <w:szCs w:val="20"/>
          <w:color w:val="auto"/>
        </w:rPr>
      </w:pPr>
      <w:r>
        <w:rPr>
          <w:rFonts w:ascii="Arial" w:cs="Arial" w:eastAsia="Arial" w:hAnsi="Arial"/>
          <w:sz w:val="28"/>
          <w:szCs w:val="28"/>
          <w:b w:val="1"/>
          <w:bCs w:val="1"/>
          <w:color w:val="6D98AD"/>
        </w:rPr>
        <w:t>STOCK INCENTIVE PLAN</w:t>
      </w:r>
    </w:p>
    <w:p>
      <w:pPr>
        <w:spacing w:after="0" w:line="38"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(As Amended and Restated Effective June 18, 2026)</w:t>
      </w:r>
    </w:p>
    <w:p>
      <w:pPr>
        <w:spacing w:after="0" w:line="100" w:lineRule="exact"/>
        <w:rPr>
          <w:sz w:val="20"/>
          <w:szCs w:val="20"/>
          <w:color w:val="auto"/>
        </w:rPr>
      </w:pPr>
    </w:p>
    <w:p>
      <w:pPr>
        <w:ind w:left="189" w:hanging="189"/>
        <w:spacing w:after="0"/>
        <w:tabs>
          <w:tab w:leader="none" w:pos="189" w:val="left"/>
        </w:tabs>
        <w:numPr>
          <w:ilvl w:val="0"/>
          <w:numId w:val="16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Establishment, Objectives and Duration.</w:t>
      </w:r>
    </w:p>
    <w:p>
      <w:pPr>
        <w:spacing w:after="0" w:line="109" w:lineRule="exact"/>
        <w:rPr>
          <w:rFonts w:ascii="Arial" w:cs="Arial" w:eastAsia="Arial" w:hAnsi="Arial"/>
          <w:sz w:val="14"/>
          <w:szCs w:val="14"/>
          <w:b w:val="1"/>
          <w:bCs w:val="1"/>
          <w:color w:val="auto"/>
        </w:rPr>
      </w:pPr>
    </w:p>
    <w:p>
      <w:pPr>
        <w:ind w:left="229" w:right="40" w:firstLine="7"/>
        <w:spacing w:after="0" w:line="255" w:lineRule="auto"/>
        <w:tabs>
          <w:tab w:leader="none" w:pos="613" w:val="left"/>
        </w:tabs>
        <w:numPr>
          <w:ilvl w:val="1"/>
          <w:numId w:val="164"/>
        </w:numPr>
        <w:rPr>
          <w:rFonts w:ascii="Arial" w:cs="Arial" w:eastAsia="Arial" w:hAnsi="Arial"/>
          <w:sz w:val="14"/>
          <w:szCs w:val="14"/>
          <w:color w:val="auto"/>
        </w:rPr>
      </w:pPr>
      <w:r>
        <w:rPr>
          <w:rFonts w:ascii="Arial" w:cs="Arial" w:eastAsia="Arial" w:hAnsi="Arial"/>
          <w:sz w:val="14"/>
          <w:szCs w:val="14"/>
          <w:u w:val="single" w:color="auto"/>
          <w:color w:val="auto"/>
        </w:rPr>
        <w:t>Establishment of the Plan</w:t>
      </w:r>
      <w:r>
        <w:rPr>
          <w:rFonts w:ascii="Arial" w:cs="Arial" w:eastAsia="Arial" w:hAnsi="Arial"/>
          <w:sz w:val="14"/>
          <w:szCs w:val="14"/>
          <w:color w:val="auto"/>
        </w:rPr>
        <w:t>. PVH Corp. established this incentive compensation plan to permit the granting of Nonqualified Stock Options, Incentive Stock Options, Stock Appreciation Rights, Restricted Stock, Restricted Stock Units, Performance Shares, Performance Share Units and Other Stock-Based Awards to the persons and for the purposes described herein. The Plan first became effective on April 27, 2006 (the “Effective Date”), was amended and restated effective April 30, 2009, June 25, 2009, June 23, 2011, April 26, 2012, May 7, 2014, April 30, 2015, April 20, 2020 and June 22, 2023 and had its material terms approved at the 2006, 2011 and 2015 Annual Meeting of Stockholders. Definitions of capitalized terms used in the Plan are contained in the attached glossary, which is an integral part of the Plan.</w:t>
      </w:r>
    </w:p>
    <w:p>
      <w:pPr>
        <w:spacing w:after="0" w:line="86" w:lineRule="exact"/>
        <w:rPr>
          <w:rFonts w:ascii="Arial" w:cs="Arial" w:eastAsia="Arial" w:hAnsi="Arial"/>
          <w:sz w:val="14"/>
          <w:szCs w:val="14"/>
          <w:color w:val="auto"/>
        </w:rPr>
      </w:pPr>
    </w:p>
    <w:p>
      <w:pPr>
        <w:ind w:left="229" w:right="60" w:firstLine="7"/>
        <w:spacing w:after="0" w:line="255" w:lineRule="auto"/>
        <w:tabs>
          <w:tab w:leader="none" w:pos="613" w:val="left"/>
        </w:tabs>
        <w:numPr>
          <w:ilvl w:val="1"/>
          <w:numId w:val="164"/>
        </w:numPr>
        <w:rPr>
          <w:rFonts w:ascii="Arial" w:cs="Arial" w:eastAsia="Arial" w:hAnsi="Arial"/>
          <w:sz w:val="14"/>
          <w:szCs w:val="14"/>
          <w:color w:val="auto"/>
        </w:rPr>
      </w:pPr>
      <w:r>
        <w:rPr>
          <w:rFonts w:ascii="Arial" w:cs="Arial" w:eastAsia="Arial" w:hAnsi="Arial"/>
          <w:sz w:val="14"/>
          <w:szCs w:val="14"/>
          <w:u w:val="single" w:color="auto"/>
          <w:color w:val="auto"/>
        </w:rPr>
        <w:t>Purposes of the Plan</w:t>
      </w:r>
      <w:r>
        <w:rPr>
          <w:rFonts w:ascii="Arial" w:cs="Arial" w:eastAsia="Arial" w:hAnsi="Arial"/>
          <w:sz w:val="14"/>
          <w:szCs w:val="14"/>
          <w:color w:val="auto"/>
        </w:rPr>
        <w:t>. The purposes of the Plan are to induce certain individuals to remain in the employ, or to continue to serve as directors of, or consultants or advisors to, the Company and its present and future Subsidiaries, to attract new individuals to enter into such employment or service and to encourage such individuals to secure or increase on reasonable terms their stock ownership in the Company. The Board believes that the granting of Awards under the Plan will promote continuity of management and increased incentive and personal interest in the welfare of the Company by those who are or may become primarily responsible for shaping and carrying out the long range plans of the Company and securing its continued growth and financial success.</w:t>
      </w:r>
    </w:p>
    <w:p>
      <w:pPr>
        <w:spacing w:after="0" w:line="75" w:lineRule="exact"/>
        <w:rPr>
          <w:rFonts w:ascii="Arial" w:cs="Arial" w:eastAsia="Arial" w:hAnsi="Arial"/>
          <w:sz w:val="14"/>
          <w:szCs w:val="14"/>
          <w:color w:val="auto"/>
        </w:rPr>
      </w:pPr>
    </w:p>
    <w:p>
      <w:pPr>
        <w:ind w:left="229" w:right="160" w:firstLine="7"/>
        <w:spacing w:after="0" w:line="282" w:lineRule="auto"/>
        <w:tabs>
          <w:tab w:leader="none" w:pos="605" w:val="left"/>
        </w:tabs>
        <w:numPr>
          <w:ilvl w:val="1"/>
          <w:numId w:val="164"/>
        </w:numPr>
        <w:rPr>
          <w:rFonts w:ascii="Arial" w:cs="Arial" w:eastAsia="Arial" w:hAnsi="Arial"/>
          <w:sz w:val="14"/>
          <w:szCs w:val="14"/>
          <w:color w:val="auto"/>
        </w:rPr>
      </w:pPr>
      <w:r>
        <w:rPr>
          <w:rFonts w:ascii="Arial" w:cs="Arial" w:eastAsia="Arial" w:hAnsi="Arial"/>
          <w:sz w:val="14"/>
          <w:szCs w:val="14"/>
          <w:u w:val="single" w:color="auto"/>
          <w:color w:val="auto"/>
        </w:rPr>
        <w:t>Duration of the Plan</w:t>
      </w:r>
      <w:r>
        <w:rPr>
          <w:rFonts w:ascii="Arial" w:cs="Arial" w:eastAsia="Arial" w:hAnsi="Arial"/>
          <w:sz w:val="14"/>
          <w:szCs w:val="14"/>
          <w:color w:val="auto"/>
        </w:rPr>
        <w:t>. No Award may be granted under the Plan after April 29, 2030, or such earlier date as the Board shall determine. The Plan will remain in effect with respect to outstanding Awards until no Awards remain outstanding.</w:t>
      </w:r>
    </w:p>
    <w:p>
      <w:pPr>
        <w:spacing w:after="0" w:line="57" w:lineRule="exact"/>
        <w:rPr>
          <w:rFonts w:ascii="Arial" w:cs="Arial" w:eastAsia="Arial" w:hAnsi="Arial"/>
          <w:sz w:val="14"/>
          <w:szCs w:val="14"/>
          <w:color w:val="auto"/>
        </w:rPr>
      </w:pPr>
    </w:p>
    <w:p>
      <w:pPr>
        <w:ind w:left="189" w:hanging="189"/>
        <w:spacing w:after="0"/>
        <w:tabs>
          <w:tab w:leader="none" w:pos="189" w:val="left"/>
        </w:tabs>
        <w:numPr>
          <w:ilvl w:val="0"/>
          <w:numId w:val="16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Administration of the Plan.</w:t>
      </w:r>
    </w:p>
    <w:p>
      <w:pPr>
        <w:spacing w:after="0" w:line="121" w:lineRule="exact"/>
        <w:rPr>
          <w:rFonts w:ascii="Arial" w:cs="Arial" w:eastAsia="Arial" w:hAnsi="Arial"/>
          <w:sz w:val="14"/>
          <w:szCs w:val="14"/>
          <w:b w:val="1"/>
          <w:bCs w:val="1"/>
          <w:color w:val="auto"/>
        </w:rPr>
      </w:pPr>
    </w:p>
    <w:p>
      <w:pPr>
        <w:ind w:left="229" w:right="40" w:firstLine="7"/>
        <w:spacing w:after="0" w:line="251" w:lineRule="auto"/>
        <w:tabs>
          <w:tab w:leader="none" w:pos="613" w:val="left"/>
        </w:tabs>
        <w:numPr>
          <w:ilvl w:val="1"/>
          <w:numId w:val="164"/>
        </w:numPr>
        <w:rPr>
          <w:rFonts w:ascii="Arial" w:cs="Arial" w:eastAsia="Arial" w:hAnsi="Arial"/>
          <w:sz w:val="14"/>
          <w:szCs w:val="14"/>
          <w:color w:val="auto"/>
        </w:rPr>
      </w:pPr>
      <w:r>
        <w:rPr>
          <w:rFonts w:ascii="Arial" w:cs="Arial" w:eastAsia="Arial" w:hAnsi="Arial"/>
          <w:sz w:val="14"/>
          <w:szCs w:val="14"/>
          <w:u w:val="single" w:color="auto"/>
          <w:color w:val="auto"/>
        </w:rPr>
        <w:t>The Committee</w:t>
      </w:r>
      <w:r>
        <w:rPr>
          <w:rFonts w:ascii="Arial" w:cs="Arial" w:eastAsia="Arial" w:hAnsi="Arial"/>
          <w:sz w:val="14"/>
          <w:szCs w:val="14"/>
          <w:color w:val="auto"/>
        </w:rPr>
        <w:t>. Except as otherwise provided in Section 2(d), the Plan shall be administered by the “Committee.” The Committee shall consist of two or more members of the Board. It is intended that all of the members of the Committee shall be “non-employee directors” within the meaning of Rule 16b-3(b)(3) promulgated under the Exchange Act. The Committee shall be appointed annually by the Board, which may at any time and from time to time remove any members of the Committee, with or without cause, appoint additional members to the Committee and fill vacancies, however caused, in the Committee. A majority of the members of the Committee shall constitute a quorum. All determinations of the Committee shall be made by a majority of its members present at a meeting duly called and held, except that the Committee may delegate to any one of its members the authority of the Committee with respect to the grant of Awards to any person who shall not be an officer and/or director of the Company. Any decision or determination of the Committee reduced to writing and signed by all of the members of the Committee (or by the member(s) of the Committee to whom authority has been delegated) shall be fully as effective as if it had been made at a meeting duly called and held.</w:t>
      </w:r>
    </w:p>
    <w:p>
      <w:pPr>
        <w:spacing w:after="0" w:line="78" w:lineRule="exact"/>
        <w:rPr>
          <w:rFonts w:ascii="Arial" w:cs="Arial" w:eastAsia="Arial" w:hAnsi="Arial"/>
          <w:sz w:val="14"/>
          <w:szCs w:val="14"/>
          <w:color w:val="auto"/>
        </w:rPr>
      </w:pPr>
    </w:p>
    <w:p>
      <w:pPr>
        <w:ind w:left="229" w:right="40" w:firstLine="7"/>
        <w:spacing w:after="0" w:line="264" w:lineRule="auto"/>
        <w:tabs>
          <w:tab w:leader="none" w:pos="613" w:val="left"/>
        </w:tabs>
        <w:numPr>
          <w:ilvl w:val="1"/>
          <w:numId w:val="164"/>
        </w:numPr>
        <w:rPr>
          <w:rFonts w:ascii="Arial" w:cs="Arial" w:eastAsia="Arial" w:hAnsi="Arial"/>
          <w:sz w:val="14"/>
          <w:szCs w:val="14"/>
          <w:color w:val="auto"/>
        </w:rPr>
      </w:pPr>
      <w:r>
        <w:rPr>
          <w:rFonts w:ascii="Arial" w:cs="Arial" w:eastAsia="Arial" w:hAnsi="Arial"/>
          <w:sz w:val="14"/>
          <w:szCs w:val="14"/>
          <w:u w:val="single" w:color="auto"/>
          <w:color w:val="auto"/>
        </w:rPr>
        <w:t>Authority of the Committee</w:t>
      </w:r>
      <w:r>
        <w:rPr>
          <w:rFonts w:ascii="Arial" w:cs="Arial" w:eastAsia="Arial" w:hAnsi="Arial"/>
          <w:sz w:val="14"/>
          <w:szCs w:val="14"/>
          <w:color w:val="auto"/>
        </w:rPr>
        <w:t>. Subject to Applicable Laws and the provisions of the Plan (including any other powers given to the Committee hereunder), and except as otherwise provided by the Board, the Committee shall have full and final authority in its discretion to take all actions determined by the Committee to be necessary in the administration of the Plan, including, without limitation, discretion to:</w:t>
      </w:r>
    </w:p>
    <w:p>
      <w:pPr>
        <w:spacing w:after="0" w:line="69" w:lineRule="exact"/>
        <w:rPr>
          <w:rFonts w:ascii="Arial" w:cs="Arial" w:eastAsia="Arial" w:hAnsi="Arial"/>
          <w:sz w:val="14"/>
          <w:szCs w:val="14"/>
          <w:color w:val="auto"/>
        </w:rPr>
      </w:pPr>
    </w:p>
    <w:p>
      <w:pPr>
        <w:ind w:left="1009" w:hanging="365"/>
        <w:spacing w:after="0"/>
        <w:tabs>
          <w:tab w:leader="none" w:pos="1009" w:val="left"/>
        </w:tabs>
        <w:numPr>
          <w:ilvl w:val="2"/>
          <w:numId w:val="164"/>
        </w:numPr>
        <w:rPr>
          <w:rFonts w:ascii="Arial" w:cs="Arial" w:eastAsia="Arial" w:hAnsi="Arial"/>
          <w:sz w:val="14"/>
          <w:szCs w:val="14"/>
          <w:color w:val="auto"/>
        </w:rPr>
      </w:pPr>
      <w:r>
        <w:rPr>
          <w:rFonts w:ascii="Arial" w:cs="Arial" w:eastAsia="Arial" w:hAnsi="Arial"/>
          <w:sz w:val="14"/>
          <w:szCs w:val="14"/>
          <w:color w:val="auto"/>
        </w:rPr>
        <w:t>select the Employees, Directors and Consultants to whom Awards may from time to time be granted hereunder;</w:t>
      </w:r>
    </w:p>
    <w:p>
      <w:pPr>
        <w:spacing w:after="0" w:line="121" w:lineRule="exact"/>
        <w:rPr>
          <w:rFonts w:ascii="Arial" w:cs="Arial" w:eastAsia="Arial" w:hAnsi="Arial"/>
          <w:sz w:val="14"/>
          <w:szCs w:val="14"/>
          <w:color w:val="auto"/>
        </w:rPr>
      </w:pPr>
    </w:p>
    <w:p>
      <w:pPr>
        <w:ind w:left="1009" w:hanging="365"/>
        <w:spacing w:after="0"/>
        <w:tabs>
          <w:tab w:leader="none" w:pos="1009" w:val="left"/>
        </w:tabs>
        <w:numPr>
          <w:ilvl w:val="2"/>
          <w:numId w:val="164"/>
        </w:numPr>
        <w:rPr>
          <w:rFonts w:ascii="Arial" w:cs="Arial" w:eastAsia="Arial" w:hAnsi="Arial"/>
          <w:sz w:val="14"/>
          <w:szCs w:val="14"/>
          <w:color w:val="auto"/>
        </w:rPr>
      </w:pPr>
      <w:r>
        <w:rPr>
          <w:rFonts w:ascii="Arial" w:cs="Arial" w:eastAsia="Arial" w:hAnsi="Arial"/>
          <w:sz w:val="14"/>
          <w:szCs w:val="14"/>
          <w:color w:val="auto"/>
        </w:rPr>
        <w:t>determine whether and to what extent Awards are granted hereunder;</w:t>
      </w:r>
    </w:p>
    <w:p>
      <w:pPr>
        <w:spacing w:after="0" w:line="109" w:lineRule="exact"/>
        <w:rPr>
          <w:rFonts w:ascii="Arial" w:cs="Arial" w:eastAsia="Arial" w:hAnsi="Arial"/>
          <w:sz w:val="14"/>
          <w:szCs w:val="14"/>
          <w:color w:val="auto"/>
        </w:rPr>
      </w:pPr>
    </w:p>
    <w:p>
      <w:pPr>
        <w:ind w:left="1009" w:hanging="365"/>
        <w:spacing w:after="0"/>
        <w:tabs>
          <w:tab w:leader="none" w:pos="1009" w:val="left"/>
        </w:tabs>
        <w:numPr>
          <w:ilvl w:val="2"/>
          <w:numId w:val="164"/>
        </w:numPr>
        <w:rPr>
          <w:rFonts w:ascii="Arial" w:cs="Arial" w:eastAsia="Arial" w:hAnsi="Arial"/>
          <w:sz w:val="14"/>
          <w:szCs w:val="14"/>
          <w:color w:val="auto"/>
        </w:rPr>
      </w:pPr>
      <w:r>
        <w:rPr>
          <w:rFonts w:ascii="Arial" w:cs="Arial" w:eastAsia="Arial" w:hAnsi="Arial"/>
          <w:sz w:val="14"/>
          <w:szCs w:val="14"/>
          <w:color w:val="auto"/>
        </w:rPr>
        <w:t>determine the size and types of Awards granted hereunder;</w:t>
      </w:r>
    </w:p>
    <w:p>
      <w:pPr>
        <w:spacing w:after="0" w:line="109" w:lineRule="exact"/>
        <w:rPr>
          <w:rFonts w:ascii="Arial" w:cs="Arial" w:eastAsia="Arial" w:hAnsi="Arial"/>
          <w:sz w:val="14"/>
          <w:szCs w:val="14"/>
          <w:color w:val="auto"/>
        </w:rPr>
      </w:pPr>
    </w:p>
    <w:p>
      <w:pPr>
        <w:ind w:left="229" w:right="40" w:firstLine="415"/>
        <w:spacing w:after="0" w:line="264" w:lineRule="auto"/>
        <w:tabs>
          <w:tab w:leader="none" w:pos="1010" w:val="left"/>
        </w:tabs>
        <w:numPr>
          <w:ilvl w:val="2"/>
          <w:numId w:val="164"/>
        </w:numPr>
        <w:rPr>
          <w:rFonts w:ascii="Arial" w:cs="Arial" w:eastAsia="Arial" w:hAnsi="Arial"/>
          <w:sz w:val="14"/>
          <w:szCs w:val="14"/>
          <w:color w:val="auto"/>
        </w:rPr>
      </w:pPr>
      <w:r>
        <w:rPr>
          <w:rFonts w:ascii="Arial" w:cs="Arial" w:eastAsia="Arial" w:hAnsi="Arial"/>
          <w:sz w:val="14"/>
          <w:szCs w:val="14"/>
          <w:color w:val="auto"/>
        </w:rPr>
        <w:t>approve forms of Award Agreement for use under the Plan, which may include provisions stating that employment for a specified period will not be required for vesting of an Award upon the occurrence of a Defined Event as set forth in an Award Agreement (or otherwise provided for in a Participant’s employment agreement with the Company or any of its Subsidiaries);</w:t>
      </w:r>
    </w:p>
    <w:p>
      <w:pPr>
        <w:spacing w:after="0" w:line="81" w:lineRule="exact"/>
        <w:rPr>
          <w:rFonts w:ascii="Arial" w:cs="Arial" w:eastAsia="Arial" w:hAnsi="Arial"/>
          <w:sz w:val="14"/>
          <w:szCs w:val="14"/>
          <w:color w:val="auto"/>
        </w:rPr>
      </w:pPr>
    </w:p>
    <w:p>
      <w:pPr>
        <w:ind w:left="1029" w:hanging="385"/>
        <w:spacing w:after="0"/>
        <w:tabs>
          <w:tab w:leader="none" w:pos="1029" w:val="left"/>
        </w:tabs>
        <w:numPr>
          <w:ilvl w:val="2"/>
          <w:numId w:val="164"/>
        </w:numPr>
        <w:rPr>
          <w:rFonts w:ascii="Arial" w:cs="Arial" w:eastAsia="Arial" w:hAnsi="Arial"/>
          <w:sz w:val="14"/>
          <w:szCs w:val="14"/>
          <w:color w:val="auto"/>
        </w:rPr>
      </w:pPr>
      <w:r>
        <w:rPr>
          <w:rFonts w:ascii="Arial" w:cs="Arial" w:eastAsia="Arial" w:hAnsi="Arial"/>
          <w:sz w:val="14"/>
          <w:szCs w:val="14"/>
          <w:color w:val="auto"/>
        </w:rPr>
        <w:t>determine the terms and conditions of any Award granted hereunder;</w:t>
      </w:r>
    </w:p>
    <w:p>
      <w:pPr>
        <w:spacing w:after="0" w:line="109" w:lineRule="exact"/>
        <w:rPr>
          <w:rFonts w:ascii="Arial" w:cs="Arial" w:eastAsia="Arial" w:hAnsi="Arial"/>
          <w:sz w:val="14"/>
          <w:szCs w:val="14"/>
          <w:color w:val="auto"/>
        </w:rPr>
      </w:pPr>
    </w:p>
    <w:p>
      <w:pPr>
        <w:ind w:left="1009" w:hanging="365"/>
        <w:spacing w:after="0"/>
        <w:tabs>
          <w:tab w:leader="none" w:pos="1009" w:val="left"/>
        </w:tabs>
        <w:numPr>
          <w:ilvl w:val="2"/>
          <w:numId w:val="164"/>
        </w:numPr>
        <w:rPr>
          <w:rFonts w:ascii="Arial" w:cs="Arial" w:eastAsia="Arial" w:hAnsi="Arial"/>
          <w:sz w:val="14"/>
          <w:szCs w:val="14"/>
          <w:color w:val="auto"/>
        </w:rPr>
      </w:pPr>
      <w:r>
        <w:rPr>
          <w:rFonts w:ascii="Arial" w:cs="Arial" w:eastAsia="Arial" w:hAnsi="Arial"/>
          <w:sz w:val="14"/>
          <w:szCs w:val="14"/>
          <w:color w:val="auto"/>
        </w:rPr>
        <w:t>establish performance goals for any Performance Period and determine whether such goals were satisfied;</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PVH CORP. 2026 PROXY STATEMENT / </w:t>
      </w:r>
      <w:r>
        <w:rPr>
          <w:rFonts w:ascii="Arial" w:cs="Arial" w:eastAsia="Arial" w:hAnsi="Arial"/>
          <w:sz w:val="11"/>
          <w:szCs w:val="11"/>
          <w:b w:val="1"/>
          <w:bCs w:val="1"/>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94" w:right="479" w:bottom="1440" w:gutter="0" w:footer="0" w:header="0"/>
        </w:sectPr>
      </w:pPr>
    </w:p>
    <w:bookmarkStart w:id="110" w:name="page111"/>
    <w:bookmarkEnd w:id="110"/>
    <w:p>
      <w:pPr>
        <w:ind w:left="229" w:right="360" w:firstLine="415"/>
        <w:spacing w:after="0" w:line="282" w:lineRule="auto"/>
        <w:tabs>
          <w:tab w:leader="none" w:pos="1041" w:val="left"/>
        </w:tabs>
        <w:numPr>
          <w:ilvl w:val="2"/>
          <w:numId w:val="165"/>
        </w:numPr>
        <w:rPr>
          <w:rFonts w:ascii="Arial" w:cs="Arial" w:eastAsia="Arial" w:hAnsi="Arial"/>
          <w:sz w:val="14"/>
          <w:szCs w:val="14"/>
          <w:color w:val="auto"/>
        </w:rPr>
      </w:pPr>
      <w:r>
        <w:rPr>
          <w:rFonts w:ascii="Arial" w:cs="Arial" w:eastAsia="Arial" w:hAnsi="Arial"/>
          <w:sz w:val="14"/>
          <w:szCs w:val="14"/>
          <w:color w:val="auto"/>
        </w:rPr>
        <w:t>amend the terms of any outstanding Award granted under the Plan; provided that, except as otherwise provided in Section 16, no such amendment shall reduce the Exercise Price of outstanding Options or the grant price of outstanding SARs without the approval of the stockholders of the Company;</w:t>
      </w:r>
    </w:p>
    <w:p>
      <w:pPr>
        <w:spacing w:after="0" w:line="69" w:lineRule="exact"/>
        <w:rPr>
          <w:rFonts w:ascii="Arial" w:cs="Arial" w:eastAsia="Arial" w:hAnsi="Arial"/>
          <w:sz w:val="14"/>
          <w:szCs w:val="14"/>
          <w:color w:val="auto"/>
        </w:rPr>
      </w:pPr>
    </w:p>
    <w:p>
      <w:pPr>
        <w:ind w:left="1049" w:hanging="405"/>
        <w:spacing w:after="0"/>
        <w:tabs>
          <w:tab w:leader="none" w:pos="1049" w:val="left"/>
        </w:tabs>
        <w:numPr>
          <w:ilvl w:val="2"/>
          <w:numId w:val="165"/>
        </w:numPr>
        <w:rPr>
          <w:rFonts w:ascii="Arial" w:cs="Arial" w:eastAsia="Arial" w:hAnsi="Arial"/>
          <w:sz w:val="14"/>
          <w:szCs w:val="14"/>
          <w:color w:val="auto"/>
        </w:rPr>
      </w:pPr>
      <w:r>
        <w:rPr>
          <w:rFonts w:ascii="Arial" w:cs="Arial" w:eastAsia="Arial" w:hAnsi="Arial"/>
          <w:sz w:val="14"/>
          <w:szCs w:val="14"/>
          <w:color w:val="auto"/>
        </w:rPr>
        <w:t>construe and interpret the terms of the Plan and any Award Agreement entered into under the Plan, and to decide all questions of fact arising in its application;</w:t>
      </w:r>
    </w:p>
    <w:p>
      <w:pPr>
        <w:spacing w:after="0" w:line="17" w:lineRule="exact"/>
        <w:rPr>
          <w:rFonts w:ascii="Arial" w:cs="Arial" w:eastAsia="Arial" w:hAnsi="Arial"/>
          <w:sz w:val="14"/>
          <w:szCs w:val="14"/>
          <w:color w:val="auto"/>
        </w:rPr>
      </w:pPr>
    </w:p>
    <w:p>
      <w:pPr>
        <w:ind w:left="229"/>
        <w:spacing w:after="0"/>
        <w:rPr>
          <w:rFonts w:ascii="Arial" w:cs="Arial" w:eastAsia="Arial" w:hAnsi="Arial"/>
          <w:sz w:val="14"/>
          <w:szCs w:val="14"/>
          <w:color w:val="auto"/>
        </w:rPr>
      </w:pPr>
      <w:r>
        <w:rPr>
          <w:rFonts w:ascii="Arial" w:cs="Arial" w:eastAsia="Arial" w:hAnsi="Arial"/>
          <w:sz w:val="14"/>
          <w:szCs w:val="14"/>
          <w:color w:val="auto"/>
        </w:rPr>
        <w:t>and</w:t>
      </w:r>
    </w:p>
    <w:p>
      <w:pPr>
        <w:spacing w:after="0" w:line="95" w:lineRule="exact"/>
        <w:rPr>
          <w:rFonts w:ascii="Arial" w:cs="Arial" w:eastAsia="Arial" w:hAnsi="Arial"/>
          <w:sz w:val="14"/>
          <w:szCs w:val="14"/>
          <w:color w:val="auto"/>
        </w:rPr>
      </w:pPr>
    </w:p>
    <w:p>
      <w:pPr>
        <w:ind w:left="1009" w:hanging="365"/>
        <w:spacing w:after="0"/>
        <w:tabs>
          <w:tab w:leader="none" w:pos="1009" w:val="left"/>
        </w:tabs>
        <w:numPr>
          <w:ilvl w:val="2"/>
          <w:numId w:val="165"/>
        </w:numPr>
        <w:rPr>
          <w:rFonts w:ascii="Arial" w:cs="Arial" w:eastAsia="Arial" w:hAnsi="Arial"/>
          <w:sz w:val="14"/>
          <w:szCs w:val="14"/>
          <w:color w:val="auto"/>
        </w:rPr>
      </w:pPr>
      <w:r>
        <w:rPr>
          <w:rFonts w:ascii="Arial" w:cs="Arial" w:eastAsia="Arial" w:hAnsi="Arial"/>
          <w:sz w:val="14"/>
          <w:szCs w:val="14"/>
          <w:color w:val="auto"/>
        </w:rPr>
        <w:t>take such other action, not inconsistent with the terms of the Plan, as the Committee deems appropriate.</w:t>
      </w:r>
    </w:p>
    <w:p>
      <w:pPr>
        <w:spacing w:after="0" w:line="109" w:lineRule="exact"/>
        <w:rPr>
          <w:rFonts w:ascii="Arial" w:cs="Arial" w:eastAsia="Arial" w:hAnsi="Arial"/>
          <w:sz w:val="14"/>
          <w:szCs w:val="14"/>
          <w:color w:val="auto"/>
        </w:rPr>
      </w:pPr>
    </w:p>
    <w:p>
      <w:pPr>
        <w:ind w:left="229" w:right="80" w:firstLine="7"/>
        <w:spacing w:after="0" w:line="282" w:lineRule="auto"/>
        <w:tabs>
          <w:tab w:leader="none" w:pos="605" w:val="left"/>
        </w:tabs>
        <w:numPr>
          <w:ilvl w:val="1"/>
          <w:numId w:val="166"/>
        </w:numPr>
        <w:rPr>
          <w:rFonts w:ascii="Arial" w:cs="Arial" w:eastAsia="Arial" w:hAnsi="Arial"/>
          <w:sz w:val="14"/>
          <w:szCs w:val="14"/>
          <w:color w:val="auto"/>
        </w:rPr>
      </w:pPr>
      <w:r>
        <w:rPr>
          <w:rFonts w:ascii="Arial" w:cs="Arial" w:eastAsia="Arial" w:hAnsi="Arial"/>
          <w:sz w:val="14"/>
          <w:szCs w:val="14"/>
          <w:u w:val="single" w:color="auto"/>
          <w:color w:val="auto"/>
        </w:rPr>
        <w:t>Effect of Committee’s Decision</w:t>
      </w:r>
      <w:r>
        <w:rPr>
          <w:rFonts w:ascii="Arial" w:cs="Arial" w:eastAsia="Arial" w:hAnsi="Arial"/>
          <w:sz w:val="14"/>
          <w:szCs w:val="14"/>
          <w:color w:val="auto"/>
        </w:rPr>
        <w:t>. All decisions, determinations and interpretations of the Committee shall be final, binding and conclusive on all persons, including the Company, its Subsidiaries, its stockholders, Employees, Directors, Consultants and their estates and beneficiaries.</w:t>
      </w:r>
    </w:p>
    <w:p>
      <w:pPr>
        <w:spacing w:after="0" w:line="69" w:lineRule="exact"/>
        <w:rPr>
          <w:rFonts w:ascii="Arial" w:cs="Arial" w:eastAsia="Arial" w:hAnsi="Arial"/>
          <w:sz w:val="14"/>
          <w:szCs w:val="14"/>
          <w:color w:val="auto"/>
        </w:rPr>
      </w:pPr>
    </w:p>
    <w:p>
      <w:pPr>
        <w:ind w:left="229" w:right="280" w:firstLine="7"/>
        <w:spacing w:after="0" w:line="282" w:lineRule="auto"/>
        <w:tabs>
          <w:tab w:leader="none" w:pos="613" w:val="left"/>
        </w:tabs>
        <w:numPr>
          <w:ilvl w:val="1"/>
          <w:numId w:val="166"/>
        </w:numPr>
        <w:rPr>
          <w:rFonts w:ascii="Arial" w:cs="Arial" w:eastAsia="Arial" w:hAnsi="Arial"/>
          <w:sz w:val="14"/>
          <w:szCs w:val="14"/>
          <w:color w:val="auto"/>
        </w:rPr>
      </w:pPr>
      <w:r>
        <w:rPr>
          <w:rFonts w:ascii="Arial" w:cs="Arial" w:eastAsia="Arial" w:hAnsi="Arial"/>
          <w:sz w:val="14"/>
          <w:szCs w:val="14"/>
          <w:u w:val="single" w:color="auto"/>
          <w:color w:val="auto"/>
        </w:rPr>
        <w:t>Delegation</w:t>
      </w:r>
      <w:r>
        <w:rPr>
          <w:rFonts w:ascii="Arial" w:cs="Arial" w:eastAsia="Arial" w:hAnsi="Arial"/>
          <w:sz w:val="14"/>
          <w:szCs w:val="14"/>
          <w:color w:val="auto"/>
        </w:rPr>
        <w:t>. As permitted by Applicable Laws, the Committee may delegate its authority as identified herein, including the power and authority to make Awards to Participants who are not “insiders” subject to Section 16(b) of the Exchange Act, pursuant to such conditions and limitations as the Committee may establish.</w:t>
      </w:r>
    </w:p>
    <w:p>
      <w:pPr>
        <w:spacing w:after="0" w:line="57" w:lineRule="exact"/>
        <w:rPr>
          <w:rFonts w:ascii="Arial" w:cs="Arial" w:eastAsia="Arial" w:hAnsi="Arial"/>
          <w:sz w:val="14"/>
          <w:szCs w:val="14"/>
          <w:color w:val="auto"/>
        </w:rPr>
      </w:pPr>
    </w:p>
    <w:p>
      <w:pPr>
        <w:ind w:left="189" w:hanging="189"/>
        <w:spacing w:after="0"/>
        <w:tabs>
          <w:tab w:leader="none" w:pos="189" w:val="left"/>
        </w:tabs>
        <w:numPr>
          <w:ilvl w:val="0"/>
          <w:numId w:val="16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Shares Subject to the Plan; Effect of Grants; Individual Limits</w:t>
      </w:r>
      <w:r>
        <w:rPr>
          <w:rFonts w:ascii="Arial" w:cs="Arial" w:eastAsia="Arial" w:hAnsi="Arial"/>
          <w:sz w:val="14"/>
          <w:szCs w:val="14"/>
          <w:color w:val="auto"/>
        </w:rPr>
        <w:t>.</w:t>
      </w:r>
    </w:p>
    <w:p>
      <w:pPr>
        <w:spacing w:after="0" w:line="109" w:lineRule="exact"/>
        <w:rPr>
          <w:rFonts w:ascii="Arial" w:cs="Arial" w:eastAsia="Arial" w:hAnsi="Arial"/>
          <w:sz w:val="14"/>
          <w:szCs w:val="14"/>
          <w:b w:val="1"/>
          <w:bCs w:val="1"/>
          <w:color w:val="auto"/>
        </w:rPr>
      </w:pPr>
    </w:p>
    <w:p>
      <w:pPr>
        <w:ind w:left="229" w:right="20" w:firstLine="7"/>
        <w:spacing w:after="0" w:line="252" w:lineRule="auto"/>
        <w:tabs>
          <w:tab w:leader="none" w:pos="613" w:val="left"/>
        </w:tabs>
        <w:numPr>
          <w:ilvl w:val="1"/>
          <w:numId w:val="167"/>
        </w:numPr>
        <w:rPr>
          <w:rFonts w:ascii="Arial" w:cs="Arial" w:eastAsia="Arial" w:hAnsi="Arial"/>
          <w:sz w:val="14"/>
          <w:szCs w:val="14"/>
          <w:color w:val="auto"/>
        </w:rPr>
      </w:pPr>
      <w:r>
        <w:rPr>
          <w:rFonts w:ascii="Arial" w:cs="Arial" w:eastAsia="Arial" w:hAnsi="Arial"/>
          <w:sz w:val="14"/>
          <w:szCs w:val="14"/>
          <w:u w:val="single" w:color="auto"/>
          <w:color w:val="auto"/>
        </w:rPr>
        <w:t>Number of Shares Available for Grants</w:t>
      </w:r>
      <w:r>
        <w:rPr>
          <w:rFonts w:ascii="Arial" w:cs="Arial" w:eastAsia="Arial" w:hAnsi="Arial"/>
          <w:sz w:val="14"/>
          <w:szCs w:val="14"/>
          <w:color w:val="auto"/>
        </w:rPr>
        <w:t>. Subject to adjustment as provided in Section 18 hereof, the maximum number of Shares which may be issued pursuant to Awards under the Plan shall be 24,293,589. The 24,293,589 shares referred to in the immediately preceding sentence include the 3,000,000 Shares initially included in the Plan as of the Effective Date, 4,400,000 shares added to the Plan as of June 25, 2009, 1,093,649 shares added to the Plan pursuant to paragraph (i) of this</w:t>
      </w:r>
    </w:p>
    <w:p>
      <w:pPr>
        <w:spacing w:after="0" w:line="1" w:lineRule="exact"/>
        <w:rPr>
          <w:rFonts w:ascii="Arial" w:cs="Arial" w:eastAsia="Arial" w:hAnsi="Arial"/>
          <w:sz w:val="14"/>
          <w:szCs w:val="14"/>
          <w:color w:val="auto"/>
        </w:rPr>
      </w:pPr>
    </w:p>
    <w:p>
      <w:pPr>
        <w:ind w:left="229"/>
        <w:spacing w:after="0" w:line="249" w:lineRule="auto"/>
        <w:rPr>
          <w:rFonts w:ascii="Arial" w:cs="Arial" w:eastAsia="Arial" w:hAnsi="Arial"/>
          <w:sz w:val="14"/>
          <w:szCs w:val="14"/>
          <w:color w:val="auto"/>
        </w:rPr>
      </w:pPr>
      <w:r>
        <w:rPr>
          <w:rFonts w:ascii="Arial" w:cs="Arial" w:eastAsia="Arial" w:hAnsi="Arial"/>
          <w:sz w:val="14"/>
          <w:szCs w:val="14"/>
          <w:color w:val="auto"/>
        </w:rPr>
        <w:t>Section 3(a) between the Effective Date and August 31, 2012, and 4,500,000 Shares added to the Plan as of April 26, 2012, 1,442,940 shares added to the plan as of February 15, 2013 in connection with the Company’s acquisition of The Warnaco Group, Inc. (“Warnaco”) (of such 1,442,940 shares, 580,023 shares represent outstanding awards under Warnaco’s equity plans assumed by the Company and 862,917 shares represent awards to be issued in the future), 3,000,000 shares added to the Plan as of April 30, 2015; 3,000,000 shares added to the Plan as of April 30, 2020, 2,989,000 shares added to the Plan as of June 22, 2023 and 1,068,000 shares added to the Plan as of June 18, 2026. Any of the Shares reserved and available for issuance under the Plan may be used for any type of Award under the Plan, and any or all of the Shares reserved for issuance under the Plan shall be available for issuance pursuant to Incentive Stock Options.</w:t>
      </w:r>
    </w:p>
    <w:p>
      <w:pPr>
        <w:spacing w:after="0" w:line="90" w:lineRule="exact"/>
        <w:rPr>
          <w:rFonts w:ascii="Arial" w:cs="Arial" w:eastAsia="Arial" w:hAnsi="Arial"/>
          <w:sz w:val="14"/>
          <w:szCs w:val="14"/>
          <w:color w:val="auto"/>
        </w:rPr>
      </w:pPr>
    </w:p>
    <w:p>
      <w:pPr>
        <w:ind w:left="229" w:right="40" w:firstLine="415"/>
        <w:spacing w:after="0" w:line="282" w:lineRule="auto"/>
        <w:tabs>
          <w:tab w:leader="none" w:pos="1010" w:val="left"/>
        </w:tabs>
        <w:numPr>
          <w:ilvl w:val="2"/>
          <w:numId w:val="167"/>
        </w:numPr>
        <w:rPr>
          <w:rFonts w:ascii="Arial" w:cs="Arial" w:eastAsia="Arial" w:hAnsi="Arial"/>
          <w:sz w:val="14"/>
          <w:szCs w:val="14"/>
          <w:color w:val="auto"/>
        </w:rPr>
      </w:pPr>
      <w:r>
        <w:rPr>
          <w:rFonts w:ascii="Arial" w:cs="Arial" w:eastAsia="Arial" w:hAnsi="Arial"/>
          <w:sz w:val="14"/>
          <w:szCs w:val="14"/>
          <w:color w:val="auto"/>
        </w:rPr>
        <w:t>Shares that are potentially deliverable under an Award granted under the Plan that expires or is canceled, forfeited, settled in cash or otherwise settled without the delivery of Shares shall not be treated as having been issued under the Plan.</w:t>
      </w:r>
    </w:p>
    <w:p>
      <w:pPr>
        <w:spacing w:after="0" w:line="57" w:lineRule="exact"/>
        <w:rPr>
          <w:rFonts w:ascii="Arial" w:cs="Arial" w:eastAsia="Arial" w:hAnsi="Arial"/>
          <w:sz w:val="14"/>
          <w:szCs w:val="14"/>
          <w:color w:val="auto"/>
        </w:rPr>
      </w:pPr>
    </w:p>
    <w:p>
      <w:pPr>
        <w:jc w:val="both"/>
        <w:ind w:left="229" w:right="420" w:firstLine="415"/>
        <w:spacing w:after="0" w:line="264" w:lineRule="auto"/>
        <w:tabs>
          <w:tab w:leader="none" w:pos="1006" w:val="left"/>
        </w:tabs>
        <w:numPr>
          <w:ilvl w:val="2"/>
          <w:numId w:val="167"/>
        </w:numPr>
        <w:rPr>
          <w:rFonts w:ascii="Arial" w:cs="Arial" w:eastAsia="Arial" w:hAnsi="Arial"/>
          <w:sz w:val="14"/>
          <w:szCs w:val="14"/>
          <w:color w:val="auto"/>
        </w:rPr>
      </w:pPr>
      <w:r>
        <w:rPr>
          <w:rFonts w:ascii="Arial" w:cs="Arial" w:eastAsia="Arial" w:hAnsi="Arial"/>
          <w:sz w:val="14"/>
          <w:szCs w:val="14"/>
          <w:color w:val="auto"/>
        </w:rPr>
        <w:t>Shares that are issued pursuant to awards that are assumed, converted or substituted in connection with a merger, acquisition, reorganization or similar transaction shall not be treated as having been issued under the Plan; provided, however, that the Shares referred to in this paragraph (ii) shall not be considered for purposes of determining the number of Shares available for grant as Incentive Stock Options.</w:t>
      </w:r>
    </w:p>
    <w:p>
      <w:pPr>
        <w:spacing w:after="0" w:line="69" w:lineRule="exact"/>
        <w:rPr>
          <w:sz w:val="20"/>
          <w:szCs w:val="20"/>
          <w:color w:val="auto"/>
        </w:rPr>
      </w:pPr>
    </w:p>
    <w:p>
      <w:pPr>
        <w:ind w:left="229" w:right="160" w:firstLine="408"/>
        <w:spacing w:after="0" w:line="256" w:lineRule="auto"/>
        <w:rPr>
          <w:sz w:val="20"/>
          <w:szCs w:val="20"/>
          <w:color w:val="auto"/>
        </w:rPr>
      </w:pPr>
      <w:r>
        <w:rPr>
          <w:rFonts w:ascii="Arial" w:cs="Arial" w:eastAsia="Arial" w:hAnsi="Arial"/>
          <w:sz w:val="14"/>
          <w:szCs w:val="14"/>
          <w:color w:val="auto"/>
        </w:rPr>
        <w:t>Notwithstanding any other provisions herein: (i) shares tendered in payment of the exercise price of an Award shall not be added to the maximum share limitations described above, (ii) shares withheld by the Company to satisfy the tax withholding obligation shall not be added to the maximum share limitations described above, and</w:t>
      </w:r>
    </w:p>
    <w:p>
      <w:pPr>
        <w:ind w:left="229" w:right="40" w:firstLine="7"/>
        <w:spacing w:after="0" w:line="262" w:lineRule="auto"/>
        <w:tabs>
          <w:tab w:leader="none" w:pos="456" w:val="left"/>
        </w:tabs>
        <w:numPr>
          <w:ilvl w:val="0"/>
          <w:numId w:val="168"/>
        </w:numPr>
        <w:rPr>
          <w:rFonts w:ascii="Arial" w:cs="Arial" w:eastAsia="Arial" w:hAnsi="Arial"/>
          <w:sz w:val="14"/>
          <w:szCs w:val="14"/>
          <w:color w:val="auto"/>
        </w:rPr>
      </w:pPr>
      <w:r>
        <w:rPr>
          <w:rFonts w:ascii="Arial" w:cs="Arial" w:eastAsia="Arial" w:hAnsi="Arial"/>
          <w:sz w:val="14"/>
          <w:szCs w:val="14"/>
          <w:color w:val="auto"/>
        </w:rPr>
        <w:t>all shares covered by a Stock Appreciation Right, to the extent that it is exercised and whether or not shares of Common Stock are actually issued upon exercise of the right, shall be considered issued or transferred pursuant to the Plan.</w:t>
      </w:r>
    </w:p>
    <w:p>
      <w:pPr>
        <w:spacing w:after="0" w:line="82" w:lineRule="exact"/>
        <w:rPr>
          <w:sz w:val="20"/>
          <w:szCs w:val="20"/>
          <w:color w:val="auto"/>
        </w:rPr>
      </w:pPr>
    </w:p>
    <w:p>
      <w:pPr>
        <w:ind w:left="649"/>
        <w:spacing w:after="0"/>
        <w:rPr>
          <w:sz w:val="20"/>
          <w:szCs w:val="20"/>
          <w:color w:val="auto"/>
        </w:rPr>
      </w:pPr>
      <w:r>
        <w:rPr>
          <w:rFonts w:ascii="Arial" w:cs="Arial" w:eastAsia="Arial" w:hAnsi="Arial"/>
          <w:sz w:val="14"/>
          <w:szCs w:val="14"/>
          <w:color w:val="auto"/>
        </w:rPr>
        <w:t>The Shares to be issued pursuant to Awards may be authorized but unissued Shares or treasury Shares.</w:t>
      </w:r>
    </w:p>
    <w:p>
      <w:pPr>
        <w:spacing w:after="0" w:line="110" w:lineRule="exact"/>
        <w:rPr>
          <w:sz w:val="20"/>
          <w:szCs w:val="20"/>
          <w:color w:val="auto"/>
        </w:rPr>
      </w:pPr>
    </w:p>
    <w:p>
      <w:pPr>
        <w:ind w:left="229" w:firstLine="7"/>
        <w:spacing w:after="0" w:line="282" w:lineRule="auto"/>
        <w:tabs>
          <w:tab w:leader="none" w:pos="613" w:val="left"/>
        </w:tabs>
        <w:numPr>
          <w:ilvl w:val="0"/>
          <w:numId w:val="169"/>
        </w:numPr>
        <w:rPr>
          <w:rFonts w:ascii="Arial" w:cs="Arial" w:eastAsia="Arial" w:hAnsi="Arial"/>
          <w:sz w:val="14"/>
          <w:szCs w:val="14"/>
          <w:color w:val="auto"/>
        </w:rPr>
      </w:pPr>
      <w:r>
        <w:rPr>
          <w:rFonts w:ascii="Arial" w:cs="Arial" w:eastAsia="Arial" w:hAnsi="Arial"/>
          <w:sz w:val="14"/>
          <w:szCs w:val="14"/>
          <w:u w:val="single" w:color="auto"/>
          <w:color w:val="auto"/>
        </w:rPr>
        <w:t>Individual Limits</w:t>
      </w:r>
      <w:r>
        <w:rPr>
          <w:rFonts w:ascii="Arial" w:cs="Arial" w:eastAsia="Arial" w:hAnsi="Arial"/>
          <w:sz w:val="14"/>
          <w:szCs w:val="14"/>
          <w:color w:val="auto"/>
        </w:rPr>
        <w:t>. Subject to adjustment as provided in Section 16 hereof, the maximum aggregate number of Shares with respect to which Awards may be granted in any calendar year to any one Participant who is not a Director shall be 1,000,000 Shares.</w:t>
      </w:r>
    </w:p>
    <w:p>
      <w:pPr>
        <w:spacing w:after="0" w:line="57" w:lineRule="exact"/>
        <w:rPr>
          <w:rFonts w:ascii="Arial" w:cs="Arial" w:eastAsia="Arial" w:hAnsi="Arial"/>
          <w:sz w:val="14"/>
          <w:szCs w:val="14"/>
          <w:color w:val="auto"/>
        </w:rPr>
      </w:pPr>
    </w:p>
    <w:p>
      <w:pPr>
        <w:ind w:left="609" w:hanging="373"/>
        <w:spacing w:after="0"/>
        <w:tabs>
          <w:tab w:leader="none" w:pos="609" w:val="left"/>
        </w:tabs>
        <w:numPr>
          <w:ilvl w:val="0"/>
          <w:numId w:val="169"/>
        </w:numPr>
        <w:rPr>
          <w:rFonts w:ascii="Arial" w:cs="Arial" w:eastAsia="Arial" w:hAnsi="Arial"/>
          <w:sz w:val="14"/>
          <w:szCs w:val="14"/>
          <w:color w:val="auto"/>
        </w:rPr>
      </w:pPr>
      <w:r>
        <w:rPr>
          <w:rFonts w:ascii="Arial" w:cs="Arial" w:eastAsia="Arial" w:hAnsi="Arial"/>
          <w:sz w:val="14"/>
          <w:szCs w:val="14"/>
          <w:u w:val="single" w:color="auto"/>
          <w:color w:val="auto"/>
        </w:rPr>
        <w:t>Individual Director Limit</w:t>
      </w:r>
      <w:r>
        <w:rPr>
          <w:rFonts w:ascii="Arial" w:cs="Arial" w:eastAsia="Arial" w:hAnsi="Arial"/>
          <w:sz w:val="14"/>
          <w:szCs w:val="14"/>
          <w:color w:val="auto"/>
        </w:rPr>
        <w:t>. Notwithstanding any other provisions herein, the maximum aggregate number of Shares with respect to which Awards may be granted</w:t>
      </w:r>
    </w:p>
    <w:p>
      <w:pPr>
        <w:spacing w:after="0" w:line="17" w:lineRule="exact"/>
        <w:rPr>
          <w:rFonts w:ascii="Arial" w:cs="Arial" w:eastAsia="Arial" w:hAnsi="Arial"/>
          <w:sz w:val="14"/>
          <w:szCs w:val="14"/>
          <w:color w:val="auto"/>
        </w:rPr>
      </w:pPr>
    </w:p>
    <w:p>
      <w:pPr>
        <w:ind w:left="229" w:right="20"/>
        <w:spacing w:after="0" w:line="249" w:lineRule="auto"/>
        <w:rPr>
          <w:rFonts w:ascii="Arial" w:cs="Arial" w:eastAsia="Arial" w:hAnsi="Arial"/>
          <w:sz w:val="14"/>
          <w:szCs w:val="14"/>
          <w:color w:val="auto"/>
        </w:rPr>
      </w:pPr>
      <w:r>
        <w:rPr>
          <w:rFonts w:ascii="Arial" w:cs="Arial" w:eastAsia="Arial" w:hAnsi="Arial"/>
          <w:sz w:val="14"/>
          <w:szCs w:val="14"/>
          <w:color w:val="auto"/>
        </w:rPr>
        <w:t>during any 12-month period to any one Director in respect of the Director’s service as a member of the Board or a committee of the Board shall be limited to a number that, combined with any cash fees or other compensation paid to such Director during such 12-month period in respect of the Director’s service on the Board or a committee of the Board, shall not exceed $750,000 in total value, with the value of any such Director Awards based on the grant date fair value of such Awards for financial reporting purposes. The Board may make exceptions to this limit for the independent Director who is serving as Chair or presiding director, as applicable, as the Board may determine in its discretion, provided that the Director receiving such additional compensation may not participate in the decision to award such compensation.</w:t>
      </w:r>
    </w:p>
    <w:p>
      <w:pPr>
        <w:spacing w:after="0" w:line="93" w:lineRule="exact"/>
        <w:rPr>
          <w:rFonts w:ascii="Arial" w:cs="Arial" w:eastAsia="Arial" w:hAnsi="Arial"/>
          <w:sz w:val="14"/>
          <w:szCs w:val="14"/>
          <w:color w:val="auto"/>
        </w:rPr>
      </w:pPr>
    </w:p>
    <w:p>
      <w:pPr>
        <w:jc w:val="both"/>
        <w:ind w:left="229" w:right="300" w:firstLine="7"/>
        <w:spacing w:after="0" w:line="264" w:lineRule="auto"/>
        <w:tabs>
          <w:tab w:leader="none" w:pos="637" w:val="left"/>
        </w:tabs>
        <w:numPr>
          <w:ilvl w:val="0"/>
          <w:numId w:val="169"/>
        </w:numPr>
        <w:rPr>
          <w:rFonts w:ascii="Arial" w:cs="Arial" w:eastAsia="Arial" w:hAnsi="Arial"/>
          <w:sz w:val="14"/>
          <w:szCs w:val="14"/>
          <w:color w:val="auto"/>
        </w:rPr>
      </w:pPr>
      <w:r>
        <w:rPr>
          <w:rFonts w:ascii="Arial" w:cs="Arial" w:eastAsia="Arial" w:hAnsi="Arial"/>
          <w:sz w:val="14"/>
          <w:szCs w:val="14"/>
          <w:u w:val="single" w:color="auto"/>
          <w:color w:val="auto"/>
        </w:rPr>
        <w:t>Share Counting</w:t>
      </w:r>
      <w:r>
        <w:rPr>
          <w:rFonts w:ascii="Arial" w:cs="Arial" w:eastAsia="Arial" w:hAnsi="Arial"/>
          <w:sz w:val="14"/>
          <w:szCs w:val="14"/>
          <w:color w:val="auto"/>
        </w:rPr>
        <w:t>. Each Share underlying a Stock Option or Stock Appreciation Right shall be counted as one share for purposes of the limits set forth in Sections 3(a) and 3(b). Each Share underlying a combination of Stock Appreciation Right and Stock Option, where the exercise of the Stock Appreciation Right or Stock Option results in the cancellation of the other, shall be</w:t>
      </w:r>
    </w:p>
    <w:p>
      <w:pPr>
        <w:spacing w:after="0" w:line="149"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 xml:space="preserve">C-2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29"/>
          </w:cols>
          <w:pgMar w:left="471" w:top="233" w:right="499" w:bottom="1440" w:gutter="0" w:footer="0" w:header="0"/>
        </w:sectPr>
      </w:pPr>
    </w:p>
    <w:bookmarkStart w:id="111" w:name="page112"/>
    <w:bookmarkEnd w:id="111"/>
    <w:p>
      <w:pPr>
        <w:ind w:left="229" w:right="60"/>
        <w:spacing w:after="0" w:line="253" w:lineRule="auto"/>
        <w:rPr>
          <w:sz w:val="20"/>
          <w:szCs w:val="20"/>
          <w:color w:val="auto"/>
        </w:rPr>
      </w:pPr>
      <w:r>
        <w:rPr>
          <w:rFonts w:ascii="Arial" w:cs="Arial" w:eastAsia="Arial" w:hAnsi="Arial"/>
          <w:sz w:val="14"/>
          <w:szCs w:val="14"/>
          <w:color w:val="auto"/>
        </w:rPr>
        <w:t>counted as one share for purposes of the limits set forth in Sections 3(a) and 3(b). Each Share underlying an Award of Restricted Stock, Restricted Stock, Performance Share, Performance Share Units or Other Stock-Based Award granted prior to June 22, 2023 shall be counted as two shares for purposes of the limits set forth in Sections 3(a) and 3(b). Each Share underlying an Award of Restricted Stock, Restricted Stock Unit, Performance Share, PSUs or Other Stock-Based Award granted on or after June 22, 2023 and prior to June 18, 2026 shall be counted as 1.6 shares for purposes of the limits set forth in Sections 3(a) and 3(b). Each Share underlying an Award of Restricted Stock, Restricted Stock Unit, Performance Share, PSUs or Other Stock-Based Award granted on or after June 18, 2026 shall be counted as 1.72 shares for purposes of the limits set forth in Sections 3(a) and 3(b).</w:t>
      </w:r>
    </w:p>
    <w:p>
      <w:pPr>
        <w:spacing w:after="0" w:line="89" w:lineRule="exact"/>
        <w:rPr>
          <w:sz w:val="20"/>
          <w:szCs w:val="20"/>
          <w:color w:val="auto"/>
        </w:rPr>
      </w:pPr>
    </w:p>
    <w:p>
      <w:pPr>
        <w:ind w:left="189" w:hanging="189"/>
        <w:spacing w:after="0"/>
        <w:tabs>
          <w:tab w:leader="none" w:pos="189" w:val="left"/>
        </w:tabs>
        <w:numPr>
          <w:ilvl w:val="0"/>
          <w:numId w:val="17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Eligibility and Participation</w:t>
      </w:r>
      <w:r>
        <w:rPr>
          <w:rFonts w:ascii="Arial" w:cs="Arial" w:eastAsia="Arial" w:hAnsi="Arial"/>
          <w:sz w:val="14"/>
          <w:szCs w:val="14"/>
          <w:color w:val="auto"/>
        </w:rPr>
        <w:t>.</w:t>
      </w:r>
    </w:p>
    <w:p>
      <w:pPr>
        <w:spacing w:after="0" w:line="109" w:lineRule="exact"/>
        <w:rPr>
          <w:rFonts w:ascii="Arial" w:cs="Arial" w:eastAsia="Arial" w:hAnsi="Arial"/>
          <w:sz w:val="14"/>
          <w:szCs w:val="14"/>
          <w:b w:val="1"/>
          <w:bCs w:val="1"/>
          <w:color w:val="auto"/>
        </w:rPr>
      </w:pPr>
    </w:p>
    <w:p>
      <w:pPr>
        <w:ind w:left="629" w:hanging="393"/>
        <w:spacing w:after="0"/>
        <w:tabs>
          <w:tab w:leader="none" w:pos="629" w:val="left"/>
        </w:tabs>
        <w:numPr>
          <w:ilvl w:val="1"/>
          <w:numId w:val="170"/>
        </w:numPr>
        <w:rPr>
          <w:rFonts w:ascii="Arial" w:cs="Arial" w:eastAsia="Arial" w:hAnsi="Arial"/>
          <w:sz w:val="14"/>
          <w:szCs w:val="14"/>
          <w:color w:val="auto"/>
        </w:rPr>
      </w:pPr>
      <w:r>
        <w:rPr>
          <w:rFonts w:ascii="Arial" w:cs="Arial" w:eastAsia="Arial" w:hAnsi="Arial"/>
          <w:sz w:val="14"/>
          <w:szCs w:val="14"/>
          <w:u w:val="single" w:color="auto"/>
          <w:color w:val="auto"/>
        </w:rPr>
        <w:t>Eligibility</w:t>
      </w:r>
      <w:r>
        <w:rPr>
          <w:rFonts w:ascii="Arial" w:cs="Arial" w:eastAsia="Arial" w:hAnsi="Arial"/>
          <w:sz w:val="14"/>
          <w:szCs w:val="14"/>
          <w:color w:val="auto"/>
        </w:rPr>
        <w:t>. Persons eligible to participate in the Plan include all Employees, Directors and Consultants.</w:t>
      </w:r>
    </w:p>
    <w:p>
      <w:pPr>
        <w:spacing w:after="0" w:line="109" w:lineRule="exact"/>
        <w:rPr>
          <w:rFonts w:ascii="Arial" w:cs="Arial" w:eastAsia="Arial" w:hAnsi="Arial"/>
          <w:sz w:val="14"/>
          <w:szCs w:val="14"/>
          <w:color w:val="auto"/>
        </w:rPr>
      </w:pPr>
    </w:p>
    <w:p>
      <w:pPr>
        <w:ind w:left="229" w:right="60" w:firstLine="7"/>
        <w:spacing w:after="0" w:line="258" w:lineRule="auto"/>
        <w:tabs>
          <w:tab w:leader="none" w:pos="613" w:val="left"/>
        </w:tabs>
        <w:numPr>
          <w:ilvl w:val="1"/>
          <w:numId w:val="170"/>
        </w:numPr>
        <w:rPr>
          <w:rFonts w:ascii="Arial" w:cs="Arial" w:eastAsia="Arial" w:hAnsi="Arial"/>
          <w:sz w:val="14"/>
          <w:szCs w:val="14"/>
          <w:color w:val="auto"/>
        </w:rPr>
      </w:pPr>
      <w:r>
        <w:rPr>
          <w:rFonts w:ascii="Arial" w:cs="Arial" w:eastAsia="Arial" w:hAnsi="Arial"/>
          <w:sz w:val="14"/>
          <w:szCs w:val="14"/>
          <w:u w:val="single" w:color="auto"/>
          <w:color w:val="auto"/>
        </w:rPr>
        <w:t>Actual Participation</w:t>
      </w:r>
      <w:r>
        <w:rPr>
          <w:rFonts w:ascii="Arial" w:cs="Arial" w:eastAsia="Arial" w:hAnsi="Arial"/>
          <w:sz w:val="14"/>
          <w:szCs w:val="14"/>
          <w:color w:val="auto"/>
        </w:rPr>
        <w:t>. Subject to the provisions of the Plan, the Committee may, from time to time, select from all eligible Employees, Directors and Consultants, those to whom Awards shall be granted and shall determine the nature and amount of each Award. The Committee may establish additional terms, conditions, rules or procedures to accommodate the rules or laws of applicable foreign jurisdictions and to afford Participants favorable treatment under such laws; provided, however, that no Award shall be granted under any such additional terms, conditions, rules or procedures with terms or conditions which are inconsistent with the provisions of the Plan.</w:t>
      </w:r>
    </w:p>
    <w:p>
      <w:pPr>
        <w:spacing w:after="0" w:line="85"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auto"/>
        </w:rPr>
        <w:t>5</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Types of Awards</w:t>
      </w:r>
      <w:r>
        <w:rPr>
          <w:rFonts w:ascii="Arial" w:cs="Arial" w:eastAsia="Arial" w:hAnsi="Arial"/>
          <w:sz w:val="14"/>
          <w:szCs w:val="14"/>
          <w:color w:val="auto"/>
        </w:rPr>
        <w:t>.</w:t>
      </w:r>
    </w:p>
    <w:p>
      <w:pPr>
        <w:spacing w:after="0" w:line="110" w:lineRule="exact"/>
        <w:rPr>
          <w:sz w:val="20"/>
          <w:szCs w:val="20"/>
          <w:color w:val="auto"/>
        </w:rPr>
      </w:pPr>
    </w:p>
    <w:p>
      <w:pPr>
        <w:ind w:left="229" w:right="260" w:firstLine="7"/>
        <w:spacing w:after="0" w:line="282" w:lineRule="auto"/>
        <w:tabs>
          <w:tab w:leader="none" w:pos="613" w:val="left"/>
        </w:tabs>
        <w:numPr>
          <w:ilvl w:val="0"/>
          <w:numId w:val="171"/>
        </w:numPr>
        <w:rPr>
          <w:rFonts w:ascii="Arial" w:cs="Arial" w:eastAsia="Arial" w:hAnsi="Arial"/>
          <w:sz w:val="14"/>
          <w:szCs w:val="14"/>
          <w:color w:val="auto"/>
        </w:rPr>
      </w:pPr>
      <w:r>
        <w:rPr>
          <w:rFonts w:ascii="Arial" w:cs="Arial" w:eastAsia="Arial" w:hAnsi="Arial"/>
          <w:sz w:val="14"/>
          <w:szCs w:val="14"/>
          <w:u w:val="single" w:color="auto"/>
          <w:color w:val="auto"/>
        </w:rPr>
        <w:t>Type of Awards</w:t>
      </w:r>
      <w:r>
        <w:rPr>
          <w:rFonts w:ascii="Arial" w:cs="Arial" w:eastAsia="Arial" w:hAnsi="Arial"/>
          <w:sz w:val="14"/>
          <w:szCs w:val="14"/>
          <w:color w:val="auto"/>
        </w:rPr>
        <w:t>. Awards under the Plan may be in the form of Options (both Nonqualified Stock Options and/or Incentive Stock Options), SARs, Restricted Stock, Restricted Stock Units, Performance Shares, Performance Share Units and Other Stock-Based Awards.</w:t>
      </w:r>
    </w:p>
    <w:p>
      <w:pPr>
        <w:spacing w:after="0" w:line="57" w:lineRule="exact"/>
        <w:rPr>
          <w:rFonts w:ascii="Arial" w:cs="Arial" w:eastAsia="Arial" w:hAnsi="Arial"/>
          <w:sz w:val="14"/>
          <w:szCs w:val="14"/>
          <w:color w:val="auto"/>
        </w:rPr>
      </w:pPr>
    </w:p>
    <w:p>
      <w:pPr>
        <w:ind w:left="629" w:hanging="393"/>
        <w:spacing w:after="0"/>
        <w:tabs>
          <w:tab w:leader="none" w:pos="629" w:val="left"/>
        </w:tabs>
        <w:numPr>
          <w:ilvl w:val="0"/>
          <w:numId w:val="171"/>
        </w:numPr>
        <w:rPr>
          <w:rFonts w:ascii="Arial" w:cs="Arial" w:eastAsia="Arial" w:hAnsi="Arial"/>
          <w:sz w:val="14"/>
          <w:szCs w:val="14"/>
          <w:color w:val="auto"/>
        </w:rPr>
      </w:pPr>
      <w:r>
        <w:rPr>
          <w:rFonts w:ascii="Arial" w:cs="Arial" w:eastAsia="Arial" w:hAnsi="Arial"/>
          <w:sz w:val="14"/>
          <w:szCs w:val="14"/>
          <w:u w:val="single" w:color="auto"/>
          <w:color w:val="auto"/>
        </w:rPr>
        <w:t>Designation of Award</w:t>
      </w:r>
      <w:r>
        <w:rPr>
          <w:rFonts w:ascii="Arial" w:cs="Arial" w:eastAsia="Arial" w:hAnsi="Arial"/>
          <w:sz w:val="14"/>
          <w:szCs w:val="14"/>
          <w:color w:val="auto"/>
        </w:rPr>
        <w:t>. Each Award shall be designated in the Award Agreement.</w:t>
      </w:r>
    </w:p>
    <w:p>
      <w:pPr>
        <w:spacing w:after="0" w:line="122"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auto"/>
        </w:rPr>
        <w:t>6</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Options.</w:t>
      </w:r>
    </w:p>
    <w:p>
      <w:pPr>
        <w:spacing w:after="0" w:line="110" w:lineRule="exact"/>
        <w:rPr>
          <w:sz w:val="20"/>
          <w:szCs w:val="20"/>
          <w:color w:val="auto"/>
        </w:rPr>
      </w:pPr>
    </w:p>
    <w:p>
      <w:pPr>
        <w:ind w:left="229" w:right="80" w:firstLine="7"/>
        <w:spacing w:after="0" w:line="282" w:lineRule="auto"/>
        <w:tabs>
          <w:tab w:leader="none" w:pos="613" w:val="left"/>
        </w:tabs>
        <w:numPr>
          <w:ilvl w:val="0"/>
          <w:numId w:val="172"/>
        </w:numPr>
        <w:rPr>
          <w:rFonts w:ascii="Arial" w:cs="Arial" w:eastAsia="Arial" w:hAnsi="Arial"/>
          <w:sz w:val="14"/>
          <w:szCs w:val="14"/>
          <w:color w:val="auto"/>
        </w:rPr>
      </w:pPr>
      <w:r>
        <w:rPr>
          <w:rFonts w:ascii="Arial" w:cs="Arial" w:eastAsia="Arial" w:hAnsi="Arial"/>
          <w:sz w:val="14"/>
          <w:szCs w:val="14"/>
          <w:u w:val="single" w:color="auto"/>
          <w:color w:val="auto"/>
        </w:rPr>
        <w:t>Grant of Options</w:t>
      </w:r>
      <w:r>
        <w:rPr>
          <w:rFonts w:ascii="Arial" w:cs="Arial" w:eastAsia="Arial" w:hAnsi="Arial"/>
          <w:sz w:val="14"/>
          <w:szCs w:val="14"/>
          <w:color w:val="auto"/>
        </w:rPr>
        <w:t>. Subject to the terms and provisions of the Plan, Options may be granted to Participants in such number and upon such terms, and at any time and from time to time, as shall be determined by the Committee.</w:t>
      </w:r>
    </w:p>
    <w:p>
      <w:pPr>
        <w:spacing w:after="0" w:line="57" w:lineRule="exact"/>
        <w:rPr>
          <w:rFonts w:ascii="Arial" w:cs="Arial" w:eastAsia="Arial" w:hAnsi="Arial"/>
          <w:sz w:val="14"/>
          <w:szCs w:val="14"/>
          <w:color w:val="auto"/>
        </w:rPr>
      </w:pPr>
    </w:p>
    <w:p>
      <w:pPr>
        <w:ind w:left="229" w:right="140" w:firstLine="7"/>
        <w:spacing w:after="0" w:line="253" w:lineRule="auto"/>
        <w:tabs>
          <w:tab w:leader="none" w:pos="613" w:val="left"/>
        </w:tabs>
        <w:numPr>
          <w:ilvl w:val="0"/>
          <w:numId w:val="172"/>
        </w:numPr>
        <w:rPr>
          <w:rFonts w:ascii="Arial" w:cs="Arial" w:eastAsia="Arial" w:hAnsi="Arial"/>
          <w:sz w:val="14"/>
          <w:szCs w:val="14"/>
          <w:color w:val="auto"/>
        </w:rPr>
      </w:pPr>
      <w:r>
        <w:rPr>
          <w:rFonts w:ascii="Arial" w:cs="Arial" w:eastAsia="Arial" w:hAnsi="Arial"/>
          <w:sz w:val="14"/>
          <w:szCs w:val="14"/>
          <w:u w:val="single" w:color="auto"/>
          <w:color w:val="auto"/>
        </w:rPr>
        <w:t>Award Agreement</w:t>
      </w:r>
      <w:r>
        <w:rPr>
          <w:rFonts w:ascii="Arial" w:cs="Arial" w:eastAsia="Arial" w:hAnsi="Arial"/>
          <w:sz w:val="14"/>
          <w:szCs w:val="14"/>
          <w:color w:val="auto"/>
        </w:rPr>
        <w:t>. Each Option grant shall be evidenced by an Award Agreement that shall specify the Exercise Price, the duration of the Option, the number of Shares to which the Option pertains, and such other provisions as the Committee shall determine including, but not limited to, the Option vesting schedule, repurchase provisions, rights of first refusal, forfeiture provisions, form of payment (cash, Shares, or other consideration) upon settlement of the Award, and payment contingencies. The Award Agreement also shall specify whether the Option is intended to be an Incentive Stock Option or a Nonqualified Stock Option. Options that are intended to be Incentive Stock Options shall be subject to the limitations set forth in Section 422 of the Code. Options granted pursuant to the Plan shall not provide Participants with the right to receive Dividends or Dividend Equivalents.</w:t>
      </w:r>
    </w:p>
    <w:p>
      <w:pPr>
        <w:spacing w:after="0" w:line="88" w:lineRule="exact"/>
        <w:rPr>
          <w:rFonts w:ascii="Arial" w:cs="Arial" w:eastAsia="Arial" w:hAnsi="Arial"/>
          <w:sz w:val="14"/>
          <w:szCs w:val="14"/>
          <w:color w:val="auto"/>
        </w:rPr>
      </w:pPr>
    </w:p>
    <w:p>
      <w:pPr>
        <w:ind w:left="229" w:right="80" w:firstLine="7"/>
        <w:spacing w:after="0" w:line="255" w:lineRule="auto"/>
        <w:tabs>
          <w:tab w:leader="none" w:pos="605" w:val="left"/>
        </w:tabs>
        <w:numPr>
          <w:ilvl w:val="0"/>
          <w:numId w:val="172"/>
        </w:numPr>
        <w:rPr>
          <w:rFonts w:ascii="Arial" w:cs="Arial" w:eastAsia="Arial" w:hAnsi="Arial"/>
          <w:sz w:val="14"/>
          <w:szCs w:val="14"/>
          <w:color w:val="auto"/>
        </w:rPr>
      </w:pPr>
      <w:r>
        <w:rPr>
          <w:rFonts w:ascii="Arial" w:cs="Arial" w:eastAsia="Arial" w:hAnsi="Arial"/>
          <w:sz w:val="14"/>
          <w:szCs w:val="14"/>
          <w:u w:val="single" w:color="auto"/>
          <w:color w:val="auto"/>
        </w:rPr>
        <w:t>Exercise Price</w:t>
      </w:r>
      <w:r>
        <w:rPr>
          <w:rFonts w:ascii="Arial" w:cs="Arial" w:eastAsia="Arial" w:hAnsi="Arial"/>
          <w:sz w:val="14"/>
          <w:szCs w:val="14"/>
          <w:color w:val="auto"/>
        </w:rPr>
        <w:t>. Except for Options adjusted pursuant to Section 18 herein, and replacement Options granted in connection with a merger, acquisition, reorganization or similar transaction, the Exercise Price for each grant of an Option shall not be less than 100% of the Fair Market Value of a Share on the date the Option is granted. However, in the case of an Incentive Stock Option granted to a Participant who, at the time the Option is granted, owns stock representing more than 10% of the voting power of all classes of stock of the Company or any Subsidiary, the Exercise Price for each grant of an Option shall not be less than 110% of the Fair Market Value of a Share on the date the Option is granted.</w:t>
      </w:r>
    </w:p>
    <w:p>
      <w:pPr>
        <w:spacing w:after="0" w:line="75" w:lineRule="exact"/>
        <w:rPr>
          <w:rFonts w:ascii="Arial" w:cs="Arial" w:eastAsia="Arial" w:hAnsi="Arial"/>
          <w:sz w:val="14"/>
          <w:szCs w:val="14"/>
          <w:color w:val="auto"/>
        </w:rPr>
      </w:pPr>
    </w:p>
    <w:p>
      <w:pPr>
        <w:ind w:left="229" w:right="20" w:firstLine="7"/>
        <w:spacing w:after="0" w:line="258" w:lineRule="auto"/>
        <w:tabs>
          <w:tab w:leader="none" w:pos="613" w:val="left"/>
        </w:tabs>
        <w:numPr>
          <w:ilvl w:val="0"/>
          <w:numId w:val="172"/>
        </w:numPr>
        <w:rPr>
          <w:rFonts w:ascii="Arial" w:cs="Arial" w:eastAsia="Arial" w:hAnsi="Arial"/>
          <w:sz w:val="14"/>
          <w:szCs w:val="14"/>
          <w:color w:val="auto"/>
        </w:rPr>
      </w:pPr>
      <w:r>
        <w:rPr>
          <w:rFonts w:ascii="Arial" w:cs="Arial" w:eastAsia="Arial" w:hAnsi="Arial"/>
          <w:sz w:val="14"/>
          <w:szCs w:val="14"/>
          <w:u w:val="single" w:color="auto"/>
          <w:color w:val="auto"/>
        </w:rPr>
        <w:t>Term of Options</w:t>
      </w:r>
      <w:r>
        <w:rPr>
          <w:rFonts w:ascii="Arial" w:cs="Arial" w:eastAsia="Arial" w:hAnsi="Arial"/>
          <w:sz w:val="14"/>
          <w:szCs w:val="14"/>
          <w:color w:val="auto"/>
        </w:rPr>
        <w:t>. The term of an Option granted under the Plan shall be determined by the Committee, in its sole discretion; provided, however, that such term shall not exceed 10 years. However, in the case of an Incentive Stock Option granted to a Participant who, at the time the Option is granted, owns stock representing more than 10% of the voting power of all classes of stock of the Company or any Subsidiary, the term of the Incentive Stock Option shall be five years from the date of grant thereof or such shorter term as may be provided in the Award Agreement.</w:t>
      </w:r>
    </w:p>
    <w:p>
      <w:pPr>
        <w:spacing w:after="0" w:line="73" w:lineRule="exact"/>
        <w:rPr>
          <w:rFonts w:ascii="Arial" w:cs="Arial" w:eastAsia="Arial" w:hAnsi="Arial"/>
          <w:sz w:val="14"/>
          <w:szCs w:val="14"/>
          <w:color w:val="auto"/>
        </w:rPr>
      </w:pPr>
    </w:p>
    <w:p>
      <w:pPr>
        <w:ind w:left="229" w:right="120" w:firstLine="7"/>
        <w:spacing w:after="0" w:line="251" w:lineRule="auto"/>
        <w:tabs>
          <w:tab w:leader="none" w:pos="613" w:val="left"/>
        </w:tabs>
        <w:numPr>
          <w:ilvl w:val="0"/>
          <w:numId w:val="172"/>
        </w:numPr>
        <w:rPr>
          <w:rFonts w:ascii="Arial" w:cs="Arial" w:eastAsia="Arial" w:hAnsi="Arial"/>
          <w:sz w:val="14"/>
          <w:szCs w:val="14"/>
          <w:color w:val="auto"/>
        </w:rPr>
      </w:pPr>
      <w:r>
        <w:rPr>
          <w:rFonts w:ascii="Arial" w:cs="Arial" w:eastAsia="Arial" w:hAnsi="Arial"/>
          <w:sz w:val="14"/>
          <w:szCs w:val="14"/>
          <w:u w:val="single" w:color="auto"/>
          <w:color w:val="auto"/>
        </w:rPr>
        <w:t>Exercise of Options</w:t>
      </w:r>
      <w:r>
        <w:rPr>
          <w:rFonts w:ascii="Arial" w:cs="Arial" w:eastAsia="Arial" w:hAnsi="Arial"/>
          <w:sz w:val="14"/>
          <w:szCs w:val="14"/>
          <w:color w:val="auto"/>
        </w:rPr>
        <w:t>. Options granted under this Section 6 shall be exercisable at such times and be subject to such restrictions and conditions as set forth in the Award Agreement and as the Committee shall in each instance approve, which need not be the same for each grant or for each Participant. Except upon a termination of employment or, pursuant to Section 17, in the event of a Participant’s Qualifying Termination during the two year period following the occurrence of a Change in Control or Subsidiary Disposition, an Option granted under the Plan shall have a minimum period of vesting of three years, which period may, at the discretion of the Committee, lapse on a pro-rated, graded, or cliff basis. However, in no event will the vesting of an Option occur within one year of the date of grant, except that the Committee will be entitled to make grants of any kind of Award under the Plan without regard to the minimum vesting condition in an aggregate amount not to exceed 5% of the maximum number of Shares authorized for issuance under the Plan.</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EXHIBIT C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6955155"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233" w:right="479" w:bottom="1440" w:gutter="0" w:footer="0" w:header="0"/>
        </w:sectPr>
      </w:pPr>
    </w:p>
    <w:bookmarkStart w:id="112" w:name="page113"/>
    <w:bookmarkEnd w:id="112"/>
    <w:p>
      <w:pPr>
        <w:ind w:left="229" w:right="60" w:firstLine="7"/>
        <w:spacing w:after="0" w:line="256" w:lineRule="auto"/>
        <w:tabs>
          <w:tab w:leader="none" w:pos="609" w:val="left"/>
        </w:tabs>
        <w:numPr>
          <w:ilvl w:val="1"/>
          <w:numId w:val="173"/>
        </w:numPr>
        <w:rPr>
          <w:rFonts w:ascii="Arial" w:cs="Arial" w:eastAsia="Arial" w:hAnsi="Arial"/>
          <w:sz w:val="14"/>
          <w:szCs w:val="14"/>
          <w:color w:val="auto"/>
        </w:rPr>
      </w:pPr>
      <w:r>
        <w:rPr>
          <w:rFonts w:ascii="Arial" w:cs="Arial" w:eastAsia="Arial" w:hAnsi="Arial"/>
          <w:sz w:val="14"/>
          <w:szCs w:val="14"/>
          <w:u w:val="single" w:color="auto"/>
          <w:color w:val="auto"/>
        </w:rPr>
        <w:t>Payments</w:t>
      </w:r>
      <w:r>
        <w:rPr>
          <w:rFonts w:ascii="Arial" w:cs="Arial" w:eastAsia="Arial" w:hAnsi="Arial"/>
          <w:sz w:val="14"/>
          <w:szCs w:val="14"/>
          <w:color w:val="auto"/>
        </w:rPr>
        <w:t>. Options granted under this Section 6 shall be exercised by the delivery of a written notice to the Company setting forth the number of Shares with respect to which the Option is to be exercised and payment of the Exercise Price. The Exercise Price of an Option shall be payable to the Company: (i) in cash or its equivalent,</w:t>
      </w:r>
    </w:p>
    <w:p>
      <w:pPr>
        <w:ind w:left="229" w:firstLine="7"/>
        <w:spacing w:after="0" w:line="253" w:lineRule="auto"/>
        <w:tabs>
          <w:tab w:leader="none" w:pos="425" w:val="left"/>
        </w:tabs>
        <w:numPr>
          <w:ilvl w:val="1"/>
          <w:numId w:val="174"/>
        </w:numPr>
        <w:rPr>
          <w:rFonts w:ascii="Arial" w:cs="Arial" w:eastAsia="Arial" w:hAnsi="Arial"/>
          <w:sz w:val="14"/>
          <w:szCs w:val="14"/>
          <w:color w:val="auto"/>
        </w:rPr>
      </w:pPr>
      <w:r>
        <w:rPr>
          <w:rFonts w:ascii="Arial" w:cs="Arial" w:eastAsia="Arial" w:hAnsi="Arial"/>
          <w:sz w:val="14"/>
          <w:szCs w:val="14"/>
          <w:color w:val="auto"/>
        </w:rPr>
        <w:t>by tendering (either actually or constructively by attestation) Shares having an aggregate Fair Market Value at the time of exercise equal to the Exercise Price, (iii) in any other manner then permitted by the Committee, or (iv) by a combination of any of the permitted methods of payment. The Committee may limit any method of payment, other than that specified under (i), for administrative convenience, to comply with Applicable Laws or otherwise.</w:t>
      </w:r>
    </w:p>
    <w:p>
      <w:pPr>
        <w:spacing w:after="0" w:line="89" w:lineRule="exact"/>
        <w:rPr>
          <w:rFonts w:ascii="Arial" w:cs="Arial" w:eastAsia="Arial" w:hAnsi="Arial"/>
          <w:sz w:val="14"/>
          <w:szCs w:val="14"/>
          <w:color w:val="auto"/>
        </w:rPr>
      </w:pPr>
    </w:p>
    <w:p>
      <w:pPr>
        <w:ind w:left="229" w:right="80" w:firstLine="7"/>
        <w:spacing w:after="0" w:line="264" w:lineRule="auto"/>
        <w:tabs>
          <w:tab w:leader="none" w:pos="613" w:val="left"/>
        </w:tabs>
        <w:numPr>
          <w:ilvl w:val="1"/>
          <w:numId w:val="175"/>
        </w:numPr>
        <w:rPr>
          <w:rFonts w:ascii="Arial" w:cs="Arial" w:eastAsia="Arial" w:hAnsi="Arial"/>
          <w:sz w:val="14"/>
          <w:szCs w:val="14"/>
          <w:color w:val="auto"/>
        </w:rPr>
      </w:pPr>
      <w:r>
        <w:rPr>
          <w:rFonts w:ascii="Arial" w:cs="Arial" w:eastAsia="Arial" w:hAnsi="Arial"/>
          <w:sz w:val="14"/>
          <w:szCs w:val="14"/>
          <w:u w:val="single" w:color="auto"/>
          <w:color w:val="auto"/>
        </w:rPr>
        <w:t>Restrictions on Share Transferability</w:t>
      </w:r>
      <w:r>
        <w:rPr>
          <w:rFonts w:ascii="Arial" w:cs="Arial" w:eastAsia="Arial" w:hAnsi="Arial"/>
          <w:sz w:val="14"/>
          <w:szCs w:val="14"/>
          <w:color w:val="auto"/>
        </w:rPr>
        <w:t>. The Committee may impose such restrictions on any Shares acquired pursuant to the exercise of an Option granted under this Section 6 as it may deem advisable, including, without limitation, restrictions under applicable federal securities laws, under the requirements of any stock exchange or market upon which such Shares are then listed and/or traded, and under any blue sky or state securities laws applicable to such Shares.</w:t>
      </w:r>
    </w:p>
    <w:p>
      <w:pPr>
        <w:spacing w:after="0" w:line="69" w:lineRule="exact"/>
        <w:rPr>
          <w:rFonts w:ascii="Arial" w:cs="Arial" w:eastAsia="Arial" w:hAnsi="Arial"/>
          <w:sz w:val="14"/>
          <w:szCs w:val="14"/>
          <w:color w:val="auto"/>
        </w:rPr>
      </w:pPr>
    </w:p>
    <w:p>
      <w:pPr>
        <w:ind w:left="229" w:right="120" w:firstLine="7"/>
        <w:spacing w:after="0" w:line="258" w:lineRule="auto"/>
        <w:tabs>
          <w:tab w:leader="none" w:pos="613" w:val="left"/>
        </w:tabs>
        <w:numPr>
          <w:ilvl w:val="1"/>
          <w:numId w:val="175"/>
        </w:numPr>
        <w:rPr>
          <w:rFonts w:ascii="Arial" w:cs="Arial" w:eastAsia="Arial" w:hAnsi="Arial"/>
          <w:sz w:val="14"/>
          <w:szCs w:val="14"/>
          <w:color w:val="auto"/>
        </w:rPr>
      </w:pPr>
      <w:r>
        <w:rPr>
          <w:rFonts w:ascii="Arial" w:cs="Arial" w:eastAsia="Arial" w:hAnsi="Arial"/>
          <w:sz w:val="14"/>
          <w:szCs w:val="14"/>
          <w:u w:val="single" w:color="auto"/>
          <w:color w:val="auto"/>
        </w:rPr>
        <w:t>Termination of Employment or Service</w:t>
      </w:r>
      <w:r>
        <w:rPr>
          <w:rFonts w:ascii="Arial" w:cs="Arial" w:eastAsia="Arial" w:hAnsi="Arial"/>
          <w:sz w:val="14"/>
          <w:szCs w:val="14"/>
          <w:color w:val="auto"/>
        </w:rPr>
        <w:t>. Each Participant’s Option Award Agreement shall set forth the extent to which the Participant shall have the right to exercise the Option following termination of the Participant’s employment or, if the Participant is a Director or Consultant, service with the Company and its Subsidiaries. Such provisions shall be determined in the sole discretion of the Committee, need not be uniform among all Options, and may reflect distinctions based on the reasons for termination of employment or service.</w:t>
      </w:r>
    </w:p>
    <w:p>
      <w:pPr>
        <w:spacing w:after="0" w:line="73" w:lineRule="exact"/>
        <w:rPr>
          <w:rFonts w:ascii="Arial" w:cs="Arial" w:eastAsia="Arial" w:hAnsi="Arial"/>
          <w:sz w:val="14"/>
          <w:szCs w:val="14"/>
          <w:color w:val="auto"/>
        </w:rPr>
      </w:pPr>
    </w:p>
    <w:p>
      <w:pPr>
        <w:ind w:left="189" w:hanging="189"/>
        <w:spacing w:after="0"/>
        <w:tabs>
          <w:tab w:leader="none" w:pos="189" w:val="left"/>
        </w:tabs>
        <w:numPr>
          <w:ilvl w:val="0"/>
          <w:numId w:val="17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Stock Appreciation Rights</w:t>
      </w:r>
      <w:r>
        <w:rPr>
          <w:rFonts w:ascii="Arial" w:cs="Arial" w:eastAsia="Arial" w:hAnsi="Arial"/>
          <w:sz w:val="14"/>
          <w:szCs w:val="14"/>
          <w:color w:val="auto"/>
        </w:rPr>
        <w:t>.</w:t>
      </w:r>
    </w:p>
    <w:p>
      <w:pPr>
        <w:spacing w:after="0" w:line="121" w:lineRule="exact"/>
        <w:rPr>
          <w:rFonts w:ascii="Arial" w:cs="Arial" w:eastAsia="Arial" w:hAnsi="Arial"/>
          <w:sz w:val="14"/>
          <w:szCs w:val="14"/>
          <w:b w:val="1"/>
          <w:bCs w:val="1"/>
          <w:color w:val="auto"/>
        </w:rPr>
      </w:pPr>
    </w:p>
    <w:p>
      <w:pPr>
        <w:ind w:left="229" w:right="280" w:firstLine="7"/>
        <w:spacing w:after="0" w:line="282" w:lineRule="auto"/>
        <w:tabs>
          <w:tab w:leader="none" w:pos="613" w:val="left"/>
        </w:tabs>
        <w:numPr>
          <w:ilvl w:val="1"/>
          <w:numId w:val="176"/>
        </w:numPr>
        <w:rPr>
          <w:rFonts w:ascii="Arial" w:cs="Arial" w:eastAsia="Arial" w:hAnsi="Arial"/>
          <w:sz w:val="14"/>
          <w:szCs w:val="14"/>
          <w:color w:val="auto"/>
        </w:rPr>
      </w:pPr>
      <w:r>
        <w:rPr>
          <w:rFonts w:ascii="Arial" w:cs="Arial" w:eastAsia="Arial" w:hAnsi="Arial"/>
          <w:sz w:val="14"/>
          <w:szCs w:val="14"/>
          <w:u w:val="single" w:color="auto"/>
          <w:color w:val="auto"/>
        </w:rPr>
        <w:t>Grant of SARs</w:t>
      </w:r>
      <w:r>
        <w:rPr>
          <w:rFonts w:ascii="Arial" w:cs="Arial" w:eastAsia="Arial" w:hAnsi="Arial"/>
          <w:sz w:val="14"/>
          <w:szCs w:val="14"/>
          <w:color w:val="auto"/>
        </w:rPr>
        <w:t>. Subject to the terms and provisions of the Plan, SARs may be granted to Participants in such amounts and upon such terms, and at any time and from time to time, as shall be determined by the Committee.</w:t>
      </w:r>
    </w:p>
    <w:p>
      <w:pPr>
        <w:spacing w:after="0" w:line="57" w:lineRule="exact"/>
        <w:rPr>
          <w:rFonts w:ascii="Arial" w:cs="Arial" w:eastAsia="Arial" w:hAnsi="Arial"/>
          <w:sz w:val="14"/>
          <w:szCs w:val="14"/>
          <w:color w:val="auto"/>
        </w:rPr>
      </w:pPr>
    </w:p>
    <w:p>
      <w:pPr>
        <w:ind w:left="229" w:right="120" w:firstLine="7"/>
        <w:spacing w:after="0" w:line="282" w:lineRule="auto"/>
        <w:tabs>
          <w:tab w:leader="none" w:pos="613" w:val="left"/>
        </w:tabs>
        <w:numPr>
          <w:ilvl w:val="1"/>
          <w:numId w:val="176"/>
        </w:numPr>
        <w:rPr>
          <w:rFonts w:ascii="Arial" w:cs="Arial" w:eastAsia="Arial" w:hAnsi="Arial"/>
          <w:sz w:val="14"/>
          <w:szCs w:val="14"/>
          <w:color w:val="auto"/>
        </w:rPr>
      </w:pPr>
      <w:r>
        <w:rPr>
          <w:rFonts w:ascii="Arial" w:cs="Arial" w:eastAsia="Arial" w:hAnsi="Arial"/>
          <w:sz w:val="14"/>
          <w:szCs w:val="14"/>
          <w:u w:val="single" w:color="auto"/>
          <w:color w:val="auto"/>
        </w:rPr>
        <w:t>Award Agreement</w:t>
      </w:r>
      <w:r>
        <w:rPr>
          <w:rFonts w:ascii="Arial" w:cs="Arial" w:eastAsia="Arial" w:hAnsi="Arial"/>
          <w:sz w:val="14"/>
          <w:szCs w:val="14"/>
          <w:color w:val="auto"/>
        </w:rPr>
        <w:t>. Each SAR grant shall be evidenced by an Award Agreement that shall specify the grant price, the term of the SAR, and such other provisions as the Committee shall determine. SARs granted pursuant to the Plan shall not provide Participants with the right to receive Dividends or Dividend Equivalents.</w:t>
      </w:r>
    </w:p>
    <w:p>
      <w:pPr>
        <w:spacing w:after="0" w:line="57" w:lineRule="exact"/>
        <w:rPr>
          <w:rFonts w:ascii="Arial" w:cs="Arial" w:eastAsia="Arial" w:hAnsi="Arial"/>
          <w:sz w:val="14"/>
          <w:szCs w:val="14"/>
          <w:color w:val="auto"/>
        </w:rPr>
      </w:pPr>
    </w:p>
    <w:p>
      <w:pPr>
        <w:ind w:left="229" w:right="520" w:firstLine="7"/>
        <w:spacing w:after="0" w:line="282" w:lineRule="auto"/>
        <w:tabs>
          <w:tab w:leader="none" w:pos="605" w:val="left"/>
        </w:tabs>
        <w:numPr>
          <w:ilvl w:val="1"/>
          <w:numId w:val="176"/>
        </w:numPr>
        <w:rPr>
          <w:rFonts w:ascii="Arial" w:cs="Arial" w:eastAsia="Arial" w:hAnsi="Arial"/>
          <w:sz w:val="14"/>
          <w:szCs w:val="14"/>
          <w:color w:val="auto"/>
        </w:rPr>
      </w:pPr>
      <w:r>
        <w:rPr>
          <w:rFonts w:ascii="Arial" w:cs="Arial" w:eastAsia="Arial" w:hAnsi="Arial"/>
          <w:sz w:val="14"/>
          <w:szCs w:val="14"/>
          <w:u w:val="single" w:color="auto"/>
          <w:color w:val="auto"/>
        </w:rPr>
        <w:t>Grant Price.</w:t>
      </w:r>
      <w:r>
        <w:rPr>
          <w:rFonts w:ascii="Arial" w:cs="Arial" w:eastAsia="Arial" w:hAnsi="Arial"/>
          <w:sz w:val="14"/>
          <w:szCs w:val="14"/>
          <w:color w:val="auto"/>
        </w:rPr>
        <w:t xml:space="preserve"> The grant price of a freestanding SAR shall not be less than 100% of the Fair Market Value of a Share on the date of grant of the SAR; provided, however, that these limitations shall not apply to Awards that are adjusted pursuant to Section 18 herein.</w:t>
      </w:r>
    </w:p>
    <w:p>
      <w:pPr>
        <w:spacing w:after="0" w:line="69" w:lineRule="exact"/>
        <w:rPr>
          <w:rFonts w:ascii="Arial" w:cs="Arial" w:eastAsia="Arial" w:hAnsi="Arial"/>
          <w:sz w:val="14"/>
          <w:szCs w:val="14"/>
          <w:color w:val="auto"/>
        </w:rPr>
      </w:pPr>
    </w:p>
    <w:p>
      <w:pPr>
        <w:ind w:left="229" w:right="240" w:firstLine="7"/>
        <w:spacing w:after="0" w:line="282" w:lineRule="auto"/>
        <w:tabs>
          <w:tab w:leader="none" w:pos="613" w:val="left"/>
        </w:tabs>
        <w:numPr>
          <w:ilvl w:val="1"/>
          <w:numId w:val="176"/>
        </w:numPr>
        <w:rPr>
          <w:rFonts w:ascii="Arial" w:cs="Arial" w:eastAsia="Arial" w:hAnsi="Arial"/>
          <w:sz w:val="14"/>
          <w:szCs w:val="14"/>
          <w:color w:val="auto"/>
        </w:rPr>
      </w:pPr>
      <w:r>
        <w:rPr>
          <w:rFonts w:ascii="Arial" w:cs="Arial" w:eastAsia="Arial" w:hAnsi="Arial"/>
          <w:sz w:val="14"/>
          <w:szCs w:val="14"/>
          <w:u w:val="single" w:color="auto"/>
          <w:color w:val="auto"/>
        </w:rPr>
        <w:t>Term of SARs</w:t>
      </w:r>
      <w:r>
        <w:rPr>
          <w:rFonts w:ascii="Arial" w:cs="Arial" w:eastAsia="Arial" w:hAnsi="Arial"/>
          <w:sz w:val="14"/>
          <w:szCs w:val="14"/>
          <w:color w:val="auto"/>
        </w:rPr>
        <w:t>. The term of a SAR granted under the Plan shall be determined by the Committee, in its sole discretion; provided, however, that such term shall not exceed 10 years.</w:t>
      </w:r>
    </w:p>
    <w:p>
      <w:pPr>
        <w:spacing w:after="0" w:line="57" w:lineRule="exact"/>
        <w:rPr>
          <w:rFonts w:ascii="Arial" w:cs="Arial" w:eastAsia="Arial" w:hAnsi="Arial"/>
          <w:sz w:val="14"/>
          <w:szCs w:val="14"/>
          <w:color w:val="auto"/>
        </w:rPr>
      </w:pPr>
    </w:p>
    <w:p>
      <w:pPr>
        <w:ind w:left="229" w:right="20" w:firstLine="7"/>
        <w:spacing w:after="0" w:line="253" w:lineRule="auto"/>
        <w:tabs>
          <w:tab w:leader="none" w:pos="613" w:val="left"/>
        </w:tabs>
        <w:numPr>
          <w:ilvl w:val="1"/>
          <w:numId w:val="176"/>
        </w:numPr>
        <w:rPr>
          <w:rFonts w:ascii="Arial" w:cs="Arial" w:eastAsia="Arial" w:hAnsi="Arial"/>
          <w:sz w:val="14"/>
          <w:szCs w:val="14"/>
          <w:color w:val="auto"/>
        </w:rPr>
      </w:pPr>
      <w:r>
        <w:rPr>
          <w:rFonts w:ascii="Arial" w:cs="Arial" w:eastAsia="Arial" w:hAnsi="Arial"/>
          <w:sz w:val="14"/>
          <w:szCs w:val="14"/>
          <w:u w:val="single" w:color="auto"/>
          <w:color w:val="auto"/>
        </w:rPr>
        <w:t>Exercise of SARs</w:t>
      </w:r>
      <w:r>
        <w:rPr>
          <w:rFonts w:ascii="Arial" w:cs="Arial" w:eastAsia="Arial" w:hAnsi="Arial"/>
          <w:sz w:val="14"/>
          <w:szCs w:val="14"/>
          <w:color w:val="auto"/>
        </w:rPr>
        <w:t>. SARs may be exercised upon whatever terms and conditions the Committee, in its sole discretion, imposes upon them and sets forth in the Award Agreement. Except upon a termination of employment or, pursuant to Section 17, in the event of a Participant’s Qualifying Termination during the two year period following the occurrence of a Change in Control or Subsidiary Disposition, a SAR granted under the Plan shall have a minimum period of vesting of three years, which period may, at the discretion of the Committee, lapse on a pro-rated, graded, or cliff basis. However, in no event will the vesting of a SAR occur within one year of the date of grant, except that the Committee will be entitled to make grants of any kind of Award under the Plan without regard to the minimum vesting condition in an aggregate amount not to exceed 5% of the maximum number of Shares authorized for issuance under the Plan.</w:t>
      </w:r>
    </w:p>
    <w:p>
      <w:pPr>
        <w:spacing w:after="0" w:line="77" w:lineRule="exact"/>
        <w:rPr>
          <w:rFonts w:ascii="Arial" w:cs="Arial" w:eastAsia="Arial" w:hAnsi="Arial"/>
          <w:sz w:val="14"/>
          <w:szCs w:val="14"/>
          <w:color w:val="auto"/>
        </w:rPr>
      </w:pPr>
    </w:p>
    <w:p>
      <w:pPr>
        <w:ind w:left="609" w:hanging="373"/>
        <w:spacing w:after="0"/>
        <w:tabs>
          <w:tab w:leader="none" w:pos="609" w:val="left"/>
        </w:tabs>
        <w:numPr>
          <w:ilvl w:val="1"/>
          <w:numId w:val="176"/>
        </w:numPr>
        <w:rPr>
          <w:rFonts w:ascii="Arial" w:cs="Arial" w:eastAsia="Arial" w:hAnsi="Arial"/>
          <w:sz w:val="14"/>
          <w:szCs w:val="14"/>
          <w:color w:val="auto"/>
        </w:rPr>
      </w:pPr>
      <w:r>
        <w:rPr>
          <w:rFonts w:ascii="Arial" w:cs="Arial" w:eastAsia="Arial" w:hAnsi="Arial"/>
          <w:sz w:val="14"/>
          <w:szCs w:val="14"/>
          <w:u w:val="single" w:color="auto"/>
          <w:color w:val="auto"/>
        </w:rPr>
        <w:t>Payment of SAR Amount</w:t>
      </w:r>
      <w:r>
        <w:rPr>
          <w:rFonts w:ascii="Arial" w:cs="Arial" w:eastAsia="Arial" w:hAnsi="Arial"/>
          <w:sz w:val="14"/>
          <w:szCs w:val="14"/>
          <w:color w:val="auto"/>
        </w:rPr>
        <w:t>. Upon exercise of a SAR, a Participant shall be entitled to receive payment from the Company in an amount determined by multiplying:</w:t>
      </w:r>
    </w:p>
    <w:p>
      <w:pPr>
        <w:spacing w:after="0" w:line="121" w:lineRule="exact"/>
        <w:rPr>
          <w:rFonts w:ascii="Arial" w:cs="Arial" w:eastAsia="Arial" w:hAnsi="Arial"/>
          <w:sz w:val="14"/>
          <w:szCs w:val="14"/>
          <w:color w:val="auto"/>
        </w:rPr>
      </w:pPr>
    </w:p>
    <w:p>
      <w:pPr>
        <w:ind w:left="1009" w:hanging="365"/>
        <w:spacing w:after="0"/>
        <w:tabs>
          <w:tab w:leader="none" w:pos="1009" w:val="left"/>
        </w:tabs>
        <w:numPr>
          <w:ilvl w:val="2"/>
          <w:numId w:val="176"/>
        </w:numPr>
        <w:rPr>
          <w:rFonts w:ascii="Arial" w:cs="Arial" w:eastAsia="Arial" w:hAnsi="Arial"/>
          <w:sz w:val="14"/>
          <w:szCs w:val="14"/>
          <w:color w:val="auto"/>
        </w:rPr>
      </w:pPr>
      <w:r>
        <w:rPr>
          <w:rFonts w:ascii="Arial" w:cs="Arial" w:eastAsia="Arial" w:hAnsi="Arial"/>
          <w:sz w:val="14"/>
          <w:szCs w:val="14"/>
          <w:color w:val="auto"/>
        </w:rPr>
        <w:t>the difference between the Fair Market Value of a Share on the date of exercise over the grant price; by</w:t>
      </w:r>
    </w:p>
    <w:p>
      <w:pPr>
        <w:spacing w:after="0" w:line="109" w:lineRule="exact"/>
        <w:rPr>
          <w:rFonts w:ascii="Arial" w:cs="Arial" w:eastAsia="Arial" w:hAnsi="Arial"/>
          <w:sz w:val="14"/>
          <w:szCs w:val="14"/>
          <w:color w:val="auto"/>
        </w:rPr>
      </w:pPr>
    </w:p>
    <w:p>
      <w:pPr>
        <w:ind w:left="1009" w:hanging="365"/>
        <w:spacing w:after="0"/>
        <w:tabs>
          <w:tab w:leader="none" w:pos="1009" w:val="left"/>
        </w:tabs>
        <w:numPr>
          <w:ilvl w:val="2"/>
          <w:numId w:val="176"/>
        </w:numPr>
        <w:rPr>
          <w:rFonts w:ascii="Arial" w:cs="Arial" w:eastAsia="Arial" w:hAnsi="Arial"/>
          <w:sz w:val="14"/>
          <w:szCs w:val="14"/>
          <w:color w:val="auto"/>
        </w:rPr>
      </w:pPr>
      <w:r>
        <w:rPr>
          <w:rFonts w:ascii="Arial" w:cs="Arial" w:eastAsia="Arial" w:hAnsi="Arial"/>
          <w:sz w:val="14"/>
          <w:szCs w:val="14"/>
          <w:color w:val="auto"/>
        </w:rPr>
        <w:t>the number of Shares with respect to which the SAR is exercised.</w:t>
      </w:r>
    </w:p>
    <w:p>
      <w:pPr>
        <w:spacing w:after="0" w:line="110" w:lineRule="exact"/>
        <w:rPr>
          <w:sz w:val="20"/>
          <w:szCs w:val="20"/>
          <w:color w:val="auto"/>
        </w:rPr>
      </w:pPr>
    </w:p>
    <w:p>
      <w:pPr>
        <w:ind w:left="649"/>
        <w:spacing w:after="0"/>
        <w:rPr>
          <w:sz w:val="20"/>
          <w:szCs w:val="20"/>
          <w:color w:val="auto"/>
        </w:rPr>
      </w:pPr>
      <w:r>
        <w:rPr>
          <w:rFonts w:ascii="Arial" w:cs="Arial" w:eastAsia="Arial" w:hAnsi="Arial"/>
          <w:sz w:val="14"/>
          <w:szCs w:val="14"/>
          <w:color w:val="auto"/>
        </w:rPr>
        <w:t>At the discretion of the Committee, the payment upon SAR exercise may be in cash, in Shares of equivalent value, or in some combination thereof.</w:t>
      </w:r>
    </w:p>
    <w:p>
      <w:pPr>
        <w:spacing w:after="0" w:line="122" w:lineRule="exact"/>
        <w:rPr>
          <w:sz w:val="20"/>
          <w:szCs w:val="20"/>
          <w:color w:val="auto"/>
        </w:rPr>
      </w:pPr>
    </w:p>
    <w:p>
      <w:pPr>
        <w:ind w:left="229" w:right="120" w:firstLine="7"/>
        <w:spacing w:after="0" w:line="258" w:lineRule="auto"/>
        <w:tabs>
          <w:tab w:leader="none" w:pos="613" w:val="left"/>
        </w:tabs>
        <w:numPr>
          <w:ilvl w:val="1"/>
          <w:numId w:val="177"/>
        </w:numPr>
        <w:rPr>
          <w:rFonts w:ascii="Arial" w:cs="Arial" w:eastAsia="Arial" w:hAnsi="Arial"/>
          <w:sz w:val="14"/>
          <w:szCs w:val="14"/>
          <w:color w:val="auto"/>
        </w:rPr>
      </w:pPr>
      <w:r>
        <w:rPr>
          <w:rFonts w:ascii="Arial" w:cs="Arial" w:eastAsia="Arial" w:hAnsi="Arial"/>
          <w:sz w:val="14"/>
          <w:szCs w:val="14"/>
          <w:u w:val="single" w:color="auto"/>
          <w:color w:val="auto"/>
        </w:rPr>
        <w:t>Termination of Employment or Service</w:t>
      </w:r>
      <w:r>
        <w:rPr>
          <w:rFonts w:ascii="Arial" w:cs="Arial" w:eastAsia="Arial" w:hAnsi="Arial"/>
          <w:sz w:val="14"/>
          <w:szCs w:val="14"/>
          <w:color w:val="auto"/>
        </w:rPr>
        <w:t>. Each SAR Award Agreement shall set forth the extent to which the Participant shall have the right to exercise the SAR following termination of the Participant’s employment or, if the Participant is a Director or Consultant, service with the Company and its Subsidiaries. Such provisions shall be determined in the sole discretion of the Committee, need not be uniform among all SARs, and may reflect distinctions based on the reasons for termination of employment or service.</w:t>
      </w:r>
    </w:p>
    <w:p>
      <w:pPr>
        <w:spacing w:after="0" w:line="73" w:lineRule="exact"/>
        <w:rPr>
          <w:rFonts w:ascii="Arial" w:cs="Arial" w:eastAsia="Arial" w:hAnsi="Arial"/>
          <w:sz w:val="14"/>
          <w:szCs w:val="14"/>
          <w:color w:val="auto"/>
        </w:rPr>
      </w:pPr>
    </w:p>
    <w:p>
      <w:pPr>
        <w:ind w:left="189" w:hanging="189"/>
        <w:spacing w:after="0"/>
        <w:tabs>
          <w:tab w:leader="none" w:pos="189" w:val="left"/>
        </w:tabs>
        <w:numPr>
          <w:ilvl w:val="0"/>
          <w:numId w:val="17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Restricted Stock.</w:t>
      </w:r>
    </w:p>
    <w:p>
      <w:pPr>
        <w:spacing w:after="0" w:line="109" w:lineRule="exact"/>
        <w:rPr>
          <w:rFonts w:ascii="Arial" w:cs="Arial" w:eastAsia="Arial" w:hAnsi="Arial"/>
          <w:sz w:val="14"/>
          <w:szCs w:val="14"/>
          <w:b w:val="1"/>
          <w:bCs w:val="1"/>
          <w:color w:val="auto"/>
        </w:rPr>
      </w:pPr>
    </w:p>
    <w:p>
      <w:pPr>
        <w:ind w:left="229" w:right="220" w:firstLine="7"/>
        <w:spacing w:after="0" w:line="282" w:lineRule="auto"/>
        <w:tabs>
          <w:tab w:leader="none" w:pos="613" w:val="left"/>
        </w:tabs>
        <w:numPr>
          <w:ilvl w:val="1"/>
          <w:numId w:val="178"/>
        </w:numPr>
        <w:rPr>
          <w:rFonts w:ascii="Arial" w:cs="Arial" w:eastAsia="Arial" w:hAnsi="Arial"/>
          <w:sz w:val="14"/>
          <w:szCs w:val="14"/>
          <w:color w:val="auto"/>
        </w:rPr>
      </w:pPr>
      <w:r>
        <w:rPr>
          <w:rFonts w:ascii="Arial" w:cs="Arial" w:eastAsia="Arial" w:hAnsi="Arial"/>
          <w:sz w:val="14"/>
          <w:szCs w:val="14"/>
          <w:u w:val="single" w:color="auto"/>
          <w:color w:val="auto"/>
        </w:rPr>
        <w:t>Grant of Restricted Stock</w:t>
      </w:r>
      <w:r>
        <w:rPr>
          <w:rFonts w:ascii="Arial" w:cs="Arial" w:eastAsia="Arial" w:hAnsi="Arial"/>
          <w:sz w:val="14"/>
          <w:szCs w:val="14"/>
          <w:color w:val="auto"/>
        </w:rPr>
        <w:t>. Subject to the terms and provisions of the Plan, Restricted Stock may be granted to Participants in such amounts and upon such terms, and at any time and from time to time, as shall be determined by the Committee.</w:t>
      </w:r>
    </w:p>
    <w:p>
      <w:pPr>
        <w:spacing w:after="0" w:line="137"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 xml:space="preserve">C-4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6955155"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233" w:right="479" w:bottom="1440" w:gutter="0" w:footer="0" w:header="0"/>
        </w:sectPr>
      </w:pPr>
    </w:p>
    <w:bookmarkStart w:id="113" w:name="page114"/>
    <w:bookmarkEnd w:id="113"/>
    <w:p>
      <w:pPr>
        <w:ind w:left="229" w:right="380" w:firstLine="7"/>
        <w:spacing w:after="0" w:line="282" w:lineRule="auto"/>
        <w:tabs>
          <w:tab w:leader="none" w:pos="613" w:val="left"/>
        </w:tabs>
        <w:numPr>
          <w:ilvl w:val="1"/>
          <w:numId w:val="179"/>
        </w:numPr>
        <w:rPr>
          <w:rFonts w:ascii="Arial" w:cs="Arial" w:eastAsia="Arial" w:hAnsi="Arial"/>
          <w:sz w:val="14"/>
          <w:szCs w:val="14"/>
          <w:color w:val="auto"/>
        </w:rPr>
      </w:pPr>
      <w:r>
        <w:rPr>
          <w:rFonts w:ascii="Arial" w:cs="Arial" w:eastAsia="Arial" w:hAnsi="Arial"/>
          <w:sz w:val="14"/>
          <w:szCs w:val="14"/>
          <w:u w:val="single" w:color="auto"/>
          <w:color w:val="auto"/>
        </w:rPr>
        <w:t>Award Agreement</w:t>
      </w:r>
      <w:r>
        <w:rPr>
          <w:rFonts w:ascii="Arial" w:cs="Arial" w:eastAsia="Arial" w:hAnsi="Arial"/>
          <w:sz w:val="14"/>
          <w:szCs w:val="14"/>
          <w:color w:val="auto"/>
        </w:rPr>
        <w:t>. Each Restricted Stock grant shall be evidenced by an Award Agreement that shall specify the Period of Restriction, the number of Shares of Restricted Stock granted, and such other provisions as the Committee shall determine.</w:t>
      </w:r>
    </w:p>
    <w:p>
      <w:pPr>
        <w:spacing w:after="0" w:line="69" w:lineRule="exact"/>
        <w:rPr>
          <w:rFonts w:ascii="Arial" w:cs="Arial" w:eastAsia="Arial" w:hAnsi="Arial"/>
          <w:sz w:val="14"/>
          <w:szCs w:val="14"/>
          <w:color w:val="auto"/>
        </w:rPr>
      </w:pPr>
    </w:p>
    <w:p>
      <w:pPr>
        <w:ind w:left="229" w:right="40" w:firstLine="7"/>
        <w:spacing w:after="0" w:line="249" w:lineRule="auto"/>
        <w:tabs>
          <w:tab w:leader="none" w:pos="605" w:val="left"/>
        </w:tabs>
        <w:numPr>
          <w:ilvl w:val="1"/>
          <w:numId w:val="179"/>
        </w:numPr>
        <w:rPr>
          <w:rFonts w:ascii="Arial" w:cs="Arial" w:eastAsia="Arial" w:hAnsi="Arial"/>
          <w:sz w:val="14"/>
          <w:szCs w:val="14"/>
          <w:color w:val="auto"/>
        </w:rPr>
      </w:pPr>
      <w:r>
        <w:rPr>
          <w:rFonts w:ascii="Arial" w:cs="Arial" w:eastAsia="Arial" w:hAnsi="Arial"/>
          <w:sz w:val="14"/>
          <w:szCs w:val="14"/>
          <w:u w:val="single" w:color="auto"/>
          <w:color w:val="auto"/>
        </w:rPr>
        <w:t>Period of Restriction and Other Restrictions</w:t>
      </w:r>
      <w:r>
        <w:rPr>
          <w:rFonts w:ascii="Arial" w:cs="Arial" w:eastAsia="Arial" w:hAnsi="Arial"/>
          <w:sz w:val="14"/>
          <w:szCs w:val="14"/>
          <w:color w:val="auto"/>
        </w:rPr>
        <w:t>. Except upon a termination of employment or, pursuant to Section 17, in the event of a Participant’s Qualifying Termination during the two year period following the occurrence of a Change in Control or Subsidiary Disposition, an Award of Restricted Stock shall have a minimum Period of Restriction of three years, which period may, at the discretion of the Committee, lapse on a pro-rated, graded, or cliff basis (as specified in an Award Agreement). However, in no event will the vesting of an Award of Restricted Stock occur within one year of the date of grant, except that the Committee will be entitled to make grants of any kind of Award under the Plan without regard to the minimum vesting condition in an aggregate amount not to exceed 5% of the maximum number of Shares authorized for issuance under the Plan. The Committee shall impose such other conditions and/or restrictions on any Shares of Restricted Stock granted pursuant to the Plan as it may deem advisable including, without limitation, a requirement that Participants pay a stipulated purchase price for each Share of Restricted Stock, a requirement that the issuance of Shares of Restricted Stock be delayed, restrictions based upon the achievement of specific performance goals, additional time-based restrictions, and/or restrictions under Applicable Laws, or holding requirements or sale restrictions placed on the Shares by the Company upon vesting of such Restricted Stock. As soon as practicable following the grant of Restricted Stock, the Shares of Restricted Stock shall be registered in the Participant’s name in certificate or book-entry form. If a certificate is issued, it shall bear an appropriate legend referring to the restrictions and it shall be held by the Company, or its agent, on behalf of the Participant until the Period of Restriction has lapsed or otherwise been satisfied. If the Shares are registered in book-entry form, the restrictions shall be placed on the book-entry registration.</w:t>
      </w:r>
    </w:p>
    <w:p>
      <w:pPr>
        <w:spacing w:after="0" w:line="80" w:lineRule="exact"/>
        <w:rPr>
          <w:rFonts w:ascii="Arial" w:cs="Arial" w:eastAsia="Arial" w:hAnsi="Arial"/>
          <w:sz w:val="14"/>
          <w:szCs w:val="14"/>
          <w:color w:val="auto"/>
        </w:rPr>
      </w:pPr>
    </w:p>
    <w:p>
      <w:pPr>
        <w:ind w:left="229" w:right="500" w:firstLine="7"/>
        <w:spacing w:after="0" w:line="282" w:lineRule="auto"/>
        <w:tabs>
          <w:tab w:leader="none" w:pos="613" w:val="left"/>
        </w:tabs>
        <w:numPr>
          <w:ilvl w:val="1"/>
          <w:numId w:val="179"/>
        </w:numPr>
        <w:rPr>
          <w:rFonts w:ascii="Arial" w:cs="Arial" w:eastAsia="Arial" w:hAnsi="Arial"/>
          <w:sz w:val="14"/>
          <w:szCs w:val="14"/>
          <w:color w:val="auto"/>
        </w:rPr>
      </w:pPr>
      <w:r>
        <w:rPr>
          <w:rFonts w:ascii="Arial" w:cs="Arial" w:eastAsia="Arial" w:hAnsi="Arial"/>
          <w:sz w:val="14"/>
          <w:szCs w:val="14"/>
          <w:u w:val="single" w:color="auto"/>
          <w:color w:val="auto"/>
        </w:rPr>
        <w:t>Removal of Restrictions</w:t>
      </w:r>
      <w:r>
        <w:rPr>
          <w:rFonts w:ascii="Arial" w:cs="Arial" w:eastAsia="Arial" w:hAnsi="Arial"/>
          <w:sz w:val="14"/>
          <w:szCs w:val="14"/>
          <w:color w:val="auto"/>
        </w:rPr>
        <w:t>. Subject to Applicable Laws, Restricted Stock shall become freely transferable by the Participant after the last day of the Period of Restriction applicable thereto. Once Restricted Stock is released from the restrictions, the Participant shall be entitled to receive a certificate evidencing the Shares.</w:t>
      </w:r>
    </w:p>
    <w:p>
      <w:pPr>
        <w:spacing w:after="0" w:line="57" w:lineRule="exact"/>
        <w:rPr>
          <w:rFonts w:ascii="Arial" w:cs="Arial" w:eastAsia="Arial" w:hAnsi="Arial"/>
          <w:sz w:val="14"/>
          <w:szCs w:val="14"/>
          <w:color w:val="auto"/>
        </w:rPr>
      </w:pPr>
    </w:p>
    <w:p>
      <w:pPr>
        <w:ind w:left="229" w:right="300" w:firstLine="7"/>
        <w:spacing w:after="0" w:line="282" w:lineRule="auto"/>
        <w:tabs>
          <w:tab w:leader="none" w:pos="613" w:val="left"/>
        </w:tabs>
        <w:numPr>
          <w:ilvl w:val="1"/>
          <w:numId w:val="179"/>
        </w:numPr>
        <w:rPr>
          <w:rFonts w:ascii="Arial" w:cs="Arial" w:eastAsia="Arial" w:hAnsi="Arial"/>
          <w:sz w:val="14"/>
          <w:szCs w:val="14"/>
          <w:color w:val="auto"/>
        </w:rPr>
      </w:pPr>
      <w:r>
        <w:rPr>
          <w:rFonts w:ascii="Arial" w:cs="Arial" w:eastAsia="Arial" w:hAnsi="Arial"/>
          <w:sz w:val="14"/>
          <w:szCs w:val="14"/>
          <w:u w:val="single" w:color="auto"/>
          <w:color w:val="auto"/>
        </w:rPr>
        <w:t>Voting Rights</w:t>
      </w:r>
      <w:r>
        <w:rPr>
          <w:rFonts w:ascii="Arial" w:cs="Arial" w:eastAsia="Arial" w:hAnsi="Arial"/>
          <w:sz w:val="14"/>
          <w:szCs w:val="14"/>
          <w:color w:val="auto"/>
        </w:rPr>
        <w:t>. Unless otherwise determined by the Committee and set forth in a Participant’s Award Agreement, to the extent permitted or required by Applicable Laws, Participants holding Shares of Restricted Stock granted hereunder may exercise full voting rights with respect to those Shares during the Period of Restriction.</w:t>
      </w:r>
    </w:p>
    <w:p>
      <w:pPr>
        <w:spacing w:after="0" w:line="69" w:lineRule="exact"/>
        <w:rPr>
          <w:rFonts w:ascii="Arial" w:cs="Arial" w:eastAsia="Arial" w:hAnsi="Arial"/>
          <w:sz w:val="14"/>
          <w:szCs w:val="14"/>
          <w:color w:val="auto"/>
        </w:rPr>
      </w:pPr>
    </w:p>
    <w:p>
      <w:pPr>
        <w:jc w:val="both"/>
        <w:ind w:left="229" w:right="120" w:firstLine="7"/>
        <w:spacing w:after="0" w:line="264" w:lineRule="auto"/>
        <w:tabs>
          <w:tab w:leader="none" w:pos="609" w:val="left"/>
        </w:tabs>
        <w:numPr>
          <w:ilvl w:val="1"/>
          <w:numId w:val="179"/>
        </w:numPr>
        <w:rPr>
          <w:rFonts w:ascii="Arial" w:cs="Arial" w:eastAsia="Arial" w:hAnsi="Arial"/>
          <w:sz w:val="14"/>
          <w:szCs w:val="14"/>
          <w:color w:val="auto"/>
        </w:rPr>
      </w:pPr>
      <w:r>
        <w:rPr>
          <w:rFonts w:ascii="Arial" w:cs="Arial" w:eastAsia="Arial" w:hAnsi="Arial"/>
          <w:sz w:val="14"/>
          <w:szCs w:val="14"/>
          <w:u w:val="single" w:color="auto"/>
          <w:color w:val="auto"/>
        </w:rPr>
        <w:t>Dividends.</w:t>
      </w:r>
      <w:r>
        <w:rPr>
          <w:rFonts w:ascii="Arial" w:cs="Arial" w:eastAsia="Arial" w:hAnsi="Arial"/>
          <w:sz w:val="14"/>
          <w:szCs w:val="14"/>
          <w:color w:val="auto"/>
        </w:rPr>
        <w:t xml:space="preserve"> During the Period of Restriction, Participants holding Shares of Restricted Stock shall be credited with all Dividends paid with respect to all Shares while they are so held, subject to the same restrictions on transferability and forfeitability as the Restricted Stock with respect to which they were paid. Any such Dividends shall be paid if and when the underlying Shares of Restricted Stock vest.</w:t>
      </w:r>
    </w:p>
    <w:p>
      <w:pPr>
        <w:spacing w:after="0" w:line="69" w:lineRule="exact"/>
        <w:rPr>
          <w:rFonts w:ascii="Arial" w:cs="Arial" w:eastAsia="Arial" w:hAnsi="Arial"/>
          <w:sz w:val="14"/>
          <w:szCs w:val="14"/>
          <w:color w:val="auto"/>
        </w:rPr>
      </w:pPr>
    </w:p>
    <w:p>
      <w:pPr>
        <w:ind w:left="229" w:right="60" w:firstLine="7"/>
        <w:spacing w:after="0" w:line="258" w:lineRule="auto"/>
        <w:tabs>
          <w:tab w:leader="none" w:pos="613" w:val="left"/>
        </w:tabs>
        <w:numPr>
          <w:ilvl w:val="1"/>
          <w:numId w:val="179"/>
        </w:numPr>
        <w:rPr>
          <w:rFonts w:ascii="Arial" w:cs="Arial" w:eastAsia="Arial" w:hAnsi="Arial"/>
          <w:sz w:val="14"/>
          <w:szCs w:val="14"/>
          <w:color w:val="auto"/>
        </w:rPr>
      </w:pPr>
      <w:r>
        <w:rPr>
          <w:rFonts w:ascii="Arial" w:cs="Arial" w:eastAsia="Arial" w:hAnsi="Arial"/>
          <w:sz w:val="14"/>
          <w:szCs w:val="14"/>
          <w:u w:val="single" w:color="auto"/>
          <w:color w:val="auto"/>
        </w:rPr>
        <w:t>Termination of Employment or Service</w:t>
      </w:r>
      <w:r>
        <w:rPr>
          <w:rFonts w:ascii="Arial" w:cs="Arial" w:eastAsia="Arial" w:hAnsi="Arial"/>
          <w:sz w:val="14"/>
          <w:szCs w:val="14"/>
          <w:color w:val="auto"/>
        </w:rPr>
        <w:t>. Each Award Agreement shall set forth the extent to which the Participant shall have the right to retain unvested Restricted Stock following termination of the Participant’s employment or, if the Participant is a Director or Consultant, service with the Company and its Subsidiaries. Such provisions shall be determined in the sole discretion of the Committee, need not be uniform among all Awards of Restricted Stock, and may reflect distinctions based on the reasons for termination of employment or service.</w:t>
      </w:r>
    </w:p>
    <w:p>
      <w:pPr>
        <w:spacing w:after="0" w:line="73" w:lineRule="exact"/>
        <w:rPr>
          <w:rFonts w:ascii="Arial" w:cs="Arial" w:eastAsia="Arial" w:hAnsi="Arial"/>
          <w:sz w:val="14"/>
          <w:szCs w:val="14"/>
          <w:color w:val="auto"/>
        </w:rPr>
      </w:pPr>
    </w:p>
    <w:p>
      <w:pPr>
        <w:ind w:left="189" w:hanging="189"/>
        <w:spacing w:after="0"/>
        <w:tabs>
          <w:tab w:leader="none" w:pos="189" w:val="left"/>
        </w:tabs>
        <w:numPr>
          <w:ilvl w:val="0"/>
          <w:numId w:val="18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Restricted Stock Units.</w:t>
      </w:r>
    </w:p>
    <w:p>
      <w:pPr>
        <w:spacing w:after="0" w:line="121" w:lineRule="exact"/>
        <w:rPr>
          <w:rFonts w:ascii="Arial" w:cs="Arial" w:eastAsia="Arial" w:hAnsi="Arial"/>
          <w:sz w:val="14"/>
          <w:szCs w:val="14"/>
          <w:b w:val="1"/>
          <w:bCs w:val="1"/>
          <w:color w:val="auto"/>
        </w:rPr>
      </w:pPr>
    </w:p>
    <w:p>
      <w:pPr>
        <w:ind w:left="229" w:right="260" w:firstLine="7"/>
        <w:spacing w:after="0" w:line="282" w:lineRule="auto"/>
        <w:tabs>
          <w:tab w:leader="none" w:pos="613" w:val="left"/>
        </w:tabs>
        <w:numPr>
          <w:ilvl w:val="1"/>
          <w:numId w:val="180"/>
        </w:numPr>
        <w:rPr>
          <w:rFonts w:ascii="Arial" w:cs="Arial" w:eastAsia="Arial" w:hAnsi="Arial"/>
          <w:sz w:val="14"/>
          <w:szCs w:val="14"/>
          <w:color w:val="auto"/>
        </w:rPr>
      </w:pPr>
      <w:r>
        <w:rPr>
          <w:rFonts w:ascii="Arial" w:cs="Arial" w:eastAsia="Arial" w:hAnsi="Arial"/>
          <w:sz w:val="14"/>
          <w:szCs w:val="14"/>
          <w:u w:val="single" w:color="auto"/>
          <w:color w:val="auto"/>
        </w:rPr>
        <w:t>Grant of Restricted Stock Units</w:t>
      </w:r>
      <w:r>
        <w:rPr>
          <w:rFonts w:ascii="Arial" w:cs="Arial" w:eastAsia="Arial" w:hAnsi="Arial"/>
          <w:sz w:val="14"/>
          <w:szCs w:val="14"/>
          <w:color w:val="auto"/>
        </w:rPr>
        <w:t>. Subject to the terms and provisions of the Plan, Restricted Stock Units may be granted to Participants in such amounts and upon such terms, and at any time and from time to time, as shall be determined by the Committee.</w:t>
      </w:r>
    </w:p>
    <w:p>
      <w:pPr>
        <w:spacing w:after="0" w:line="57" w:lineRule="exact"/>
        <w:rPr>
          <w:rFonts w:ascii="Arial" w:cs="Arial" w:eastAsia="Arial" w:hAnsi="Arial"/>
          <w:sz w:val="14"/>
          <w:szCs w:val="14"/>
          <w:color w:val="auto"/>
        </w:rPr>
      </w:pPr>
    </w:p>
    <w:p>
      <w:pPr>
        <w:ind w:left="229" w:right="500" w:firstLine="7"/>
        <w:spacing w:after="0" w:line="282" w:lineRule="auto"/>
        <w:tabs>
          <w:tab w:leader="none" w:pos="613" w:val="left"/>
        </w:tabs>
        <w:numPr>
          <w:ilvl w:val="1"/>
          <w:numId w:val="180"/>
        </w:numPr>
        <w:rPr>
          <w:rFonts w:ascii="Arial" w:cs="Arial" w:eastAsia="Arial" w:hAnsi="Arial"/>
          <w:sz w:val="14"/>
          <w:szCs w:val="14"/>
          <w:color w:val="auto"/>
        </w:rPr>
      </w:pPr>
      <w:r>
        <w:rPr>
          <w:rFonts w:ascii="Arial" w:cs="Arial" w:eastAsia="Arial" w:hAnsi="Arial"/>
          <w:sz w:val="14"/>
          <w:szCs w:val="14"/>
          <w:u w:val="single" w:color="auto"/>
          <w:color w:val="auto"/>
        </w:rPr>
        <w:t>Award Agreement</w:t>
      </w:r>
      <w:r>
        <w:rPr>
          <w:rFonts w:ascii="Arial" w:cs="Arial" w:eastAsia="Arial" w:hAnsi="Arial"/>
          <w:sz w:val="14"/>
          <w:szCs w:val="14"/>
          <w:color w:val="auto"/>
        </w:rPr>
        <w:t>. Each grant of Restricted Stock Units shall be evidenced by an Award Agreement that shall specify the applicable Period of Restriction, the number of Restricted Stock Units granted, and such other provisions as the Committee shall determine.</w:t>
      </w:r>
    </w:p>
    <w:p>
      <w:pPr>
        <w:spacing w:after="0" w:line="57" w:lineRule="exact"/>
        <w:rPr>
          <w:rFonts w:ascii="Arial" w:cs="Arial" w:eastAsia="Arial" w:hAnsi="Arial"/>
          <w:sz w:val="14"/>
          <w:szCs w:val="14"/>
          <w:color w:val="auto"/>
        </w:rPr>
      </w:pPr>
    </w:p>
    <w:p>
      <w:pPr>
        <w:ind w:left="229" w:right="120" w:firstLine="7"/>
        <w:spacing w:after="0" w:line="282" w:lineRule="auto"/>
        <w:tabs>
          <w:tab w:leader="none" w:pos="605" w:val="left"/>
        </w:tabs>
        <w:numPr>
          <w:ilvl w:val="1"/>
          <w:numId w:val="180"/>
        </w:numPr>
        <w:rPr>
          <w:rFonts w:ascii="Arial" w:cs="Arial" w:eastAsia="Arial" w:hAnsi="Arial"/>
          <w:sz w:val="14"/>
          <w:szCs w:val="14"/>
          <w:color w:val="auto"/>
        </w:rPr>
      </w:pPr>
      <w:r>
        <w:rPr>
          <w:rFonts w:ascii="Arial" w:cs="Arial" w:eastAsia="Arial" w:hAnsi="Arial"/>
          <w:sz w:val="14"/>
          <w:szCs w:val="14"/>
          <w:u w:val="single" w:color="auto"/>
          <w:color w:val="auto"/>
        </w:rPr>
        <w:t>Value of Restricted Stock Units</w:t>
      </w:r>
      <w:r>
        <w:rPr>
          <w:rFonts w:ascii="Arial" w:cs="Arial" w:eastAsia="Arial" w:hAnsi="Arial"/>
          <w:sz w:val="14"/>
          <w:szCs w:val="14"/>
          <w:color w:val="auto"/>
        </w:rPr>
        <w:t>. The initial value of a Restricted Stock Unit shall equal the Fair Market Value of a Share on the date of grant; provided, however, that this restriction shall not apply to Awards that are adjusted pursuant to Section 16.</w:t>
      </w:r>
    </w:p>
    <w:p>
      <w:pPr>
        <w:spacing w:after="0" w:line="69" w:lineRule="exact"/>
        <w:rPr>
          <w:rFonts w:ascii="Arial" w:cs="Arial" w:eastAsia="Arial" w:hAnsi="Arial"/>
          <w:sz w:val="14"/>
          <w:szCs w:val="14"/>
          <w:color w:val="auto"/>
        </w:rPr>
      </w:pPr>
    </w:p>
    <w:p>
      <w:pPr>
        <w:ind w:left="229" w:right="140" w:firstLine="7"/>
        <w:spacing w:after="0" w:line="255" w:lineRule="auto"/>
        <w:tabs>
          <w:tab w:leader="none" w:pos="613" w:val="left"/>
        </w:tabs>
        <w:numPr>
          <w:ilvl w:val="1"/>
          <w:numId w:val="180"/>
        </w:numPr>
        <w:rPr>
          <w:rFonts w:ascii="Arial" w:cs="Arial" w:eastAsia="Arial" w:hAnsi="Arial"/>
          <w:sz w:val="14"/>
          <w:szCs w:val="14"/>
          <w:color w:val="auto"/>
        </w:rPr>
      </w:pPr>
      <w:r>
        <w:rPr>
          <w:rFonts w:ascii="Arial" w:cs="Arial" w:eastAsia="Arial" w:hAnsi="Arial"/>
          <w:sz w:val="14"/>
          <w:szCs w:val="14"/>
          <w:u w:val="single" w:color="auto"/>
          <w:color w:val="auto"/>
        </w:rPr>
        <w:t>Period of Restriction</w:t>
      </w:r>
      <w:r>
        <w:rPr>
          <w:rFonts w:ascii="Arial" w:cs="Arial" w:eastAsia="Arial" w:hAnsi="Arial"/>
          <w:sz w:val="14"/>
          <w:szCs w:val="14"/>
          <w:color w:val="auto"/>
        </w:rPr>
        <w:t>. Except upon a termination of employment or, pursuant to Section 17, in the event of a Participant’s Qualifying Termination during the two year period following the occurrence of a Change in Control or Subsidiary Disposition, an Award of Restricted Stock Units shall have a minimum Period of Restriction of three years, which period may, at the discretion of the Committee, lapse on a pro-rated, graded, or cliff basis. However, in no event will the vesting of an Award of Restricted Stock Units occur within one year of the date of grant, except that the Committee will be entitled to make grants of any kind of Award under the Plan without regard to the minimum vesting condition in an aggregate amount not to exceed 5% of the maximum number of Shares authorized for issuance under the Plan.</w:t>
      </w:r>
    </w:p>
    <w:p>
      <w:pPr>
        <w:spacing w:after="0" w:line="75" w:lineRule="exact"/>
        <w:rPr>
          <w:rFonts w:ascii="Arial" w:cs="Arial" w:eastAsia="Arial" w:hAnsi="Arial"/>
          <w:sz w:val="14"/>
          <w:szCs w:val="14"/>
          <w:color w:val="auto"/>
        </w:rPr>
      </w:pPr>
    </w:p>
    <w:p>
      <w:pPr>
        <w:ind w:left="229" w:right="60" w:firstLine="7"/>
        <w:spacing w:after="0" w:line="258" w:lineRule="auto"/>
        <w:tabs>
          <w:tab w:leader="none" w:pos="613" w:val="left"/>
        </w:tabs>
        <w:numPr>
          <w:ilvl w:val="1"/>
          <w:numId w:val="180"/>
        </w:numPr>
        <w:rPr>
          <w:rFonts w:ascii="Arial" w:cs="Arial" w:eastAsia="Arial" w:hAnsi="Arial"/>
          <w:sz w:val="14"/>
          <w:szCs w:val="14"/>
          <w:color w:val="auto"/>
        </w:rPr>
      </w:pPr>
      <w:r>
        <w:rPr>
          <w:rFonts w:ascii="Arial" w:cs="Arial" w:eastAsia="Arial" w:hAnsi="Arial"/>
          <w:sz w:val="14"/>
          <w:szCs w:val="14"/>
          <w:u w:val="single" w:color="auto"/>
          <w:color w:val="auto"/>
        </w:rPr>
        <w:t>Form and Timing of Payment</w:t>
      </w:r>
      <w:r>
        <w:rPr>
          <w:rFonts w:ascii="Arial" w:cs="Arial" w:eastAsia="Arial" w:hAnsi="Arial"/>
          <w:sz w:val="14"/>
          <w:szCs w:val="14"/>
          <w:color w:val="auto"/>
        </w:rPr>
        <w:t>. Except as otherwise provided in Section 17 or a Participant’s Award Agreement, payment of Restricted Stock Units shall be made at a specified settlement date that shall not be earlier than the last day of the Period of Restriction. The Committee, in its sole discretion, may pay earned Restricted Stock Units by delivery of Shares or by payment in cash of an amount equal to the Fair Market Value of such Shares (or a combination thereof). The Committee may provide that settlement of Restricted Stock Units shall be deferred, on a mandatory basis or at the election of the Participant.</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EXHIBIT C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233" w:right="479" w:bottom="1440" w:gutter="0" w:footer="0" w:header="0"/>
        </w:sectPr>
      </w:pPr>
    </w:p>
    <w:bookmarkStart w:id="114" w:name="page115"/>
    <w:bookmarkEnd w:id="114"/>
    <w:p>
      <w:pPr>
        <w:ind w:left="609" w:hanging="373"/>
        <w:spacing w:after="0"/>
        <w:tabs>
          <w:tab w:leader="none" w:pos="609" w:val="left"/>
        </w:tabs>
        <w:numPr>
          <w:ilvl w:val="0"/>
          <w:numId w:val="181"/>
        </w:numPr>
        <w:rPr>
          <w:rFonts w:ascii="Arial" w:cs="Arial" w:eastAsia="Arial" w:hAnsi="Arial"/>
          <w:sz w:val="14"/>
          <w:szCs w:val="14"/>
          <w:color w:val="auto"/>
        </w:rPr>
      </w:pPr>
      <w:r>
        <w:rPr>
          <w:rFonts w:ascii="Arial" w:cs="Arial" w:eastAsia="Arial" w:hAnsi="Arial"/>
          <w:sz w:val="14"/>
          <w:szCs w:val="14"/>
          <w:u w:val="single" w:color="auto"/>
          <w:color w:val="auto"/>
        </w:rPr>
        <w:t>Voting Rights</w:t>
      </w:r>
      <w:r>
        <w:rPr>
          <w:rFonts w:ascii="Arial" w:cs="Arial" w:eastAsia="Arial" w:hAnsi="Arial"/>
          <w:sz w:val="14"/>
          <w:szCs w:val="14"/>
          <w:color w:val="auto"/>
        </w:rPr>
        <w:t>. A Participant shall have no voting rights with respect to any Restricted Stock Units granted hereunder.</w:t>
      </w:r>
    </w:p>
    <w:p>
      <w:pPr>
        <w:spacing w:after="0" w:line="121" w:lineRule="exact"/>
        <w:rPr>
          <w:rFonts w:ascii="Arial" w:cs="Arial" w:eastAsia="Arial" w:hAnsi="Arial"/>
          <w:sz w:val="14"/>
          <w:szCs w:val="14"/>
          <w:color w:val="auto"/>
        </w:rPr>
      </w:pPr>
    </w:p>
    <w:p>
      <w:pPr>
        <w:ind w:left="229" w:right="100" w:firstLine="7"/>
        <w:spacing w:after="0" w:line="258" w:lineRule="auto"/>
        <w:tabs>
          <w:tab w:leader="none" w:pos="613" w:val="left"/>
        </w:tabs>
        <w:numPr>
          <w:ilvl w:val="0"/>
          <w:numId w:val="181"/>
        </w:numPr>
        <w:rPr>
          <w:rFonts w:ascii="Arial" w:cs="Arial" w:eastAsia="Arial" w:hAnsi="Arial"/>
          <w:sz w:val="14"/>
          <w:szCs w:val="14"/>
          <w:color w:val="auto"/>
        </w:rPr>
      </w:pPr>
      <w:r>
        <w:rPr>
          <w:rFonts w:ascii="Arial" w:cs="Arial" w:eastAsia="Arial" w:hAnsi="Arial"/>
          <w:sz w:val="14"/>
          <w:szCs w:val="14"/>
          <w:u w:val="single" w:color="auto"/>
          <w:color w:val="auto"/>
        </w:rPr>
        <w:t>Termination of Employment or Service</w:t>
      </w:r>
      <w:r>
        <w:rPr>
          <w:rFonts w:ascii="Arial" w:cs="Arial" w:eastAsia="Arial" w:hAnsi="Arial"/>
          <w:sz w:val="14"/>
          <w:szCs w:val="14"/>
          <w:color w:val="auto"/>
        </w:rPr>
        <w:t>. Each Award Agreement shall set forth the extent to which the Participant shall have the right to receive a payout respecting an Award of Restricted Stock Units following termination of the Participant’s employment or, if the Participant is a Director or Consultant, service with the Company and its Subsidiaries. Such provisions shall be determined in the sole discretion of the Committee, need not be uniform among all Restricted Stock Units, and may reflect distinctions based on the reasons for termination of employment or service.</w:t>
      </w:r>
    </w:p>
    <w:p>
      <w:pPr>
        <w:spacing w:after="0" w:line="73" w:lineRule="exact"/>
        <w:rPr>
          <w:rFonts w:ascii="Arial" w:cs="Arial" w:eastAsia="Arial" w:hAnsi="Arial"/>
          <w:sz w:val="14"/>
          <w:szCs w:val="14"/>
          <w:color w:val="auto"/>
        </w:rPr>
      </w:pPr>
    </w:p>
    <w:p>
      <w:pPr>
        <w:ind w:left="229" w:right="40" w:firstLine="7"/>
        <w:spacing w:after="0" w:line="258" w:lineRule="auto"/>
        <w:tabs>
          <w:tab w:leader="none" w:pos="613" w:val="left"/>
        </w:tabs>
        <w:numPr>
          <w:ilvl w:val="0"/>
          <w:numId w:val="181"/>
        </w:numPr>
        <w:rPr>
          <w:rFonts w:ascii="Arial" w:cs="Arial" w:eastAsia="Arial" w:hAnsi="Arial"/>
          <w:sz w:val="14"/>
          <w:szCs w:val="14"/>
          <w:color w:val="auto"/>
        </w:rPr>
      </w:pPr>
      <w:r>
        <w:rPr>
          <w:rFonts w:ascii="Arial" w:cs="Arial" w:eastAsia="Arial" w:hAnsi="Arial"/>
          <w:sz w:val="14"/>
          <w:szCs w:val="14"/>
          <w:u w:val="single" w:color="auto"/>
          <w:color w:val="auto"/>
        </w:rPr>
        <w:t>Dividend Equivalents</w:t>
      </w:r>
      <w:r>
        <w:rPr>
          <w:rFonts w:ascii="Arial" w:cs="Arial" w:eastAsia="Arial" w:hAnsi="Arial"/>
          <w:sz w:val="14"/>
          <w:szCs w:val="14"/>
          <w:color w:val="auto"/>
        </w:rPr>
        <w:t>. At the discretion of the Committee, Restricted Stock Units granted pursuant to the Plan may provide Participants with the right to receive Dividend Equivalents, which shall be credited to an account for the Participants, and may be settled in cash and/or Shares, as determined by the Committee in its sole discretion, subject in each case to the same restrictions on transferability and forfeitability as the underlying Restricted Stock Units. Any such Dividend Equivalents shall be settled if and when the underlying Restricted Stock Units are settled.</w:t>
      </w:r>
    </w:p>
    <w:p>
      <w:pPr>
        <w:spacing w:after="0" w:line="73"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auto"/>
        </w:rPr>
        <w:t>10</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Performance Shares and Performance Share Units.</w:t>
      </w:r>
    </w:p>
    <w:p>
      <w:pPr>
        <w:spacing w:after="0" w:line="122" w:lineRule="exact"/>
        <w:rPr>
          <w:sz w:val="20"/>
          <w:szCs w:val="20"/>
          <w:color w:val="auto"/>
        </w:rPr>
      </w:pPr>
    </w:p>
    <w:p>
      <w:pPr>
        <w:ind w:left="229" w:right="80" w:firstLine="7"/>
        <w:spacing w:after="0" w:line="282" w:lineRule="auto"/>
        <w:tabs>
          <w:tab w:leader="none" w:pos="613" w:val="left"/>
        </w:tabs>
        <w:numPr>
          <w:ilvl w:val="1"/>
          <w:numId w:val="182"/>
        </w:numPr>
        <w:rPr>
          <w:rFonts w:ascii="Arial" w:cs="Arial" w:eastAsia="Arial" w:hAnsi="Arial"/>
          <w:sz w:val="14"/>
          <w:szCs w:val="14"/>
          <w:color w:val="auto"/>
        </w:rPr>
      </w:pPr>
      <w:r>
        <w:rPr>
          <w:rFonts w:ascii="Arial" w:cs="Arial" w:eastAsia="Arial" w:hAnsi="Arial"/>
          <w:sz w:val="14"/>
          <w:szCs w:val="14"/>
          <w:u w:val="single" w:color="auto"/>
          <w:color w:val="auto"/>
        </w:rPr>
        <w:t>Grant of Performance Shares and Performance Share Units</w:t>
      </w:r>
      <w:r>
        <w:rPr>
          <w:rFonts w:ascii="Arial" w:cs="Arial" w:eastAsia="Arial" w:hAnsi="Arial"/>
          <w:sz w:val="14"/>
          <w:szCs w:val="14"/>
          <w:color w:val="auto"/>
        </w:rPr>
        <w:t>. Subject to the terms and provisions of the Plan, Performance Shares or Performance Share Units may be granted to Participants in such amounts and upon such terms, and at any time and from time to time, as shall be determined by the Committee.</w:t>
      </w:r>
    </w:p>
    <w:p>
      <w:pPr>
        <w:spacing w:after="0" w:line="57" w:lineRule="exact"/>
        <w:rPr>
          <w:rFonts w:ascii="Arial" w:cs="Arial" w:eastAsia="Arial" w:hAnsi="Arial"/>
          <w:sz w:val="14"/>
          <w:szCs w:val="14"/>
          <w:color w:val="auto"/>
        </w:rPr>
      </w:pPr>
    </w:p>
    <w:p>
      <w:pPr>
        <w:ind w:left="229" w:right="120" w:firstLine="7"/>
        <w:spacing w:after="0" w:line="264" w:lineRule="auto"/>
        <w:tabs>
          <w:tab w:leader="none" w:pos="613" w:val="left"/>
        </w:tabs>
        <w:numPr>
          <w:ilvl w:val="1"/>
          <w:numId w:val="182"/>
        </w:numPr>
        <w:rPr>
          <w:rFonts w:ascii="Arial" w:cs="Arial" w:eastAsia="Arial" w:hAnsi="Arial"/>
          <w:sz w:val="14"/>
          <w:szCs w:val="14"/>
          <w:color w:val="auto"/>
        </w:rPr>
      </w:pPr>
      <w:r>
        <w:rPr>
          <w:rFonts w:ascii="Arial" w:cs="Arial" w:eastAsia="Arial" w:hAnsi="Arial"/>
          <w:sz w:val="14"/>
          <w:szCs w:val="14"/>
          <w:u w:val="single" w:color="auto"/>
          <w:color w:val="auto"/>
        </w:rPr>
        <w:t>Award Agreement</w:t>
      </w:r>
      <w:r>
        <w:rPr>
          <w:rFonts w:ascii="Arial" w:cs="Arial" w:eastAsia="Arial" w:hAnsi="Arial"/>
          <w:sz w:val="14"/>
          <w:szCs w:val="14"/>
          <w:color w:val="auto"/>
        </w:rPr>
        <w:t>. Each grant of Performance Shares or Performance Share Units shall be evidenced by an Award Agreement that shall specify the applicable Performance Period and Performance Measure(s), the number of Performance Shares or Performance Share Units granted, and such other provisions as the Committee shall determine.</w:t>
      </w:r>
    </w:p>
    <w:p>
      <w:pPr>
        <w:spacing w:after="0" w:line="69" w:lineRule="exact"/>
        <w:rPr>
          <w:rFonts w:ascii="Arial" w:cs="Arial" w:eastAsia="Arial" w:hAnsi="Arial"/>
          <w:sz w:val="14"/>
          <w:szCs w:val="14"/>
          <w:color w:val="auto"/>
        </w:rPr>
      </w:pPr>
    </w:p>
    <w:p>
      <w:pPr>
        <w:ind w:left="229" w:right="40" w:firstLine="7"/>
        <w:spacing w:after="0" w:line="282" w:lineRule="auto"/>
        <w:tabs>
          <w:tab w:leader="none" w:pos="605" w:val="left"/>
        </w:tabs>
        <w:numPr>
          <w:ilvl w:val="1"/>
          <w:numId w:val="182"/>
        </w:numPr>
        <w:rPr>
          <w:rFonts w:ascii="Arial" w:cs="Arial" w:eastAsia="Arial" w:hAnsi="Arial"/>
          <w:sz w:val="14"/>
          <w:szCs w:val="14"/>
          <w:color w:val="auto"/>
        </w:rPr>
      </w:pPr>
      <w:r>
        <w:rPr>
          <w:rFonts w:ascii="Arial" w:cs="Arial" w:eastAsia="Arial" w:hAnsi="Arial"/>
          <w:sz w:val="14"/>
          <w:szCs w:val="14"/>
          <w:u w:val="single" w:color="auto"/>
          <w:color w:val="auto"/>
        </w:rPr>
        <w:t>Value of Performance Shares and Performance Share Units</w:t>
      </w:r>
      <w:r>
        <w:rPr>
          <w:rFonts w:ascii="Arial" w:cs="Arial" w:eastAsia="Arial" w:hAnsi="Arial"/>
          <w:sz w:val="14"/>
          <w:szCs w:val="14"/>
          <w:color w:val="auto"/>
        </w:rPr>
        <w:t>. The initial value of a Performance Share or a Performance Share Unit shall equal the Fair Market Value of a Share on the date of grant; provided, however, that this restriction shall not apply to Awards that are adjusted pursuant to Section 16.</w:t>
      </w:r>
    </w:p>
    <w:p>
      <w:pPr>
        <w:spacing w:after="0" w:line="69" w:lineRule="exact"/>
        <w:rPr>
          <w:rFonts w:ascii="Arial" w:cs="Arial" w:eastAsia="Arial" w:hAnsi="Arial"/>
          <w:sz w:val="14"/>
          <w:szCs w:val="14"/>
          <w:color w:val="auto"/>
        </w:rPr>
      </w:pPr>
    </w:p>
    <w:p>
      <w:pPr>
        <w:ind w:left="229" w:firstLine="7"/>
        <w:spacing w:after="0" w:line="253" w:lineRule="auto"/>
        <w:tabs>
          <w:tab w:leader="none" w:pos="613" w:val="left"/>
        </w:tabs>
        <w:numPr>
          <w:ilvl w:val="1"/>
          <w:numId w:val="182"/>
        </w:numPr>
        <w:rPr>
          <w:rFonts w:ascii="Arial" w:cs="Arial" w:eastAsia="Arial" w:hAnsi="Arial"/>
          <w:sz w:val="14"/>
          <w:szCs w:val="14"/>
          <w:color w:val="auto"/>
        </w:rPr>
      </w:pPr>
      <w:r>
        <w:rPr>
          <w:rFonts w:ascii="Arial" w:cs="Arial" w:eastAsia="Arial" w:hAnsi="Arial"/>
          <w:sz w:val="14"/>
          <w:szCs w:val="14"/>
          <w:u w:val="single" w:color="auto"/>
          <w:color w:val="auto"/>
        </w:rPr>
        <w:t>Period of Restriction</w:t>
      </w:r>
      <w:r>
        <w:rPr>
          <w:rFonts w:ascii="Arial" w:cs="Arial" w:eastAsia="Arial" w:hAnsi="Arial"/>
          <w:sz w:val="14"/>
          <w:szCs w:val="14"/>
          <w:color w:val="auto"/>
        </w:rPr>
        <w:t>. Except upon a termination of employment or, pursuant to Section 17, in the event of a Participant’s Qualifying Termination during the two year period following the occurrence of a Change in Control or Subsidiary Disposition, an Award of Performance Shares or Performance Share Units shall have a minimum Period of Restriction of three years, which period may, at the discretion of the Committee, lapse on a pro-rated, graded, or cliff basis. However, in no event will the vesting of an Award of Performance Shares or Performance Share Units occur within one year of the date of grant, except that the Committee will be entitled to make grants of any kind of Award under the Plan without regard to the minimum vesting condition in an aggregate amount not to exceed 5% of the maximum number of Shares authorized for issuance under the Plan.</w:t>
      </w:r>
    </w:p>
    <w:p>
      <w:pPr>
        <w:spacing w:after="0" w:line="77" w:lineRule="exact"/>
        <w:rPr>
          <w:rFonts w:ascii="Arial" w:cs="Arial" w:eastAsia="Arial" w:hAnsi="Arial"/>
          <w:sz w:val="14"/>
          <w:szCs w:val="14"/>
          <w:color w:val="auto"/>
        </w:rPr>
      </w:pPr>
    </w:p>
    <w:p>
      <w:pPr>
        <w:ind w:left="229" w:right="100" w:firstLine="7"/>
        <w:spacing w:after="0" w:line="255" w:lineRule="auto"/>
        <w:tabs>
          <w:tab w:leader="none" w:pos="613" w:val="left"/>
        </w:tabs>
        <w:numPr>
          <w:ilvl w:val="1"/>
          <w:numId w:val="182"/>
        </w:numPr>
        <w:rPr>
          <w:rFonts w:ascii="Arial" w:cs="Arial" w:eastAsia="Arial" w:hAnsi="Arial"/>
          <w:sz w:val="14"/>
          <w:szCs w:val="14"/>
          <w:color w:val="auto"/>
        </w:rPr>
      </w:pPr>
      <w:r>
        <w:rPr>
          <w:rFonts w:ascii="Arial" w:cs="Arial" w:eastAsia="Arial" w:hAnsi="Arial"/>
          <w:sz w:val="14"/>
          <w:szCs w:val="14"/>
          <w:u w:val="single" w:color="auto"/>
          <w:color w:val="auto"/>
        </w:rPr>
        <w:t>Form and Timing of Payment</w:t>
      </w:r>
      <w:r>
        <w:rPr>
          <w:rFonts w:ascii="Arial" w:cs="Arial" w:eastAsia="Arial" w:hAnsi="Arial"/>
          <w:sz w:val="14"/>
          <w:szCs w:val="14"/>
          <w:color w:val="auto"/>
        </w:rPr>
        <w:t>. Except as otherwise provided in Section 17 or a Participant’s Award Agreement, payment of Performance Shares or Performance Share Units shall be made at a specified settlement date that shall not be earlier than the last day of the Performance Period. The Committee, in its sole discretion, may pay earned Performance Shares or Performance Share Units by delivery of Shares or by payment in cash of an amount equal to the Fair Market Value of such Shares (or a combination thereof). The Committee may provide that settlement of Performance Shares or Performance Share Units shall be deferred, on a mandatory basis or at the election of the Participant.</w:t>
      </w:r>
    </w:p>
    <w:p>
      <w:pPr>
        <w:spacing w:after="0" w:line="75" w:lineRule="exact"/>
        <w:rPr>
          <w:rFonts w:ascii="Arial" w:cs="Arial" w:eastAsia="Arial" w:hAnsi="Arial"/>
          <w:sz w:val="14"/>
          <w:szCs w:val="14"/>
          <w:color w:val="auto"/>
        </w:rPr>
      </w:pPr>
    </w:p>
    <w:p>
      <w:pPr>
        <w:ind w:left="609" w:hanging="373"/>
        <w:spacing w:after="0"/>
        <w:tabs>
          <w:tab w:leader="none" w:pos="609" w:val="left"/>
        </w:tabs>
        <w:numPr>
          <w:ilvl w:val="1"/>
          <w:numId w:val="182"/>
        </w:numPr>
        <w:rPr>
          <w:rFonts w:ascii="Arial" w:cs="Arial" w:eastAsia="Arial" w:hAnsi="Arial"/>
          <w:sz w:val="14"/>
          <w:szCs w:val="14"/>
          <w:color w:val="auto"/>
        </w:rPr>
      </w:pPr>
      <w:r>
        <w:rPr>
          <w:rFonts w:ascii="Arial" w:cs="Arial" w:eastAsia="Arial" w:hAnsi="Arial"/>
          <w:sz w:val="14"/>
          <w:szCs w:val="14"/>
          <w:u w:val="single" w:color="auto"/>
          <w:color w:val="auto"/>
        </w:rPr>
        <w:t>Voting Rights</w:t>
      </w:r>
      <w:r>
        <w:rPr>
          <w:rFonts w:ascii="Arial" w:cs="Arial" w:eastAsia="Arial" w:hAnsi="Arial"/>
          <w:sz w:val="14"/>
          <w:szCs w:val="14"/>
          <w:color w:val="auto"/>
        </w:rPr>
        <w:t>. A Participant shall have no voting rights with respect to any Performance Shares or Performance Share Units granted hereunder.</w:t>
      </w:r>
    </w:p>
    <w:p>
      <w:pPr>
        <w:spacing w:after="0" w:line="121" w:lineRule="exact"/>
        <w:rPr>
          <w:rFonts w:ascii="Arial" w:cs="Arial" w:eastAsia="Arial" w:hAnsi="Arial"/>
          <w:sz w:val="14"/>
          <w:szCs w:val="14"/>
          <w:color w:val="auto"/>
        </w:rPr>
      </w:pPr>
    </w:p>
    <w:p>
      <w:pPr>
        <w:jc w:val="both"/>
        <w:ind w:left="229" w:right="160" w:firstLine="7"/>
        <w:spacing w:after="0" w:line="258" w:lineRule="auto"/>
        <w:tabs>
          <w:tab w:leader="none" w:pos="613" w:val="left"/>
        </w:tabs>
        <w:numPr>
          <w:ilvl w:val="1"/>
          <w:numId w:val="182"/>
        </w:numPr>
        <w:rPr>
          <w:rFonts w:ascii="Arial" w:cs="Arial" w:eastAsia="Arial" w:hAnsi="Arial"/>
          <w:sz w:val="14"/>
          <w:szCs w:val="14"/>
          <w:color w:val="auto"/>
        </w:rPr>
      </w:pPr>
      <w:r>
        <w:rPr>
          <w:rFonts w:ascii="Arial" w:cs="Arial" w:eastAsia="Arial" w:hAnsi="Arial"/>
          <w:sz w:val="14"/>
          <w:szCs w:val="14"/>
          <w:u w:val="single" w:color="auto"/>
          <w:color w:val="auto"/>
        </w:rPr>
        <w:t>Termination of Employment or Service.</w:t>
      </w:r>
      <w:r>
        <w:rPr>
          <w:rFonts w:ascii="Arial" w:cs="Arial" w:eastAsia="Arial" w:hAnsi="Arial"/>
          <w:sz w:val="14"/>
          <w:szCs w:val="14"/>
          <w:color w:val="auto"/>
        </w:rPr>
        <w:t xml:space="preserve"> Each Award Agreement shall set forth the extent to which the Participant shall have the right to receive a payout respecting an Award of Performance Shares or Performance Share Units following termination of the Participant’s employment or, if the Participant is a Consultant, service with the Company and its Subsidiaries. Such provisions shall be determined in the sole discretion of the Committee, need not be uniform among all Participants, and may reflect distinctions based on the reasons for termination of employment or service.</w:t>
      </w:r>
    </w:p>
    <w:p>
      <w:pPr>
        <w:spacing w:after="0" w:line="73" w:lineRule="exact"/>
        <w:rPr>
          <w:rFonts w:ascii="Arial" w:cs="Arial" w:eastAsia="Arial" w:hAnsi="Arial"/>
          <w:sz w:val="14"/>
          <w:szCs w:val="14"/>
          <w:color w:val="auto"/>
        </w:rPr>
      </w:pPr>
    </w:p>
    <w:p>
      <w:pPr>
        <w:ind w:left="229" w:right="120" w:firstLine="7"/>
        <w:spacing w:after="0" w:line="282" w:lineRule="auto"/>
        <w:tabs>
          <w:tab w:leader="none" w:pos="613" w:val="left"/>
        </w:tabs>
        <w:numPr>
          <w:ilvl w:val="1"/>
          <w:numId w:val="182"/>
        </w:numPr>
        <w:rPr>
          <w:rFonts w:ascii="Arial" w:cs="Arial" w:eastAsia="Arial" w:hAnsi="Arial"/>
          <w:sz w:val="14"/>
          <w:szCs w:val="14"/>
          <w:color w:val="auto"/>
        </w:rPr>
      </w:pPr>
      <w:r>
        <w:rPr>
          <w:rFonts w:ascii="Arial" w:cs="Arial" w:eastAsia="Arial" w:hAnsi="Arial"/>
          <w:sz w:val="14"/>
          <w:szCs w:val="14"/>
          <w:u w:val="single" w:color="auto"/>
          <w:color w:val="auto"/>
        </w:rPr>
        <w:t>Dividends and Dividend Equivalents</w:t>
      </w:r>
      <w:r>
        <w:rPr>
          <w:rFonts w:ascii="Arial" w:cs="Arial" w:eastAsia="Arial" w:hAnsi="Arial"/>
          <w:sz w:val="14"/>
          <w:szCs w:val="14"/>
          <w:color w:val="auto"/>
        </w:rPr>
        <w:t>. Performance Shares and Performance Share Units granted pursuant to the Plan shall not provide Participants with the right to receive Dividends or Dividend Equivalents.</w:t>
      </w:r>
    </w:p>
    <w:p>
      <w:pPr>
        <w:spacing w:after="0" w:line="57" w:lineRule="exact"/>
        <w:rPr>
          <w:rFonts w:ascii="Arial" w:cs="Arial" w:eastAsia="Arial" w:hAnsi="Arial"/>
          <w:sz w:val="14"/>
          <w:szCs w:val="14"/>
          <w:color w:val="auto"/>
        </w:rPr>
      </w:pPr>
    </w:p>
    <w:p>
      <w:pPr>
        <w:ind w:left="229" w:hanging="229"/>
        <w:spacing w:after="0"/>
        <w:tabs>
          <w:tab w:leader="none" w:pos="229" w:val="left"/>
        </w:tabs>
        <w:numPr>
          <w:ilvl w:val="0"/>
          <w:numId w:val="18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Other Stock-Based Awards</w:t>
      </w:r>
      <w:r>
        <w:rPr>
          <w:rFonts w:ascii="Arial" w:cs="Arial" w:eastAsia="Arial" w:hAnsi="Arial"/>
          <w:sz w:val="14"/>
          <w:szCs w:val="14"/>
          <w:color w:val="auto"/>
        </w:rPr>
        <w:t>.</w:t>
      </w:r>
    </w:p>
    <w:p>
      <w:pPr>
        <w:spacing w:after="0" w:line="121" w:lineRule="exact"/>
        <w:rPr>
          <w:rFonts w:ascii="Arial" w:cs="Arial" w:eastAsia="Arial" w:hAnsi="Arial"/>
          <w:sz w:val="14"/>
          <w:szCs w:val="14"/>
          <w:b w:val="1"/>
          <w:bCs w:val="1"/>
          <w:color w:val="auto"/>
        </w:rPr>
      </w:pPr>
    </w:p>
    <w:p>
      <w:pPr>
        <w:ind w:left="229" w:right="140" w:firstLine="7"/>
        <w:spacing w:after="0" w:line="264" w:lineRule="auto"/>
        <w:tabs>
          <w:tab w:leader="none" w:pos="613" w:val="left"/>
        </w:tabs>
        <w:numPr>
          <w:ilvl w:val="1"/>
          <w:numId w:val="183"/>
        </w:numPr>
        <w:rPr>
          <w:rFonts w:ascii="Arial" w:cs="Arial" w:eastAsia="Arial" w:hAnsi="Arial"/>
          <w:sz w:val="14"/>
          <w:szCs w:val="14"/>
          <w:color w:val="auto"/>
        </w:rPr>
      </w:pPr>
      <w:r>
        <w:rPr>
          <w:rFonts w:ascii="Arial" w:cs="Arial" w:eastAsia="Arial" w:hAnsi="Arial"/>
          <w:sz w:val="14"/>
          <w:szCs w:val="14"/>
          <w:u w:val="single" w:color="auto"/>
          <w:color w:val="auto"/>
        </w:rPr>
        <w:t>Grant.</w:t>
      </w:r>
      <w:r>
        <w:rPr>
          <w:rFonts w:ascii="Arial" w:cs="Arial" w:eastAsia="Arial" w:hAnsi="Arial"/>
          <w:sz w:val="14"/>
          <w:szCs w:val="14"/>
          <w:color w:val="auto"/>
        </w:rPr>
        <w:t xml:space="preserve"> The Committee shall have the right to grant other Awards that may include, without limitation, the grant of Shares based on attainment of performance goals established by the Committee, the payment of Shares as a bonus or in lieu of cash based on attainment of performance goals established by the Committee, and the payment of Shares in lieu of cash under other Company incentive or bonus programs.</w:t>
      </w:r>
    </w:p>
    <w:p>
      <w:pPr>
        <w:spacing w:after="0" w:line="149"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 xml:space="preserve">C-6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29"/>
          </w:cols>
          <w:pgMar w:left="471" w:top="233" w:right="499" w:bottom="1440" w:gutter="0" w:footer="0" w:header="0"/>
        </w:sectPr>
      </w:pPr>
    </w:p>
    <w:bookmarkStart w:id="115" w:name="page116"/>
    <w:bookmarkEnd w:id="115"/>
    <w:p>
      <w:pPr>
        <w:ind w:left="229" w:right="60" w:firstLine="7"/>
        <w:spacing w:after="0" w:line="251" w:lineRule="auto"/>
        <w:tabs>
          <w:tab w:leader="none" w:pos="613" w:val="left"/>
        </w:tabs>
        <w:numPr>
          <w:ilvl w:val="1"/>
          <w:numId w:val="184"/>
        </w:numPr>
        <w:rPr>
          <w:rFonts w:ascii="Arial" w:cs="Arial" w:eastAsia="Arial" w:hAnsi="Arial"/>
          <w:sz w:val="14"/>
          <w:szCs w:val="14"/>
          <w:color w:val="auto"/>
        </w:rPr>
      </w:pPr>
      <w:r>
        <w:rPr>
          <w:rFonts w:ascii="Arial" w:cs="Arial" w:eastAsia="Arial" w:hAnsi="Arial"/>
          <w:sz w:val="14"/>
          <w:szCs w:val="14"/>
          <w:u w:val="single" w:color="auto"/>
          <w:color w:val="auto"/>
        </w:rPr>
        <w:t>Period of Restriction</w:t>
      </w:r>
      <w:r>
        <w:rPr>
          <w:rFonts w:ascii="Arial" w:cs="Arial" w:eastAsia="Arial" w:hAnsi="Arial"/>
          <w:sz w:val="14"/>
          <w:szCs w:val="14"/>
          <w:color w:val="auto"/>
        </w:rPr>
        <w:t>. Except upon a termination of employment or, pursuant to Section 17, in the event of a Participant’s Qualifying Termination during the two year period following the occurrence of a Change in Control or Subsidiary Disposition, Awards granted pursuant to this Section 11 shall have a minimum Period of Restriction of three years, which period may, at the discretion of the Committee, lapse on a pro-rated, graded, or cliff basis (as specified in an Award Agreement). However, in no event will the vesting of an Award granted pursuant to this Section 11 occur within one year of the date of grant, except that the Committee will be entitled to make grants of any kind of Award under the Plan without regard to the minimum vesting condition in an aggregate amount not to exceed 5% of the maximum number of Shares authorized for issuance under the Plan. Notwithstanding the above, the payment of Shares in lieu of cash under other Company incentive or bonus programs shall not be subject to the minimum Period of Restriction limitations described above.</w:t>
      </w:r>
    </w:p>
    <w:p>
      <w:pPr>
        <w:spacing w:after="0" w:line="93" w:lineRule="exact"/>
        <w:rPr>
          <w:rFonts w:ascii="Arial" w:cs="Arial" w:eastAsia="Arial" w:hAnsi="Arial"/>
          <w:sz w:val="14"/>
          <w:szCs w:val="14"/>
          <w:color w:val="auto"/>
        </w:rPr>
      </w:pPr>
    </w:p>
    <w:p>
      <w:pPr>
        <w:jc w:val="both"/>
        <w:ind w:left="229" w:right="80" w:firstLine="7"/>
        <w:spacing w:after="0" w:line="264" w:lineRule="auto"/>
        <w:tabs>
          <w:tab w:leader="none" w:pos="605" w:val="left"/>
        </w:tabs>
        <w:numPr>
          <w:ilvl w:val="1"/>
          <w:numId w:val="184"/>
        </w:numPr>
        <w:rPr>
          <w:rFonts w:ascii="Arial" w:cs="Arial" w:eastAsia="Arial" w:hAnsi="Arial"/>
          <w:sz w:val="14"/>
          <w:szCs w:val="14"/>
          <w:color w:val="auto"/>
        </w:rPr>
      </w:pPr>
      <w:r>
        <w:rPr>
          <w:rFonts w:ascii="Arial" w:cs="Arial" w:eastAsia="Arial" w:hAnsi="Arial"/>
          <w:sz w:val="14"/>
          <w:szCs w:val="14"/>
          <w:u w:val="single" w:color="auto"/>
          <w:color w:val="auto"/>
        </w:rPr>
        <w:t>Payment of Other Stock-Based Awards</w:t>
      </w:r>
      <w:r>
        <w:rPr>
          <w:rFonts w:ascii="Arial" w:cs="Arial" w:eastAsia="Arial" w:hAnsi="Arial"/>
          <w:sz w:val="14"/>
          <w:szCs w:val="14"/>
          <w:color w:val="auto"/>
        </w:rPr>
        <w:t>. Subject to Section 11(b) hereof, payment under or settlement of any such Other Stock-Based Awards shall be made in such manner and at such times as the Committee may determine. The Committee may provide that settlement of Other Stock-Based Awards shall be deferred, on a mandatory basis or at the election of the Participant.</w:t>
      </w:r>
    </w:p>
    <w:p>
      <w:pPr>
        <w:spacing w:after="0" w:line="69" w:lineRule="exact"/>
        <w:rPr>
          <w:rFonts w:ascii="Arial" w:cs="Arial" w:eastAsia="Arial" w:hAnsi="Arial"/>
          <w:sz w:val="14"/>
          <w:szCs w:val="14"/>
          <w:color w:val="auto"/>
        </w:rPr>
      </w:pPr>
    </w:p>
    <w:p>
      <w:pPr>
        <w:jc w:val="both"/>
        <w:ind w:left="229" w:right="20" w:firstLine="7"/>
        <w:spacing w:after="0" w:line="258" w:lineRule="auto"/>
        <w:tabs>
          <w:tab w:leader="none" w:pos="613" w:val="left"/>
        </w:tabs>
        <w:numPr>
          <w:ilvl w:val="1"/>
          <w:numId w:val="184"/>
        </w:numPr>
        <w:rPr>
          <w:rFonts w:ascii="Arial" w:cs="Arial" w:eastAsia="Arial" w:hAnsi="Arial"/>
          <w:sz w:val="14"/>
          <w:szCs w:val="14"/>
          <w:color w:val="auto"/>
        </w:rPr>
      </w:pPr>
      <w:r>
        <w:rPr>
          <w:rFonts w:ascii="Arial" w:cs="Arial" w:eastAsia="Arial" w:hAnsi="Arial"/>
          <w:sz w:val="14"/>
          <w:szCs w:val="14"/>
          <w:u w:val="single" w:color="auto"/>
          <w:color w:val="auto"/>
        </w:rPr>
        <w:t>Termination of Employment or Service</w:t>
      </w:r>
      <w:r>
        <w:rPr>
          <w:rFonts w:ascii="Arial" w:cs="Arial" w:eastAsia="Arial" w:hAnsi="Arial"/>
          <w:sz w:val="14"/>
          <w:szCs w:val="14"/>
          <w:color w:val="auto"/>
        </w:rPr>
        <w:t>. The Committee shall determine the extent to which the Participant shall have the right to receive Other Stock-Based Awards following termination of the Participant’s employment or, if the Participant is a Director or Consultant, service with the Company and its Subsidiaries. Such provisions shall be determined in the sole discretion of the Committee, such provisions may be included in an agreement entered into with each Participant, but need not be uniform among all Other Stock-Based Awards, and may reflect distinctions based on the reasons for termination of employment or service.</w:t>
      </w:r>
    </w:p>
    <w:p>
      <w:pPr>
        <w:spacing w:after="0" w:line="73" w:lineRule="exact"/>
        <w:rPr>
          <w:rFonts w:ascii="Arial" w:cs="Arial" w:eastAsia="Arial" w:hAnsi="Arial"/>
          <w:sz w:val="14"/>
          <w:szCs w:val="14"/>
          <w:color w:val="auto"/>
        </w:rPr>
      </w:pPr>
    </w:p>
    <w:p>
      <w:pPr>
        <w:jc w:val="both"/>
        <w:ind w:left="229" w:right="40" w:firstLine="7"/>
        <w:spacing w:after="0" w:line="258" w:lineRule="auto"/>
        <w:tabs>
          <w:tab w:leader="none" w:pos="613" w:val="left"/>
        </w:tabs>
        <w:numPr>
          <w:ilvl w:val="1"/>
          <w:numId w:val="184"/>
        </w:numPr>
        <w:rPr>
          <w:rFonts w:ascii="Arial" w:cs="Arial" w:eastAsia="Arial" w:hAnsi="Arial"/>
          <w:sz w:val="14"/>
          <w:szCs w:val="14"/>
          <w:color w:val="auto"/>
        </w:rPr>
      </w:pPr>
      <w:r>
        <w:rPr>
          <w:rFonts w:ascii="Arial" w:cs="Arial" w:eastAsia="Arial" w:hAnsi="Arial"/>
          <w:sz w:val="14"/>
          <w:szCs w:val="14"/>
          <w:u w:val="single" w:color="auto"/>
          <w:color w:val="auto"/>
        </w:rPr>
        <w:t>Dividends and Dividend Equivalents</w:t>
      </w:r>
      <w:r>
        <w:rPr>
          <w:rFonts w:ascii="Arial" w:cs="Arial" w:eastAsia="Arial" w:hAnsi="Arial"/>
          <w:sz w:val="14"/>
          <w:szCs w:val="14"/>
          <w:color w:val="auto"/>
        </w:rPr>
        <w:t>. At the discretion of the Committee, Other Stock-Based Awards granted pursuant to the Plan may provide Participants with the right to receive Dividends or Dividend Equivalents, which shall be credited to an account for the Participants, and may be settled in cash and/or Shares, as determined by the Committee in its sole discretion, subject in each case to the same restrictions on transferability and forfeitability as the underlying Other Stock-Based Awards. Any such Dividends or Dividend Equivalents shall be paid if and when the underlying Other Stock-Based Awards vest and are settled.</w:t>
      </w:r>
    </w:p>
    <w:p>
      <w:pPr>
        <w:spacing w:after="0" w:line="85" w:lineRule="exact"/>
        <w:rPr>
          <w:rFonts w:ascii="Arial" w:cs="Arial" w:eastAsia="Arial" w:hAnsi="Arial"/>
          <w:sz w:val="14"/>
          <w:szCs w:val="14"/>
          <w:color w:val="auto"/>
        </w:rPr>
      </w:pPr>
    </w:p>
    <w:p>
      <w:pPr>
        <w:ind w:left="229" w:hanging="229"/>
        <w:spacing w:after="0"/>
        <w:tabs>
          <w:tab w:leader="none" w:pos="229" w:val="left"/>
        </w:tabs>
        <w:numPr>
          <w:ilvl w:val="0"/>
          <w:numId w:val="18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Performance Measures</w:t>
      </w:r>
      <w:r>
        <w:rPr>
          <w:rFonts w:ascii="Arial" w:cs="Arial" w:eastAsia="Arial" w:hAnsi="Arial"/>
          <w:sz w:val="14"/>
          <w:szCs w:val="14"/>
          <w:color w:val="auto"/>
        </w:rPr>
        <w:t>.</w:t>
      </w:r>
    </w:p>
    <w:p>
      <w:pPr>
        <w:spacing w:after="0" w:line="109" w:lineRule="exact"/>
        <w:rPr>
          <w:rFonts w:ascii="Arial" w:cs="Arial" w:eastAsia="Arial" w:hAnsi="Arial"/>
          <w:sz w:val="14"/>
          <w:szCs w:val="14"/>
          <w:b w:val="1"/>
          <w:bCs w:val="1"/>
          <w:color w:val="auto"/>
        </w:rPr>
      </w:pPr>
    </w:p>
    <w:p>
      <w:pPr>
        <w:ind w:left="229" w:right="20" w:firstLine="7"/>
        <w:spacing w:after="0" w:line="249" w:lineRule="auto"/>
        <w:tabs>
          <w:tab w:leader="none" w:pos="613" w:val="left"/>
        </w:tabs>
        <w:numPr>
          <w:ilvl w:val="1"/>
          <w:numId w:val="185"/>
        </w:numPr>
        <w:rPr>
          <w:rFonts w:ascii="Arial" w:cs="Arial" w:eastAsia="Arial" w:hAnsi="Arial"/>
          <w:sz w:val="14"/>
          <w:szCs w:val="14"/>
          <w:color w:val="auto"/>
        </w:rPr>
      </w:pPr>
      <w:r>
        <w:rPr>
          <w:rFonts w:ascii="Arial" w:cs="Arial" w:eastAsia="Arial" w:hAnsi="Arial"/>
          <w:sz w:val="14"/>
          <w:szCs w:val="14"/>
          <w:color w:val="auto"/>
        </w:rPr>
        <w:t>The Committee may specify that the attainment of one or more of the Performance Measures set forth in this Section 12 shall determine the degree of granting, vesting and/or payout with respect to Performance Shares, Performance Share Units or other performance-based Awards. The performance goals to be used for such Awards shall be based on one or more of the following performance measures or such other performance measures as the Committee may determine (the “Performance Measures”): earnings, EBIT, earnings before interest, taxes, depreciation and amortization, earnings per share, economic value created, market share, net income (before or after taxes), operating income, adjusted net income after capital charge, return on assets, return on capital (based on earnings or cash flow), return on equity, return on investment, revenue, cash flow, operating margin, share price, TSR, total market value, and strategic business criteria, consisting of one or more objectives based on meeting specified market penetration goals, productivity measures, geographic business expansion goals, cost targets, customer satisfaction or employee satisfaction goals, goals relating to merger synergies, management of employment practices and employee benefits, or supervision of litigation or information technology, goals relating to acquisitions or divestitures of subsidiaries, affiliates or joint ventures, and goals relating to environmental, social and governance criteria. The targeted level or levels of performance with respect to such Performance Measures may be established at such levels and on such terms as the Committee may determine, in its discretion, on a corporate-wide basis or with respect to one or more business units, divisions, subsidiaries, business segments or functions, and in either absolute terms or relative to the performance of one or more comparable companies or an index covering multiple companies.</w:t>
      </w:r>
    </w:p>
    <w:p>
      <w:pPr>
        <w:spacing w:after="0" w:line="80" w:lineRule="exact"/>
        <w:rPr>
          <w:rFonts w:ascii="Arial" w:cs="Arial" w:eastAsia="Arial" w:hAnsi="Arial"/>
          <w:sz w:val="14"/>
          <w:szCs w:val="14"/>
          <w:color w:val="auto"/>
        </w:rPr>
      </w:pPr>
    </w:p>
    <w:p>
      <w:pPr>
        <w:jc w:val="both"/>
        <w:ind w:left="229" w:right="220" w:firstLine="7"/>
        <w:spacing w:after="0" w:line="258" w:lineRule="auto"/>
        <w:tabs>
          <w:tab w:leader="none" w:pos="613" w:val="left"/>
        </w:tabs>
        <w:numPr>
          <w:ilvl w:val="1"/>
          <w:numId w:val="185"/>
        </w:numPr>
        <w:rPr>
          <w:rFonts w:ascii="Arial" w:cs="Arial" w:eastAsia="Arial" w:hAnsi="Arial"/>
          <w:sz w:val="14"/>
          <w:szCs w:val="14"/>
          <w:color w:val="auto"/>
        </w:rPr>
      </w:pPr>
      <w:r>
        <w:rPr>
          <w:rFonts w:ascii="Arial" w:cs="Arial" w:eastAsia="Arial" w:hAnsi="Arial"/>
          <w:sz w:val="14"/>
          <w:szCs w:val="14"/>
          <w:color w:val="auto"/>
        </w:rPr>
        <w:t>Unless otherwise determined by the Committee, measurement of performance goals with respect to the Performance Measures above shall exclude the impact of charges for restructurings, discontinued operations, extraordinary items, and other unusual or non-recurring items, as well as the cumulative effects of tax or accounting changes, each as determined in accordance with generally accepted accounting principles or identified in the Company’s financial statements, notes to the financial statements, management’s discussion and analysis or other filings with the SEC, as well as any other items determined in accordance with Section 18(b).</w:t>
      </w:r>
    </w:p>
    <w:p>
      <w:pPr>
        <w:spacing w:after="0" w:line="85" w:lineRule="exact"/>
        <w:rPr>
          <w:rFonts w:ascii="Arial" w:cs="Arial" w:eastAsia="Arial" w:hAnsi="Arial"/>
          <w:sz w:val="14"/>
          <w:szCs w:val="14"/>
          <w:color w:val="auto"/>
        </w:rPr>
      </w:pPr>
    </w:p>
    <w:p>
      <w:pPr>
        <w:ind w:left="609" w:hanging="373"/>
        <w:spacing w:after="0"/>
        <w:tabs>
          <w:tab w:leader="none" w:pos="609" w:val="left"/>
        </w:tabs>
        <w:numPr>
          <w:ilvl w:val="1"/>
          <w:numId w:val="185"/>
        </w:numPr>
        <w:rPr>
          <w:rFonts w:ascii="Arial" w:cs="Arial" w:eastAsia="Arial" w:hAnsi="Arial"/>
          <w:sz w:val="14"/>
          <w:szCs w:val="14"/>
          <w:color w:val="auto"/>
        </w:rPr>
      </w:pPr>
      <w:r>
        <w:rPr>
          <w:rFonts w:ascii="Arial" w:cs="Arial" w:eastAsia="Arial" w:hAnsi="Arial"/>
          <w:sz w:val="14"/>
          <w:szCs w:val="14"/>
          <w:color w:val="auto"/>
        </w:rPr>
        <w:t>Performance goals may differ for Awards granted to any one Participant or to different Participants.</w:t>
      </w:r>
    </w:p>
    <w:p>
      <w:pPr>
        <w:spacing w:after="0" w:line="109" w:lineRule="exact"/>
        <w:rPr>
          <w:rFonts w:ascii="Arial" w:cs="Arial" w:eastAsia="Arial" w:hAnsi="Arial"/>
          <w:sz w:val="14"/>
          <w:szCs w:val="14"/>
          <w:color w:val="auto"/>
        </w:rPr>
      </w:pPr>
    </w:p>
    <w:p>
      <w:pPr>
        <w:ind w:left="229" w:right="200" w:hanging="229"/>
        <w:spacing w:after="0" w:line="264" w:lineRule="auto"/>
        <w:tabs>
          <w:tab w:leader="none" w:pos="229" w:val="left"/>
        </w:tabs>
        <w:numPr>
          <w:ilvl w:val="0"/>
          <w:numId w:val="18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Transferability of Awards</w:t>
      </w:r>
      <w:r>
        <w:rPr>
          <w:rFonts w:ascii="Arial" w:cs="Arial" w:eastAsia="Arial" w:hAnsi="Arial"/>
          <w:sz w:val="14"/>
          <w:szCs w:val="14"/>
          <w:color w:val="auto"/>
        </w:rPr>
        <w:t>. Incentive Stock Options may not be sold, transferred, pledged, assigned, or otherwise alienated or hypothecated, other than by will or by the</w:t>
      </w:r>
      <w:r>
        <w:rPr>
          <w:rFonts w:ascii="Arial" w:cs="Arial" w:eastAsia="Arial" w:hAnsi="Arial"/>
          <w:sz w:val="14"/>
          <w:szCs w:val="14"/>
          <w:b w:val="1"/>
          <w:bCs w:val="1"/>
          <w:color w:val="auto"/>
        </w:rPr>
        <w:t xml:space="preserve"> </w:t>
      </w:r>
      <w:r>
        <w:rPr>
          <w:rFonts w:ascii="Arial" w:cs="Arial" w:eastAsia="Arial" w:hAnsi="Arial"/>
          <w:sz w:val="14"/>
          <w:szCs w:val="14"/>
          <w:color w:val="auto"/>
        </w:rPr>
        <w:t>laws of descent and distribution, and shall be exercisable during a Participant’s lifetime only by such Participant. Other Awards shall be transferable to members of the Participant’s Immediate Family to the extent provided in the Award Agreement, except that no Award may be transferred for consideration.</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EXHIBIT C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233" w:right="479" w:bottom="1440" w:gutter="0" w:footer="0" w:header="0"/>
        </w:sectPr>
      </w:pPr>
    </w:p>
    <w:bookmarkStart w:id="116" w:name="page117"/>
    <w:bookmarkEnd w:id="116"/>
    <w:p>
      <w:pPr>
        <w:ind w:left="229" w:right="100" w:hanging="229"/>
        <w:spacing w:after="0" w:line="253" w:lineRule="auto"/>
        <w:tabs>
          <w:tab w:leader="none" w:pos="229" w:val="left"/>
        </w:tabs>
        <w:numPr>
          <w:ilvl w:val="0"/>
          <w:numId w:val="18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Taxes</w:t>
      </w:r>
      <w:r>
        <w:rPr>
          <w:rFonts w:ascii="Arial" w:cs="Arial" w:eastAsia="Arial" w:hAnsi="Arial"/>
          <w:sz w:val="14"/>
          <w:szCs w:val="14"/>
          <w:color w:val="auto"/>
        </w:rPr>
        <w:t>. The Company shall have the power and right, prior to the delivery of Shares pursuant to an Award, to deduct or withhold, or require a Participant to remit to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(or a Subsidiary), an amount (in cash or Shares) sufficient to satisfy any applicable tax withholding requirements applicable to an Award. Whenever under the Plan payments are to be made in cash, such payments shall be net of an amount sufficient to satisfy any applicable tax withholding requirements. Subject to such restrictions as the Committee may prescribe, in the event that an Award of Restricted Stock shall become taxable to a Participant during any Company-imposed blackout period, a Participant may satisfy all or a portion of any tax withholding requirements by electing to have the Company withhold Shares having a Fair Market Value equal to the amount to be withheld up to the minimum statutory tax withholding rate (or such other rate that will not result in a negative accounting impact).</w:t>
      </w:r>
    </w:p>
    <w:p>
      <w:pPr>
        <w:spacing w:after="0" w:line="88" w:lineRule="exact"/>
        <w:rPr>
          <w:rFonts w:ascii="Arial" w:cs="Arial" w:eastAsia="Arial" w:hAnsi="Arial"/>
          <w:sz w:val="14"/>
          <w:szCs w:val="14"/>
          <w:b w:val="1"/>
          <w:bCs w:val="1"/>
          <w:color w:val="auto"/>
        </w:rPr>
      </w:pPr>
    </w:p>
    <w:p>
      <w:pPr>
        <w:ind w:left="229" w:hanging="229"/>
        <w:spacing w:after="0"/>
        <w:tabs>
          <w:tab w:leader="none" w:pos="229" w:val="left"/>
        </w:tabs>
        <w:numPr>
          <w:ilvl w:val="0"/>
          <w:numId w:val="18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Conditions Upon Issuance of Shares</w:t>
      </w:r>
      <w:r>
        <w:rPr>
          <w:rFonts w:ascii="Arial" w:cs="Arial" w:eastAsia="Arial" w:hAnsi="Arial"/>
          <w:sz w:val="14"/>
          <w:szCs w:val="14"/>
          <w:color w:val="auto"/>
        </w:rPr>
        <w:t>.</w:t>
      </w:r>
    </w:p>
    <w:p>
      <w:pPr>
        <w:spacing w:after="0" w:line="109" w:lineRule="exact"/>
        <w:rPr>
          <w:rFonts w:ascii="Arial" w:cs="Arial" w:eastAsia="Arial" w:hAnsi="Arial"/>
          <w:sz w:val="14"/>
          <w:szCs w:val="14"/>
          <w:b w:val="1"/>
          <w:bCs w:val="1"/>
          <w:color w:val="auto"/>
        </w:rPr>
      </w:pPr>
    </w:p>
    <w:p>
      <w:pPr>
        <w:ind w:left="229" w:right="180" w:firstLine="7"/>
        <w:spacing w:after="0" w:line="282" w:lineRule="auto"/>
        <w:tabs>
          <w:tab w:leader="none" w:pos="613" w:val="left"/>
        </w:tabs>
        <w:numPr>
          <w:ilvl w:val="1"/>
          <w:numId w:val="186"/>
        </w:numPr>
        <w:rPr>
          <w:rFonts w:ascii="Arial" w:cs="Arial" w:eastAsia="Arial" w:hAnsi="Arial"/>
          <w:sz w:val="14"/>
          <w:szCs w:val="14"/>
          <w:color w:val="auto"/>
        </w:rPr>
      </w:pPr>
      <w:r>
        <w:rPr>
          <w:rFonts w:ascii="Arial" w:cs="Arial" w:eastAsia="Arial" w:hAnsi="Arial"/>
          <w:sz w:val="14"/>
          <w:szCs w:val="14"/>
          <w:color w:val="auto"/>
        </w:rPr>
        <w:t>Shares shall not be issued pursuant to the exercise of an Award unless the exercise of such Award and the issuance and delivery of such Shares pursuant thereto shall comply with all Applicable Laws, and shall be further subject to the approval of counsel for the Company with respect to such compliance.</w:t>
      </w:r>
    </w:p>
    <w:p>
      <w:pPr>
        <w:spacing w:after="0" w:line="57" w:lineRule="exact"/>
        <w:rPr>
          <w:rFonts w:ascii="Arial" w:cs="Arial" w:eastAsia="Arial" w:hAnsi="Arial"/>
          <w:sz w:val="14"/>
          <w:szCs w:val="14"/>
          <w:color w:val="auto"/>
        </w:rPr>
      </w:pPr>
    </w:p>
    <w:p>
      <w:pPr>
        <w:jc w:val="both"/>
        <w:ind w:left="229" w:right="200" w:firstLine="7"/>
        <w:spacing w:after="0" w:line="264" w:lineRule="auto"/>
        <w:tabs>
          <w:tab w:leader="none" w:pos="613" w:val="left"/>
        </w:tabs>
        <w:numPr>
          <w:ilvl w:val="1"/>
          <w:numId w:val="186"/>
        </w:numPr>
        <w:rPr>
          <w:rFonts w:ascii="Arial" w:cs="Arial" w:eastAsia="Arial" w:hAnsi="Arial"/>
          <w:sz w:val="14"/>
          <w:szCs w:val="14"/>
          <w:color w:val="auto"/>
        </w:rPr>
      </w:pPr>
      <w:r>
        <w:rPr>
          <w:rFonts w:ascii="Arial" w:cs="Arial" w:eastAsia="Arial" w:hAnsi="Arial"/>
          <w:sz w:val="14"/>
          <w:szCs w:val="14"/>
          <w:color w:val="auto"/>
        </w:rPr>
        <w:t>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by any Applicable Laws.</w:t>
      </w:r>
    </w:p>
    <w:p>
      <w:pPr>
        <w:spacing w:after="0" w:line="81" w:lineRule="exact"/>
        <w:rPr>
          <w:rFonts w:ascii="Arial" w:cs="Arial" w:eastAsia="Arial" w:hAnsi="Arial"/>
          <w:sz w:val="14"/>
          <w:szCs w:val="14"/>
          <w:color w:val="auto"/>
        </w:rPr>
      </w:pPr>
    </w:p>
    <w:p>
      <w:pPr>
        <w:ind w:left="229" w:hanging="229"/>
        <w:spacing w:after="0" w:line="250" w:lineRule="auto"/>
        <w:tabs>
          <w:tab w:leader="none" w:pos="229" w:val="left"/>
        </w:tabs>
        <w:numPr>
          <w:ilvl w:val="0"/>
          <w:numId w:val="18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Adjustments Upon Changes in Capitalization</w:t>
      </w:r>
      <w:r>
        <w:rPr>
          <w:rFonts w:ascii="Arial" w:cs="Arial" w:eastAsia="Arial" w:hAnsi="Arial"/>
          <w:sz w:val="14"/>
          <w:szCs w:val="14"/>
          <w:color w:val="auto"/>
        </w:rPr>
        <w:t>. In the event of any equity restructuring (within the meaning of FASB Accounting Standards Codification Topic 718 (f/k/a</w:t>
      </w:r>
      <w:r>
        <w:rPr>
          <w:rFonts w:ascii="Arial" w:cs="Arial" w:eastAsia="Arial" w:hAnsi="Arial"/>
          <w:sz w:val="14"/>
          <w:szCs w:val="14"/>
          <w:b w:val="1"/>
          <w:bCs w:val="1"/>
          <w:color w:val="auto"/>
        </w:rPr>
        <w:t xml:space="preserve"> </w:t>
      </w:r>
      <w:r>
        <w:rPr>
          <w:rFonts w:ascii="Arial" w:cs="Arial" w:eastAsia="Arial" w:hAnsi="Arial"/>
          <w:sz w:val="14"/>
          <w:szCs w:val="14"/>
          <w:color w:val="auto"/>
        </w:rPr>
        <w:t>Financial Accounting Standards No. 123R)), such as a stock dividend, stock split, spinoff, rights offering, or recapitalization through a large, nonrecurring cash dividend, the Committee shall cause there to be an equitable adjustment in the number and kind of Shares that may be delivered under the Plan, the individual limits set forth in Section 3(b), and, with respect to outstanding Awards, in the number and kind of Shares subject to outstanding Awards, the Exercise Price, grant price or other price of Shares subject to outstanding Awards, any performance conditions relating to Shares, the market price of Shares, or per-Share results, and other terms and conditions of outstanding Awards, to prevent dilution or enlargement of rights. In the event of any other change in corporate capitalization, such as a merger, consolidation, or liquidation, the Committee may, in its sole discretion, cause there to be such equitable adjustment as described in the foregoing sentence, to prevent dilution or enlargement of rights; provided, however, that, unless otherwise determined by the Committee, the number of Shares subject to any Award shall always be rounded down to a whole number. Adjustments made by the Committee pursuant to this Section 16 shall be final, binding, and conclusive.</w:t>
      </w:r>
    </w:p>
    <w:p>
      <w:pPr>
        <w:spacing w:after="0" w:line="80" w:lineRule="exact"/>
        <w:rPr>
          <w:rFonts w:ascii="Arial" w:cs="Arial" w:eastAsia="Arial" w:hAnsi="Arial"/>
          <w:sz w:val="14"/>
          <w:szCs w:val="14"/>
          <w:b w:val="1"/>
          <w:bCs w:val="1"/>
          <w:color w:val="auto"/>
        </w:rPr>
      </w:pPr>
    </w:p>
    <w:p>
      <w:pPr>
        <w:ind w:left="229" w:hanging="229"/>
        <w:spacing w:after="0"/>
        <w:tabs>
          <w:tab w:leader="none" w:pos="229" w:val="left"/>
        </w:tabs>
        <w:numPr>
          <w:ilvl w:val="0"/>
          <w:numId w:val="18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Change in Control and Subsidiary Disposition</w:t>
      </w:r>
      <w:r>
        <w:rPr>
          <w:rFonts w:ascii="Arial" w:cs="Arial" w:eastAsia="Arial" w:hAnsi="Arial"/>
          <w:sz w:val="14"/>
          <w:szCs w:val="14"/>
          <w:color w:val="auto"/>
        </w:rPr>
        <w:t>.</w:t>
      </w:r>
    </w:p>
    <w:p>
      <w:pPr>
        <w:spacing w:after="0" w:line="109" w:lineRule="exact"/>
        <w:rPr>
          <w:rFonts w:ascii="Arial" w:cs="Arial" w:eastAsia="Arial" w:hAnsi="Arial"/>
          <w:sz w:val="14"/>
          <w:szCs w:val="14"/>
          <w:b w:val="1"/>
          <w:bCs w:val="1"/>
          <w:color w:val="auto"/>
        </w:rPr>
      </w:pPr>
    </w:p>
    <w:p>
      <w:pPr>
        <w:ind w:left="229" w:firstLine="7"/>
        <w:spacing w:after="0" w:line="272" w:lineRule="auto"/>
        <w:tabs>
          <w:tab w:leader="none" w:pos="613" w:val="left"/>
        </w:tabs>
        <w:numPr>
          <w:ilvl w:val="1"/>
          <w:numId w:val="186"/>
        </w:numPr>
        <w:rPr>
          <w:rFonts w:ascii="Arial" w:cs="Arial" w:eastAsia="Arial" w:hAnsi="Arial"/>
          <w:sz w:val="14"/>
          <w:szCs w:val="14"/>
          <w:color w:val="auto"/>
        </w:rPr>
      </w:pPr>
      <w:r>
        <w:rPr>
          <w:rFonts w:ascii="Arial" w:cs="Arial" w:eastAsia="Arial" w:hAnsi="Arial"/>
          <w:sz w:val="14"/>
          <w:szCs w:val="14"/>
          <w:u w:val="single" w:color="auto"/>
          <w:color w:val="auto"/>
        </w:rPr>
        <w:t>Change in Control in which Awards are Assumed or Continued</w:t>
      </w:r>
      <w:r>
        <w:rPr>
          <w:rFonts w:ascii="Arial" w:cs="Arial" w:eastAsia="Arial" w:hAnsi="Arial"/>
          <w:sz w:val="14"/>
          <w:szCs w:val="14"/>
          <w:color w:val="auto"/>
        </w:rPr>
        <w:t>. Upon the occurrence of a Change in Control in which outstanding Awards are assumed or continued, the following provisions shall apply to each Award assumed or continued unless otherwise provided in a Participant’s Award Agreement or prohibited under Applicable Laws:</w:t>
      </w:r>
    </w:p>
    <w:p>
      <w:pPr>
        <w:spacing w:after="0" w:line="247" w:lineRule="exact"/>
        <w:rPr>
          <w:rFonts w:ascii="Arial" w:cs="Arial" w:eastAsia="Arial" w:hAnsi="Arial"/>
          <w:sz w:val="14"/>
          <w:szCs w:val="14"/>
          <w:color w:val="auto"/>
        </w:rPr>
      </w:pPr>
    </w:p>
    <w:p>
      <w:pPr>
        <w:ind w:left="229" w:right="400" w:firstLine="415"/>
        <w:spacing w:after="0" w:line="282" w:lineRule="auto"/>
        <w:tabs>
          <w:tab w:leader="none" w:pos="1010" w:val="left"/>
        </w:tabs>
        <w:numPr>
          <w:ilvl w:val="2"/>
          <w:numId w:val="186"/>
        </w:numPr>
        <w:rPr>
          <w:rFonts w:ascii="Arial" w:cs="Arial" w:eastAsia="Arial" w:hAnsi="Arial"/>
          <w:sz w:val="14"/>
          <w:szCs w:val="14"/>
          <w:color w:val="auto"/>
        </w:rPr>
      </w:pPr>
      <w:r>
        <w:rPr>
          <w:rFonts w:ascii="Arial" w:cs="Arial" w:eastAsia="Arial" w:hAnsi="Arial"/>
          <w:sz w:val="14"/>
          <w:szCs w:val="14"/>
          <w:color w:val="auto"/>
        </w:rPr>
        <w:t>All outstanding Options and SARs shall become immediately exercisable in the event of a Participant’s Qualifying Termination during the two year period following the Change in Control.</w:t>
      </w:r>
    </w:p>
    <w:p>
      <w:pPr>
        <w:spacing w:after="0" w:line="57" w:lineRule="exact"/>
        <w:rPr>
          <w:rFonts w:ascii="Arial" w:cs="Arial" w:eastAsia="Arial" w:hAnsi="Arial"/>
          <w:sz w:val="14"/>
          <w:szCs w:val="14"/>
          <w:color w:val="auto"/>
        </w:rPr>
      </w:pPr>
    </w:p>
    <w:p>
      <w:pPr>
        <w:ind w:left="229" w:right="60" w:firstLine="415"/>
        <w:spacing w:after="0" w:line="282" w:lineRule="auto"/>
        <w:tabs>
          <w:tab w:leader="none" w:pos="1006" w:val="left"/>
        </w:tabs>
        <w:numPr>
          <w:ilvl w:val="2"/>
          <w:numId w:val="186"/>
        </w:numPr>
        <w:rPr>
          <w:rFonts w:ascii="Arial" w:cs="Arial" w:eastAsia="Arial" w:hAnsi="Arial"/>
          <w:sz w:val="14"/>
          <w:szCs w:val="14"/>
          <w:color w:val="auto"/>
        </w:rPr>
      </w:pPr>
      <w:r>
        <w:rPr>
          <w:rFonts w:ascii="Arial" w:cs="Arial" w:eastAsia="Arial" w:hAnsi="Arial"/>
          <w:sz w:val="14"/>
          <w:szCs w:val="14"/>
          <w:color w:val="auto"/>
        </w:rPr>
        <w:t>Any Period of Restriction or other restriction imposed on Restricted Stock, Restricted Stock Units, and Other Stock-Based Awards shall lapse in the event of a Participant’s Qualifying Termination during the two year period following the Change in Control.</w:t>
      </w:r>
    </w:p>
    <w:p>
      <w:pPr>
        <w:spacing w:after="0" w:line="57" w:lineRule="exact"/>
        <w:rPr>
          <w:rFonts w:ascii="Arial" w:cs="Arial" w:eastAsia="Arial" w:hAnsi="Arial"/>
          <w:sz w:val="14"/>
          <w:szCs w:val="14"/>
          <w:color w:val="auto"/>
        </w:rPr>
      </w:pPr>
    </w:p>
    <w:p>
      <w:pPr>
        <w:ind w:left="229" w:firstLine="415"/>
        <w:spacing w:after="0" w:line="251" w:lineRule="auto"/>
        <w:tabs>
          <w:tab w:leader="none" w:pos="1002" w:val="left"/>
        </w:tabs>
        <w:numPr>
          <w:ilvl w:val="2"/>
          <w:numId w:val="186"/>
        </w:numPr>
        <w:rPr>
          <w:rFonts w:ascii="Arial" w:cs="Arial" w:eastAsia="Arial" w:hAnsi="Arial"/>
          <w:sz w:val="14"/>
          <w:szCs w:val="14"/>
          <w:color w:val="auto"/>
        </w:rPr>
      </w:pPr>
      <w:r>
        <w:rPr>
          <w:rFonts w:ascii="Arial" w:cs="Arial" w:eastAsia="Arial" w:hAnsi="Arial"/>
          <w:sz w:val="14"/>
          <w:szCs w:val="14"/>
          <w:color w:val="auto"/>
        </w:rPr>
        <w:t>All incomplete Performance Periods in respect of each Award of Performance Shares, Performance Share Units and each other performance-based Award shall end on the date of the Change in Control and the performance goals applicable to such Award shall be deemed satisfied (A) based on the level of performance achieved as of the date of the Change in Control, if determinable, or (B) at the target level, if not determinable; provided, however, that, if less than 50% of the relevant Performance Period has elapsed as of the date of the Change in Control, then the performance goals applicable to such Award shall be deemed satisfied at the target level. Each such Performance Share, Performance Share Units and other performance-based Award shall thereafter become a time-based Award and shall vest and become payable to the Participant on the earlier to occur of (x) the Participant’s Qualifying Termination during the two year period following the occurrence of the Change in Control and (y) the date such Award otherwise vests in accordance with the Participant’s Award Agreement.</w:t>
      </w:r>
    </w:p>
    <w:p>
      <w:pPr>
        <w:spacing w:after="0" w:line="93" w:lineRule="exact"/>
        <w:rPr>
          <w:rFonts w:ascii="Arial" w:cs="Arial" w:eastAsia="Arial" w:hAnsi="Arial"/>
          <w:sz w:val="14"/>
          <w:szCs w:val="14"/>
          <w:color w:val="auto"/>
        </w:rPr>
      </w:pPr>
    </w:p>
    <w:p>
      <w:pPr>
        <w:ind w:left="229" w:right="220" w:firstLine="7"/>
        <w:spacing w:after="0" w:line="282" w:lineRule="auto"/>
        <w:tabs>
          <w:tab w:leader="none" w:pos="613" w:val="left"/>
        </w:tabs>
        <w:numPr>
          <w:ilvl w:val="1"/>
          <w:numId w:val="186"/>
        </w:numPr>
        <w:rPr>
          <w:rFonts w:ascii="Arial" w:cs="Arial" w:eastAsia="Arial" w:hAnsi="Arial"/>
          <w:sz w:val="14"/>
          <w:szCs w:val="14"/>
          <w:color w:val="auto"/>
        </w:rPr>
      </w:pPr>
      <w:r>
        <w:rPr>
          <w:rFonts w:ascii="Arial" w:cs="Arial" w:eastAsia="Arial" w:hAnsi="Arial"/>
          <w:sz w:val="14"/>
          <w:szCs w:val="14"/>
          <w:u w:val="single" w:color="auto"/>
          <w:color w:val="auto"/>
        </w:rPr>
        <w:t>Change in Control in which Awards are not Assumed or Continued</w:t>
      </w:r>
      <w:r>
        <w:rPr>
          <w:rFonts w:ascii="Arial" w:cs="Arial" w:eastAsia="Arial" w:hAnsi="Arial"/>
          <w:sz w:val="14"/>
          <w:szCs w:val="14"/>
          <w:color w:val="auto"/>
        </w:rPr>
        <w:t>. Upon the occurrence of a Change in Control in which outstanding Awards are not assumed or continued, the following provisions shall apply to each Award not assumed or continued:</w:t>
      </w:r>
    </w:p>
    <w:p>
      <w:pPr>
        <w:spacing w:after="0" w:line="57" w:lineRule="exact"/>
        <w:rPr>
          <w:rFonts w:ascii="Arial" w:cs="Arial" w:eastAsia="Arial" w:hAnsi="Arial"/>
          <w:sz w:val="14"/>
          <w:szCs w:val="14"/>
          <w:color w:val="auto"/>
        </w:rPr>
      </w:pPr>
    </w:p>
    <w:p>
      <w:pPr>
        <w:ind w:left="229" w:right="160" w:firstLine="415"/>
        <w:spacing w:after="0" w:line="264" w:lineRule="auto"/>
        <w:tabs>
          <w:tab w:leader="none" w:pos="1030" w:val="left"/>
        </w:tabs>
        <w:numPr>
          <w:ilvl w:val="2"/>
          <w:numId w:val="186"/>
        </w:numPr>
        <w:rPr>
          <w:rFonts w:ascii="Arial" w:cs="Arial" w:eastAsia="Arial" w:hAnsi="Arial"/>
          <w:sz w:val="14"/>
          <w:szCs w:val="14"/>
          <w:color w:val="auto"/>
        </w:rPr>
      </w:pPr>
      <w:r>
        <w:rPr>
          <w:rFonts w:ascii="Arial" w:cs="Arial" w:eastAsia="Arial" w:hAnsi="Arial"/>
          <w:sz w:val="14"/>
          <w:szCs w:val="14"/>
          <w:color w:val="auto"/>
        </w:rPr>
        <w:t>All outstanding Options and SARs shall be terminated and each Participant shall receive, with respect to each Share subject to the Options or SARs held by the Participant, an amount in cash equal to the excess of the Fair Market Value of a Share immediately prior to the occurrence of the Change in Control over the Option Exercise Price or the SAR grant price; provided,</w:t>
      </w:r>
    </w:p>
    <w:p>
      <w:pPr>
        <w:spacing w:after="0" w:line="149"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 xml:space="preserve">C-8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29"/>
          </w:cols>
          <w:pgMar w:left="471" w:top="233" w:right="499" w:bottom="1440" w:gutter="0" w:footer="0" w:header="0"/>
        </w:sectPr>
      </w:pPr>
    </w:p>
    <w:bookmarkStart w:id="117" w:name="page118"/>
    <w:bookmarkEnd w:id="117"/>
    <w:p>
      <w:pPr>
        <w:ind w:left="229" w:right="120"/>
        <w:spacing w:after="0" w:line="282" w:lineRule="auto"/>
        <w:rPr>
          <w:sz w:val="20"/>
          <w:szCs w:val="20"/>
          <w:color w:val="auto"/>
        </w:rPr>
      </w:pPr>
      <w:r>
        <w:rPr>
          <w:rFonts w:ascii="Arial" w:cs="Arial" w:eastAsia="Arial" w:hAnsi="Arial"/>
          <w:sz w:val="14"/>
          <w:szCs w:val="14"/>
          <w:color w:val="auto"/>
        </w:rPr>
        <w:t>however, that Options and SARs outstanding as of the date of the Change in Control shall be cancelled and terminated without payment therefore if the Fair Market Value of a Share as of the date of the Change in Control is less than the Option Exercise Price or the SAR grant price.</w:t>
      </w:r>
    </w:p>
    <w:p>
      <w:pPr>
        <w:spacing w:after="0" w:line="69" w:lineRule="exact"/>
        <w:rPr>
          <w:sz w:val="20"/>
          <w:szCs w:val="20"/>
          <w:color w:val="auto"/>
        </w:rPr>
      </w:pPr>
    </w:p>
    <w:p>
      <w:pPr>
        <w:jc w:val="both"/>
        <w:ind w:left="229" w:right="100" w:firstLine="415"/>
        <w:spacing w:after="0" w:line="264" w:lineRule="auto"/>
        <w:tabs>
          <w:tab w:leader="none" w:pos="1006" w:val="left"/>
        </w:tabs>
        <w:numPr>
          <w:ilvl w:val="2"/>
          <w:numId w:val="187"/>
        </w:numPr>
        <w:rPr>
          <w:rFonts w:ascii="Arial" w:cs="Arial" w:eastAsia="Arial" w:hAnsi="Arial"/>
          <w:sz w:val="14"/>
          <w:szCs w:val="14"/>
          <w:color w:val="auto"/>
        </w:rPr>
      </w:pPr>
      <w:r>
        <w:rPr>
          <w:rFonts w:ascii="Arial" w:cs="Arial" w:eastAsia="Arial" w:hAnsi="Arial"/>
          <w:sz w:val="14"/>
          <w:szCs w:val="14"/>
          <w:color w:val="auto"/>
        </w:rPr>
        <w:t>All outstanding Shares of Restricted Stock, Restricted Stock Units and Other Stock-Based Awards shall be terminated and each Participant shall receive, with respect to each Share subject to an Award held by the Participant, an amount in cash equal to the Fair Market Value of a Share immediately prior to the occurrence of the Change in Control.</w:t>
      </w:r>
    </w:p>
    <w:p>
      <w:pPr>
        <w:spacing w:after="0" w:line="69" w:lineRule="exact"/>
        <w:rPr>
          <w:rFonts w:ascii="Arial" w:cs="Arial" w:eastAsia="Arial" w:hAnsi="Arial"/>
          <w:sz w:val="14"/>
          <w:szCs w:val="14"/>
          <w:color w:val="auto"/>
        </w:rPr>
      </w:pPr>
    </w:p>
    <w:p>
      <w:pPr>
        <w:ind w:left="229" w:right="80" w:firstLine="415"/>
        <w:spacing w:after="0" w:line="253" w:lineRule="auto"/>
        <w:tabs>
          <w:tab w:leader="none" w:pos="1002" w:val="left"/>
        </w:tabs>
        <w:numPr>
          <w:ilvl w:val="2"/>
          <w:numId w:val="187"/>
        </w:numPr>
        <w:rPr>
          <w:rFonts w:ascii="Arial" w:cs="Arial" w:eastAsia="Arial" w:hAnsi="Arial"/>
          <w:sz w:val="14"/>
          <w:szCs w:val="14"/>
          <w:color w:val="auto"/>
        </w:rPr>
      </w:pPr>
      <w:r>
        <w:rPr>
          <w:rFonts w:ascii="Arial" w:cs="Arial" w:eastAsia="Arial" w:hAnsi="Arial"/>
          <w:sz w:val="14"/>
          <w:szCs w:val="14"/>
          <w:color w:val="auto"/>
        </w:rPr>
        <w:t>All outstanding Performance Shares, Performance Share Units and other performance-based Awards shall be terminated and each Participant shall receive, with respect to each Share subject to an Award held by the participant an amount in cash equal to the Fair Market Value of a Share immediately prior to the occurrence of the Change in Control. Each such Performance Share, Performance Share Unit and other performance-based Award shall vest on a pro rata monthly basis, including full credit for partial months elapsed, and shall be paid (A) based on the level of performance achieved as of the date of the Change in Control, if determinable, or (B) at the target level, if not determinable; provided, however, that, if less than 50% of the relevant Performance Period has elapsed as of the date of the Change in Control, then the performance goals applicable to such Award shall be deemed satisfied at the target level.</w:t>
      </w:r>
    </w:p>
    <w:p>
      <w:pPr>
        <w:spacing w:after="0" w:line="77" w:lineRule="exact"/>
        <w:rPr>
          <w:rFonts w:ascii="Arial" w:cs="Arial" w:eastAsia="Arial" w:hAnsi="Arial"/>
          <w:sz w:val="14"/>
          <w:szCs w:val="14"/>
          <w:color w:val="auto"/>
        </w:rPr>
      </w:pPr>
    </w:p>
    <w:p>
      <w:pPr>
        <w:ind w:left="229" w:right="20" w:firstLine="7"/>
        <w:spacing w:after="0" w:line="251" w:lineRule="auto"/>
        <w:tabs>
          <w:tab w:leader="none" w:pos="605" w:val="left"/>
        </w:tabs>
        <w:numPr>
          <w:ilvl w:val="1"/>
          <w:numId w:val="188"/>
        </w:numPr>
        <w:rPr>
          <w:rFonts w:ascii="Arial" w:cs="Arial" w:eastAsia="Arial" w:hAnsi="Arial"/>
          <w:sz w:val="14"/>
          <w:szCs w:val="14"/>
          <w:color w:val="auto"/>
        </w:rPr>
      </w:pPr>
      <w:r>
        <w:rPr>
          <w:rFonts w:ascii="Arial" w:cs="Arial" w:eastAsia="Arial" w:hAnsi="Arial"/>
          <w:sz w:val="14"/>
          <w:szCs w:val="14"/>
          <w:u w:val="single" w:color="auto"/>
          <w:color w:val="auto"/>
        </w:rPr>
        <w:t>Subsidiary Disposition</w:t>
      </w:r>
      <w:r>
        <w:rPr>
          <w:rFonts w:ascii="Arial" w:cs="Arial" w:eastAsia="Arial" w:hAnsi="Arial"/>
          <w:sz w:val="14"/>
          <w:szCs w:val="14"/>
          <w:color w:val="auto"/>
        </w:rPr>
        <w:t>. The Committee shall have the authority, exercisable either in advance of any actual or anticipated Subsidiary Disposition or at the time of an actual Subsidiary Disposition and either at the time of the grant of an Award or at any time while an Award remains outstanding, to provide for the automatic full vesting and exercisability of one or more outstanding unvested Awards under the Plan and the termination of restrictions on transfer and repurchase or forfeiture rights on such Awards, in connection with a Subsidiary Disposition, but only with respect to those Participants who are at the time engaged primarily in Continuous Service with the Subsidiary involved in such Subsidiary Disposition. The Committee also shall have the authority to condition any such Award vesting and exercisability or release from such limitations upon the subsequent termination of the affected Participant’s Continuous Service with that Subsidiary within a specified period following the effective date of the Subsidiary Disposition. The Committee may provide that any Awards so vested or released from such limitations in connection with a Subsidiary Disposition, shall remain fully exercisable until the expiration or sooner termination of the Award.</w:t>
      </w:r>
    </w:p>
    <w:p>
      <w:pPr>
        <w:spacing w:after="0" w:line="89" w:lineRule="exact"/>
        <w:rPr>
          <w:rFonts w:ascii="Arial" w:cs="Arial" w:eastAsia="Arial" w:hAnsi="Arial"/>
          <w:sz w:val="14"/>
          <w:szCs w:val="14"/>
          <w:color w:val="auto"/>
        </w:rPr>
      </w:pPr>
    </w:p>
    <w:p>
      <w:pPr>
        <w:ind w:left="229" w:hanging="229"/>
        <w:spacing w:after="0"/>
        <w:tabs>
          <w:tab w:leader="none" w:pos="229" w:val="left"/>
        </w:tabs>
        <w:numPr>
          <w:ilvl w:val="0"/>
          <w:numId w:val="18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Amendment, Suspension or Termination of the Plan.</w:t>
      </w:r>
    </w:p>
    <w:p>
      <w:pPr>
        <w:spacing w:after="0" w:line="109" w:lineRule="exact"/>
        <w:rPr>
          <w:rFonts w:ascii="Arial" w:cs="Arial" w:eastAsia="Arial" w:hAnsi="Arial"/>
          <w:sz w:val="14"/>
          <w:szCs w:val="14"/>
          <w:b w:val="1"/>
          <w:bCs w:val="1"/>
          <w:color w:val="auto"/>
        </w:rPr>
      </w:pPr>
    </w:p>
    <w:p>
      <w:pPr>
        <w:ind w:left="629" w:hanging="393"/>
        <w:spacing w:after="0"/>
        <w:tabs>
          <w:tab w:leader="none" w:pos="629" w:val="left"/>
        </w:tabs>
        <w:numPr>
          <w:ilvl w:val="1"/>
          <w:numId w:val="189"/>
        </w:numPr>
        <w:rPr>
          <w:rFonts w:ascii="Arial" w:cs="Arial" w:eastAsia="Arial" w:hAnsi="Arial"/>
          <w:sz w:val="14"/>
          <w:szCs w:val="14"/>
          <w:color w:val="auto"/>
        </w:rPr>
      </w:pPr>
      <w:r>
        <w:rPr>
          <w:rFonts w:ascii="Arial" w:cs="Arial" w:eastAsia="Arial" w:hAnsi="Arial"/>
          <w:sz w:val="14"/>
          <w:szCs w:val="14"/>
          <w:u w:val="single" w:color="auto"/>
          <w:color w:val="auto"/>
        </w:rPr>
        <w:t>Amendment, Modification and Termination</w:t>
      </w:r>
      <w:r>
        <w:rPr>
          <w:rFonts w:ascii="Arial" w:cs="Arial" w:eastAsia="Arial" w:hAnsi="Arial"/>
          <w:sz w:val="14"/>
          <w:szCs w:val="14"/>
          <w:color w:val="auto"/>
        </w:rPr>
        <w:t>. The Board may at any time and from time to time, alter, amend, suspend or terminate the Plan in whole or in part;</w:t>
      </w:r>
    </w:p>
    <w:p>
      <w:pPr>
        <w:spacing w:after="0" w:line="17" w:lineRule="exact"/>
        <w:rPr>
          <w:rFonts w:ascii="Arial" w:cs="Arial" w:eastAsia="Arial" w:hAnsi="Arial"/>
          <w:sz w:val="14"/>
          <w:szCs w:val="14"/>
          <w:color w:val="auto"/>
        </w:rPr>
      </w:pPr>
    </w:p>
    <w:p>
      <w:pPr>
        <w:ind w:left="229"/>
        <w:spacing w:after="0" w:line="253" w:lineRule="auto"/>
        <w:rPr>
          <w:rFonts w:ascii="Arial" w:cs="Arial" w:eastAsia="Arial" w:hAnsi="Arial"/>
          <w:sz w:val="14"/>
          <w:szCs w:val="14"/>
          <w:color w:val="auto"/>
        </w:rPr>
      </w:pPr>
      <w:r>
        <w:rPr>
          <w:rFonts w:ascii="Arial" w:cs="Arial" w:eastAsia="Arial" w:hAnsi="Arial"/>
          <w:sz w:val="14"/>
          <w:szCs w:val="14"/>
          <w:color w:val="auto"/>
        </w:rPr>
        <w:t>provided, however, that no amendment that requires stockholder approval in order for the Plan to continue to comply with the New York Stock Exchange listing standards or any rule promulgated by the SEC or any securities exchange on which Shares are listed or any other Applicable Laws shall be effective unless such amendment shall be approved by the requisite vote of stockholders of the Company entitled to vote thereon within the time period required under such applicable listing standard or rule.</w:t>
      </w:r>
    </w:p>
    <w:p>
      <w:pPr>
        <w:spacing w:after="0" w:line="77" w:lineRule="exact"/>
        <w:rPr>
          <w:rFonts w:ascii="Arial" w:cs="Arial" w:eastAsia="Arial" w:hAnsi="Arial"/>
          <w:sz w:val="14"/>
          <w:szCs w:val="14"/>
          <w:color w:val="auto"/>
        </w:rPr>
      </w:pPr>
    </w:p>
    <w:p>
      <w:pPr>
        <w:jc w:val="both"/>
        <w:ind w:left="229" w:right="100" w:firstLine="7"/>
        <w:spacing w:after="0" w:line="258" w:lineRule="auto"/>
        <w:tabs>
          <w:tab w:leader="none" w:pos="613" w:val="left"/>
        </w:tabs>
        <w:numPr>
          <w:ilvl w:val="1"/>
          <w:numId w:val="189"/>
        </w:numPr>
        <w:rPr>
          <w:rFonts w:ascii="Arial" w:cs="Arial" w:eastAsia="Arial" w:hAnsi="Arial"/>
          <w:sz w:val="14"/>
          <w:szCs w:val="14"/>
          <w:color w:val="auto"/>
        </w:rPr>
      </w:pPr>
      <w:r>
        <w:rPr>
          <w:rFonts w:ascii="Arial" w:cs="Arial" w:eastAsia="Arial" w:hAnsi="Arial"/>
          <w:sz w:val="14"/>
          <w:szCs w:val="14"/>
          <w:u w:val="single" w:color="auto"/>
          <w:color w:val="auto"/>
        </w:rPr>
        <w:t>Adjustment of Awards Upon the Occurrence of Certain Unusual or Nonrecurring Events.</w:t>
      </w:r>
      <w:r>
        <w:rPr>
          <w:rFonts w:ascii="Arial" w:cs="Arial" w:eastAsia="Arial" w:hAnsi="Arial"/>
          <w:sz w:val="14"/>
          <w:szCs w:val="14"/>
          <w:color w:val="auto"/>
        </w:rPr>
        <w:t xml:space="preserve"> The Committee may make adjustments in the terms and conditions of, and the criteria included in, Awards in recognition of unusual or nonrecurring events (including, without limitation, the events described in Section 16)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85" w:lineRule="exact"/>
        <w:rPr>
          <w:rFonts w:ascii="Arial" w:cs="Arial" w:eastAsia="Arial" w:hAnsi="Arial"/>
          <w:sz w:val="14"/>
          <w:szCs w:val="14"/>
          <w:color w:val="auto"/>
        </w:rPr>
      </w:pPr>
    </w:p>
    <w:p>
      <w:pPr>
        <w:ind w:left="229" w:right="120" w:firstLine="7"/>
        <w:spacing w:after="0" w:line="264" w:lineRule="auto"/>
        <w:tabs>
          <w:tab w:leader="none" w:pos="605" w:val="left"/>
        </w:tabs>
        <w:numPr>
          <w:ilvl w:val="1"/>
          <w:numId w:val="189"/>
        </w:numPr>
        <w:rPr>
          <w:rFonts w:ascii="Arial" w:cs="Arial" w:eastAsia="Arial" w:hAnsi="Arial"/>
          <w:sz w:val="14"/>
          <w:szCs w:val="14"/>
          <w:color w:val="auto"/>
        </w:rPr>
      </w:pPr>
      <w:r>
        <w:rPr>
          <w:rFonts w:ascii="Arial" w:cs="Arial" w:eastAsia="Arial" w:hAnsi="Arial"/>
          <w:sz w:val="14"/>
          <w:szCs w:val="14"/>
          <w:u w:val="single" w:color="auto"/>
          <w:color w:val="auto"/>
        </w:rPr>
        <w:t>Awards Previously Granted</w:t>
      </w:r>
      <w:r>
        <w:rPr>
          <w:rFonts w:ascii="Arial" w:cs="Arial" w:eastAsia="Arial" w:hAnsi="Arial"/>
          <w:sz w:val="14"/>
          <w:szCs w:val="14"/>
          <w:color w:val="auto"/>
        </w:rPr>
        <w:t>. No termination, amendment or modification of the Plan or of any Award shall adversely affect in any material way any Award previously granted under the Plan without the written consent of the Participant holding such Award, unless such termination, modification or amendment is required by Applicable Laws and except as otherwise provided herein.</w:t>
      </w:r>
    </w:p>
    <w:p>
      <w:pPr>
        <w:spacing w:after="0" w:line="69" w:lineRule="exact"/>
        <w:rPr>
          <w:rFonts w:ascii="Arial" w:cs="Arial" w:eastAsia="Arial" w:hAnsi="Arial"/>
          <w:sz w:val="14"/>
          <w:szCs w:val="14"/>
          <w:color w:val="auto"/>
        </w:rPr>
      </w:pPr>
    </w:p>
    <w:p>
      <w:pPr>
        <w:ind w:left="229" w:right="80" w:firstLine="7"/>
        <w:spacing w:after="0" w:line="258" w:lineRule="auto"/>
        <w:tabs>
          <w:tab w:leader="none" w:pos="613" w:val="left"/>
        </w:tabs>
        <w:numPr>
          <w:ilvl w:val="1"/>
          <w:numId w:val="189"/>
        </w:numPr>
        <w:rPr>
          <w:rFonts w:ascii="Arial" w:cs="Arial" w:eastAsia="Arial" w:hAnsi="Arial"/>
          <w:sz w:val="14"/>
          <w:szCs w:val="14"/>
          <w:color w:val="auto"/>
        </w:rPr>
      </w:pPr>
      <w:r>
        <w:rPr>
          <w:rFonts w:ascii="Arial" w:cs="Arial" w:eastAsia="Arial" w:hAnsi="Arial"/>
          <w:sz w:val="14"/>
          <w:szCs w:val="14"/>
          <w:u w:val="single" w:color="auto"/>
          <w:color w:val="auto"/>
        </w:rPr>
        <w:t>No Repricing</w:t>
      </w:r>
      <w:r>
        <w:rPr>
          <w:rFonts w:ascii="Arial" w:cs="Arial" w:eastAsia="Arial" w:hAnsi="Arial"/>
          <w:sz w:val="14"/>
          <w:szCs w:val="14"/>
          <w:color w:val="auto"/>
        </w:rPr>
        <w:t>. Without the affirmative vote of holders of a majority of the Shares cast in person or by proxy at a meeting of the stockholders of the Company at which a quorum representing a majority of all outstanding Shares is present or represented by proxy, the Board shall not approve either: (i) the cancellation of outstanding Options or SARs and the grant in substitution therefore of new awards (including Options and SARs) having a lower exercise price; (ii) the amendment of outstanding Options or SARs to reduce the exercise price thereof; or (iii) the cancellation of outstanding Options or SARs and the payment of cash in substitution therefore.</w:t>
      </w:r>
    </w:p>
    <w:p>
      <w:pPr>
        <w:spacing w:after="0" w:line="73" w:lineRule="exact"/>
        <w:rPr>
          <w:rFonts w:ascii="Arial" w:cs="Arial" w:eastAsia="Arial" w:hAnsi="Arial"/>
          <w:sz w:val="14"/>
          <w:szCs w:val="14"/>
          <w:color w:val="auto"/>
        </w:rPr>
      </w:pPr>
    </w:p>
    <w:p>
      <w:pPr>
        <w:ind w:left="229" w:right="60" w:hanging="229"/>
        <w:spacing w:after="0" w:line="258" w:lineRule="auto"/>
        <w:tabs>
          <w:tab w:leader="none" w:pos="229" w:val="left"/>
        </w:tabs>
        <w:numPr>
          <w:ilvl w:val="0"/>
          <w:numId w:val="18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Clawback/Recoupment</w:t>
      </w:r>
      <w:r>
        <w:rPr>
          <w:rFonts w:ascii="Arial" w:cs="Arial" w:eastAsia="Arial" w:hAnsi="Arial"/>
          <w:sz w:val="14"/>
          <w:szCs w:val="14"/>
          <w:color w:val="auto"/>
        </w:rPr>
        <w:t>. Any Award granted pursuant to the Plan shall be subject to mandatory repayment to the Company by the Participant who holds such Award (i) to</w:t>
      </w:r>
      <w:r>
        <w:rPr>
          <w:rFonts w:ascii="Arial" w:cs="Arial" w:eastAsia="Arial" w:hAnsi="Arial"/>
          <w:sz w:val="14"/>
          <w:szCs w:val="14"/>
          <w:b w:val="1"/>
          <w:bCs w:val="1"/>
          <w:color w:val="auto"/>
        </w:rPr>
        <w:t xml:space="preserve"> </w:t>
      </w:r>
      <w:r>
        <w:rPr>
          <w:rFonts w:ascii="Arial" w:cs="Arial" w:eastAsia="Arial" w:hAnsi="Arial"/>
          <w:sz w:val="14"/>
          <w:szCs w:val="14"/>
          <w:color w:val="auto"/>
        </w:rPr>
        <w:t>the extent set forth in the Plan or an Award Agreement or (ii) to the extent the Participant is, or in the future becomes, subject to (A) any Company “clawback” or recoupment policy or (B) any law, rule, requirement or regulation which imposes mandatory recoupment, under circumstances set forth in such law, rule, requirement or regulation.</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EXHIBIT C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6955155"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233" w:right="479" w:bottom="1440" w:gutter="0" w:footer="0" w:header="0"/>
        </w:sectPr>
      </w:pPr>
    </w:p>
    <w:bookmarkStart w:id="118" w:name="page119"/>
    <w:bookmarkEnd w:id="118"/>
    <w:p>
      <w:pPr>
        <w:ind w:left="229" w:hanging="229"/>
        <w:spacing w:after="0"/>
        <w:tabs>
          <w:tab w:leader="none" w:pos="229" w:val="left"/>
        </w:tabs>
        <w:numPr>
          <w:ilvl w:val="0"/>
          <w:numId w:val="19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Reservation of Shares</w:t>
      </w:r>
      <w:r>
        <w:rPr>
          <w:rFonts w:ascii="Arial" w:cs="Arial" w:eastAsia="Arial" w:hAnsi="Arial"/>
          <w:sz w:val="14"/>
          <w:szCs w:val="14"/>
          <w:color w:val="auto"/>
        </w:rPr>
        <w:t>.</w:t>
      </w:r>
    </w:p>
    <w:p>
      <w:pPr>
        <w:spacing w:after="0" w:line="121" w:lineRule="exact"/>
        <w:rPr>
          <w:rFonts w:ascii="Arial" w:cs="Arial" w:eastAsia="Arial" w:hAnsi="Arial"/>
          <w:sz w:val="14"/>
          <w:szCs w:val="14"/>
          <w:b w:val="1"/>
          <w:bCs w:val="1"/>
          <w:color w:val="auto"/>
        </w:rPr>
      </w:pPr>
    </w:p>
    <w:p>
      <w:pPr>
        <w:ind w:left="629" w:hanging="393"/>
        <w:spacing w:after="0"/>
        <w:tabs>
          <w:tab w:leader="none" w:pos="629" w:val="left"/>
        </w:tabs>
        <w:numPr>
          <w:ilvl w:val="1"/>
          <w:numId w:val="190"/>
        </w:numPr>
        <w:rPr>
          <w:rFonts w:ascii="Arial" w:cs="Arial" w:eastAsia="Arial" w:hAnsi="Arial"/>
          <w:sz w:val="14"/>
          <w:szCs w:val="14"/>
          <w:color w:val="auto"/>
        </w:rPr>
      </w:pPr>
      <w:r>
        <w:rPr>
          <w:rFonts w:ascii="Arial" w:cs="Arial" w:eastAsia="Arial" w:hAnsi="Arial"/>
          <w:sz w:val="14"/>
          <w:szCs w:val="14"/>
          <w:color w:val="auto"/>
        </w:rPr>
        <w:t>The Company, during the term of the Plan, will at all times reserve and keep available such number of Shares as shall be sufficient to satisfy the requirements of the</w:t>
      </w:r>
    </w:p>
    <w:p>
      <w:pPr>
        <w:spacing w:after="0" w:line="17" w:lineRule="exact"/>
        <w:rPr>
          <w:rFonts w:ascii="Arial" w:cs="Arial" w:eastAsia="Arial" w:hAnsi="Arial"/>
          <w:sz w:val="14"/>
          <w:szCs w:val="14"/>
          <w:color w:val="auto"/>
        </w:rPr>
      </w:pPr>
    </w:p>
    <w:p>
      <w:pPr>
        <w:ind w:left="229"/>
        <w:spacing w:after="0"/>
        <w:rPr>
          <w:rFonts w:ascii="Arial" w:cs="Arial" w:eastAsia="Arial" w:hAnsi="Arial"/>
          <w:sz w:val="14"/>
          <w:szCs w:val="14"/>
          <w:color w:val="auto"/>
        </w:rPr>
      </w:pPr>
      <w:r>
        <w:rPr>
          <w:rFonts w:ascii="Arial" w:cs="Arial" w:eastAsia="Arial" w:hAnsi="Arial"/>
          <w:sz w:val="14"/>
          <w:szCs w:val="14"/>
          <w:color w:val="auto"/>
        </w:rPr>
        <w:t>Plan.</w:t>
      </w:r>
    </w:p>
    <w:p>
      <w:pPr>
        <w:spacing w:after="0" w:line="95" w:lineRule="exact"/>
        <w:rPr>
          <w:rFonts w:ascii="Arial" w:cs="Arial" w:eastAsia="Arial" w:hAnsi="Arial"/>
          <w:sz w:val="14"/>
          <w:szCs w:val="14"/>
          <w:color w:val="auto"/>
        </w:rPr>
      </w:pPr>
    </w:p>
    <w:p>
      <w:pPr>
        <w:ind w:left="229" w:firstLine="7"/>
        <w:spacing w:after="0" w:line="264" w:lineRule="auto"/>
        <w:tabs>
          <w:tab w:leader="none" w:pos="613" w:val="left"/>
        </w:tabs>
        <w:numPr>
          <w:ilvl w:val="1"/>
          <w:numId w:val="190"/>
        </w:numPr>
        <w:rPr>
          <w:rFonts w:ascii="Arial" w:cs="Arial" w:eastAsia="Arial" w:hAnsi="Arial"/>
          <w:sz w:val="14"/>
          <w:szCs w:val="14"/>
          <w:color w:val="auto"/>
        </w:rPr>
      </w:pPr>
      <w:r>
        <w:rPr>
          <w:rFonts w:ascii="Arial" w:cs="Arial" w:eastAsia="Arial" w:hAnsi="Arial"/>
          <w:sz w:val="14"/>
          <w:szCs w:val="14"/>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69" w:lineRule="exact"/>
        <w:rPr>
          <w:rFonts w:ascii="Arial" w:cs="Arial" w:eastAsia="Arial" w:hAnsi="Arial"/>
          <w:sz w:val="14"/>
          <w:szCs w:val="14"/>
          <w:color w:val="auto"/>
        </w:rPr>
      </w:pPr>
    </w:p>
    <w:p>
      <w:pPr>
        <w:ind w:left="229" w:hanging="229"/>
        <w:spacing w:after="0"/>
        <w:tabs>
          <w:tab w:leader="none" w:pos="229" w:val="left"/>
        </w:tabs>
        <w:numPr>
          <w:ilvl w:val="0"/>
          <w:numId w:val="19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Rights of Participants</w:t>
      </w:r>
      <w:r>
        <w:rPr>
          <w:rFonts w:ascii="Arial" w:cs="Arial" w:eastAsia="Arial" w:hAnsi="Arial"/>
          <w:sz w:val="14"/>
          <w:szCs w:val="14"/>
          <w:color w:val="auto"/>
        </w:rPr>
        <w:t>.</w:t>
      </w:r>
    </w:p>
    <w:p>
      <w:pPr>
        <w:spacing w:after="0" w:line="121" w:lineRule="exact"/>
        <w:rPr>
          <w:rFonts w:ascii="Arial" w:cs="Arial" w:eastAsia="Arial" w:hAnsi="Arial"/>
          <w:sz w:val="14"/>
          <w:szCs w:val="14"/>
          <w:b w:val="1"/>
          <w:bCs w:val="1"/>
          <w:color w:val="auto"/>
        </w:rPr>
      </w:pPr>
    </w:p>
    <w:p>
      <w:pPr>
        <w:jc w:val="both"/>
        <w:ind w:left="229" w:right="100" w:firstLine="7"/>
        <w:spacing w:after="0" w:line="282" w:lineRule="auto"/>
        <w:tabs>
          <w:tab w:leader="none" w:pos="613" w:val="left"/>
        </w:tabs>
        <w:numPr>
          <w:ilvl w:val="1"/>
          <w:numId w:val="190"/>
        </w:numPr>
        <w:rPr>
          <w:rFonts w:ascii="Arial" w:cs="Arial" w:eastAsia="Arial" w:hAnsi="Arial"/>
          <w:sz w:val="14"/>
          <w:szCs w:val="14"/>
          <w:color w:val="auto"/>
        </w:rPr>
      </w:pPr>
      <w:r>
        <w:rPr>
          <w:rFonts w:ascii="Arial" w:cs="Arial" w:eastAsia="Arial" w:hAnsi="Arial"/>
          <w:sz w:val="14"/>
          <w:szCs w:val="14"/>
          <w:color w:val="auto"/>
        </w:rPr>
        <w:t>Continued Service. The Plan shall not confer upon any Participant any right with respect to continuation of employment or consulting relationship with the Company, nor shall it interfere in any way with his or her right or the Company’s right to terminate his or her employment or consulting relationship at any time, with or without cause.</w:t>
      </w:r>
    </w:p>
    <w:p>
      <w:pPr>
        <w:spacing w:after="0" w:line="57" w:lineRule="exact"/>
        <w:rPr>
          <w:rFonts w:ascii="Arial" w:cs="Arial" w:eastAsia="Arial" w:hAnsi="Arial"/>
          <w:sz w:val="14"/>
          <w:szCs w:val="14"/>
          <w:color w:val="auto"/>
        </w:rPr>
      </w:pPr>
    </w:p>
    <w:p>
      <w:pPr>
        <w:ind w:left="229" w:right="140" w:firstLine="7"/>
        <w:spacing w:after="0" w:line="282" w:lineRule="auto"/>
        <w:tabs>
          <w:tab w:leader="none" w:pos="613" w:val="left"/>
        </w:tabs>
        <w:numPr>
          <w:ilvl w:val="1"/>
          <w:numId w:val="190"/>
        </w:numPr>
        <w:rPr>
          <w:rFonts w:ascii="Arial" w:cs="Arial" w:eastAsia="Arial" w:hAnsi="Arial"/>
          <w:sz w:val="14"/>
          <w:szCs w:val="14"/>
          <w:color w:val="auto"/>
        </w:rPr>
      </w:pPr>
      <w:r>
        <w:rPr>
          <w:rFonts w:ascii="Arial" w:cs="Arial" w:eastAsia="Arial" w:hAnsi="Arial"/>
          <w:sz w:val="14"/>
          <w:szCs w:val="14"/>
          <w:color w:val="auto"/>
        </w:rPr>
        <w:t>Participant. No Employee, Director or Consultant shall have the right to be selected to receive an Award under the Plan, or, having been so selected, to be selected to receive future Awards.</w:t>
      </w:r>
    </w:p>
    <w:p>
      <w:pPr>
        <w:spacing w:after="0" w:line="57" w:lineRule="exact"/>
        <w:rPr>
          <w:rFonts w:ascii="Arial" w:cs="Arial" w:eastAsia="Arial" w:hAnsi="Arial"/>
          <w:sz w:val="14"/>
          <w:szCs w:val="14"/>
          <w:color w:val="auto"/>
        </w:rPr>
      </w:pPr>
    </w:p>
    <w:p>
      <w:pPr>
        <w:jc w:val="both"/>
        <w:ind w:left="229" w:right="100" w:hanging="229"/>
        <w:spacing w:after="0" w:line="264" w:lineRule="auto"/>
        <w:tabs>
          <w:tab w:leader="none" w:pos="229" w:val="left"/>
        </w:tabs>
        <w:numPr>
          <w:ilvl w:val="0"/>
          <w:numId w:val="19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Successors.</w:t>
      </w:r>
      <w:r>
        <w:rPr>
          <w:rFonts w:ascii="Arial" w:cs="Arial" w:eastAsia="Arial" w:hAnsi="Arial"/>
          <w:sz w:val="14"/>
          <w:szCs w:val="14"/>
          <w:b w:val="1"/>
          <w:bCs w:val="1"/>
          <w:color w:val="auto"/>
        </w:rPr>
        <w:t xml:space="preserve"> </w:t>
      </w:r>
      <w:r>
        <w:rPr>
          <w:rFonts w:ascii="Arial" w:cs="Arial" w:eastAsia="Arial" w:hAnsi="Arial"/>
          <w:sz w:val="14"/>
          <w:szCs w:val="14"/>
          <w:color w:val="auto"/>
        </w:rPr>
        <w:t>All obligations of the Company under the Plan and with respect to Awards shall be binding on any successor to the Company, whether the existence of such</w:t>
      </w:r>
      <w:r>
        <w:rPr>
          <w:rFonts w:ascii="Arial" w:cs="Arial" w:eastAsia="Arial" w:hAnsi="Arial"/>
          <w:sz w:val="14"/>
          <w:szCs w:val="14"/>
          <w:b w:val="1"/>
          <w:bCs w:val="1"/>
          <w:color w:val="auto"/>
        </w:rPr>
        <w:t xml:space="preserve"> </w:t>
      </w:r>
      <w:r>
        <w:rPr>
          <w:rFonts w:ascii="Arial" w:cs="Arial" w:eastAsia="Arial" w:hAnsi="Arial"/>
          <w:sz w:val="14"/>
          <w:szCs w:val="14"/>
          <w:color w:val="auto"/>
        </w:rPr>
        <w:t>successor is the result of a direct or indirect purchase, merger, consolidation, or other event, or a sale or disposition of all or substantially all of the business and/or assets of the Company and references to the “Company” herein and in any Award Agreements shall be deemed to refer to such successors.</w:t>
      </w:r>
    </w:p>
    <w:p>
      <w:pPr>
        <w:spacing w:after="0" w:line="81" w:lineRule="exact"/>
        <w:rPr>
          <w:rFonts w:ascii="Arial" w:cs="Arial" w:eastAsia="Arial" w:hAnsi="Arial"/>
          <w:sz w:val="14"/>
          <w:szCs w:val="14"/>
          <w:b w:val="1"/>
          <w:bCs w:val="1"/>
          <w:color w:val="auto"/>
        </w:rPr>
      </w:pPr>
    </w:p>
    <w:p>
      <w:pPr>
        <w:ind w:left="229" w:hanging="229"/>
        <w:spacing w:after="0"/>
        <w:tabs>
          <w:tab w:leader="none" w:pos="229" w:val="left"/>
        </w:tabs>
        <w:numPr>
          <w:ilvl w:val="0"/>
          <w:numId w:val="19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Legal Construction</w:t>
      </w:r>
      <w:r>
        <w:rPr>
          <w:rFonts w:ascii="Arial" w:cs="Arial" w:eastAsia="Arial" w:hAnsi="Arial"/>
          <w:sz w:val="14"/>
          <w:szCs w:val="14"/>
          <w:color w:val="auto"/>
        </w:rPr>
        <w:t>.</w:t>
      </w:r>
    </w:p>
    <w:p>
      <w:pPr>
        <w:spacing w:after="0" w:line="109" w:lineRule="exact"/>
        <w:rPr>
          <w:rFonts w:ascii="Arial" w:cs="Arial" w:eastAsia="Arial" w:hAnsi="Arial"/>
          <w:sz w:val="14"/>
          <w:szCs w:val="14"/>
          <w:b w:val="1"/>
          <w:bCs w:val="1"/>
          <w:color w:val="auto"/>
        </w:rPr>
      </w:pPr>
    </w:p>
    <w:p>
      <w:pPr>
        <w:ind w:left="229" w:right="140" w:firstLine="7"/>
        <w:spacing w:after="0" w:line="258" w:lineRule="auto"/>
        <w:tabs>
          <w:tab w:leader="none" w:pos="613" w:val="left"/>
        </w:tabs>
        <w:numPr>
          <w:ilvl w:val="1"/>
          <w:numId w:val="190"/>
        </w:numPr>
        <w:rPr>
          <w:rFonts w:ascii="Arial" w:cs="Arial" w:eastAsia="Arial" w:hAnsi="Arial"/>
          <w:sz w:val="14"/>
          <w:szCs w:val="14"/>
          <w:color w:val="auto"/>
        </w:rPr>
      </w:pPr>
      <w:r>
        <w:rPr>
          <w:rFonts w:ascii="Arial" w:cs="Arial" w:eastAsia="Arial" w:hAnsi="Arial"/>
          <w:sz w:val="14"/>
          <w:szCs w:val="14"/>
          <w:u w:val="single" w:color="auto"/>
          <w:color w:val="auto"/>
        </w:rPr>
        <w:t>Gender, Number and References</w:t>
      </w:r>
      <w:r>
        <w:rPr>
          <w:rFonts w:ascii="Arial" w:cs="Arial" w:eastAsia="Arial" w:hAnsi="Arial"/>
          <w:sz w:val="14"/>
          <w:szCs w:val="14"/>
          <w:color w:val="auto"/>
        </w:rPr>
        <w:t>. Except where otherwise indicated by the context, any masculine term used herein also shall include the feminine, the plural shall include the singular and the singular shall include the plural. Any reference in the Plan to a Section of the Plan either in the Plan or any Award Agreement or to an act or code or to any section thereof or rule or regulation thereunder shall be deemed to refer to such Section of the Plan, act, code, section, rule or regulation, as may be amended from time to time, or to any successor Section of the Plan, act, code, section, rule or regulation.</w:t>
      </w:r>
    </w:p>
    <w:p>
      <w:pPr>
        <w:spacing w:after="0" w:line="73" w:lineRule="exact"/>
        <w:rPr>
          <w:rFonts w:ascii="Arial" w:cs="Arial" w:eastAsia="Arial" w:hAnsi="Arial"/>
          <w:sz w:val="14"/>
          <w:szCs w:val="14"/>
          <w:color w:val="auto"/>
        </w:rPr>
      </w:pPr>
    </w:p>
    <w:p>
      <w:pPr>
        <w:ind w:left="229" w:right="260" w:firstLine="7"/>
        <w:spacing w:after="0" w:line="282" w:lineRule="auto"/>
        <w:tabs>
          <w:tab w:leader="none" w:pos="613" w:val="left"/>
        </w:tabs>
        <w:numPr>
          <w:ilvl w:val="1"/>
          <w:numId w:val="190"/>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69" w:lineRule="exact"/>
        <w:rPr>
          <w:rFonts w:ascii="Arial" w:cs="Arial" w:eastAsia="Arial" w:hAnsi="Arial"/>
          <w:sz w:val="14"/>
          <w:szCs w:val="14"/>
          <w:color w:val="auto"/>
        </w:rPr>
      </w:pPr>
    </w:p>
    <w:p>
      <w:pPr>
        <w:ind w:left="229" w:right="220" w:firstLine="7"/>
        <w:spacing w:after="0" w:line="282" w:lineRule="auto"/>
        <w:tabs>
          <w:tab w:leader="none" w:pos="605" w:val="left"/>
        </w:tabs>
        <w:numPr>
          <w:ilvl w:val="1"/>
          <w:numId w:val="190"/>
        </w:numPr>
        <w:rPr>
          <w:rFonts w:ascii="Arial" w:cs="Arial" w:eastAsia="Arial" w:hAnsi="Arial"/>
          <w:sz w:val="14"/>
          <w:szCs w:val="14"/>
          <w:color w:val="auto"/>
        </w:rPr>
      </w:pPr>
      <w:r>
        <w:rPr>
          <w:rFonts w:ascii="Arial" w:cs="Arial" w:eastAsia="Arial" w:hAnsi="Arial"/>
          <w:sz w:val="14"/>
          <w:szCs w:val="14"/>
          <w:u w:val="single" w:color="auto"/>
          <w:color w:val="auto"/>
        </w:rPr>
        <w:t>Requirements of Law</w:t>
      </w:r>
      <w:r>
        <w:rPr>
          <w:rFonts w:ascii="Arial" w:cs="Arial" w:eastAsia="Arial" w:hAnsi="Arial"/>
          <w:sz w:val="14"/>
          <w:szCs w:val="14"/>
          <w:color w:val="auto"/>
        </w:rPr>
        <w:t>. The granting of Awards and the issuance of Shares or cash under the Plan shall be subject to all Applicable Laws and to such approvals by any governmental agencies or national securities exchanges as may be required.</w:t>
      </w:r>
    </w:p>
    <w:p>
      <w:pPr>
        <w:spacing w:after="0" w:line="57" w:lineRule="exact"/>
        <w:rPr>
          <w:rFonts w:ascii="Arial" w:cs="Arial" w:eastAsia="Arial" w:hAnsi="Arial"/>
          <w:sz w:val="14"/>
          <w:szCs w:val="14"/>
          <w:color w:val="auto"/>
        </w:rPr>
      </w:pPr>
    </w:p>
    <w:p>
      <w:pPr>
        <w:ind w:left="229" w:right="20" w:firstLine="7"/>
        <w:spacing w:after="0" w:line="264" w:lineRule="auto"/>
        <w:tabs>
          <w:tab w:leader="none" w:pos="613" w:val="left"/>
        </w:tabs>
        <w:numPr>
          <w:ilvl w:val="1"/>
          <w:numId w:val="190"/>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To the extent not preempted by federal law, the Plan, and all agreements hereunder, shall be construed in accordance with and governed by the laws of the State of New York, excluding any conflicts or choice of law rule or principle that might otherwise refer construction or interpretation of the Plan to the substantive law of another jurisdiction.</w:t>
      </w:r>
    </w:p>
    <w:p>
      <w:pPr>
        <w:spacing w:after="0" w:line="69" w:lineRule="exact"/>
        <w:rPr>
          <w:rFonts w:ascii="Arial" w:cs="Arial" w:eastAsia="Arial" w:hAnsi="Arial"/>
          <w:sz w:val="14"/>
          <w:szCs w:val="14"/>
          <w:color w:val="auto"/>
        </w:rPr>
      </w:pPr>
    </w:p>
    <w:p>
      <w:pPr>
        <w:ind w:left="229" w:right="60" w:firstLine="7"/>
        <w:spacing w:after="0" w:line="282" w:lineRule="auto"/>
        <w:tabs>
          <w:tab w:leader="none" w:pos="613" w:val="left"/>
        </w:tabs>
        <w:numPr>
          <w:ilvl w:val="1"/>
          <w:numId w:val="190"/>
        </w:numPr>
        <w:rPr>
          <w:rFonts w:ascii="Arial" w:cs="Arial" w:eastAsia="Arial" w:hAnsi="Arial"/>
          <w:sz w:val="14"/>
          <w:szCs w:val="14"/>
          <w:color w:val="auto"/>
        </w:rPr>
      </w:pPr>
      <w:r>
        <w:rPr>
          <w:rFonts w:ascii="Arial" w:cs="Arial" w:eastAsia="Arial" w:hAnsi="Arial"/>
          <w:sz w:val="14"/>
          <w:szCs w:val="14"/>
          <w:u w:val="single" w:color="auto"/>
          <w:color w:val="auto"/>
        </w:rPr>
        <w:t>Non-Exclusive Plan</w:t>
      </w:r>
      <w:r>
        <w:rPr>
          <w:rFonts w:ascii="Arial" w:cs="Arial" w:eastAsia="Arial" w:hAnsi="Arial"/>
          <w:sz w:val="14"/>
          <w:szCs w:val="14"/>
          <w:color w:val="auto"/>
        </w:rPr>
        <w:t>. Neither the adoption of the Plan by the Board nor its submission to the stockholders of the Company for approval shall be construed as creating any limitations on the power of the Board or a committee thereof to adopt such other incentive arrangements as it may deem desirable.</w:t>
      </w:r>
    </w:p>
    <w:p>
      <w:pPr>
        <w:spacing w:after="0" w:line="69" w:lineRule="exact"/>
        <w:rPr>
          <w:rFonts w:ascii="Arial" w:cs="Arial" w:eastAsia="Arial" w:hAnsi="Arial"/>
          <w:sz w:val="14"/>
          <w:szCs w:val="14"/>
          <w:color w:val="auto"/>
        </w:rPr>
      </w:pPr>
    </w:p>
    <w:p>
      <w:pPr>
        <w:ind w:left="229" w:right="340" w:firstLine="7"/>
        <w:spacing w:after="0" w:line="264" w:lineRule="auto"/>
        <w:tabs>
          <w:tab w:leader="none" w:pos="609" w:val="left"/>
        </w:tabs>
        <w:numPr>
          <w:ilvl w:val="1"/>
          <w:numId w:val="190"/>
        </w:numPr>
        <w:rPr>
          <w:rFonts w:ascii="Arial" w:cs="Arial" w:eastAsia="Arial" w:hAnsi="Arial"/>
          <w:sz w:val="14"/>
          <w:szCs w:val="14"/>
          <w:color w:val="auto"/>
        </w:rPr>
      </w:pPr>
      <w:r>
        <w:rPr>
          <w:rFonts w:ascii="Arial" w:cs="Arial" w:eastAsia="Arial" w:hAnsi="Arial"/>
          <w:sz w:val="14"/>
          <w:szCs w:val="14"/>
          <w:u w:val="single" w:color="auto"/>
          <w:color w:val="auto"/>
        </w:rPr>
        <w:t>Code Section 409A Compliance</w:t>
      </w:r>
      <w:r>
        <w:rPr>
          <w:rFonts w:ascii="Arial" w:cs="Arial" w:eastAsia="Arial" w:hAnsi="Arial"/>
          <w:sz w:val="14"/>
          <w:szCs w:val="14"/>
          <w:color w:val="auto"/>
        </w:rPr>
        <w:t>. To the extent applicable, it is intended that the Plan and any Awards granted hereunder comply with, and should be interpreted consistent with, the requirements of Section 409A of the Code and any related regulations or other guidance promulgated thereunder by the U.S. Department of the Treasury or the Internal Revenue Service (“Section 409A”).</w:t>
      </w:r>
    </w:p>
    <w:p>
      <w:pPr>
        <w:spacing w:after="0" w:line="149"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 xml:space="preserve">C-10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233" w:right="479" w:bottom="1440" w:gutter="0" w:footer="0" w:header="0"/>
        </w:sectPr>
      </w:pPr>
    </w:p>
    <w:bookmarkStart w:id="119" w:name="page120"/>
    <w:bookmarkEnd w:id="119"/>
    <w:p>
      <w:pPr>
        <w:ind w:left="9"/>
        <w:spacing w:after="0"/>
        <w:rPr>
          <w:sz w:val="20"/>
          <w:szCs w:val="20"/>
          <w:color w:val="auto"/>
        </w:rPr>
      </w:pPr>
      <w:r>
        <w:rPr>
          <w:rFonts w:ascii="Arial" w:cs="Arial" w:eastAsia="Arial" w:hAnsi="Arial"/>
          <w:sz w:val="28"/>
          <w:szCs w:val="28"/>
          <w:b w:val="1"/>
          <w:bCs w:val="1"/>
          <w:color w:val="6D98AD"/>
        </w:rPr>
        <w:t>GLOSSARY OF 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222250</wp:posOffset>
            </wp:positionV>
            <wp:extent cx="694817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9"/>
        <w:spacing w:after="0"/>
        <w:rPr>
          <w:sz w:val="20"/>
          <w:szCs w:val="20"/>
          <w:color w:val="auto"/>
        </w:rPr>
      </w:pPr>
      <w:r>
        <w:rPr>
          <w:rFonts w:ascii="Arial" w:cs="Arial" w:eastAsia="Arial" w:hAnsi="Arial"/>
          <w:sz w:val="14"/>
          <w:szCs w:val="14"/>
          <w:color w:val="auto"/>
        </w:rPr>
        <w:t>1. Definitions. As used in the Plan and any Award Agreement, the following definitions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694817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pacing w:after="0" w:line="184" w:lineRule="exact"/>
        <w:rPr>
          <w:sz w:val="20"/>
          <w:szCs w:val="20"/>
          <w:color w:val="auto"/>
        </w:rPr>
      </w:pPr>
    </w:p>
    <w:p>
      <w:pPr>
        <w:ind w:left="229" w:right="260"/>
        <w:spacing w:after="0" w:line="282" w:lineRule="auto"/>
        <w:rPr>
          <w:sz w:val="20"/>
          <w:szCs w:val="20"/>
          <w:color w:val="auto"/>
        </w:rPr>
      </w:pPr>
      <w:r>
        <w:rPr>
          <w:rFonts w:ascii="Arial" w:cs="Arial" w:eastAsia="Arial" w:hAnsi="Arial"/>
          <w:sz w:val="14"/>
          <w:szCs w:val="14"/>
          <w:color w:val="auto"/>
        </w:rPr>
        <w:t>“Applicable Laws” means the legal requirements relating to the administration of stock incentive plans, if any, under applicable provisions of federal law, applicable state law, and the rules and regulations of any applicable stock exchange or national market system.</w:t>
      </w:r>
    </w:p>
    <w:p>
      <w:pPr>
        <w:spacing w:after="0" w:line="69" w:lineRule="exact"/>
        <w:rPr>
          <w:sz w:val="20"/>
          <w:szCs w:val="20"/>
          <w:color w:val="auto"/>
        </w:rPr>
      </w:pPr>
    </w:p>
    <w:p>
      <w:pPr>
        <w:ind w:left="229" w:right="460"/>
        <w:spacing w:after="0" w:line="282" w:lineRule="auto"/>
        <w:rPr>
          <w:sz w:val="20"/>
          <w:szCs w:val="20"/>
          <w:color w:val="auto"/>
        </w:rPr>
      </w:pPr>
      <w:r>
        <w:rPr>
          <w:rFonts w:ascii="Arial" w:cs="Arial" w:eastAsia="Arial" w:hAnsi="Arial"/>
          <w:sz w:val="14"/>
          <w:szCs w:val="14"/>
          <w:color w:val="auto"/>
        </w:rPr>
        <w:t>“Award” means, individually or collectively, Nonqualified Stock Options, Incentive Stock Options, Stock Appreciation Rights, Restricted Stock, Restricted Stock Units, Performance Shares, Performance Share Units and Other Stock-Based Awards granted under the Plan.</w:t>
      </w:r>
    </w:p>
    <w:p>
      <w:pPr>
        <w:spacing w:after="0" w:line="57" w:lineRule="exact"/>
        <w:rPr>
          <w:sz w:val="20"/>
          <w:szCs w:val="20"/>
          <w:color w:val="auto"/>
        </w:rPr>
      </w:pPr>
    </w:p>
    <w:p>
      <w:pPr>
        <w:ind w:left="229" w:right="140"/>
        <w:spacing w:after="0" w:line="282" w:lineRule="auto"/>
        <w:rPr>
          <w:sz w:val="20"/>
          <w:szCs w:val="20"/>
          <w:color w:val="auto"/>
        </w:rPr>
      </w:pPr>
      <w:r>
        <w:rPr>
          <w:rFonts w:ascii="Arial" w:cs="Arial" w:eastAsia="Arial" w:hAnsi="Arial"/>
          <w:sz w:val="14"/>
          <w:szCs w:val="14"/>
          <w:color w:val="auto"/>
        </w:rPr>
        <w:t>“Award Agreement” means an agreement (in written or electronic form) entered into by the Company and a Participant setting forth the terms and provisions applicable to an Award.</w:t>
      </w:r>
    </w:p>
    <w:p>
      <w:pPr>
        <w:spacing w:after="0" w:line="57" w:lineRule="exact"/>
        <w:rPr>
          <w:sz w:val="20"/>
          <w:szCs w:val="20"/>
          <w:color w:val="auto"/>
        </w:rPr>
      </w:pPr>
    </w:p>
    <w:p>
      <w:pPr>
        <w:ind w:left="229"/>
        <w:spacing w:after="0"/>
        <w:rPr>
          <w:sz w:val="20"/>
          <w:szCs w:val="20"/>
          <w:color w:val="auto"/>
        </w:rPr>
      </w:pPr>
      <w:r>
        <w:rPr>
          <w:rFonts w:ascii="Arial" w:cs="Arial" w:eastAsia="Arial" w:hAnsi="Arial"/>
          <w:sz w:val="14"/>
          <w:szCs w:val="14"/>
          <w:color w:val="auto"/>
        </w:rPr>
        <w:t>“Board” means the Board of Directors of the Company.</w:t>
      </w:r>
    </w:p>
    <w:p>
      <w:pPr>
        <w:spacing w:after="0" w:line="122" w:lineRule="exact"/>
        <w:rPr>
          <w:sz w:val="20"/>
          <w:szCs w:val="20"/>
          <w:color w:val="auto"/>
        </w:rPr>
      </w:pPr>
    </w:p>
    <w:p>
      <w:pPr>
        <w:ind w:left="229" w:right="120"/>
        <w:spacing w:after="0" w:line="250" w:lineRule="auto"/>
        <w:rPr>
          <w:sz w:val="20"/>
          <w:szCs w:val="20"/>
          <w:color w:val="auto"/>
        </w:rPr>
      </w:pPr>
      <w:r>
        <w:rPr>
          <w:rFonts w:ascii="Arial" w:cs="Arial" w:eastAsia="Arial" w:hAnsi="Arial"/>
          <w:sz w:val="14"/>
          <w:szCs w:val="14"/>
          <w:color w:val="auto"/>
        </w:rPr>
        <w:t>“Cause” means, with respect to any Participant (i) gross negligence or willful misconduct, as the case may be, in the performance of the material responsibilities of the Participant’s office or position; (ii) the willful and continued failure of the Participant to perform substantially the Participant’s duties with the Company or any Subsidiary (other than any such failure resulting from incapacity due to physical or mental illness); (iii) the Participant is convicted of, or pleads guilty or nolo contendere to, a felony within the meaning of U.S. Federal, state or local law (other than a traffic violation); (iv) the Participant having willfully divulged, furnished or made accessible to anyone other than the Company or any Subsidiary, or any of their respective directors, officers, employees, auditors and legal advisors, otherwise than in the ordinary course of business, any confidential or proprietary information of the Company or such Subsidiary; or (v) any act or failure to act by the Participant, which, under the provisions of applicable law, disqualifies the Participant from performing his or her duties or serving in his or her then current capacity with the Company or a Subsidiary; provided, however, that with respect to a Participant who has an employment agreement with the Company or any of its Subsidiaries which has a definition of “cause”, the definition contained therein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694817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pacing w:after="0" w:line="226" w:lineRule="exact"/>
        <w:rPr>
          <w:sz w:val="20"/>
          <w:szCs w:val="20"/>
          <w:color w:val="auto"/>
        </w:rPr>
      </w:pPr>
    </w:p>
    <w:p>
      <w:pPr>
        <w:ind w:left="9"/>
        <w:spacing w:after="0"/>
        <w:rPr>
          <w:sz w:val="20"/>
          <w:szCs w:val="20"/>
          <w:color w:val="auto"/>
        </w:rPr>
      </w:pPr>
      <w:r>
        <w:rPr>
          <w:rFonts w:ascii="Arial" w:cs="Arial" w:eastAsia="Arial" w:hAnsi="Arial"/>
          <w:sz w:val="14"/>
          <w:szCs w:val="14"/>
          <w:color w:val="auto"/>
        </w:rPr>
        <w:t>“Change in Control” means the first to occur of the following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694817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pacing w:after="0" w:line="184" w:lineRule="exact"/>
        <w:rPr>
          <w:sz w:val="20"/>
          <w:szCs w:val="20"/>
          <w:color w:val="auto"/>
        </w:rPr>
      </w:pPr>
    </w:p>
    <w:p>
      <w:pPr>
        <w:ind w:left="229" w:right="80" w:hanging="229"/>
        <w:spacing w:after="0" w:line="253" w:lineRule="auto"/>
        <w:tabs>
          <w:tab w:leader="none" w:pos="217" w:val="left"/>
        </w:tabs>
        <w:numPr>
          <w:ilvl w:val="0"/>
          <w:numId w:val="191"/>
        </w:numPr>
        <w:rPr>
          <w:rFonts w:ascii="Arial" w:cs="Arial" w:eastAsia="Arial" w:hAnsi="Arial"/>
          <w:sz w:val="14"/>
          <w:szCs w:val="14"/>
          <w:color w:val="auto"/>
        </w:rPr>
      </w:pPr>
      <w:r>
        <w:rPr>
          <w:rFonts w:ascii="Arial" w:cs="Arial" w:eastAsia="Arial" w:hAnsi="Arial"/>
          <w:sz w:val="14"/>
          <w:szCs w:val="14"/>
          <w:color w:val="auto"/>
        </w:rPr>
        <w:t>Any Person becomes a “beneficial owner,” as such term is used in Rule 13d-3 of the Exchange Act, of 25% or more of the combined voting power of the then-outstanding voting securities of the Company entitled to vote generally in the election of directors (the “Outstanding Company Voting Securities”); provided, however, that, for purposes of this definition, the following acquisitions shall not constitute a Change in Control: (I) any acquisition directly from the Company, other than an acquisition by virtue of the exercise of a conversion privilege unless the security being so converted was itself acquired directly from the Company, (II) any acquisition by the Company, (III) any acquisition by any employee benefit plan (or related trust) sponsored or maintained by the Company or any of its affiliates, or (IV) any acquisition pursuant to a transaction which complies with clauses (A), (B) and (C) of paragraph 3 of this definition; or</w:t>
      </w:r>
    </w:p>
    <w:p>
      <w:pPr>
        <w:spacing w:after="0" w:line="88" w:lineRule="exact"/>
        <w:rPr>
          <w:rFonts w:ascii="Arial" w:cs="Arial" w:eastAsia="Arial" w:hAnsi="Arial"/>
          <w:sz w:val="14"/>
          <w:szCs w:val="14"/>
          <w:color w:val="auto"/>
        </w:rPr>
      </w:pPr>
    </w:p>
    <w:p>
      <w:pPr>
        <w:ind w:left="229" w:right="20" w:hanging="229"/>
        <w:spacing w:after="0" w:line="253" w:lineRule="auto"/>
        <w:tabs>
          <w:tab w:leader="none" w:pos="217" w:val="left"/>
        </w:tabs>
        <w:numPr>
          <w:ilvl w:val="0"/>
          <w:numId w:val="191"/>
        </w:numPr>
        <w:rPr>
          <w:rFonts w:ascii="Arial" w:cs="Arial" w:eastAsia="Arial" w:hAnsi="Arial"/>
          <w:sz w:val="14"/>
          <w:szCs w:val="14"/>
          <w:color w:val="auto"/>
        </w:rPr>
      </w:pPr>
      <w:r>
        <w:rPr>
          <w:rFonts w:ascii="Arial" w:cs="Arial" w:eastAsia="Arial" w:hAnsi="Arial"/>
          <w:sz w:val="14"/>
          <w:szCs w:val="14"/>
          <w:color w:val="auto"/>
        </w:rPr>
        <w:t>Individuals who, as of the date hereof, constitute the Board (the “Incumbent Board”) cease for any reason to constitute at least a majority of the Board; provided, however, that any individual becoming a director subsequent to when the Plan is first approved by the Board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(as such terms are used in Rule 14a-11 of Regulation 14A promulgated under the Exchange Act) with respect to the election or removal of directors or other actual or threatened solicitation of proxies or consents by or on behalf of a Person other than the Board; or</w:t>
      </w:r>
    </w:p>
    <w:p>
      <w:pPr>
        <w:spacing w:after="0" w:line="77" w:lineRule="exact"/>
        <w:rPr>
          <w:rFonts w:ascii="Arial" w:cs="Arial" w:eastAsia="Arial" w:hAnsi="Arial"/>
          <w:sz w:val="14"/>
          <w:szCs w:val="14"/>
          <w:color w:val="auto"/>
        </w:rPr>
      </w:pPr>
    </w:p>
    <w:p>
      <w:pPr>
        <w:ind w:left="229" w:right="260" w:hanging="229"/>
        <w:spacing w:after="0" w:line="251" w:lineRule="auto"/>
        <w:tabs>
          <w:tab w:leader="none" w:pos="229" w:val="left"/>
        </w:tabs>
        <w:numPr>
          <w:ilvl w:val="0"/>
          <w:numId w:val="191"/>
        </w:numPr>
        <w:rPr>
          <w:rFonts w:ascii="Arial" w:cs="Arial" w:eastAsia="Arial" w:hAnsi="Arial"/>
          <w:sz w:val="14"/>
          <w:szCs w:val="14"/>
          <w:color w:val="auto"/>
        </w:rPr>
      </w:pPr>
      <w:r>
        <w:rPr>
          <w:rFonts w:ascii="Arial" w:cs="Arial" w:eastAsia="Arial" w:hAnsi="Arial"/>
          <w:sz w:val="14"/>
          <w:szCs w:val="14"/>
          <w:color w:val="auto"/>
        </w:rPr>
        <w:t>Consummation of a reorganization, merger, consolidation or a sale or other disposition of all or substantially all of the assets of the Company (each, a “Business Combination”), in each case unless, following such Business Combination, (A) all or substantially all of the individuals and entities that were the beneficial owners of the outstanding Shares (the “Outstanding Company Common Stock”) and the Outstanding Company Voting Securities, immediately prior to such Business Combination, beneficially own, directly or indirectly, more than 50% of the then-outstanding shares of common stock and more than 50% of the combined voting power of the then-outstanding voting securities entitled to vote generally in the election of directors, as the case may be, of the corporation resulting from such Business Combination (including, without limitation, a corporation that, as a result of such transaction, owns the Company or all or substantially all of the Company’s assets either directly or through one or more subsidiaries) in substantially the same proportions as their ownership immediately prior to such Business Combination of the</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EXHIBIT C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174" w:right="479" w:bottom="1440" w:gutter="0" w:footer="0" w:header="0"/>
        </w:sectPr>
      </w:pPr>
    </w:p>
    <w:bookmarkStart w:id="120" w:name="page121"/>
    <w:bookmarkEnd w:id="120"/>
    <w:p>
      <w:pPr>
        <w:ind w:left="229" w:right="80"/>
        <w:spacing w:after="0" w:line="253" w:lineRule="auto"/>
        <w:rPr>
          <w:sz w:val="20"/>
          <w:szCs w:val="20"/>
          <w:color w:val="auto"/>
        </w:rPr>
      </w:pPr>
      <w:r>
        <w:rPr>
          <w:rFonts w:ascii="Arial" w:cs="Arial" w:eastAsia="Arial" w:hAnsi="Arial"/>
          <w:sz w:val="14"/>
          <w:szCs w:val="14"/>
          <w:color w:val="auto"/>
        </w:rPr>
        <w:t>Outstanding Company Common Stock and the Outstanding Company Voting Securities, as the case may be, (B) no Person (other than the Company, any employee benefit plan (or related trust) of the Company or such corporation resulting from such Business Combination) beneficially owns directly or indirectly, 20% or more of, respectively, the outstanding shares of common stock of the corporation resulting from such Business Combination or the outstanding voting securities of such corporation entitled to vote generally in the election of directors,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whichever occurs first; or</w:t>
      </w:r>
    </w:p>
    <w:p>
      <w:pPr>
        <w:spacing w:after="0" w:line="89" w:lineRule="exact"/>
        <w:rPr>
          <w:sz w:val="20"/>
          <w:szCs w:val="20"/>
          <w:color w:val="auto"/>
        </w:rPr>
      </w:pPr>
    </w:p>
    <w:p>
      <w:pPr>
        <w:ind w:left="229" w:hanging="229"/>
        <w:spacing w:after="0"/>
        <w:tabs>
          <w:tab w:leader="none" w:pos="229" w:val="left"/>
        </w:tabs>
        <w:numPr>
          <w:ilvl w:val="0"/>
          <w:numId w:val="192"/>
        </w:numPr>
        <w:rPr>
          <w:rFonts w:ascii="Arial" w:cs="Arial" w:eastAsia="Arial" w:hAnsi="Arial"/>
          <w:sz w:val="14"/>
          <w:szCs w:val="14"/>
          <w:color w:val="auto"/>
        </w:rPr>
      </w:pPr>
      <w:r>
        <w:rPr>
          <w:rFonts w:ascii="Arial" w:cs="Arial" w:eastAsia="Arial" w:hAnsi="Arial"/>
          <w:sz w:val="14"/>
          <w:szCs w:val="14"/>
          <w:color w:val="auto"/>
        </w:rPr>
        <w:t>The approval by the stockholders of the Company of a complete liquidation or dissolution of the Company.</w:t>
      </w:r>
    </w:p>
    <w:p>
      <w:pPr>
        <w:spacing w:after="0" w:line="109" w:lineRule="exact"/>
        <w:rPr>
          <w:rFonts w:ascii="Arial" w:cs="Arial" w:eastAsia="Arial" w:hAnsi="Arial"/>
          <w:sz w:val="14"/>
          <w:szCs w:val="14"/>
          <w:color w:val="auto"/>
        </w:rPr>
      </w:pPr>
    </w:p>
    <w:p>
      <w:pPr>
        <w:ind w:left="229" w:right="120"/>
        <w:spacing w:after="0" w:line="253" w:lineRule="auto"/>
        <w:rPr>
          <w:rFonts w:ascii="Arial" w:cs="Arial" w:eastAsia="Arial" w:hAnsi="Arial"/>
          <w:sz w:val="14"/>
          <w:szCs w:val="14"/>
          <w:color w:val="auto"/>
        </w:rPr>
      </w:pPr>
      <w:r>
        <w:rPr>
          <w:rFonts w:ascii="Arial" w:cs="Arial" w:eastAsia="Arial" w:hAnsi="Arial"/>
          <w:sz w:val="14"/>
          <w:szCs w:val="14"/>
          <w:color w:val="auto"/>
        </w:rPr>
        <w:t>Notwithstanding the foregoing, with respect to Awards (or portions of Awards) that are considered deferred compensation under Section 409A, if an event or condition constituting a Change in Control does not constitute a “change in the ownership” or a “change in the effective control” of the Company or a “change in the ownership of a substantial portion of a corporation’s assets” (each within the meaning of Section 409A), the event or condition shall continue to constitute a Change in Control solely with respect to vesting of the Award (or portion thereof) or a lapse of any applicable restrictions thereto and not for purposes of determining whether the settlement or payment of the Award (or portion thereof) will be accelerated under this Plan. For avoidance of doubt, the prior sentence shall not apply to Awards (or portions thereof) that qualify as short-term deferrals for purposes of Section 409A.</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7" w:lineRule="exact"/>
        <w:rPr>
          <w:rFonts w:ascii="Arial" w:cs="Arial" w:eastAsia="Arial" w:hAnsi="Arial"/>
          <w:sz w:val="14"/>
          <w:szCs w:val="14"/>
          <w:color w:val="auto"/>
        </w:rPr>
      </w:pPr>
    </w:p>
    <w:p>
      <w:pPr>
        <w:ind w:left="229"/>
        <w:spacing w:after="0"/>
        <w:rPr>
          <w:rFonts w:ascii="Arial" w:cs="Arial" w:eastAsia="Arial" w:hAnsi="Arial"/>
          <w:sz w:val="14"/>
          <w:szCs w:val="14"/>
          <w:color w:val="auto"/>
        </w:rPr>
      </w:pPr>
      <w:r>
        <w:rPr>
          <w:rFonts w:ascii="Arial" w:cs="Arial" w:eastAsia="Arial" w:hAnsi="Arial"/>
          <w:sz w:val="14"/>
          <w:szCs w:val="14"/>
          <w:color w:val="auto"/>
        </w:rPr>
        <w:t>“Code” means the Internal Revenue Code of 1986, as amended.</w:t>
      </w:r>
    </w:p>
    <w:p>
      <w:pPr>
        <w:spacing w:after="0" w:line="109" w:lineRule="exact"/>
        <w:rPr>
          <w:rFonts w:ascii="Arial" w:cs="Arial" w:eastAsia="Arial" w:hAnsi="Arial"/>
          <w:sz w:val="14"/>
          <w:szCs w:val="14"/>
          <w:color w:val="auto"/>
        </w:rPr>
      </w:pPr>
    </w:p>
    <w:p>
      <w:pPr>
        <w:ind w:left="229" w:right="3760"/>
        <w:spacing w:after="0" w:line="412" w:lineRule="auto"/>
        <w:rPr>
          <w:rFonts w:ascii="Arial" w:cs="Arial" w:eastAsia="Arial" w:hAnsi="Arial"/>
          <w:sz w:val="14"/>
          <w:szCs w:val="14"/>
          <w:color w:val="auto"/>
        </w:rPr>
      </w:pPr>
      <w:r>
        <w:rPr>
          <w:rFonts w:ascii="Arial" w:cs="Arial" w:eastAsia="Arial" w:hAnsi="Arial"/>
          <w:sz w:val="14"/>
          <w:szCs w:val="14"/>
          <w:color w:val="auto"/>
        </w:rPr>
        <w:t>“Committee” means the Committee, as specified in Section 2(a), appointed by the Board to administer the Plan. “Company” means PVH Corp., a Delaware corporation, and any successor thereto.</w:t>
      </w:r>
    </w:p>
    <w:p>
      <w:pPr>
        <w:ind w:left="229"/>
        <w:spacing w:after="0"/>
        <w:rPr>
          <w:rFonts w:ascii="Arial" w:cs="Arial" w:eastAsia="Arial" w:hAnsi="Arial"/>
          <w:sz w:val="14"/>
          <w:szCs w:val="14"/>
          <w:color w:val="auto"/>
        </w:rPr>
      </w:pPr>
      <w:r>
        <w:rPr>
          <w:rFonts w:ascii="Arial" w:cs="Arial" w:eastAsia="Arial" w:hAnsi="Arial"/>
          <w:sz w:val="14"/>
          <w:szCs w:val="14"/>
          <w:color w:val="auto"/>
        </w:rPr>
        <w:t>“Consultant” means any consultant or advisor to the Company or a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-729615</wp:posOffset>
            </wp:positionV>
            <wp:extent cx="694817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48170" cy="7620"/>
                    </a:xfrm>
                    <a:prstGeom prst="rect">
                      <a:avLst/>
                    </a:prstGeom>
                    <a:noFill/>
                  </pic:spPr>
                </pic:pic>
              </a:graphicData>
            </a:graphic>
          </wp:anchor>
        </w:drawing>
      </w:r>
    </w:p>
    <w:p>
      <w:pPr>
        <w:spacing w:after="0" w:line="90" w:lineRule="exact"/>
        <w:rPr>
          <w:sz w:val="20"/>
          <w:szCs w:val="20"/>
          <w:color w:val="auto"/>
        </w:rPr>
      </w:pPr>
    </w:p>
    <w:p>
      <w:pPr>
        <w:ind w:left="9" w:firstLine="236"/>
        <w:spacing w:after="0" w:line="255" w:lineRule="auto"/>
        <w:rPr>
          <w:sz w:val="20"/>
          <w:szCs w:val="20"/>
          <w:color w:val="auto"/>
        </w:rPr>
      </w:pPr>
      <w:r>
        <w:rPr>
          <w:rFonts w:ascii="Arial" w:cs="Arial" w:eastAsia="Arial" w:hAnsi="Arial"/>
          <w:sz w:val="14"/>
          <w:szCs w:val="14"/>
          <w:color w:val="auto"/>
        </w:rPr>
        <w:t>“Continuous Service” means that the provision of services to the Company or any Subsidiary in any capacity by an Employee is not interrupted or terminated. Continuous Service shall not be considered interrupted in the case of (i) any leave of absence approved by the Company or (ii) transfers between locations of the Company or between the Company, any Subsidiary, or any successor. A leave of absence approved by the Company shall include sick leave, military leave, or any other personal leave approved by an authorized representative of the Company. For purposes of Incentive Stock Options, no such leave may exceed 90 days, unless reemployment upon expiration of such leave is guaranteed by statute or contract.</w:t>
      </w:r>
    </w:p>
    <w:p>
      <w:pPr>
        <w:spacing w:after="0" w:line="75" w:lineRule="exact"/>
        <w:rPr>
          <w:sz w:val="20"/>
          <w:szCs w:val="20"/>
          <w:color w:val="auto"/>
        </w:rPr>
      </w:pPr>
    </w:p>
    <w:p>
      <w:pPr>
        <w:ind w:left="229"/>
        <w:spacing w:after="0"/>
        <w:rPr>
          <w:sz w:val="20"/>
          <w:szCs w:val="20"/>
          <w:color w:val="auto"/>
        </w:rPr>
      </w:pPr>
      <w:r>
        <w:rPr>
          <w:rFonts w:ascii="Arial" w:cs="Arial" w:eastAsia="Arial" w:hAnsi="Arial"/>
          <w:sz w:val="14"/>
          <w:szCs w:val="14"/>
          <w:color w:val="auto"/>
        </w:rPr>
        <w:t>“Defined Event” means the death, disability, Retirement or Qualifying Termination of a Participant.</w:t>
      </w:r>
    </w:p>
    <w:p>
      <w:pPr>
        <w:spacing w:after="0" w:line="122" w:lineRule="exact"/>
        <w:rPr>
          <w:sz w:val="20"/>
          <w:szCs w:val="20"/>
          <w:color w:val="auto"/>
        </w:rPr>
      </w:pPr>
    </w:p>
    <w:p>
      <w:pPr>
        <w:ind w:left="9" w:right="320" w:firstLine="236"/>
        <w:spacing w:after="0" w:line="282" w:lineRule="auto"/>
        <w:rPr>
          <w:sz w:val="20"/>
          <w:szCs w:val="20"/>
          <w:color w:val="auto"/>
        </w:rPr>
      </w:pPr>
      <w:r>
        <w:rPr>
          <w:rFonts w:ascii="Arial" w:cs="Arial" w:eastAsia="Arial" w:hAnsi="Arial"/>
          <w:sz w:val="14"/>
          <w:szCs w:val="14"/>
          <w:color w:val="auto"/>
        </w:rPr>
        <w:t>“Director” means any individual who is a member of the Board of Directors of the Company or a Subsidiary who is not an Employee and is not designated or elected to serve as a director by the holders of any securities of the Company, other than Shares, voting separately as a class.</w:t>
      </w:r>
    </w:p>
    <w:p>
      <w:pPr>
        <w:spacing w:after="0" w:line="57" w:lineRule="exact"/>
        <w:rPr>
          <w:sz w:val="20"/>
          <w:szCs w:val="20"/>
          <w:color w:val="auto"/>
        </w:rPr>
      </w:pPr>
    </w:p>
    <w:p>
      <w:pPr>
        <w:ind w:left="229"/>
        <w:spacing w:after="0"/>
        <w:rPr>
          <w:sz w:val="20"/>
          <w:szCs w:val="20"/>
          <w:color w:val="auto"/>
        </w:rPr>
      </w:pPr>
      <w:r>
        <w:rPr>
          <w:rFonts w:ascii="Arial" w:cs="Arial" w:eastAsia="Arial" w:hAnsi="Arial"/>
          <w:sz w:val="14"/>
          <w:szCs w:val="14"/>
          <w:color w:val="auto"/>
        </w:rPr>
        <w:t>“Dividend” means the dividends and other distributions declared and paid on Shares subject to an Award.</w:t>
      </w:r>
    </w:p>
    <w:p>
      <w:pPr>
        <w:spacing w:after="0" w:line="110" w:lineRule="exact"/>
        <w:rPr>
          <w:sz w:val="20"/>
          <w:szCs w:val="20"/>
          <w:color w:val="auto"/>
        </w:rPr>
      </w:pPr>
    </w:p>
    <w:p>
      <w:pPr>
        <w:ind w:left="9" w:right="260" w:firstLine="236"/>
        <w:spacing w:after="0" w:line="282" w:lineRule="auto"/>
        <w:rPr>
          <w:sz w:val="20"/>
          <w:szCs w:val="20"/>
          <w:color w:val="auto"/>
        </w:rPr>
      </w:pPr>
      <w:r>
        <w:rPr>
          <w:rFonts w:ascii="Arial" w:cs="Arial" w:eastAsia="Arial" w:hAnsi="Arial"/>
          <w:sz w:val="14"/>
          <w:szCs w:val="14"/>
          <w:color w:val="auto"/>
        </w:rPr>
        <w:t>“Dividend Equivalent” means, with respect to Shares subject to an Award, a right to be paid an amount equal to the Dividends declared and paid on an equal number of outstanding Shares.</w:t>
      </w:r>
    </w:p>
    <w:p>
      <w:pPr>
        <w:spacing w:after="0" w:line="69" w:lineRule="exact"/>
        <w:rPr>
          <w:sz w:val="20"/>
          <w:szCs w:val="20"/>
          <w:color w:val="auto"/>
        </w:rPr>
      </w:pPr>
    </w:p>
    <w:p>
      <w:pPr>
        <w:ind w:left="229"/>
        <w:spacing w:after="0"/>
        <w:rPr>
          <w:sz w:val="20"/>
          <w:szCs w:val="20"/>
          <w:color w:val="auto"/>
        </w:rPr>
      </w:pPr>
      <w:r>
        <w:rPr>
          <w:rFonts w:ascii="Arial" w:cs="Arial" w:eastAsia="Arial" w:hAnsi="Arial"/>
          <w:sz w:val="14"/>
          <w:szCs w:val="14"/>
          <w:color w:val="auto"/>
        </w:rPr>
        <w:t>“Employee” means any employee of the Company or a Subsidiary.</w:t>
      </w:r>
    </w:p>
    <w:p>
      <w:pPr>
        <w:spacing w:after="0" w:line="110" w:lineRule="exact"/>
        <w:rPr>
          <w:sz w:val="20"/>
          <w:szCs w:val="20"/>
          <w:color w:val="auto"/>
        </w:rPr>
      </w:pPr>
    </w:p>
    <w:p>
      <w:pPr>
        <w:ind w:left="229"/>
        <w:spacing w:after="0"/>
        <w:rPr>
          <w:sz w:val="20"/>
          <w:szCs w:val="20"/>
          <w:color w:val="auto"/>
        </w:rPr>
      </w:pPr>
      <w:r>
        <w:rPr>
          <w:rFonts w:ascii="Arial" w:cs="Arial" w:eastAsia="Arial" w:hAnsi="Arial"/>
          <w:sz w:val="14"/>
          <w:szCs w:val="14"/>
          <w:color w:val="auto"/>
        </w:rPr>
        <w:t>“Exchange Act” means the Securities Exchange Act of 1934, as amended.</w:t>
      </w:r>
    </w:p>
    <w:p>
      <w:pPr>
        <w:spacing w:after="0" w:line="110" w:lineRule="exact"/>
        <w:rPr>
          <w:sz w:val="20"/>
          <w:szCs w:val="20"/>
          <w:color w:val="auto"/>
        </w:rPr>
      </w:pPr>
    </w:p>
    <w:p>
      <w:pPr>
        <w:ind w:left="229"/>
        <w:spacing w:after="0"/>
        <w:rPr>
          <w:sz w:val="20"/>
          <w:szCs w:val="20"/>
          <w:color w:val="auto"/>
        </w:rPr>
      </w:pPr>
      <w:r>
        <w:rPr>
          <w:rFonts w:ascii="Arial" w:cs="Arial" w:eastAsia="Arial" w:hAnsi="Arial"/>
          <w:sz w:val="14"/>
          <w:szCs w:val="14"/>
          <w:color w:val="auto"/>
        </w:rPr>
        <w:t>“Exercise Price” means the price at which a Share may be purchased by a Participant pursuant to an Option.</w:t>
      </w:r>
    </w:p>
    <w:p>
      <w:pPr>
        <w:spacing w:after="0" w:line="122" w:lineRule="exact"/>
        <w:rPr>
          <w:sz w:val="20"/>
          <w:szCs w:val="20"/>
          <w:color w:val="auto"/>
        </w:rPr>
      </w:pPr>
    </w:p>
    <w:p>
      <w:pPr>
        <w:ind w:left="9" w:right="60" w:firstLine="236"/>
        <w:spacing w:after="0" w:line="282" w:lineRule="auto"/>
        <w:rPr>
          <w:sz w:val="20"/>
          <w:szCs w:val="20"/>
          <w:color w:val="auto"/>
        </w:rPr>
      </w:pPr>
      <w:r>
        <w:rPr>
          <w:rFonts w:ascii="Arial" w:cs="Arial" w:eastAsia="Arial" w:hAnsi="Arial"/>
          <w:sz w:val="14"/>
          <w:szCs w:val="14"/>
          <w:color w:val="auto"/>
        </w:rPr>
        <w:t>“Fair Market Value” means, as of any date, the value of a Share equal to (i) the closing sale price of a Share on the New York Stock Exchange on the date of determination or (ii) if there is no sale of Shares on that date, the closing sale price of a Share on the last trading date on which sales were reported on the New York Stock Exchange.</w:t>
      </w:r>
    </w:p>
    <w:p>
      <w:pPr>
        <w:spacing w:after="0" w:line="57" w:lineRule="exact"/>
        <w:rPr>
          <w:sz w:val="20"/>
          <w:szCs w:val="20"/>
          <w:color w:val="auto"/>
        </w:rPr>
      </w:pPr>
    </w:p>
    <w:p>
      <w:pPr>
        <w:ind w:left="9" w:right="300" w:firstLine="236"/>
        <w:spacing w:after="0" w:line="264" w:lineRule="auto"/>
        <w:rPr>
          <w:sz w:val="20"/>
          <w:szCs w:val="20"/>
          <w:color w:val="auto"/>
        </w:rPr>
      </w:pPr>
      <w:r>
        <w:rPr>
          <w:rFonts w:ascii="Arial" w:cs="Arial" w:eastAsia="Arial" w:hAnsi="Arial"/>
          <w:sz w:val="14"/>
          <w:szCs w:val="14"/>
          <w:color w:val="auto"/>
        </w:rPr>
        <w:t>“Immediate Family” means a Participant’s children, stepchildren, grandchildren, parents, stepparents, grandparents, spouse, former spouse, siblings, nieces, nephews, mother-in-law, father-in-law, son-in-law, daughter-in-law, brother-in-law, or sister-in-law, including adoptive relationships or any person sharing the Participant’s household (other than a tenant or employee).</w:t>
      </w:r>
    </w:p>
    <w:p>
      <w:pPr>
        <w:spacing w:after="0" w:line="69" w:lineRule="exact"/>
        <w:rPr>
          <w:sz w:val="20"/>
          <w:szCs w:val="20"/>
          <w:color w:val="auto"/>
        </w:rPr>
      </w:pPr>
    </w:p>
    <w:p>
      <w:pPr>
        <w:ind w:left="229"/>
        <w:spacing w:after="0"/>
        <w:rPr>
          <w:sz w:val="20"/>
          <w:szCs w:val="20"/>
          <w:color w:val="auto"/>
        </w:rPr>
      </w:pPr>
      <w:r>
        <w:rPr>
          <w:rFonts w:ascii="Arial" w:cs="Arial" w:eastAsia="Arial" w:hAnsi="Arial"/>
          <w:sz w:val="14"/>
          <w:szCs w:val="14"/>
          <w:color w:val="auto"/>
        </w:rPr>
        <w:t>“Incentive Stock Option” or “ISO” means an Option intended to qualify as an incentive stock option within the meaning of Section 422 of the Code.</w:t>
      </w:r>
    </w:p>
    <w:p>
      <w:pPr>
        <w:spacing w:after="0" w:line="122" w:lineRule="exact"/>
        <w:rPr>
          <w:sz w:val="20"/>
          <w:szCs w:val="20"/>
          <w:color w:val="auto"/>
        </w:rPr>
      </w:pPr>
    </w:p>
    <w:p>
      <w:pPr>
        <w:ind w:left="229"/>
        <w:spacing w:after="0"/>
        <w:rPr>
          <w:sz w:val="20"/>
          <w:szCs w:val="20"/>
          <w:color w:val="auto"/>
        </w:rPr>
      </w:pPr>
      <w:r>
        <w:rPr>
          <w:rFonts w:ascii="Arial" w:cs="Arial" w:eastAsia="Arial" w:hAnsi="Arial"/>
          <w:sz w:val="14"/>
          <w:szCs w:val="14"/>
          <w:color w:val="auto"/>
        </w:rPr>
        <w:t>“Nonqualified Stock Option” means an Option that is not intended to meet the requirement of Section 422 of the Code.</w:t>
      </w:r>
    </w:p>
    <w:p>
      <w:pPr>
        <w:spacing w:after="0" w:line="189" w:lineRule="exact"/>
        <w:rPr>
          <w:sz w:val="20"/>
          <w:szCs w:val="20"/>
          <w:color w:val="auto"/>
        </w:rPr>
      </w:pPr>
    </w:p>
    <w:p>
      <w:pPr>
        <w:ind w:left="9"/>
        <w:spacing w:after="0"/>
        <w:rPr>
          <w:sz w:val="20"/>
          <w:szCs w:val="20"/>
          <w:color w:val="auto"/>
        </w:rPr>
      </w:pPr>
      <w:r>
        <w:rPr>
          <w:rFonts w:ascii="Arial" w:cs="Arial" w:eastAsia="Arial" w:hAnsi="Arial"/>
          <w:sz w:val="11"/>
          <w:szCs w:val="11"/>
          <w:b w:val="1"/>
          <w:bCs w:val="1"/>
          <w:color w:val="auto"/>
        </w:rPr>
        <w:t xml:space="preserve">C-12 </w:t>
      </w:r>
      <w:r>
        <w:rPr>
          <w:rFonts w:ascii="Arial" w:cs="Arial" w:eastAsia="Arial" w:hAnsi="Arial"/>
          <w:sz w:val="11"/>
          <w:szCs w:val="11"/>
          <w:color w:val="auto"/>
        </w:rPr>
        <w:t>/ PVH CORP. 2026 PROXY STATEMENT /</w:t>
      </w:r>
      <w:r>
        <w:rPr>
          <w:rFonts w:ascii="Arial" w:cs="Arial" w:eastAsia="Arial" w:hAnsi="Arial"/>
          <w:sz w:val="11"/>
          <w:szCs w:val="11"/>
          <w:b w:val="1"/>
          <w:bCs w:val="1"/>
          <w:color w:val="auto"/>
        </w:rPr>
        <w:t xml:space="preserve"> </w:t>
      </w:r>
      <w:r>
        <w:rPr>
          <w:rFonts w:ascii="Arial" w:cs="Arial" w:eastAsia="Arial" w:hAnsi="Arial"/>
          <w:sz w:val="11"/>
          <w:szCs w:val="11"/>
          <w:b w:val="1"/>
          <w:bCs w:val="1"/>
          <w:color w:val="6D98AD"/>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213360</wp:posOffset>
            </wp:positionV>
            <wp:extent cx="6955155"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9"/>
          </w:cols>
          <w:pgMar w:left="471" w:top="233" w:right="479" w:bottom="1440" w:gutter="0" w:footer="0" w:header="0"/>
        </w:sectPr>
      </w:pPr>
    </w:p>
    <w:bookmarkStart w:id="121" w:name="page122"/>
    <w:bookmarkEnd w:id="121"/>
    <w:p>
      <w:pPr>
        <w:ind w:left="220"/>
        <w:spacing w:after="0"/>
        <w:rPr>
          <w:sz w:val="20"/>
          <w:szCs w:val="20"/>
          <w:color w:val="auto"/>
        </w:rPr>
      </w:pPr>
      <w:r>
        <w:rPr>
          <w:rFonts w:ascii="Arial" w:cs="Arial" w:eastAsia="Arial" w:hAnsi="Arial"/>
          <w:sz w:val="14"/>
          <w:szCs w:val="14"/>
          <w:color w:val="auto"/>
        </w:rPr>
        <w:t>“Option” means an Incentive Stock Option or a Nonqualified Stock Option granted under the Plan, as described in Section 6.</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Stock-Based Award” means a Share-based or Share-related Award granted pursuant to Section 11 herein.</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“Participant” means a current or former Employee, Director or Consultant who has rights relating to an outstanding Award.</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“Performance Measures” shall have the meaning set forth in Section 12(a).</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“Performance Period” means the period during which a performance measure must be met.</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“Performance Share” means an Award granted to a Participant, as described in Section 10 herein.</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“Performance Share Unit” means an Award granted to a Participant, as described in Section 10 herein.</w:t>
      </w:r>
    </w:p>
    <w:p>
      <w:pPr>
        <w:spacing w:after="0" w:line="122" w:lineRule="exact"/>
        <w:rPr>
          <w:sz w:val="20"/>
          <w:szCs w:val="20"/>
          <w:color w:val="auto"/>
        </w:rPr>
      </w:pPr>
    </w:p>
    <w:p>
      <w:pPr>
        <w:ind w:right="280" w:firstLine="236"/>
        <w:spacing w:after="0" w:line="282" w:lineRule="auto"/>
        <w:rPr>
          <w:sz w:val="20"/>
          <w:szCs w:val="20"/>
          <w:color w:val="auto"/>
        </w:rPr>
      </w:pPr>
      <w:r>
        <w:rPr>
          <w:rFonts w:ascii="Arial" w:cs="Arial" w:eastAsia="Arial" w:hAnsi="Arial"/>
          <w:sz w:val="14"/>
          <w:szCs w:val="14"/>
          <w:color w:val="auto"/>
        </w:rPr>
        <w:t>“Period of Restriction” means the period Restricted Stock, Restricted Stock Units or Other Stock-Based Awards are subject to a substantial risk of forfeiture and are not transferable, as provided in Sections 8, 9 and 11 herein.</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“Person” means person as such term is used in Section 3(a)(9) and 13(d) of the Exchange Act.</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“Plan” means the PVH Corp. Stock Incentive Plan.</w:t>
      </w:r>
    </w:p>
    <w:p>
      <w:pPr>
        <w:spacing w:after="0" w:line="122" w:lineRule="exact"/>
        <w:rPr>
          <w:sz w:val="20"/>
          <w:szCs w:val="20"/>
          <w:color w:val="auto"/>
        </w:rPr>
      </w:pPr>
    </w:p>
    <w:p>
      <w:pPr>
        <w:ind w:right="20" w:firstLine="236"/>
        <w:spacing w:after="0" w:line="258" w:lineRule="auto"/>
        <w:rPr>
          <w:sz w:val="20"/>
          <w:szCs w:val="20"/>
          <w:color w:val="auto"/>
        </w:rPr>
      </w:pPr>
      <w:r>
        <w:rPr>
          <w:rFonts w:ascii="Arial" w:cs="Arial" w:eastAsia="Arial" w:hAnsi="Arial"/>
          <w:sz w:val="14"/>
          <w:szCs w:val="14"/>
          <w:color w:val="auto"/>
        </w:rPr>
        <w:t>“Proceeds” means, with respect to any sale or other disposition (including to the Company) of Shares acquired pursuant to an Award, an amount determined by the Committee, (a) in the case of an Award other than an Option, SAR or cash-settled Award, up to the amount equal to the Fair Market Value per Share at the time of such sale or other disposition multiplied by the number of Shares sold or disposed of, or (b) in the case of an Option or SAR, up to the amount equal to the number of Shares sold or disposed of multiplied by the excess of the Fair Market Value per Share at the time of such sale or disposition over the Exercise Price or grant price, as applicable.</w:t>
      </w:r>
    </w:p>
    <w:p>
      <w:pPr>
        <w:spacing w:after="0" w:line="73" w:lineRule="exact"/>
        <w:rPr>
          <w:sz w:val="20"/>
          <w:szCs w:val="20"/>
          <w:color w:val="auto"/>
        </w:rPr>
      </w:pPr>
    </w:p>
    <w:p>
      <w:pPr>
        <w:ind w:right="400" w:firstLine="236"/>
        <w:spacing w:after="0" w:line="264" w:lineRule="auto"/>
        <w:rPr>
          <w:sz w:val="20"/>
          <w:szCs w:val="20"/>
          <w:color w:val="auto"/>
        </w:rPr>
      </w:pPr>
      <w:r>
        <w:rPr>
          <w:rFonts w:ascii="Arial" w:cs="Arial" w:eastAsia="Arial" w:hAnsi="Arial"/>
          <w:sz w:val="14"/>
          <w:szCs w:val="14"/>
          <w:color w:val="auto"/>
        </w:rPr>
        <w:t>“Qualifying Termination” means the termination of a Participant’s employment or service with the Company or any of its Subsidiaries by the Company or a Company Subsidiary without Cause or, with respect to a Participant who has an employment agreement with the Company or any of its Subsidiaries which has a definition of “good reason,” by the Participant for good reason (as defined in the Participant’s employment agreement).</w:t>
      </w:r>
    </w:p>
    <w:p>
      <w:pPr>
        <w:spacing w:after="0" w:line="69" w:lineRule="exact"/>
        <w:rPr>
          <w:sz w:val="20"/>
          <w:szCs w:val="20"/>
          <w:color w:val="auto"/>
        </w:rPr>
      </w:pPr>
    </w:p>
    <w:p>
      <w:pPr>
        <w:ind w:left="220" w:right="4940"/>
        <w:spacing w:after="0" w:line="409" w:lineRule="auto"/>
        <w:rPr>
          <w:sz w:val="20"/>
          <w:szCs w:val="20"/>
          <w:color w:val="auto"/>
        </w:rPr>
      </w:pPr>
      <w:r>
        <w:rPr>
          <w:rFonts w:ascii="Arial" w:cs="Arial" w:eastAsia="Arial" w:hAnsi="Arial"/>
          <w:sz w:val="14"/>
          <w:szCs w:val="14"/>
          <w:color w:val="auto"/>
        </w:rPr>
        <w:t>“Restricted Stock” means an Award granted to a Participant, as described in Section 8. “Restricted Stock Units” means an Award granted to a Participant, as described in Section 9. “Retirement” means:</w:t>
      </w:r>
    </w:p>
    <w:p>
      <w:pPr>
        <w:spacing w:after="0" w:line="1" w:lineRule="exact"/>
        <w:rPr>
          <w:sz w:val="20"/>
          <w:szCs w:val="20"/>
          <w:color w:val="auto"/>
        </w:rPr>
      </w:pPr>
    </w:p>
    <w:p>
      <w:pPr>
        <w:ind w:right="540" w:firstLine="236"/>
        <w:spacing w:after="0" w:line="282" w:lineRule="auto"/>
        <w:rPr>
          <w:sz w:val="20"/>
          <w:szCs w:val="20"/>
          <w:color w:val="auto"/>
        </w:rPr>
      </w:pPr>
      <w:r>
        <w:rPr>
          <w:rFonts w:ascii="Arial" w:cs="Arial" w:eastAsia="Arial" w:hAnsi="Arial"/>
          <w:sz w:val="14"/>
          <w:szCs w:val="14"/>
          <w:color w:val="auto"/>
        </w:rPr>
        <w:t>With respect to all Awards made prior to March 19, 2007 and all Awards made to Employees prior to May 3, 2007, a Participant’s termination of employment by the Company and its Subsidiaries at or after age 63 other than for Cause.</w:t>
      </w:r>
    </w:p>
    <w:p>
      <w:pPr>
        <w:spacing w:after="0" w:line="69" w:lineRule="exact"/>
        <w:rPr>
          <w:sz w:val="20"/>
          <w:szCs w:val="20"/>
          <w:color w:val="auto"/>
        </w:rPr>
      </w:pPr>
    </w:p>
    <w:p>
      <w:pPr>
        <w:ind w:right="100" w:firstLine="236"/>
        <w:spacing w:after="0" w:line="282" w:lineRule="auto"/>
        <w:rPr>
          <w:sz w:val="20"/>
          <w:szCs w:val="20"/>
          <w:color w:val="auto"/>
        </w:rPr>
      </w:pPr>
      <w:r>
        <w:rPr>
          <w:rFonts w:ascii="Arial" w:cs="Arial" w:eastAsia="Arial" w:hAnsi="Arial"/>
          <w:sz w:val="14"/>
          <w:szCs w:val="14"/>
          <w:color w:val="auto"/>
        </w:rPr>
        <w:t>With respect to all Awards made to Directors on or after March 19, 2007, the termination of a Director’s service, other than by reason of death or removal for cause (under applicable law), after at least four years of service.</w:t>
      </w:r>
    </w:p>
    <w:p>
      <w:pPr>
        <w:spacing w:after="0" w:line="57" w:lineRule="exact"/>
        <w:rPr>
          <w:sz w:val="20"/>
          <w:szCs w:val="20"/>
          <w:color w:val="auto"/>
        </w:rPr>
      </w:pPr>
    </w:p>
    <w:p>
      <w:pPr>
        <w:ind w:right="160" w:firstLine="236"/>
        <w:spacing w:after="0" w:line="282" w:lineRule="auto"/>
        <w:rPr>
          <w:sz w:val="20"/>
          <w:szCs w:val="20"/>
          <w:color w:val="auto"/>
        </w:rPr>
      </w:pPr>
      <w:r>
        <w:rPr>
          <w:rFonts w:ascii="Arial" w:cs="Arial" w:eastAsia="Arial" w:hAnsi="Arial"/>
          <w:sz w:val="14"/>
          <w:szCs w:val="14"/>
          <w:color w:val="auto"/>
        </w:rPr>
        <w:t>With respect to all Awards made to Employees on or after May 3, 2007, the termination of an Employee’s employment from the Company and its Subsidiaries, other than by reason of death or for Cause, at or after age 62, provided that the Employee has at least five years of employment with the Company and/or any of its Subsidiaries.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“SEC” means the United States Securities and Exchange Commission.</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“Section 409A” shall have the meaning set forth in Section 22(f).</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“Share” means a share of the common stock, $1.00 par value, of the Company, subject to adjustment pursuant to Section 16.</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“Stock Appreciation Right” or “SAR” means an Award granted to a Participant, either alone or in connection with a related Option, as described in Section 7.</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“Subsidiary” has the meaning ascribed to such term in Code Section 424(f).</w:t>
      </w:r>
    </w:p>
    <w:p>
      <w:pPr>
        <w:spacing w:after="0" w:line="110" w:lineRule="exact"/>
        <w:rPr>
          <w:sz w:val="20"/>
          <w:szCs w:val="20"/>
          <w:color w:val="auto"/>
        </w:rPr>
      </w:pPr>
    </w:p>
    <w:p>
      <w:pPr>
        <w:ind w:right="120" w:firstLine="236"/>
        <w:spacing w:after="0" w:line="282" w:lineRule="auto"/>
        <w:rPr>
          <w:sz w:val="20"/>
          <w:szCs w:val="20"/>
          <w:color w:val="auto"/>
        </w:rPr>
      </w:pPr>
      <w:r>
        <w:rPr>
          <w:rFonts w:ascii="Arial" w:cs="Arial" w:eastAsia="Arial" w:hAnsi="Arial"/>
          <w:sz w:val="14"/>
          <w:szCs w:val="14"/>
          <w:color w:val="auto"/>
        </w:rPr>
        <w:t>“Subsidiary Disposition” means the disposition by the Company of its equity holdings in any Subsidiary effected by a merger or consolidation involving that Subsidiary, the sale of all or substantially all of the assets of that Subsidiary or the Company’s sale or distribution of substantially all of the outstanding capital stock of such Subsidiary.</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“Voting Securities” means voting securities of the Company entitled to vote generally in the election of Directors.</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6D98AD"/>
        </w:rPr>
        <w:t xml:space="preserve">EXHIBIT C </w:t>
      </w:r>
      <w:r>
        <w:rPr>
          <w:rFonts w:ascii="Arial" w:cs="Arial" w:eastAsia="Arial" w:hAnsi="Arial"/>
          <w:sz w:val="11"/>
          <w:szCs w:val="11"/>
          <w:color w:val="000000"/>
        </w:rPr>
        <w:t>/ PVH CORP. 2026 PROXY STATEMENT /</w:t>
      </w:r>
      <w:r>
        <w:rPr>
          <w:rFonts w:ascii="Arial" w:cs="Arial" w:eastAsia="Arial" w:hAnsi="Arial"/>
          <w:sz w:val="11"/>
          <w:szCs w:val="11"/>
          <w:b w:val="1"/>
          <w:bCs w:val="1"/>
          <w:color w:val="6D98AD"/>
        </w:rPr>
        <w:t xml:space="preserve"> </w:t>
      </w:r>
      <w:r>
        <w:rPr>
          <w:rFonts w:ascii="Arial" w:cs="Arial" w:eastAsia="Arial" w:hAnsi="Arial"/>
          <w:sz w:val="11"/>
          <w:szCs w:val="11"/>
          <w:b w:val="1"/>
          <w:bCs w:val="1"/>
          <w:color w:val="000000"/>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220980</wp:posOffset>
            </wp:positionV>
            <wp:extent cx="6955155"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10940"/>
          </w:cols>
          <w:pgMar w:left="480" w:top="233" w:right="479"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PVH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285 Madison Avenue, New York, NY 10017</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PVH.com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218440</wp:posOffset>
            </wp:positionV>
            <wp:extent cx="6955155"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55155" cy="76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55155" cy="90119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551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55155" cy="90195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55155" cy="90195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370B"/>
    <w:multiLevelType w:val="hybridMultilevel"/>
    <w:lvl w:ilvl="0">
      <w:lvlJc w:val="left"/>
      <w:lvlText w:val="☐"/>
      <w:numFmt w:val="bullet"/>
      <w:start w:val="1"/>
    </w:lvl>
  </w:abstractNum>
  <w:abstractNum w:abstractNumId="1">
    <w:nsid w:val="50801EE1"/>
    <w:multiLevelType w:val="hybridMultilevel"/>
    <w:lvl w:ilvl="0">
      <w:lvlJc w:val="left"/>
      <w:lvlText w:val="☒"/>
      <w:numFmt w:val="bullet"/>
      <w:start w:val="1"/>
    </w:lvl>
  </w:abstractNum>
  <w:abstractNum w:abstractNumId="2">
    <w:nsid w:val="488AC1A"/>
    <w:multiLevelType w:val="hybridMultilevel"/>
    <w:lvl w:ilvl="0">
      <w:lvlJc w:val="left"/>
      <w:lvlText w:val="☐"/>
      <w:numFmt w:val="bullet"/>
      <w:start w:val="1"/>
    </w:lvl>
  </w:abstractNum>
  <w:abstractNum w:abstractNumId="3">
    <w:nsid w:val="5FB8011C"/>
    <w:multiLevelType w:val="hybridMultilevel"/>
    <w:lvl w:ilvl="0">
      <w:lvlJc w:val="left"/>
      <w:lvlText w:val="•"/>
      <w:numFmt w:val="bullet"/>
      <w:start w:val="1"/>
    </w:lvl>
  </w:abstractNum>
  <w:abstractNum w:abstractNumId="4">
    <w:nsid w:val="6AA78F7F"/>
    <w:multiLevelType w:val="hybridMultilevel"/>
    <w:lvl w:ilvl="0">
      <w:lvlJc w:val="left"/>
      <w:lvlText w:val="•"/>
      <w:numFmt w:val="bullet"/>
      <w:start w:val="1"/>
    </w:lvl>
  </w:abstractNum>
  <w:abstractNum w:abstractNumId="5">
    <w:nsid w:val="7672BD23"/>
    <w:multiLevelType w:val="hybridMultilevel"/>
    <w:lvl w:ilvl="0">
      <w:lvlJc w:val="left"/>
      <w:lvlText w:val="•"/>
      <w:numFmt w:val="bullet"/>
      <w:start w:val="1"/>
    </w:lvl>
  </w:abstractNum>
  <w:abstractNum w:abstractNumId="6">
    <w:nsid w:val="6FC75AF8"/>
    <w:multiLevelType w:val="hybridMultilevel"/>
    <w:lvl w:ilvl="0">
      <w:lvlJc w:val="left"/>
      <w:lvlText w:val="•"/>
      <w:numFmt w:val="bullet"/>
      <w:start w:val="1"/>
    </w:lvl>
    <w:lvl w:ilvl="1">
      <w:lvlJc w:val="left"/>
      <w:lvlText w:val="\endash "/>
      <w:numFmt w:val="bullet"/>
      <w:start w:val="1"/>
    </w:lvl>
  </w:abstractNum>
  <w:abstractNum w:abstractNumId="7">
    <w:nsid w:val="6A5F7029"/>
    <w:multiLevelType w:val="hybridMultilevel"/>
    <w:lvl w:ilvl="0">
      <w:lvlJc w:val="left"/>
      <w:lvlText w:val="•"/>
      <w:numFmt w:val="bullet"/>
      <w:start w:val="1"/>
    </w:lvl>
  </w:abstractNum>
  <w:abstractNum w:abstractNumId="8">
    <w:nsid w:val="7D5E18F8"/>
    <w:multiLevelType w:val="hybridMultilevel"/>
    <w:lvl w:ilvl="0">
      <w:lvlJc w:val="left"/>
      <w:lvlText w:val="C"/>
      <w:numFmt w:val="bullet"/>
      <w:start w:val="1"/>
    </w:lvl>
  </w:abstractNum>
  <w:abstractNum w:abstractNumId="9">
    <w:nsid w:val="5F3534A4"/>
    <w:multiLevelType w:val="hybridMultilevel"/>
    <w:lvl w:ilvl="0">
      <w:lvlJc w:val="left"/>
      <w:lvlText w:val="●"/>
      <w:numFmt w:val="bullet"/>
      <w:start w:val="1"/>
    </w:lvl>
  </w:abstractNum>
  <w:abstractNum w:abstractNumId="10">
    <w:nsid w:val="73A1821B"/>
    <w:multiLevelType w:val="hybridMultilevel"/>
    <w:lvl w:ilvl="0">
      <w:lvlJc w:val="left"/>
      <w:lvlText w:val="*"/>
      <w:numFmt w:val="bullet"/>
      <w:start w:val="1"/>
    </w:lvl>
  </w:abstractNum>
  <w:abstractNum w:abstractNumId="11">
    <w:nsid w:val="7DE67713"/>
    <w:multiLevelType w:val="hybridMultilevel"/>
    <w:lvl w:ilvl="0">
      <w:lvlJc w:val="left"/>
      <w:lvlText w:val="•"/>
      <w:numFmt w:val="bullet"/>
      <w:start w:val="1"/>
    </w:lvl>
  </w:abstractNum>
  <w:abstractNum w:abstractNumId="12">
    <w:nsid w:val="555C55B5"/>
    <w:multiLevelType w:val="hybridMultilevel"/>
    <w:lvl w:ilvl="0">
      <w:lvlJc w:val="left"/>
      <w:lvlText w:val="•"/>
      <w:numFmt w:val="bullet"/>
      <w:start w:val="1"/>
    </w:lvl>
  </w:abstractNum>
  <w:abstractNum w:abstractNumId="13">
    <w:nsid w:val="3FA62ACA"/>
    <w:multiLevelType w:val="hybridMultilevel"/>
    <w:lvl w:ilvl="0">
      <w:lvlJc w:val="left"/>
      <w:lvlText w:val="1"/>
      <w:numFmt w:val="bullet"/>
      <w:start w:val="1"/>
    </w:lvl>
  </w:abstractNum>
  <w:abstractNum w:abstractNumId="14">
    <w:nsid w:val="14FCE74E"/>
    <w:multiLevelType w:val="hybridMultilevel"/>
    <w:lvl w:ilvl="0">
      <w:lvlJc w:val="left"/>
      <w:lvlText w:val="•"/>
      <w:numFmt w:val="bullet"/>
      <w:start w:val="1"/>
    </w:lvl>
  </w:abstractNum>
  <w:abstractNum w:abstractNumId="15">
    <w:nsid w:val="6A3DD3E8"/>
    <w:multiLevelType w:val="hybridMultilevel"/>
    <w:lvl w:ilvl="0">
      <w:lvlJc w:val="left"/>
      <w:lvlText w:val="•"/>
      <w:numFmt w:val="bullet"/>
      <w:start w:val="1"/>
    </w:lvl>
  </w:abstractNum>
  <w:abstractNum w:abstractNumId="16">
    <w:nsid w:val="71C91298"/>
    <w:multiLevelType w:val="hybridMultilevel"/>
    <w:lvl w:ilvl="0">
      <w:lvlJc w:val="left"/>
      <w:lvlText w:val="•"/>
      <w:numFmt w:val="bullet"/>
      <w:start w:val="1"/>
    </w:lvl>
  </w:abstractNum>
  <w:abstractNum w:abstractNumId="17">
    <w:nsid w:val="9DAF632"/>
    <w:multiLevelType w:val="hybridMultilevel"/>
    <w:lvl w:ilvl="0">
      <w:lvlJc w:val="left"/>
      <w:lvlText w:val="•"/>
      <w:numFmt w:val="bullet"/>
      <w:start w:val="1"/>
    </w:lvl>
  </w:abstractNum>
  <w:abstractNum w:abstractNumId="18">
    <w:nsid w:val="53299938"/>
    <w:multiLevelType w:val="hybridMultilevel"/>
    <w:lvl w:ilvl="0">
      <w:lvlJc w:val="left"/>
      <w:lvlText w:val="•"/>
      <w:numFmt w:val="bullet"/>
      <w:start w:val="1"/>
    </w:lvl>
  </w:abstractNum>
  <w:abstractNum w:abstractNumId="19">
    <w:nsid w:val="1FBFE8E0"/>
    <w:multiLevelType w:val="hybridMultilevel"/>
    <w:lvl w:ilvl="0">
      <w:lvlJc w:val="left"/>
      <w:lvlText w:val="•"/>
      <w:numFmt w:val="bullet"/>
      <w:start w:val="1"/>
    </w:lvl>
  </w:abstractNum>
  <w:abstractNum w:abstractNumId="20">
    <w:nsid w:val="5092CA79"/>
    <w:multiLevelType w:val="hybridMultilevel"/>
    <w:lvl w:ilvl="0">
      <w:lvlJc w:val="left"/>
      <w:lvlText w:val="•"/>
      <w:numFmt w:val="bullet"/>
      <w:start w:val="1"/>
    </w:lvl>
  </w:abstractNum>
  <w:abstractNum w:abstractNumId="21">
    <w:nsid w:val="1D545C4D"/>
    <w:multiLevelType w:val="hybridMultilevel"/>
    <w:lvl w:ilvl="0">
      <w:lvlJc w:val="left"/>
      <w:lvlText w:val="•"/>
      <w:numFmt w:val="bullet"/>
      <w:start w:val="1"/>
    </w:lvl>
  </w:abstractNum>
  <w:abstractNum w:abstractNumId="22">
    <w:nsid w:val="59ADEA3D"/>
    <w:multiLevelType w:val="hybridMultilevel"/>
    <w:lvl w:ilvl="0">
      <w:lvlJc w:val="left"/>
      <w:lvlText w:val="•"/>
      <w:numFmt w:val="bullet"/>
      <w:start w:val="1"/>
    </w:lvl>
  </w:abstractNum>
  <w:abstractNum w:abstractNumId="23">
    <w:nsid w:val="288F1A34"/>
    <w:multiLevelType w:val="hybridMultilevel"/>
    <w:lvl w:ilvl="0">
      <w:lvlJc w:val="left"/>
      <w:lvlText w:val="•"/>
      <w:numFmt w:val="bullet"/>
      <w:start w:val="1"/>
    </w:lvl>
  </w:abstractNum>
  <w:abstractNum w:abstractNumId="24">
    <w:nsid w:val="2A155DBC"/>
    <w:multiLevelType w:val="hybridMultilevel"/>
    <w:lvl w:ilvl="0">
      <w:lvlJc w:val="left"/>
      <w:lvlText w:val="•"/>
      <w:numFmt w:val="bullet"/>
      <w:start w:val="1"/>
    </w:lvl>
  </w:abstractNum>
  <w:abstractNum w:abstractNumId="25">
    <w:nsid w:val="1D9F6E5F"/>
    <w:multiLevelType w:val="hybridMultilevel"/>
    <w:lvl w:ilvl="0">
      <w:lvlJc w:val="left"/>
      <w:lvlText w:val="•"/>
      <w:numFmt w:val="bullet"/>
      <w:start w:val="1"/>
    </w:lvl>
  </w:abstractNum>
  <w:abstractNum w:abstractNumId="26">
    <w:nsid w:val="97E1B4E"/>
    <w:multiLevelType w:val="hybridMultilevel"/>
    <w:lvl w:ilvl="0">
      <w:lvlJc w:val="left"/>
      <w:lvlText w:val="•"/>
      <w:numFmt w:val="bullet"/>
      <w:start w:val="1"/>
    </w:lvl>
  </w:abstractNum>
  <w:abstractNum w:abstractNumId="27">
    <w:nsid w:val="51088277"/>
    <w:multiLevelType w:val="hybridMultilevel"/>
    <w:lvl w:ilvl="0">
      <w:lvlJc w:val="left"/>
      <w:lvlText w:val="•"/>
      <w:numFmt w:val="bullet"/>
      <w:start w:val="1"/>
    </w:lvl>
  </w:abstractNum>
  <w:abstractNum w:abstractNumId="28">
    <w:nsid w:val="1CA0C5FA"/>
    <w:multiLevelType w:val="hybridMultilevel"/>
    <w:lvl w:ilvl="0">
      <w:lvlJc w:val="left"/>
      <w:lvlText w:val="•"/>
      <w:numFmt w:val="bullet"/>
      <w:start w:val="1"/>
    </w:lvl>
  </w:abstractNum>
  <w:abstractNum w:abstractNumId="29">
    <w:nsid w:val="53584BCB"/>
    <w:multiLevelType w:val="hybridMultilevel"/>
    <w:lvl w:ilvl="0">
      <w:lvlJc w:val="left"/>
      <w:lvlText w:val="•"/>
      <w:numFmt w:val="bullet"/>
      <w:start w:val="1"/>
    </w:lvl>
  </w:abstractNum>
  <w:abstractNum w:abstractNumId="30">
    <w:nsid w:val="415E286C"/>
    <w:multiLevelType w:val="hybridMultilevel"/>
    <w:lvl w:ilvl="0">
      <w:lvlJc w:val="left"/>
      <w:lvlText w:val="•"/>
      <w:numFmt w:val="bullet"/>
      <w:start w:val="1"/>
    </w:lvl>
  </w:abstractNum>
  <w:abstractNum w:abstractNumId="31">
    <w:nsid w:val="7C58FD05"/>
    <w:multiLevelType w:val="hybridMultilevel"/>
    <w:lvl w:ilvl="0">
      <w:lvlJc w:val="left"/>
      <w:lvlText w:val="•"/>
      <w:numFmt w:val="bullet"/>
      <w:start w:val="1"/>
    </w:lvl>
  </w:abstractNum>
  <w:abstractNum w:abstractNumId="32">
    <w:nsid w:val="23D86AAC"/>
    <w:multiLevelType w:val="hybridMultilevel"/>
    <w:lvl w:ilvl="0">
      <w:lvlJc w:val="left"/>
      <w:lvlText w:val="•"/>
      <w:numFmt w:val="bullet"/>
      <w:start w:val="1"/>
    </w:lvl>
  </w:abstractNum>
  <w:abstractNum w:abstractNumId="33">
    <w:nsid w:val="45E6D486"/>
    <w:multiLevelType w:val="hybridMultilevel"/>
    <w:lvl w:ilvl="0">
      <w:lvlJc w:val="left"/>
      <w:lvlText w:val="•"/>
      <w:numFmt w:val="bullet"/>
      <w:start w:val="1"/>
    </w:lvl>
  </w:abstractNum>
  <w:abstractNum w:abstractNumId="34">
    <w:nsid w:val="5C10FE21"/>
    <w:multiLevelType w:val="hybridMultilevel"/>
    <w:lvl w:ilvl="0">
      <w:lvlJc w:val="left"/>
      <w:lvlText w:val="•"/>
      <w:numFmt w:val="bullet"/>
      <w:start w:val="1"/>
    </w:lvl>
  </w:abstractNum>
  <w:abstractNum w:abstractNumId="35">
    <w:nsid w:val="E7FFA2B"/>
    <w:multiLevelType w:val="hybridMultilevel"/>
    <w:lvl w:ilvl="0">
      <w:lvlJc w:val="left"/>
      <w:lvlText w:val="•"/>
      <w:numFmt w:val="bullet"/>
      <w:start w:val="1"/>
    </w:lvl>
  </w:abstractNum>
  <w:abstractNum w:abstractNumId="36">
    <w:nsid w:val="3C5991AA"/>
    <w:multiLevelType w:val="hybridMultilevel"/>
    <w:lvl w:ilvl="0">
      <w:lvlJc w:val="left"/>
      <w:lvlText w:val="•"/>
      <w:numFmt w:val="bullet"/>
      <w:start w:val="1"/>
    </w:lvl>
  </w:abstractNum>
  <w:abstractNum w:abstractNumId="37">
    <w:nsid w:val="4BD8591A"/>
    <w:multiLevelType w:val="hybridMultilevel"/>
    <w:lvl w:ilvl="0">
      <w:lvlJc w:val="left"/>
      <w:lvlText w:val="•"/>
      <w:numFmt w:val="bullet"/>
      <w:start w:val="1"/>
    </w:lvl>
  </w:abstractNum>
  <w:abstractNum w:abstractNumId="38">
    <w:nsid w:val="78DF6A55"/>
    <w:multiLevelType w:val="hybridMultilevel"/>
    <w:lvl w:ilvl="0">
      <w:lvlJc w:val="left"/>
      <w:lvlText w:val="•"/>
      <w:numFmt w:val="bullet"/>
      <w:start w:val="1"/>
    </w:lvl>
  </w:abstractNum>
  <w:abstractNum w:abstractNumId="39">
    <w:nsid w:val="39B7AAA2"/>
    <w:multiLevelType w:val="hybridMultilevel"/>
    <w:lvl w:ilvl="0">
      <w:lvlJc w:val="left"/>
      <w:lvlText w:val="•"/>
      <w:numFmt w:val="bullet"/>
      <w:start w:val="1"/>
    </w:lvl>
  </w:abstractNum>
  <w:abstractNum w:abstractNumId="40">
    <w:nsid w:val="2B0D8DBE"/>
    <w:multiLevelType w:val="hybridMultilevel"/>
    <w:lvl w:ilvl="0">
      <w:lvlJc w:val="left"/>
      <w:lvlText w:val="•"/>
      <w:numFmt w:val="bullet"/>
      <w:start w:val="1"/>
    </w:lvl>
  </w:abstractNum>
  <w:abstractNum w:abstractNumId="41">
    <w:nsid w:val="6C80EC70"/>
    <w:multiLevelType w:val="hybridMultilevel"/>
    <w:lvl w:ilvl="0">
      <w:lvlJc w:val="left"/>
      <w:lvlText w:val="•"/>
      <w:numFmt w:val="bullet"/>
      <w:start w:val="1"/>
    </w:lvl>
  </w:abstractNum>
  <w:abstractNum w:abstractNumId="42">
    <w:nsid w:val="379E21B5"/>
    <w:multiLevelType w:val="hybridMultilevel"/>
    <w:lvl w:ilvl="0">
      <w:lvlJc w:val="left"/>
      <w:lvlText w:val="•"/>
      <w:numFmt w:val="bullet"/>
      <w:start w:val="1"/>
    </w:lvl>
  </w:abstractNum>
  <w:abstractNum w:abstractNumId="43">
    <w:nsid w:val="69E373"/>
    <w:multiLevelType w:val="hybridMultilevel"/>
    <w:lvl w:ilvl="0">
      <w:lvlJc w:val="left"/>
      <w:lvlText w:val="•"/>
      <w:numFmt w:val="bullet"/>
      <w:start w:val="1"/>
    </w:lvl>
  </w:abstractNum>
  <w:abstractNum w:abstractNumId="44">
    <w:nsid w:val="2C27173B"/>
    <w:multiLevelType w:val="hybridMultilevel"/>
    <w:lvl w:ilvl="0">
      <w:lvlJc w:val="left"/>
      <w:lvlText w:val="•"/>
      <w:numFmt w:val="bullet"/>
      <w:start w:val="1"/>
    </w:lvl>
  </w:abstractNum>
  <w:abstractNum w:abstractNumId="45">
    <w:nsid w:val="4C9B0904"/>
    <w:multiLevelType w:val="hybridMultilevel"/>
    <w:lvl w:ilvl="0">
      <w:lvlJc w:val="left"/>
      <w:lvlText w:val="•"/>
      <w:numFmt w:val="bullet"/>
      <w:start w:val="1"/>
    </w:lvl>
  </w:abstractNum>
  <w:abstractNum w:abstractNumId="46">
    <w:nsid w:val="6AA7B75C"/>
    <w:multiLevelType w:val="hybridMultilevel"/>
    <w:lvl w:ilvl="0">
      <w:lvlJc w:val="left"/>
      <w:lvlText w:val="•"/>
      <w:numFmt w:val="bullet"/>
      <w:start w:val="1"/>
    </w:lvl>
  </w:abstractNum>
  <w:abstractNum w:abstractNumId="47">
    <w:nsid w:val="1DF029D3"/>
    <w:multiLevelType w:val="hybridMultilevel"/>
    <w:lvl w:ilvl="0">
      <w:lvlJc w:val="left"/>
      <w:lvlText w:val="&amp;"/>
      <w:numFmt w:val="bullet"/>
      <w:start w:val="1"/>
    </w:lvl>
  </w:abstractNum>
  <w:abstractNum w:abstractNumId="48">
    <w:nsid w:val="5675FF36"/>
    <w:multiLevelType w:val="hybridMultilevel"/>
    <w:lvl w:ilvl="0">
      <w:lvlJc w:val="left"/>
      <w:lvlText w:val="•"/>
      <w:numFmt w:val="bullet"/>
      <w:start w:val="1"/>
    </w:lvl>
  </w:abstractNum>
  <w:abstractNum w:abstractNumId="49">
    <w:nsid w:val="3DD15094"/>
    <w:multiLevelType w:val="hybridMultilevel"/>
    <w:lvl w:ilvl="0">
      <w:lvlJc w:val="left"/>
      <w:lvlText w:val="•"/>
      <w:numFmt w:val="bullet"/>
      <w:start w:val="1"/>
    </w:lvl>
  </w:abstractNum>
  <w:abstractNum w:abstractNumId="50">
    <w:nsid w:val="3DB012B3"/>
    <w:multiLevelType w:val="hybridMultilevel"/>
    <w:lvl w:ilvl="0">
      <w:lvlJc w:val="left"/>
      <w:lvlText w:val="●"/>
      <w:numFmt w:val="bullet"/>
      <w:start w:val="1"/>
    </w:lvl>
  </w:abstractNum>
  <w:abstractNum w:abstractNumId="51">
    <w:nsid w:val="2708C9AF"/>
    <w:multiLevelType w:val="hybridMultilevel"/>
    <w:lvl w:ilvl="0">
      <w:lvlJc w:val="left"/>
      <w:lvlText w:val="•"/>
      <w:numFmt w:val="bullet"/>
      <w:start w:val="1"/>
    </w:lvl>
  </w:abstractNum>
  <w:abstractNum w:abstractNumId="52">
    <w:nsid w:val="5B25ACE2"/>
    <w:multiLevelType w:val="hybridMultilevel"/>
    <w:lvl w:ilvl="0">
      <w:lvlJc w:val="left"/>
      <w:lvlText w:val="•"/>
      <w:numFmt w:val="bullet"/>
      <w:start w:val="1"/>
    </w:lvl>
  </w:abstractNum>
  <w:abstractNum w:abstractNumId="53">
    <w:nsid w:val="175DFCF0"/>
    <w:multiLevelType w:val="hybridMultilevel"/>
    <w:lvl w:ilvl="0">
      <w:lvlJc w:val="left"/>
      <w:lvlText w:val="•"/>
      <w:numFmt w:val="bullet"/>
      <w:start w:val="1"/>
    </w:lvl>
  </w:abstractNum>
  <w:abstractNum w:abstractNumId="54">
    <w:nsid w:val="4F97E3E4"/>
    <w:multiLevelType w:val="hybridMultilevel"/>
    <w:lvl w:ilvl="0">
      <w:lvlJc w:val="left"/>
      <w:lvlText w:val="•"/>
      <w:numFmt w:val="bullet"/>
      <w:start w:val="1"/>
    </w:lvl>
  </w:abstractNum>
  <w:abstractNum w:abstractNumId="55">
    <w:nsid w:val="53B0A9E"/>
    <w:multiLevelType w:val="hybridMultilevel"/>
    <w:lvl w:ilvl="0">
      <w:lvlJc w:val="left"/>
      <w:lvlText w:val="•"/>
      <w:numFmt w:val="bullet"/>
      <w:start w:val="1"/>
    </w:lvl>
  </w:abstractNum>
  <w:abstractNum w:abstractNumId="56">
    <w:nsid w:val="34FD6B4F"/>
    <w:multiLevelType w:val="hybridMultilevel"/>
    <w:lvl w:ilvl="0">
      <w:lvlJc w:val="left"/>
      <w:lvlText w:val="•"/>
      <w:numFmt w:val="bullet"/>
      <w:start w:val="1"/>
    </w:lvl>
  </w:abstractNum>
  <w:abstractNum w:abstractNumId="57">
    <w:nsid w:val="5915FF32"/>
    <w:multiLevelType w:val="hybridMultilevel"/>
    <w:lvl w:ilvl="0">
      <w:lvlJc w:val="left"/>
      <w:lvlText w:val="•"/>
      <w:numFmt w:val="bullet"/>
      <w:start w:val="1"/>
    </w:lvl>
  </w:abstractNum>
  <w:abstractNum w:abstractNumId="58">
    <w:nsid w:val="56438D15"/>
    <w:multiLevelType w:val="hybridMultilevel"/>
    <w:lvl w:ilvl="0">
      <w:lvlJc w:val="left"/>
      <w:lvlText w:val="•"/>
      <w:numFmt w:val="bullet"/>
      <w:start w:val="1"/>
    </w:lvl>
  </w:abstractNum>
  <w:abstractNum w:abstractNumId="59">
    <w:nsid w:val="519E3149"/>
    <w:multiLevelType w:val="hybridMultilevel"/>
    <w:lvl w:ilvl="0">
      <w:lvlJc w:val="left"/>
      <w:lvlText w:val="•"/>
      <w:numFmt w:val="bullet"/>
      <w:start w:val="1"/>
    </w:lvl>
  </w:abstractNum>
  <w:abstractNum w:abstractNumId="60">
    <w:nsid w:val="2C6E4AFD"/>
    <w:multiLevelType w:val="hybridMultilevel"/>
    <w:lvl w:ilvl="0">
      <w:lvlJc w:val="left"/>
      <w:lvlText w:val="•"/>
      <w:numFmt w:val="bullet"/>
      <w:start w:val="1"/>
    </w:lvl>
  </w:abstractNum>
  <w:abstractNum w:abstractNumId="61">
    <w:nsid w:val="17A1B582"/>
    <w:multiLevelType w:val="hybridMultilevel"/>
    <w:lvl w:ilvl="0">
      <w:lvlJc w:val="left"/>
      <w:lvlText w:val="2"/>
      <w:numFmt w:val="bullet"/>
      <w:start w:val="1"/>
    </w:lvl>
  </w:abstractNum>
  <w:abstractNum w:abstractNumId="62">
    <w:nsid w:val="4DF72E4E"/>
    <w:multiLevelType w:val="hybridMultilevel"/>
    <w:lvl w:ilvl="0">
      <w:lvlJc w:val="left"/>
      <w:lvlText w:val="a"/>
      <w:numFmt w:val="bullet"/>
      <w:start w:val="1"/>
    </w:lvl>
  </w:abstractNum>
  <w:abstractNum w:abstractNumId="63">
    <w:nsid w:val="5046B5A9"/>
    <w:multiLevelType w:val="hybridMultilevel"/>
    <w:lvl w:ilvl="0">
      <w:lvlJc w:val="left"/>
      <w:lvlText w:val="b"/>
      <w:numFmt w:val="bullet"/>
      <w:start w:val="1"/>
    </w:lvl>
  </w:abstractNum>
  <w:abstractNum w:abstractNumId="64">
    <w:nsid w:val="5D888A08"/>
    <w:multiLevelType w:val="hybridMultilevel"/>
    <w:lvl w:ilvl="0">
      <w:lvlJc w:val="left"/>
      <w:lvlText w:val="•"/>
      <w:numFmt w:val="bullet"/>
      <w:start w:val="1"/>
    </w:lvl>
  </w:abstractNum>
  <w:abstractNum w:abstractNumId="65">
    <w:nsid w:val="2A082C70"/>
    <w:multiLevelType w:val="hybridMultilevel"/>
    <w:lvl w:ilvl="0">
      <w:lvlJc w:val="left"/>
      <w:lvlText w:val="%1"/>
      <w:numFmt w:val="decimal"/>
      <w:start w:val="38"/>
    </w:lvl>
  </w:abstractNum>
  <w:abstractNum w:abstractNumId="66">
    <w:nsid w:val="5EC6AFD4"/>
    <w:multiLevelType w:val="hybridMultilevel"/>
    <w:lvl w:ilvl="0">
      <w:lvlJc w:val="left"/>
      <w:lvlText w:val="•"/>
      <w:numFmt w:val="bullet"/>
      <w:start w:val="1"/>
    </w:lvl>
  </w:abstractNum>
  <w:abstractNum w:abstractNumId="67">
    <w:nsid w:val="19E21BB2"/>
    <w:multiLevelType w:val="hybridMultilevel"/>
    <w:lvl w:ilvl="0">
      <w:lvlJc w:val="left"/>
      <w:lvlText w:val="•"/>
      <w:numFmt w:val="bullet"/>
      <w:start w:val="1"/>
    </w:lvl>
  </w:abstractNum>
  <w:abstractNum w:abstractNumId="68">
    <w:nsid w:val="75E0858A"/>
    <w:multiLevelType w:val="hybridMultilevel"/>
    <w:lvl w:ilvl="0">
      <w:lvlJc w:val="left"/>
      <w:lvlText w:val="•"/>
      <w:numFmt w:val="bullet"/>
      <w:start w:val="1"/>
    </w:lvl>
    <w:lvl w:ilvl="1">
      <w:lvlJc w:val="left"/>
      <w:lvlText w:val="•"/>
      <w:numFmt w:val="bullet"/>
      <w:start w:val="1"/>
    </w:lvl>
  </w:abstractNum>
  <w:abstractNum w:abstractNumId="69">
    <w:nsid w:val="57A61A29"/>
    <w:multiLevelType w:val="hybridMultilevel"/>
    <w:lvl w:ilvl="0">
      <w:lvlJc w:val="left"/>
      <w:lvlText w:val="•"/>
      <w:numFmt w:val="bullet"/>
      <w:start w:val="1"/>
    </w:lvl>
  </w:abstractNum>
  <w:abstractNum w:abstractNumId="70">
    <w:nsid w:val="5399C654"/>
    <w:multiLevelType w:val="hybridMultilevel"/>
    <w:lvl w:ilvl="0">
      <w:lvlJc w:val="left"/>
      <w:lvlText w:val="2"/>
      <w:numFmt w:val="bullet"/>
      <w:start w:val="1"/>
    </w:lvl>
  </w:abstractNum>
  <w:abstractNum w:abstractNumId="71">
    <w:nsid w:val="20EE1348"/>
    <w:multiLevelType w:val="hybridMultilevel"/>
    <w:lvl w:ilvl="0">
      <w:lvlJc w:val="left"/>
      <w:lvlText w:val="3"/>
      <w:numFmt w:val="bullet"/>
      <w:start w:val="1"/>
    </w:lvl>
  </w:abstractNum>
  <w:abstractNum w:abstractNumId="72">
    <w:nsid w:val="4427069A"/>
    <w:multiLevelType w:val="hybridMultilevel"/>
    <w:lvl w:ilvl="0">
      <w:lvlJc w:val="left"/>
      <w:lvlText w:val="4"/>
      <w:numFmt w:val="bullet"/>
      <w:start w:val="1"/>
    </w:lvl>
  </w:abstractNum>
  <w:abstractNum w:abstractNumId="73">
    <w:nsid w:val="B37E80A"/>
    <w:multiLevelType w:val="hybridMultilevel"/>
    <w:lvl w:ilvl="0">
      <w:lvlJc w:val="left"/>
      <w:lvlText w:val="1"/>
      <w:numFmt w:val="bullet"/>
      <w:start w:val="1"/>
    </w:lvl>
  </w:abstractNum>
  <w:abstractNum w:abstractNumId="74">
    <w:nsid w:val="2157F6BC"/>
    <w:multiLevelType w:val="hybridMultilevel"/>
    <w:lvl w:ilvl="0">
      <w:lvlJc w:val="left"/>
      <w:lvlText w:val="%1."/>
      <w:numFmt w:val="decimal"/>
      <w:start w:val="1"/>
    </w:lvl>
  </w:abstractNum>
  <w:abstractNum w:abstractNumId="75">
    <w:nsid w:val="704E1DD5"/>
    <w:multiLevelType w:val="hybridMultilevel"/>
    <w:lvl w:ilvl="0">
      <w:lvlJc w:val="left"/>
      <w:lvlText w:val="%1."/>
      <w:numFmt w:val="decimal"/>
      <w:start w:val="3"/>
    </w:lvl>
  </w:abstractNum>
  <w:abstractNum w:abstractNumId="76">
    <w:nsid w:val="57D2F10E"/>
    <w:multiLevelType w:val="hybridMultilevel"/>
    <w:lvl w:ilvl="0">
      <w:lvlJc w:val="left"/>
      <w:lvlText w:val="1"/>
      <w:numFmt w:val="bullet"/>
      <w:start w:val="1"/>
    </w:lvl>
  </w:abstractNum>
  <w:abstractNum w:abstractNumId="77">
    <w:nsid w:val="BFFAE18"/>
    <w:multiLevelType w:val="hybridMultilevel"/>
    <w:lvl w:ilvl="0">
      <w:lvlJc w:val="left"/>
      <w:lvlText w:val="2"/>
      <w:numFmt w:val="bullet"/>
      <w:start w:val="1"/>
    </w:lvl>
  </w:abstractNum>
  <w:abstractNum w:abstractNumId="78">
    <w:nsid w:val="E3E47A8"/>
    <w:multiLevelType w:val="hybridMultilevel"/>
    <w:lvl w:ilvl="0">
      <w:lvlJc w:val="left"/>
      <w:lvlText w:val="3"/>
      <w:numFmt w:val="bullet"/>
      <w:start w:val="1"/>
    </w:lvl>
  </w:abstractNum>
  <w:abstractNum w:abstractNumId="79">
    <w:nsid w:val="2E48F044"/>
    <w:multiLevelType w:val="hybridMultilevel"/>
    <w:lvl w:ilvl="0">
      <w:lvlJc w:val="left"/>
      <w:lvlText w:val="2"/>
      <w:numFmt w:val="bullet"/>
      <w:start w:val="1"/>
    </w:lvl>
  </w:abstractNum>
  <w:abstractNum w:abstractNumId="80">
    <w:nsid w:val="49D0FEAC"/>
    <w:multiLevelType w:val="hybridMultilevel"/>
    <w:lvl w:ilvl="0">
      <w:lvlJc w:val="left"/>
      <w:lvlText w:val="1"/>
      <w:numFmt w:val="bullet"/>
      <w:start w:val="1"/>
    </w:lvl>
  </w:abstractNum>
  <w:abstractNum w:abstractNumId="81">
    <w:nsid w:val="4BEE5A5B"/>
    <w:multiLevelType w:val="hybridMultilevel"/>
    <w:lvl w:ilvl="0">
      <w:lvlJc w:val="left"/>
      <w:lvlText w:val="*"/>
      <w:numFmt w:val="bullet"/>
      <w:start w:val="1"/>
    </w:lvl>
  </w:abstractNum>
  <w:abstractNum w:abstractNumId="82">
    <w:nsid w:val="5551B9F3"/>
    <w:multiLevelType w:val="hybridMultilevel"/>
    <w:lvl w:ilvl="0">
      <w:lvlJc w:val="left"/>
      <w:lvlText w:val="1"/>
      <w:numFmt w:val="bullet"/>
      <w:start w:val="1"/>
    </w:lvl>
  </w:abstractNum>
  <w:abstractNum w:abstractNumId="83">
    <w:nsid w:val="24F6AB8E"/>
    <w:multiLevelType w:val="hybridMultilevel"/>
    <w:lvl w:ilvl="0">
      <w:lvlJc w:val="left"/>
      <w:lvlText w:val="2"/>
      <w:numFmt w:val="bullet"/>
      <w:start w:val="1"/>
    </w:lvl>
  </w:abstractNum>
  <w:abstractNum w:abstractNumId="84">
    <w:nsid w:val="634C574C"/>
    <w:multiLevelType w:val="hybridMultilevel"/>
    <w:lvl w:ilvl="0">
      <w:lvlJc w:val="left"/>
      <w:lvlText w:val="3"/>
      <w:numFmt w:val="bullet"/>
      <w:start w:val="1"/>
    </w:lvl>
  </w:abstractNum>
  <w:abstractNum w:abstractNumId="85">
    <w:nsid w:val="24E99DD7"/>
    <w:multiLevelType w:val="hybridMultilevel"/>
    <w:lvl w:ilvl="0">
      <w:lvlJc w:val="left"/>
      <w:lvlText w:val="2"/>
      <w:numFmt w:val="bullet"/>
      <w:start w:val="1"/>
    </w:lvl>
  </w:abstractNum>
  <w:abstractNum w:abstractNumId="86">
    <w:nsid w:val="2A31B62D"/>
    <w:multiLevelType w:val="hybridMultilevel"/>
    <w:lvl w:ilvl="0">
      <w:lvlJc w:val="left"/>
      <w:lvlText w:val="1"/>
      <w:numFmt w:val="bullet"/>
      <w:start w:val="1"/>
    </w:lvl>
  </w:abstractNum>
  <w:abstractNum w:abstractNumId="87">
    <w:nsid w:val="1849C29B"/>
    <w:multiLevelType w:val="hybridMultilevel"/>
    <w:lvl w:ilvl="0">
      <w:lvlJc w:val="left"/>
      <w:lvlText w:val="2"/>
      <w:numFmt w:val="bullet"/>
      <w:start w:val="1"/>
    </w:lvl>
  </w:abstractNum>
  <w:abstractNum w:abstractNumId="88">
    <w:nsid w:val="7DFF9D09"/>
    <w:multiLevelType w:val="hybridMultilevel"/>
    <w:lvl w:ilvl="0">
      <w:lvlJc w:val="left"/>
      <w:lvlText w:val="1"/>
      <w:numFmt w:val="bullet"/>
      <w:start w:val="1"/>
    </w:lvl>
  </w:abstractNum>
  <w:abstractNum w:abstractNumId="89">
    <w:nsid w:val="754342"/>
    <w:multiLevelType w:val="hybridMultilevel"/>
    <w:lvl w:ilvl="0">
      <w:lvlJc w:val="left"/>
      <w:lvlText w:val="1"/>
      <w:numFmt w:val="bullet"/>
      <w:start w:val="1"/>
    </w:lvl>
  </w:abstractNum>
  <w:abstractNum w:abstractNumId="90">
    <w:nsid w:val="69E7F3E5"/>
    <w:multiLevelType w:val="hybridMultilevel"/>
    <w:lvl w:ilvl="0">
      <w:lvlJc w:val="left"/>
      <w:lvlText w:val="•"/>
      <w:numFmt w:val="bullet"/>
      <w:start w:val="1"/>
    </w:lvl>
  </w:abstractNum>
  <w:abstractNum w:abstractNumId="91">
    <w:nsid w:val="2A6DE806"/>
    <w:multiLevelType w:val="hybridMultilevel"/>
    <w:lvl w:ilvl="0">
      <w:lvlJc w:val="left"/>
      <w:lvlText w:val="•"/>
      <w:numFmt w:val="bullet"/>
      <w:start w:val="1"/>
    </w:lvl>
  </w:abstractNum>
  <w:abstractNum w:abstractNumId="92">
    <w:nsid w:val="1816F8C4"/>
    <w:multiLevelType w:val="hybridMultilevel"/>
    <w:lvl w:ilvl="0">
      <w:lvlJc w:val="left"/>
      <w:lvlText w:val="•"/>
      <w:numFmt w:val="bullet"/>
      <w:start w:val="1"/>
    </w:lvl>
  </w:abstractNum>
  <w:abstractNum w:abstractNumId="93">
    <w:nsid w:val="37DF2233"/>
    <w:multiLevelType w:val="hybridMultilevel"/>
    <w:lvl w:ilvl="0">
      <w:lvlJc w:val="left"/>
      <w:lvlText w:val="1"/>
      <w:numFmt w:val="bullet"/>
      <w:start w:val="1"/>
    </w:lvl>
  </w:abstractNum>
  <w:abstractNum w:abstractNumId="94">
    <w:nsid w:val="7AB49DAF"/>
    <w:multiLevelType w:val="hybridMultilevel"/>
    <w:lvl w:ilvl="0">
      <w:lvlJc w:val="left"/>
      <w:lvlText w:val="a"/>
      <w:numFmt w:val="bullet"/>
      <w:start w:val="1"/>
    </w:lvl>
  </w:abstractNum>
  <w:abstractNum w:abstractNumId="95">
    <w:nsid w:val="759F82CD"/>
    <w:multiLevelType w:val="hybridMultilevel"/>
    <w:lvl w:ilvl="0">
      <w:lvlJc w:val="left"/>
      <w:lvlText w:val="2"/>
      <w:numFmt w:val="bullet"/>
      <w:start w:val="1"/>
    </w:lvl>
  </w:abstractNum>
  <w:abstractNum w:abstractNumId="96">
    <w:nsid w:val="61E74EA3"/>
    <w:multiLevelType w:val="hybridMultilevel"/>
    <w:lvl w:ilvl="0">
      <w:lvlJc w:val="left"/>
      <w:lvlText w:val="3"/>
      <w:numFmt w:val="bullet"/>
      <w:start w:val="1"/>
    </w:lvl>
  </w:abstractNum>
  <w:abstractNum w:abstractNumId="97">
    <w:nsid w:val="597B4D84"/>
    <w:multiLevelType w:val="hybridMultilevel"/>
    <w:lvl w:ilvl="0">
      <w:lvlJc w:val="left"/>
      <w:lvlText w:val="†"/>
      <w:numFmt w:val="bullet"/>
      <w:start w:val="1"/>
    </w:lvl>
  </w:abstractNum>
  <w:abstractNum w:abstractNumId="98">
    <w:nsid w:val="F819E7F"/>
    <w:multiLevelType w:val="hybridMultilevel"/>
    <w:lvl w:ilvl="0">
      <w:lvlJc w:val="left"/>
      <w:lvlText w:val="a"/>
      <w:numFmt w:val="bullet"/>
      <w:start w:val="1"/>
    </w:lvl>
  </w:abstractNum>
  <w:abstractNum w:abstractNumId="99">
    <w:nsid w:val="57C7D42D"/>
    <w:multiLevelType w:val="hybridMultilevel"/>
    <w:lvl w:ilvl="0">
      <w:lvlJc w:val="left"/>
      <w:lvlText w:val="b"/>
      <w:numFmt w:val="bullet"/>
      <w:start w:val="1"/>
    </w:lvl>
  </w:abstractNum>
  <w:abstractNum w:abstractNumId="100">
    <w:nsid w:val="312167AD"/>
    <w:multiLevelType w:val="hybridMultilevel"/>
    <w:lvl w:ilvl="0">
      <w:lvlJc w:val="left"/>
      <w:lvlText w:val="g"/>
      <w:numFmt w:val="bullet"/>
      <w:start w:val="1"/>
    </w:lvl>
  </w:abstractNum>
  <w:abstractNum w:abstractNumId="101">
    <w:nsid w:val="631B64D4"/>
    <w:multiLevelType w:val="hybridMultilevel"/>
    <w:lvl w:ilvl="0">
      <w:lvlJc w:val="left"/>
      <w:lvlText w:val="i"/>
      <w:numFmt w:val="bullet"/>
      <w:start w:val="1"/>
    </w:lvl>
  </w:abstractNum>
  <w:abstractNum w:abstractNumId="102">
    <w:nsid w:val="78B5E776"/>
    <w:multiLevelType w:val="hybridMultilevel"/>
    <w:lvl w:ilvl="0">
      <w:lvlJc w:val="left"/>
      <w:lvlText w:val="6"/>
      <w:numFmt w:val="bullet"/>
      <w:start w:val="1"/>
    </w:lvl>
  </w:abstractNum>
  <w:abstractNum w:abstractNumId="103">
    <w:nsid w:val="75486E47"/>
    <w:multiLevelType w:val="hybridMultilevel"/>
    <w:lvl w:ilvl="0">
      <w:lvlJc w:val="left"/>
      <w:lvlText w:val="8"/>
      <w:numFmt w:val="bullet"/>
      <w:start w:val="1"/>
    </w:lvl>
  </w:abstractNum>
  <w:abstractNum w:abstractNumId="104">
    <w:nsid w:val="6E534CDE"/>
    <w:multiLevelType w:val="hybridMultilevel"/>
    <w:lvl w:ilvl="0">
      <w:lvlJc w:val="left"/>
      <w:lvlText w:val="1"/>
      <w:numFmt w:val="bullet"/>
      <w:start w:val="1"/>
    </w:lvl>
  </w:abstractNum>
  <w:abstractNum w:abstractNumId="105">
    <w:nsid w:val="1A0DDE32"/>
    <w:multiLevelType w:val="hybridMultilevel"/>
    <w:lvl w:ilvl="0">
      <w:lvlJc w:val="left"/>
      <w:lvlText w:val="2"/>
      <w:numFmt w:val="bullet"/>
      <w:start w:val="1"/>
    </w:lvl>
  </w:abstractNum>
  <w:abstractNum w:abstractNumId="106">
    <w:nsid w:val="65968C1C"/>
    <w:multiLevelType w:val="hybridMultilevel"/>
    <w:lvl w:ilvl="0">
      <w:lvlJc w:val="left"/>
      <w:lvlText w:val="•"/>
      <w:numFmt w:val="bullet"/>
      <w:start w:val="1"/>
    </w:lvl>
  </w:abstractNum>
  <w:abstractNum w:abstractNumId="107">
    <w:nsid w:val="46263DEC"/>
    <w:multiLevelType w:val="hybridMultilevel"/>
    <w:lvl w:ilvl="0">
      <w:lvlJc w:val="left"/>
      <w:lvlText w:val="•"/>
      <w:numFmt w:val="bullet"/>
      <w:start w:val="1"/>
    </w:lvl>
  </w:abstractNum>
  <w:abstractNum w:abstractNumId="108">
    <w:nsid w:val="260D8C4A"/>
    <w:multiLevelType w:val="hybridMultilevel"/>
    <w:lvl w:ilvl="0">
      <w:lvlJc w:val="left"/>
      <w:lvlText w:val="•"/>
      <w:numFmt w:val="bullet"/>
      <w:start w:val="1"/>
    </w:lvl>
  </w:abstractNum>
  <w:abstractNum w:abstractNumId="109">
    <w:nsid w:val="73D4D3C4"/>
    <w:multiLevelType w:val="hybridMultilevel"/>
    <w:lvl w:ilvl="0">
      <w:lvlJc w:val="left"/>
      <w:lvlText w:val="(%1)"/>
      <w:numFmt w:val="lowerRoman"/>
      <w:start w:val="2"/>
    </w:lvl>
  </w:abstractNum>
  <w:abstractNum w:abstractNumId="110">
    <w:nsid w:val="746F2E30"/>
    <w:multiLevelType w:val="hybridMultilevel"/>
    <w:lvl w:ilvl="0">
      <w:lvlJc w:val="left"/>
      <w:lvlText w:val="•"/>
      <w:numFmt w:val="bullet"/>
      <w:start w:val="1"/>
    </w:lvl>
  </w:abstractNum>
  <w:abstractNum w:abstractNumId="111">
    <w:nsid w:val="6FDE8AF6"/>
    <w:multiLevelType w:val="hybridMultilevel"/>
    <w:lvl w:ilvl="0">
      <w:lvlJc w:val="left"/>
      <w:lvlText w:val="•"/>
      <w:numFmt w:val="bullet"/>
      <w:start w:val="1"/>
    </w:lvl>
  </w:abstractNum>
  <w:abstractNum w:abstractNumId="112">
    <w:nsid w:val="3FC32E20"/>
    <w:multiLevelType w:val="hybridMultilevel"/>
    <w:lvl w:ilvl="0">
      <w:lvlJc w:val="left"/>
      <w:lvlText w:val="•"/>
      <w:numFmt w:val="bullet"/>
      <w:start w:val="1"/>
    </w:lvl>
  </w:abstractNum>
  <w:abstractNum w:abstractNumId="113">
    <w:nsid w:val="49C0E823"/>
    <w:multiLevelType w:val="hybridMultilevel"/>
    <w:lvl w:ilvl="0">
      <w:lvlJc w:val="left"/>
      <w:lvlText w:val="1"/>
      <w:numFmt w:val="bullet"/>
      <w:start w:val="1"/>
    </w:lvl>
  </w:abstractNum>
  <w:abstractNum w:abstractNumId="114">
    <w:nsid w:val="14D53685"/>
    <w:multiLevelType w:val="hybridMultilevel"/>
    <w:lvl w:ilvl="0">
      <w:lvlJc w:val="left"/>
      <w:lvlText w:val="1"/>
      <w:numFmt w:val="bullet"/>
      <w:start w:val="1"/>
    </w:lvl>
  </w:abstractNum>
  <w:abstractNum w:abstractNumId="115">
    <w:nsid w:val="230F856C"/>
    <w:multiLevelType w:val="hybridMultilevel"/>
    <w:lvl w:ilvl="0">
      <w:lvlJc w:val="left"/>
      <w:lvlText w:val="1"/>
      <w:numFmt w:val="bullet"/>
      <w:start w:val="1"/>
    </w:lvl>
  </w:abstractNum>
  <w:abstractNum w:abstractNumId="116">
    <w:nsid w:val="6EAA85FB"/>
    <w:multiLevelType w:val="hybridMultilevel"/>
    <w:lvl w:ilvl="0">
      <w:lvlJc w:val="left"/>
      <w:lvlText w:val="2"/>
      <w:numFmt w:val="bullet"/>
      <w:start w:val="1"/>
    </w:lvl>
  </w:abstractNum>
  <w:abstractNum w:abstractNumId="117">
    <w:nsid w:val="3F06ECB2"/>
    <w:multiLevelType w:val="hybridMultilevel"/>
    <w:lvl w:ilvl="0">
      <w:lvlJc w:val="left"/>
      <w:lvlText w:val="3"/>
      <w:numFmt w:val="bullet"/>
      <w:start w:val="1"/>
    </w:lvl>
  </w:abstractNum>
  <w:abstractNum w:abstractNumId="118">
    <w:nsid w:val="3B594807"/>
    <w:multiLevelType w:val="hybridMultilevel"/>
    <w:lvl w:ilvl="0">
      <w:lvlJc w:val="left"/>
      <w:lvlText w:val="4"/>
      <w:numFmt w:val="bullet"/>
      <w:start w:val="1"/>
    </w:lvl>
  </w:abstractNum>
  <w:abstractNum w:abstractNumId="119">
    <w:nsid w:val="6CAA2304"/>
    <w:multiLevelType w:val="hybridMultilevel"/>
    <w:lvl w:ilvl="0">
      <w:lvlJc w:val="left"/>
      <w:lvlText w:val="5"/>
      <w:numFmt w:val="bullet"/>
      <w:start w:val="1"/>
    </w:lvl>
  </w:abstractNum>
  <w:abstractNum w:abstractNumId="120">
    <w:nsid w:val="3F7C2FF4"/>
    <w:multiLevelType w:val="hybridMultilevel"/>
    <w:lvl w:ilvl="0">
      <w:lvlJc w:val="left"/>
      <w:lvlText w:val="6"/>
      <w:numFmt w:val="bullet"/>
      <w:start w:val="1"/>
    </w:lvl>
  </w:abstractNum>
  <w:abstractNum w:abstractNumId="121">
    <w:nsid w:val="25413BEC"/>
    <w:multiLevelType w:val="hybridMultilevel"/>
    <w:lvl w:ilvl="0">
      <w:lvlJc w:val="left"/>
      <w:lvlText w:val="7"/>
      <w:numFmt w:val="bullet"/>
      <w:start w:val="1"/>
    </w:lvl>
  </w:abstractNum>
  <w:abstractNum w:abstractNumId="122">
    <w:nsid w:val="17180B0B"/>
    <w:multiLevelType w:val="hybridMultilevel"/>
    <w:lvl w:ilvl="0">
      <w:lvlJc w:val="left"/>
      <w:lvlText w:val="8"/>
      <w:numFmt w:val="bullet"/>
      <w:start w:val="1"/>
    </w:lvl>
  </w:abstractNum>
  <w:abstractNum w:abstractNumId="123">
    <w:nsid w:val="579328B9"/>
    <w:multiLevelType w:val="hybridMultilevel"/>
    <w:lvl w:ilvl="0">
      <w:lvlJc w:val="left"/>
      <w:lvlText w:val="1"/>
      <w:numFmt w:val="bullet"/>
      <w:start w:val="1"/>
    </w:lvl>
  </w:abstractNum>
  <w:abstractNum w:abstractNumId="124">
    <w:nsid w:val="5D205E20"/>
    <w:multiLevelType w:val="hybridMultilevel"/>
    <w:lvl w:ilvl="0">
      <w:lvlJc w:val="left"/>
      <w:lvlText w:val="1"/>
      <w:numFmt w:val="bullet"/>
      <w:start w:val="1"/>
    </w:lvl>
  </w:abstractNum>
  <w:abstractNum w:abstractNumId="125">
    <w:nsid w:val="11CCA8BA"/>
    <w:multiLevelType w:val="hybridMultilevel"/>
    <w:lvl w:ilvl="0">
      <w:lvlJc w:val="left"/>
      <w:lvlText w:val="2"/>
      <w:numFmt w:val="bullet"/>
      <w:start w:val="1"/>
    </w:lvl>
    <w:lvl w:ilvl="1">
      <w:lvlJc w:val="left"/>
      <w:lvlText w:val="(%2)"/>
      <w:numFmt w:val="lowerRoman"/>
      <w:start w:val="1"/>
    </w:lvl>
  </w:abstractNum>
  <w:abstractNum w:abstractNumId="126">
    <w:nsid w:val="4D32AB86"/>
    <w:multiLevelType w:val="hybridMultilevel"/>
    <w:lvl w:ilvl="0">
      <w:lvlJc w:val="left"/>
      <w:lvlText w:val="\endash "/>
      <w:numFmt w:val="bullet"/>
      <w:start w:val="1"/>
    </w:lvl>
  </w:abstractNum>
  <w:abstractNum w:abstractNumId="127">
    <w:nsid w:val="3F07ACC3"/>
    <w:multiLevelType w:val="hybridMultilevel"/>
    <w:lvl w:ilvl="0">
      <w:lvlJc w:val="left"/>
      <w:lvlText w:val="•"/>
      <w:numFmt w:val="bullet"/>
      <w:start w:val="1"/>
    </w:lvl>
  </w:abstractNum>
  <w:abstractNum w:abstractNumId="128">
    <w:nsid w:val="6B47F63E"/>
    <w:multiLevelType w:val="hybridMultilevel"/>
    <w:lvl w:ilvl="0">
      <w:lvlJc w:val="left"/>
      <w:lvlText w:val="1"/>
      <w:numFmt w:val="bullet"/>
      <w:start w:val="1"/>
    </w:lvl>
  </w:abstractNum>
  <w:abstractNum w:abstractNumId="129">
    <w:nsid w:val="5CB44A05"/>
    <w:multiLevelType w:val="hybridMultilevel"/>
    <w:lvl w:ilvl="0">
      <w:lvlJc w:val="left"/>
      <w:lvlText w:val="3"/>
      <w:numFmt w:val="bullet"/>
      <w:start w:val="1"/>
    </w:lvl>
  </w:abstractNum>
  <w:abstractNum w:abstractNumId="130">
    <w:nsid w:val="16CF80F1"/>
    <w:multiLevelType w:val="hybridMultilevel"/>
    <w:lvl w:ilvl="0">
      <w:lvlJc w:val="left"/>
      <w:lvlText w:val="•"/>
      <w:numFmt w:val="bullet"/>
      <w:start w:val="1"/>
    </w:lvl>
  </w:abstractNum>
  <w:abstractNum w:abstractNumId="131">
    <w:nsid w:val="1C695DEC"/>
    <w:multiLevelType w:val="hybridMultilevel"/>
    <w:lvl w:ilvl="0">
      <w:lvlJc w:val="left"/>
      <w:lvlText w:val="1"/>
      <w:numFmt w:val="bullet"/>
      <w:start w:val="1"/>
    </w:lvl>
  </w:abstractNum>
  <w:abstractNum w:abstractNumId="132">
    <w:nsid w:val="3FCFAED9"/>
    <w:multiLevelType w:val="hybridMultilevel"/>
    <w:lvl w:ilvl="0">
      <w:lvlJc w:val="left"/>
      <w:lvlText w:val="2"/>
      <w:numFmt w:val="bullet"/>
      <w:start w:val="1"/>
    </w:lvl>
  </w:abstractNum>
  <w:abstractNum w:abstractNumId="133">
    <w:nsid w:val="F856867"/>
    <w:multiLevelType w:val="hybridMultilevel"/>
    <w:lvl w:ilvl="0">
      <w:lvlJc w:val="left"/>
      <w:lvlText w:val="3"/>
      <w:numFmt w:val="bullet"/>
      <w:start w:val="1"/>
    </w:lvl>
  </w:abstractNum>
  <w:abstractNum w:abstractNumId="134">
    <w:nsid w:val="11B1CC33"/>
    <w:multiLevelType w:val="hybridMultilevel"/>
    <w:lvl w:ilvl="0">
      <w:lvlJc w:val="left"/>
      <w:lvlText w:val="4"/>
      <w:numFmt w:val="bullet"/>
      <w:start w:val="1"/>
    </w:lvl>
  </w:abstractNum>
  <w:abstractNum w:abstractNumId="135">
    <w:nsid w:val="2E22FBB7"/>
    <w:multiLevelType w:val="hybridMultilevel"/>
    <w:lvl w:ilvl="0">
      <w:lvlJc w:val="left"/>
      <w:lvlText w:val="5"/>
      <w:numFmt w:val="bullet"/>
      <w:start w:val="1"/>
    </w:lvl>
  </w:abstractNum>
  <w:abstractNum w:abstractNumId="136">
    <w:nsid w:val="29934699"/>
    <w:multiLevelType w:val="hybridMultilevel"/>
    <w:lvl w:ilvl="0">
      <w:lvlJc w:val="left"/>
      <w:lvlText w:val="6"/>
      <w:numFmt w:val="bullet"/>
      <w:start w:val="1"/>
    </w:lvl>
  </w:abstractNum>
  <w:abstractNum w:abstractNumId="137">
    <w:nsid w:val="77485850"/>
    <w:multiLevelType w:val="hybridMultilevel"/>
    <w:lvl w:ilvl="0">
      <w:lvlJc w:val="left"/>
      <w:lvlText w:val="7"/>
      <w:numFmt w:val="bullet"/>
      <w:start w:val="1"/>
    </w:lvl>
  </w:abstractNum>
  <w:abstractNum w:abstractNumId="138">
    <w:nsid w:val="744939A3"/>
    <w:multiLevelType w:val="hybridMultilevel"/>
    <w:lvl w:ilvl="0">
      <w:lvlJc w:val="left"/>
      <w:lvlText w:val="8"/>
      <w:numFmt w:val="bullet"/>
      <w:start w:val="1"/>
    </w:lvl>
  </w:abstractNum>
  <w:abstractNum w:abstractNumId="139">
    <w:nsid w:val="4FA0D2E3"/>
    <w:multiLevelType w:val="hybridMultilevel"/>
    <w:lvl w:ilvl="0">
      <w:lvlJc w:val="left"/>
      <w:lvlText w:val="•"/>
      <w:numFmt w:val="bullet"/>
      <w:start w:val="1"/>
    </w:lvl>
  </w:abstractNum>
  <w:abstractNum w:abstractNumId="140">
    <w:nsid w:val="6B1D2C14"/>
    <w:multiLevelType w:val="hybridMultilevel"/>
    <w:lvl w:ilvl="0">
      <w:lvlJc w:val="left"/>
      <w:lvlText w:val="1"/>
      <w:numFmt w:val="bullet"/>
      <w:start w:val="1"/>
    </w:lvl>
    <w:lvl w:ilvl="1">
      <w:lvlJc w:val="left"/>
      <w:lvlText w:val="•"/>
      <w:numFmt w:val="bullet"/>
      <w:start w:val="1"/>
    </w:lvl>
  </w:abstractNum>
  <w:abstractNum w:abstractNumId="141">
    <w:nsid w:val="68B867D3"/>
    <w:multiLevelType w:val="hybridMultilevel"/>
    <w:lvl w:ilvl="0">
      <w:lvlJc w:val="left"/>
      <w:lvlText w:val="2"/>
      <w:numFmt w:val="bullet"/>
      <w:start w:val="1"/>
    </w:lvl>
  </w:abstractNum>
  <w:abstractNum w:abstractNumId="142">
    <w:nsid w:val="3F7F5DD9"/>
    <w:multiLevelType w:val="hybridMultilevel"/>
    <w:lvl w:ilvl="0">
      <w:lvlJc w:val="left"/>
      <w:lvlText w:val="*"/>
      <w:numFmt w:val="bullet"/>
      <w:start w:val="1"/>
    </w:lvl>
  </w:abstractNum>
  <w:abstractNum w:abstractNumId="143">
    <w:nsid w:val="2AE05A34"/>
    <w:multiLevelType w:val="hybridMultilevel"/>
    <w:lvl w:ilvl="0">
      <w:lvlJc w:val="left"/>
      <w:lvlText w:val="3"/>
      <w:numFmt w:val="bullet"/>
      <w:start w:val="1"/>
    </w:lvl>
  </w:abstractNum>
  <w:abstractNum w:abstractNumId="144">
    <w:nsid w:val="32794FF7"/>
    <w:multiLevelType w:val="hybridMultilevel"/>
    <w:lvl w:ilvl="0">
      <w:lvlJc w:val="left"/>
      <w:lvlText w:val="*"/>
      <w:numFmt w:val="bullet"/>
      <w:start w:val="1"/>
    </w:lvl>
  </w:abstractNum>
  <w:abstractNum w:abstractNumId="145">
    <w:nsid w:val="5454945E"/>
    <w:multiLevelType w:val="hybridMultilevel"/>
    <w:lvl w:ilvl="0">
      <w:lvlJc w:val="left"/>
      <w:lvlText w:val="4"/>
      <w:numFmt w:val="bullet"/>
      <w:start w:val="1"/>
    </w:lvl>
  </w:abstractNum>
  <w:abstractNum w:abstractNumId="146">
    <w:nsid w:val="4DEFDFA0"/>
    <w:multiLevelType w:val="hybridMultilevel"/>
    <w:lvl w:ilvl="0">
      <w:lvlJc w:val="left"/>
      <w:lvlText w:val="6"/>
      <w:numFmt w:val="bullet"/>
      <w:start w:val="1"/>
    </w:lvl>
  </w:abstractNum>
  <w:abstractNum w:abstractNumId="147">
    <w:nsid w:val="2123D5F2"/>
    <w:multiLevelType w:val="hybridMultilevel"/>
    <w:lvl w:ilvl="0">
      <w:lvlJc w:val="left"/>
      <w:lvlText w:val="2"/>
      <w:numFmt w:val="bullet"/>
      <w:start w:val="1"/>
    </w:lvl>
  </w:abstractNum>
  <w:abstractNum w:abstractNumId="148">
    <w:nsid w:val="135B8110"/>
    <w:multiLevelType w:val="hybridMultilevel"/>
    <w:lvl w:ilvl="0">
      <w:lvlJc w:val="left"/>
      <w:lvlText w:val="(%1)"/>
      <w:numFmt w:val="decimal"/>
      <w:start w:val="1"/>
    </w:lvl>
  </w:abstractNum>
  <w:abstractNum w:abstractNumId="149">
    <w:nsid w:val="94927A8"/>
    <w:multiLevelType w:val="hybridMultilevel"/>
    <w:lvl w:ilvl="0">
      <w:lvlJc w:val="left"/>
      <w:lvlText w:val="•"/>
      <w:numFmt w:val="bullet"/>
      <w:start w:val="1"/>
    </w:lvl>
  </w:abstractNum>
  <w:abstractNum w:abstractNumId="150">
    <w:nsid w:val="DCDF8F6"/>
    <w:multiLevelType w:val="hybridMultilevel"/>
    <w:lvl w:ilvl="0">
      <w:lvlJc w:val="left"/>
      <w:lvlText w:val="•"/>
      <w:numFmt w:val="bullet"/>
      <w:start w:val="1"/>
    </w:lvl>
  </w:abstractNum>
  <w:abstractNum w:abstractNumId="151">
    <w:nsid w:val="52D7B105"/>
    <w:multiLevelType w:val="hybridMultilevel"/>
    <w:lvl w:ilvl="0">
      <w:lvlJc w:val="left"/>
      <w:lvlText w:val="(%1)"/>
      <w:numFmt w:val="lowerRoman"/>
      <w:start w:val="1"/>
    </w:lvl>
  </w:abstractNum>
  <w:abstractNum w:abstractNumId="152">
    <w:nsid w:val="2E8A6394"/>
    <w:multiLevelType w:val="hybridMultilevel"/>
    <w:lvl w:ilvl="0">
      <w:lvlJc w:val="left"/>
      <w:lvlText w:val="1"/>
      <w:numFmt w:val="bullet"/>
      <w:start w:val="1"/>
    </w:lvl>
  </w:abstractNum>
  <w:abstractNum w:abstractNumId="153">
    <w:nsid w:val="24E60401"/>
    <w:multiLevelType w:val="hybridMultilevel"/>
    <w:lvl w:ilvl="0">
      <w:lvlJc w:val="left"/>
      <w:lvlText w:val="3"/>
      <w:numFmt w:val="bullet"/>
      <w:start w:val="1"/>
    </w:lvl>
  </w:abstractNum>
  <w:abstractNum w:abstractNumId="154">
    <w:nsid w:val="2A6AD9BE"/>
    <w:multiLevelType w:val="hybridMultilevel"/>
    <w:lvl w:ilvl="0">
      <w:lvlJc w:val="left"/>
      <w:lvlText w:val="1"/>
      <w:numFmt w:val="bullet"/>
      <w:start w:val="1"/>
    </w:lvl>
  </w:abstractNum>
  <w:abstractNum w:abstractNumId="155">
    <w:nsid w:val="BAAC1B4"/>
    <w:multiLevelType w:val="hybridMultilevel"/>
    <w:lvl w:ilvl="0">
      <w:lvlJc w:val="left"/>
      <w:lvlText w:val="2"/>
      <w:numFmt w:val="bullet"/>
      <w:start w:val="1"/>
    </w:lvl>
  </w:abstractNum>
  <w:abstractNum w:abstractNumId="156">
    <w:nsid w:val="36B2ACBC"/>
    <w:multiLevelType w:val="hybridMultilevel"/>
    <w:lvl w:ilvl="0">
      <w:lvlJc w:val="left"/>
      <w:lvlText w:val="3"/>
      <w:numFmt w:val="bullet"/>
      <w:start w:val="1"/>
    </w:lvl>
  </w:abstractNum>
  <w:abstractNum w:abstractNumId="157">
    <w:nsid w:val="779D8544"/>
    <w:multiLevelType w:val="hybridMultilevel"/>
    <w:lvl w:ilvl="0">
      <w:lvlJc w:val="left"/>
      <w:lvlText w:val="4"/>
      <w:numFmt w:val="bullet"/>
      <w:start w:val="1"/>
    </w:lvl>
  </w:abstractNum>
  <w:abstractNum w:abstractNumId="158">
    <w:nsid w:val="4AB26E78"/>
    <w:multiLevelType w:val="hybridMultilevel"/>
    <w:lvl w:ilvl="0">
      <w:lvlJc w:val="left"/>
      <w:lvlText w:val="5"/>
      <w:numFmt w:val="bullet"/>
      <w:start w:val="1"/>
    </w:lvl>
  </w:abstractNum>
  <w:abstractNum w:abstractNumId="159">
    <w:nsid w:val="21FAA2FA"/>
    <w:multiLevelType w:val="hybridMultilevel"/>
    <w:lvl w:ilvl="0">
      <w:lvlJc w:val="left"/>
      <w:lvlText w:val="•"/>
      <w:numFmt w:val="bullet"/>
      <w:start w:val="1"/>
    </w:lvl>
  </w:abstractNum>
  <w:abstractNum w:abstractNumId="160">
    <w:nsid w:val="5451CF49"/>
    <w:multiLevelType w:val="hybridMultilevel"/>
    <w:lvl w:ilvl="0">
      <w:lvlJc w:val="left"/>
      <w:lvlText w:val="1"/>
      <w:numFmt w:val="bullet"/>
      <w:start w:val="1"/>
    </w:lvl>
  </w:abstractNum>
  <w:abstractNum w:abstractNumId="161">
    <w:nsid w:val="6181EF69"/>
    <w:multiLevelType w:val="hybridMultilevel"/>
    <w:lvl w:ilvl="0">
      <w:lvlJc w:val="left"/>
      <w:lvlText w:val="1"/>
      <w:numFmt w:val="bullet"/>
      <w:start w:val="1"/>
    </w:lvl>
  </w:abstractNum>
  <w:abstractNum w:abstractNumId="162">
    <w:nsid w:val="3E6400E6"/>
    <w:multiLevelType w:val="hybridMultilevel"/>
    <w:lvl w:ilvl="0">
      <w:lvlJc w:val="left"/>
      <w:lvlText w:val="2"/>
      <w:numFmt w:val="bullet"/>
      <w:start w:val="1"/>
    </w:lvl>
  </w:abstractNum>
  <w:abstractNum w:abstractNumId="163">
    <w:nsid w:val="14217E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4">
    <w:nsid w:val="710757D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165">
    <w:nsid w:val="5015CD1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66">
    <w:nsid w:val="424479D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67">
    <w:nsid w:val="1A9A9E69"/>
    <w:multiLevelType w:val="hybridMultilevel"/>
    <w:lvl w:ilvl="0">
      <w:lvlJc w:val="left"/>
      <w:lvlText w:val="(%1)"/>
      <w:numFmt w:val="lowerRoman"/>
      <w:start w:val="3"/>
    </w:lvl>
  </w:abstractNum>
  <w:abstractNum w:abstractNumId="168">
    <w:nsid w:val="475E256A"/>
    <w:multiLevelType w:val="hybridMultilevel"/>
    <w:lvl w:ilvl="0">
      <w:lvlJc w:val="left"/>
      <w:lvlText w:val="(%1)"/>
      <w:numFmt w:val="lowerLetter"/>
      <w:start w:val="2"/>
    </w:lvl>
  </w:abstractNum>
  <w:abstractNum w:abstractNumId="169">
    <w:nsid w:val="368DB37E"/>
    <w:multiLevelType w:val="hybridMultilevel"/>
    <w:lvl w:ilvl="0">
      <w:lvlJc w:val="left"/>
      <w:lvlText w:val="%1."/>
      <w:numFmt w:val="decimal"/>
      <w:start w:val="4"/>
    </w:lvl>
    <w:lvl w:ilvl="1">
      <w:lvlJc w:val="left"/>
      <w:lvlText w:val="(%2)"/>
      <w:numFmt w:val="lowerLetter"/>
      <w:start w:val="1"/>
    </w:lvl>
  </w:abstractNum>
  <w:abstractNum w:abstractNumId="170">
    <w:nsid w:val="6A3B714C"/>
    <w:multiLevelType w:val="hybridMultilevel"/>
    <w:lvl w:ilvl="0">
      <w:lvlJc w:val="left"/>
      <w:lvlText w:val="(%1)"/>
      <w:numFmt w:val="lowerLetter"/>
      <w:start w:val="1"/>
    </w:lvl>
  </w:abstractNum>
  <w:abstractNum w:abstractNumId="171">
    <w:nsid w:val="327B517E"/>
    <w:multiLevelType w:val="hybridMultilevel"/>
    <w:lvl w:ilvl="0">
      <w:lvlJc w:val="left"/>
      <w:lvlText w:val="(%1)"/>
      <w:numFmt w:val="lowerLetter"/>
      <w:start w:val="1"/>
    </w:lvl>
  </w:abstractNum>
  <w:abstractNum w:abstractNumId="172">
    <w:nsid w:val="1F461B51"/>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73">
    <w:nsid w:val="29BACF25"/>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1"/>
    </w:lvl>
  </w:abstractNum>
  <w:abstractNum w:abstractNumId="174">
    <w:nsid w:val="5D5BABB3"/>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75">
    <w:nsid w:val="51BF6B4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76">
    <w:nsid w:val="7E0F6384"/>
    <w:multiLevelType w:val="hybridMultilevel"/>
    <w:lvl w:ilvl="0">
      <w:lvlJc w:val="left"/>
      <w:lvlText w:val="%1"/>
      <w:numFmt w:val="decimal"/>
      <w:start w:val="1"/>
    </w:lvl>
    <w:lvl w:ilvl="1">
      <w:lvlJc w:val="left"/>
      <w:lvlText w:val="(%2)"/>
      <w:numFmt w:val="lowerLetter"/>
      <w:start w:val="7"/>
    </w:lvl>
  </w:abstractNum>
  <w:abstractNum w:abstractNumId="177">
    <w:nsid w:val="2B4B8B53"/>
    <w:multiLevelType w:val="hybridMultilevel"/>
    <w:lvl w:ilvl="0">
      <w:lvlJc w:val="left"/>
      <w:lvlText w:val="%1."/>
      <w:numFmt w:val="decimal"/>
      <w:start w:val="8"/>
    </w:lvl>
    <w:lvl w:ilvl="1">
      <w:lvlJc w:val="left"/>
      <w:lvlText w:val="(%2)"/>
      <w:numFmt w:val="lowerLetter"/>
      <w:start w:val="1"/>
    </w:lvl>
  </w:abstractNum>
  <w:abstractNum w:abstractNumId="178">
    <w:nsid w:val="72E3413A"/>
    <w:multiLevelType w:val="hybridMultilevel"/>
    <w:lvl w:ilvl="0">
      <w:lvlJc w:val="left"/>
      <w:lvlText w:val="%1"/>
      <w:numFmt w:val="decimal"/>
      <w:start w:val="1"/>
    </w:lvl>
    <w:lvl w:ilvl="1">
      <w:lvlJc w:val="left"/>
      <w:lvlText w:val="(%2)"/>
      <w:numFmt w:val="lowerLetter"/>
      <w:start w:val="2"/>
    </w:lvl>
  </w:abstractNum>
  <w:abstractNum w:abstractNumId="179">
    <w:nsid w:val="116AE494"/>
    <w:multiLevelType w:val="hybridMultilevel"/>
    <w:lvl w:ilvl="0">
      <w:lvlJc w:val="left"/>
      <w:lvlText w:val="%1."/>
      <w:numFmt w:val="decimal"/>
      <w:start w:val="9"/>
    </w:lvl>
    <w:lvl w:ilvl="1">
      <w:lvlJc w:val="left"/>
      <w:lvlText w:val="(%2)"/>
      <w:numFmt w:val="lowerLetter"/>
      <w:start w:val="1"/>
    </w:lvl>
  </w:abstractNum>
  <w:abstractNum w:abstractNumId="180">
    <w:nsid w:val="3494B2FB"/>
    <w:multiLevelType w:val="hybridMultilevel"/>
    <w:lvl w:ilvl="0">
      <w:lvlJc w:val="left"/>
      <w:lvlText w:val="(%1)"/>
      <w:numFmt w:val="lowerLetter"/>
      <w:start w:val="6"/>
    </w:lvl>
  </w:abstractNum>
  <w:abstractNum w:abstractNumId="181">
    <w:nsid w:val="B13A31"/>
    <w:multiLevelType w:val="hybridMultilevel"/>
    <w:lvl w:ilvl="0">
      <w:lvlJc w:val="left"/>
      <w:lvlText w:val="%1"/>
      <w:numFmt w:val="decimal"/>
      <w:start w:val="1"/>
    </w:lvl>
    <w:lvl w:ilvl="1">
      <w:lvlJc w:val="left"/>
      <w:lvlText w:val="(%2)"/>
      <w:numFmt w:val="lowerLetter"/>
      <w:start w:val="1"/>
    </w:lvl>
  </w:abstractNum>
  <w:abstractNum w:abstractNumId="182">
    <w:nsid w:val="64429599"/>
    <w:multiLevelType w:val="hybridMultilevel"/>
    <w:lvl w:ilvl="0">
      <w:lvlJc w:val="left"/>
      <w:lvlText w:val="%1."/>
      <w:numFmt w:val="decimal"/>
      <w:start w:val="11"/>
    </w:lvl>
    <w:lvl w:ilvl="1">
      <w:lvlJc w:val="left"/>
      <w:lvlText w:val="(%2)"/>
      <w:numFmt w:val="lowerLetter"/>
      <w:start w:val="1"/>
    </w:lvl>
  </w:abstractNum>
  <w:abstractNum w:abstractNumId="183">
    <w:nsid w:val="631F1690"/>
    <w:multiLevelType w:val="hybridMultilevel"/>
    <w:lvl w:ilvl="0">
      <w:lvlJc w:val="left"/>
      <w:lvlText w:val="%1"/>
      <w:numFmt w:val="decimal"/>
      <w:start w:val="1"/>
    </w:lvl>
    <w:lvl w:ilvl="1">
      <w:lvlJc w:val="left"/>
      <w:lvlText w:val="(%2)"/>
      <w:numFmt w:val="lowerLetter"/>
      <w:start w:val="2"/>
    </w:lvl>
  </w:abstractNum>
  <w:abstractNum w:abstractNumId="184">
    <w:nsid w:val="25973E32"/>
    <w:multiLevelType w:val="hybridMultilevel"/>
    <w:lvl w:ilvl="0">
      <w:lvlJc w:val="left"/>
      <w:lvlText w:val="%1."/>
      <w:numFmt w:val="decimal"/>
      <w:start w:val="12"/>
    </w:lvl>
    <w:lvl w:ilvl="1">
      <w:lvlJc w:val="left"/>
      <w:lvlText w:val="(%2)"/>
      <w:numFmt w:val="lowerLetter"/>
      <w:start w:val="1"/>
    </w:lvl>
  </w:abstractNum>
  <w:abstractNum w:abstractNumId="185">
    <w:nsid w:val="EAD6F57"/>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86">
    <w:nsid w:val="6EC9D84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87">
    <w:nsid w:val="5C49EAE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8">
    <w:nsid w:val="64AF49B"/>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189">
    <w:nsid w:val="397C46BC"/>
    <w:multiLevelType w:val="hybridMultilevel"/>
    <w:lvl w:ilvl="0">
      <w:lvlJc w:val="left"/>
      <w:lvlText w:val="%1."/>
      <w:numFmt w:val="decimal"/>
      <w:start w:val="20"/>
    </w:lvl>
    <w:lvl w:ilvl="1">
      <w:lvlJc w:val="left"/>
      <w:lvlText w:val="(%2)"/>
      <w:numFmt w:val="lowerLetter"/>
      <w:start w:val="1"/>
    </w:lvl>
  </w:abstractNum>
  <w:abstractNum w:abstractNumId="190">
    <w:nsid w:val="7E448DE9"/>
    <w:multiLevelType w:val="hybridMultilevel"/>
    <w:lvl w:ilvl="0">
      <w:lvlJc w:val="left"/>
      <w:lvlText w:val="%1."/>
      <w:numFmt w:val="decimal"/>
      <w:start w:val="1"/>
    </w:lvl>
  </w:abstractNum>
  <w:abstractNum w:abstractNumId="191">
    <w:nsid w:val="5A9CC3E5"/>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2026-05-08T11:45:05Z</dcterms:created>
  <dcterms:modified xsi:type="dcterms:W3CDTF">2026-05-08T11:45:05Z</dcterms:modified>
</cp:coreProperties>
</file>