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CALBERT MICHAEL M</w:t>
              </w:r>
            </w:hyperlink>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PVH CORP. /DE/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PVH</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40" w:type="dxa"/>
            <w:vAlign w:val="bottom"/>
            <w:gridSpan w:val="3"/>
            <w:vMerge w:val="continue"/>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Borders>
              <w:bottom w:val="single" w:sz="8" w:color="0000EE"/>
            </w:tcBorders>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4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220" w:type="dxa"/>
            <w:vAlign w:val="bottom"/>
            <w:tcBorders>
              <w:top w:val="single" w:sz="8" w:color="0000EE"/>
            </w:tcBorders>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13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12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300" w:type="dxa"/>
            <w:vAlign w:val="bottom"/>
            <w:vMerge w:val="restart"/>
          </w:tcPr>
          <w:p>
            <w:pPr>
              <w:ind w:left="1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6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06/18/2026</w:t>
            </w:r>
          </w:p>
        </w:tc>
        <w:tc>
          <w:tcPr>
            <w:tcW w:w="2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1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 PVH CORP.</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80" w:type="dxa"/>
            <w:vAlign w:val="bottom"/>
            <w:gridSpan w:val="3"/>
            <w:vMerge w:val="continue"/>
          </w:tcPr>
          <w:p>
            <w:pPr>
              <w:spacing w:after="0"/>
              <w:rPr>
                <w:sz w:val="11"/>
                <w:szCs w:val="11"/>
                <w:color w:val="auto"/>
              </w:rPr>
            </w:pPr>
          </w:p>
        </w:tc>
        <w:tc>
          <w:tcPr>
            <w:tcW w:w="2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285 MADISON AVENUE</w:t>
            </w: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20" w:type="dxa"/>
            <w:vAlign w:val="bottom"/>
            <w:tcBorders>
              <w:bottom w:val="single" w:sz="8" w:color="2C2C2C"/>
            </w:tcBorders>
          </w:tcPr>
          <w:p>
            <w:pPr>
              <w:spacing w:after="0"/>
              <w:rPr>
                <w:sz w:val="12"/>
                <w:szCs w:val="12"/>
                <w:color w:val="auto"/>
              </w:rPr>
            </w:pPr>
          </w:p>
        </w:tc>
        <w:tc>
          <w:tcPr>
            <w:tcW w:w="22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40" w:type="dxa"/>
            <w:vAlign w:val="bottom"/>
            <w:gridSpan w:val="3"/>
            <w:vMerge w:val="continue"/>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$1 par value</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06/18/2026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4,932</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center"/>
              <w:ind w:right="240"/>
              <w:spacing w:after="0"/>
              <w:rPr>
                <w:sz w:val="20"/>
                <w:szCs w:val="20"/>
                <w:color w:val="auto"/>
              </w:rPr>
            </w:pPr>
            <w:r>
              <w:rPr>
                <w:rFonts w:ascii="Times New Roman" w:cs="Times New Roman" w:eastAsia="Times New Roman" w:hAnsi="Times New Roman"/>
                <w:sz w:val="17"/>
                <w:szCs w:val="17"/>
                <w:color w:val="0000FF"/>
              </w:rPr>
              <w:t>25,268</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$1 par value</w:t>
            </w: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0000FF"/>
              </w:rPr>
              <w:t>65,700</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Trusts</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subject to awards of restricted stock units ("RSUs"), consisting of 2,336 RSUs for serving as a non-employee director of Issuer and 2,596 RSUs for serving as Chair of Issuer's Board. The awards vest in full on the earlier of the first anniversary of the grant and the date of the Issuer's next annual meeting of stockholders.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18,806 shares of Common Stock subject to awards of restricted stock units.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 trust for the benefit of Mr. Calbert and his wife (42,000 shares) and trusts for each of his three children (7,900 shares each).</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M. Calbert</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06/23/2026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13179" TargetMode="External"/><Relationship Id="rId14" Type="http://schemas.openxmlformats.org/officeDocument/2006/relationships/hyperlink" Target="http://www.sec.gov/cgi-bin/browse-edgar?action=getcompany&amp;CIK=00000782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2026-06-23T15:19:32Z</dcterms:created>
  <dcterms:modified xsi:type="dcterms:W3CDTF">2026-06-23T15:19:32Z</dcterms:modified>
</cp:coreProperties>
</file>