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b w:val="1"/>
                <w:bCs w:val="1"/>
                <w:color w:val="auto"/>
                <w:w w:val="97"/>
              </w:rPr>
              <w:t>UNITED STATES</w:t>
            </w:r>
          </w:p>
        </w:tc>
      </w:tr>
      <w:tr>
        <w:trPr>
          <w:trHeight w:val="24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20" w:type="dxa"/>
            <w:vAlign w:val="bottom"/>
            <w:gridSpan w:val="13"/>
          </w:tcPr>
          <w:p>
            <w:pPr>
              <w:jc w:val="center"/>
              <w:ind w:left="52"/>
              <w:spacing w:after="0" w:line="243" w:lineRule="exact"/>
              <w:rPr>
                <w:sz w:val="20"/>
                <w:szCs w:val="20"/>
                <w:color w:val="auto"/>
              </w:rPr>
            </w:pPr>
            <w:r>
              <w:rPr>
                <w:rFonts w:ascii="Arial" w:cs="Arial" w:eastAsia="Arial" w:hAnsi="Arial"/>
                <w:sz w:val="22"/>
                <w:szCs w:val="22"/>
                <w:b w:val="1"/>
                <w:bCs w:val="1"/>
                <w:color w:val="auto"/>
                <w:w w:val="99"/>
              </w:rPr>
              <w:t>SECURITIES AND EXCHANGE COMMISSION</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b w:val="1"/>
                <w:bCs w:val="1"/>
                <w:color w:val="auto"/>
                <w:w w:val="88"/>
              </w:rPr>
              <w:t>Washington, D.C. 20549</w:t>
            </w:r>
          </w:p>
        </w:tc>
      </w:tr>
      <w:tr>
        <w:trPr>
          <w:trHeight w:val="45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gridSpan w:val="10"/>
          </w:tcPr>
          <w:p>
            <w:pPr>
              <w:jc w:val="center"/>
              <w:ind w:left="432"/>
              <w:spacing w:after="0"/>
              <w:rPr>
                <w:sz w:val="20"/>
                <w:szCs w:val="20"/>
                <w:color w:val="auto"/>
              </w:rPr>
            </w:pPr>
            <w:r>
              <w:rPr>
                <w:rFonts w:ascii="Arial" w:cs="Arial" w:eastAsia="Arial" w:hAnsi="Arial"/>
                <w:sz w:val="22"/>
                <w:szCs w:val="22"/>
                <w:b w:val="1"/>
                <w:bCs w:val="1"/>
                <w:color w:val="auto"/>
                <w:w w:val="88"/>
              </w:rPr>
              <w:t>_____________________________</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9"/>
          </w:tcPr>
          <w:p>
            <w:pPr>
              <w:jc w:val="center"/>
              <w:ind w:right="1740"/>
              <w:spacing w:after="0"/>
              <w:rPr>
                <w:sz w:val="20"/>
                <w:szCs w:val="20"/>
                <w:color w:val="auto"/>
              </w:rPr>
            </w:pPr>
            <w:r>
              <w:rPr>
                <w:rFonts w:ascii="Arial" w:cs="Arial" w:eastAsia="Arial" w:hAnsi="Arial"/>
                <w:sz w:val="22"/>
                <w:szCs w:val="22"/>
                <w:b w:val="1"/>
                <w:bCs w:val="1"/>
                <w:color w:val="auto"/>
                <w:w w:val="99"/>
              </w:rPr>
              <w:t>FORM 8-K</w:t>
            </w:r>
          </w:p>
        </w:tc>
      </w:tr>
      <w:tr>
        <w:trPr>
          <w:trHeight w:val="42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b w:val="1"/>
                <w:bCs w:val="1"/>
                <w:color w:val="auto"/>
                <w:w w:val="98"/>
              </w:rPr>
              <w:t>CURRENT REPORT</w:t>
            </w:r>
          </w:p>
        </w:tc>
      </w:tr>
      <w:tr>
        <w:trPr>
          <w:trHeight w:val="24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80" w:type="dxa"/>
            <w:vAlign w:val="bottom"/>
            <w:gridSpan w:val="11"/>
          </w:tcPr>
          <w:p>
            <w:pPr>
              <w:jc w:val="center"/>
              <w:ind w:right="380"/>
              <w:spacing w:after="0" w:line="243" w:lineRule="exact"/>
              <w:rPr>
                <w:sz w:val="20"/>
                <w:szCs w:val="20"/>
                <w:color w:val="auto"/>
              </w:rPr>
            </w:pPr>
            <w:r>
              <w:rPr>
                <w:rFonts w:ascii="Arial" w:cs="Arial" w:eastAsia="Arial" w:hAnsi="Arial"/>
                <w:sz w:val="22"/>
                <w:szCs w:val="22"/>
                <w:b w:val="1"/>
                <w:bCs w:val="1"/>
                <w:color w:val="auto"/>
                <w:w w:val="88"/>
              </w:rPr>
              <w:t>Pursuant to Section 13 or 15(d) of the</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60"/>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94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89"/>
              </w:rPr>
              <w:t>Date of Report (Date of earliest event reported)</w:t>
            </w:r>
          </w:p>
        </w:tc>
      </w:tr>
      <w:tr>
        <w:trPr>
          <w:trHeight w:val="224"/>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gridSpan w:val="4"/>
          </w:tcPr>
          <w:p>
            <w:pPr>
              <w:jc w:val="center"/>
              <w:spacing w:after="0" w:line="224" w:lineRule="exact"/>
              <w:rPr>
                <w:sz w:val="20"/>
                <w:szCs w:val="20"/>
                <w:color w:val="auto"/>
              </w:rPr>
            </w:pPr>
            <w:r>
              <w:rPr>
                <w:rFonts w:ascii="Arial" w:cs="Arial" w:eastAsia="Arial" w:hAnsi="Arial"/>
                <w:sz w:val="22"/>
                <w:szCs w:val="22"/>
                <w:color w:val="auto"/>
                <w:w w:val="89"/>
              </w:rPr>
              <w:t>May 25, 2005</w:t>
            </w:r>
          </w:p>
        </w:tc>
        <w:tc>
          <w:tcPr>
            <w:tcW w:w="1720" w:type="dxa"/>
            <w:vAlign w:val="bottom"/>
            <w:gridSpan w:val="5"/>
          </w:tcPr>
          <w:p>
            <w:pPr>
              <w:spacing w:after="0"/>
              <w:rPr>
                <w:sz w:val="19"/>
                <w:szCs w:val="19"/>
                <w:color w:val="auto"/>
              </w:rPr>
            </w:pPr>
          </w:p>
        </w:tc>
      </w:tr>
      <w:tr>
        <w:trPr>
          <w:trHeight w:val="7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color w:val="auto"/>
                <w:w w:val="93"/>
              </w:rPr>
              <w:t>PHILLIPS-VAN HEUSEN CORPORATION</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20" w:type="dxa"/>
            <w:vAlign w:val="bottom"/>
            <w:gridSpan w:val="13"/>
          </w:tcPr>
          <w:p>
            <w:pPr>
              <w:jc w:val="center"/>
              <w:ind w:left="5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8"/>
          </w:tcPr>
          <w:p>
            <w:pPr>
              <w:jc w:val="center"/>
              <w:ind w:right="1920"/>
              <w:spacing w:after="0"/>
              <w:rPr>
                <w:sz w:val="20"/>
                <w:szCs w:val="20"/>
                <w:color w:val="auto"/>
              </w:rPr>
            </w:pPr>
            <w:r>
              <w:rPr>
                <w:rFonts w:ascii="Arial" w:cs="Arial" w:eastAsia="Arial" w:hAnsi="Arial"/>
                <w:sz w:val="22"/>
                <w:szCs w:val="22"/>
                <w:color w:val="auto"/>
                <w:w w:val="88"/>
              </w:rPr>
              <w:t>Delaware</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11"/>
          </w:tcPr>
          <w:p>
            <w:pPr>
              <w:jc w:val="center"/>
              <w:ind w:right="360"/>
              <w:spacing w:after="0"/>
              <w:rPr>
                <w:sz w:val="20"/>
                <w:szCs w:val="20"/>
                <w:color w:val="auto"/>
              </w:rPr>
            </w:pPr>
            <w:r>
              <w:rPr>
                <w:rFonts w:ascii="Arial" w:cs="Arial" w:eastAsia="Arial" w:hAnsi="Arial"/>
                <w:sz w:val="22"/>
                <w:szCs w:val="22"/>
                <w:color w:val="auto"/>
                <w:w w:val="91"/>
              </w:rPr>
              <w:t>(State or other jurisdiction of incorporation)</w:t>
            </w:r>
          </w:p>
        </w:tc>
      </w:tr>
      <w:tr>
        <w:trPr>
          <w:trHeight w:val="449"/>
        </w:trPr>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w w:val="87"/>
              </w:rPr>
              <w:t>001-07572</w:t>
            </w:r>
          </w:p>
        </w:tc>
        <w:tc>
          <w:tcPr>
            <w:tcW w:w="920" w:type="dxa"/>
            <w:vAlign w:val="bottom"/>
          </w:tcPr>
          <w:p>
            <w:pPr>
              <w:spacing w:after="0"/>
              <w:rPr>
                <w:sz w:val="24"/>
                <w:szCs w:val="24"/>
                <w:color w:val="auto"/>
              </w:rPr>
            </w:pPr>
          </w:p>
        </w:tc>
        <w:tc>
          <w:tcPr>
            <w:tcW w:w="2900" w:type="dxa"/>
            <w:vAlign w:val="bottom"/>
            <w:gridSpan w:val="7"/>
          </w:tcPr>
          <w:p>
            <w:pPr>
              <w:jc w:val="right"/>
              <w:ind w:right="80"/>
              <w:spacing w:after="0"/>
              <w:rPr>
                <w:sz w:val="20"/>
                <w:szCs w:val="20"/>
                <w:color w:val="auto"/>
              </w:rPr>
            </w:pPr>
            <w:r>
              <w:rPr>
                <w:rFonts w:ascii="Arial" w:cs="Arial" w:eastAsia="Arial" w:hAnsi="Arial"/>
                <w:sz w:val="22"/>
                <w:szCs w:val="22"/>
                <w:color w:val="auto"/>
              </w:rPr>
              <w:t>13-1166910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7"/>
        </w:trPr>
        <w:tc>
          <w:tcPr>
            <w:tcW w:w="2580" w:type="dxa"/>
            <w:vAlign w:val="bottom"/>
            <w:gridSpan w:val="3"/>
          </w:tcPr>
          <w:p>
            <w:pPr>
              <w:jc w:val="center"/>
              <w:ind w:right="180"/>
              <w:spacing w:after="0"/>
              <w:rPr>
                <w:sz w:val="20"/>
                <w:szCs w:val="20"/>
                <w:color w:val="auto"/>
              </w:rPr>
            </w:pPr>
            <w:r>
              <w:rPr>
                <w:rFonts w:ascii="Arial" w:cs="Arial" w:eastAsia="Arial" w:hAnsi="Arial"/>
                <w:sz w:val="22"/>
                <w:szCs w:val="22"/>
                <w:color w:val="auto"/>
                <w:w w:val="91"/>
              </w:rPr>
              <w:t>(Commission File Number)</w:t>
            </w:r>
          </w:p>
        </w:tc>
        <w:tc>
          <w:tcPr>
            <w:tcW w:w="280" w:type="dxa"/>
            <w:vAlign w:val="bottom"/>
          </w:tcPr>
          <w:p>
            <w:pPr>
              <w:spacing w:after="0"/>
              <w:rPr>
                <w:sz w:val="24"/>
                <w:szCs w:val="24"/>
                <w:color w:val="auto"/>
              </w:rPr>
            </w:pPr>
          </w:p>
        </w:tc>
        <w:tc>
          <w:tcPr>
            <w:tcW w:w="4540" w:type="dxa"/>
            <w:vAlign w:val="bottom"/>
            <w:gridSpan w:val="12"/>
          </w:tcPr>
          <w:p>
            <w:pPr>
              <w:ind w:left="180"/>
              <w:spacing w:after="0"/>
              <w:rPr>
                <w:sz w:val="20"/>
                <w:szCs w:val="20"/>
                <w:color w:val="auto"/>
              </w:rPr>
            </w:pPr>
            <w:r>
              <w:rPr>
                <w:rFonts w:ascii="Arial" w:cs="Arial" w:eastAsia="Arial" w:hAnsi="Arial"/>
                <w:sz w:val="22"/>
                <w:szCs w:val="22"/>
                <w:color w:val="auto"/>
              </w:rPr>
              <w:t>(IRS Employer Identification Number)</w:t>
            </w:r>
          </w:p>
        </w:tc>
      </w:tr>
      <w:tr>
        <w:trPr>
          <w:trHeight w:val="8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90"/>
              </w:rPr>
              <w:t>200 Madison Avenue, New York, New York 10016</w:t>
            </w: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160" w:type="dxa"/>
            <w:vAlign w:val="bottom"/>
            <w:tcBorders>
              <w:top w:val="single" w:sz="8" w:color="auto"/>
            </w:tcBorders>
            <w:gridSpan w:val="10"/>
          </w:tcPr>
          <w:p>
            <w:pPr>
              <w:jc w:val="center"/>
              <w:ind w:right="240"/>
              <w:spacing w:after="0"/>
              <w:rPr>
                <w:sz w:val="20"/>
                <w:szCs w:val="20"/>
                <w:color w:val="auto"/>
              </w:rPr>
            </w:pPr>
            <w:r>
              <w:rPr>
                <w:rFonts w:ascii="Arial" w:cs="Arial" w:eastAsia="Arial" w:hAnsi="Arial"/>
                <w:sz w:val="22"/>
                <w:szCs w:val="22"/>
                <w:color w:val="auto"/>
                <w:w w:val="91"/>
              </w:rPr>
              <w:t>(Address of Principal Executive Offices)</w:t>
            </w:r>
          </w:p>
        </w:tc>
        <w:tc>
          <w:tcPr>
            <w:tcW w:w="120" w:type="dxa"/>
            <w:vAlign w:val="bottom"/>
          </w:tcPr>
          <w:p>
            <w:pPr>
              <w:spacing w:after="0"/>
              <w:rPr>
                <w:sz w:val="23"/>
                <w:szCs w:val="23"/>
                <w:color w:val="auto"/>
              </w:rPr>
            </w:pPr>
          </w:p>
        </w:tc>
      </w:tr>
      <w:tr>
        <w:trPr>
          <w:trHeight w:val="65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88"/>
              </w:rPr>
              <w:t>Registrant’s telephone number (212)-381-3500</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4"/>
          <w:szCs w:val="24"/>
          <w:color w:val="auto"/>
        </w:rPr>
      </w:pPr>
    </w:p>
    <w:p>
      <w:pPr>
        <w:jc w:val="center"/>
        <w:ind w:right="-560"/>
        <w:spacing w:after="0"/>
        <w:rPr>
          <w:sz w:val="20"/>
          <w:szCs w:val="20"/>
          <w:color w:val="auto"/>
        </w:rPr>
      </w:pPr>
      <w:r>
        <w:rPr>
          <w:rFonts w:ascii="Arial" w:cs="Arial" w:eastAsia="Arial" w:hAnsi="Arial"/>
          <w:sz w:val="22"/>
          <w:szCs w:val="22"/>
          <w:u w:val="single" w:color="auto"/>
          <w:color w:val="auto"/>
        </w:rPr>
        <w:t>Not Applicable</w:t>
      </w:r>
    </w:p>
    <w:p>
      <w:pPr>
        <w:spacing w:after="0" w:line="8" w:lineRule="exact"/>
        <w:rPr>
          <w:sz w:val="24"/>
          <w:szCs w:val="24"/>
          <w:color w:val="auto"/>
        </w:rPr>
      </w:pPr>
    </w:p>
    <w:p>
      <w:pPr>
        <w:jc w:val="center"/>
        <w:ind w:right="-560"/>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1647190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9579"/>
          </w:cols>
          <w:pgMar w:left="880" w:top="453"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On May 25, 2005, Phillips-Van Heusen Corporation (the “Company”), issued a press release to report the Company’s 2005 first quarter earnings, which is set forth in the attached Exhibit 99.1.</w:t>
      </w:r>
    </w:p>
    <w:p>
      <w:pPr>
        <w:spacing w:after="0" w:line="38" w:lineRule="exact"/>
        <w:rPr>
          <w:sz w:val="20"/>
          <w:szCs w:val="20"/>
          <w:color w:val="auto"/>
        </w:rPr>
      </w:pPr>
    </w:p>
    <w:p>
      <w:pPr>
        <w:ind w:right="80"/>
        <w:spacing w:after="0" w:line="294" w:lineRule="auto"/>
        <w:rPr>
          <w:sz w:val="20"/>
          <w:szCs w:val="20"/>
          <w:color w:val="auto"/>
        </w:rPr>
      </w:pPr>
      <w:r>
        <w:rPr>
          <w:rFonts w:ascii="Arial" w:cs="Arial" w:eastAsia="Arial" w:hAnsi="Arial"/>
          <w:sz w:val="19"/>
          <w:szCs w:val="19"/>
          <w:color w:val="auto"/>
        </w:rPr>
        <w:t>The information in this Form 8-K and the Exhibit attached hereto shall not be deemed “filed” for purposes of Section 18 of the Securities Exchange Act of 1934 or otherwise subject to the liabilities of that section, nor shall it be deemed incorporated by reference in any filing under the Securities Act of 1933, regardless of any general incorporation language in such filing.</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680" w:hanging="348"/>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Exhibits</w:t>
      </w:r>
      <w:r>
        <w:rPr>
          <w:rFonts w:ascii="Arial" w:cs="Arial" w:eastAsia="Arial" w:hAnsi="Arial"/>
          <w:sz w:val="22"/>
          <w:szCs w:val="22"/>
          <w:color w:val="auto"/>
        </w:rPr>
        <w:t>.</w:t>
      </w:r>
    </w:p>
    <w:p>
      <w:pPr>
        <w:spacing w:after="0" w:line="308"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22"/>
          <w:szCs w:val="22"/>
          <w:b w:val="1"/>
          <w:bCs w:val="1"/>
          <w:color w:val="auto"/>
        </w:rPr>
        <w:t>Exhibit</w:t>
      </w:r>
      <w:r>
        <w:rPr>
          <w:sz w:val="20"/>
          <w:szCs w:val="20"/>
          <w:color w:val="auto"/>
        </w:rPr>
        <w:tab/>
      </w:r>
      <w:r>
        <w:rPr>
          <w:rFonts w:ascii="Arial" w:cs="Arial" w:eastAsia="Arial" w:hAnsi="Arial"/>
          <w:sz w:val="22"/>
          <w:szCs w:val="22"/>
          <w:b w:val="1"/>
          <w:bCs w:val="1"/>
          <w:color w:val="auto"/>
        </w:rPr>
        <w:t>Description</w:t>
      </w:r>
    </w:p>
    <w:p>
      <w:pPr>
        <w:spacing w:after="0" w:line="199"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May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040"/>
          </w:cols>
          <w:pgMar w:left="240" w:top="571" w:right="6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color w:val="auto"/>
        </w:rPr>
        <w:t>SIGNATURES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hereunto duly authorized.</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PHILLIPS-VAN HEUSEN CORPORATION</w:t>
      </w:r>
    </w:p>
    <w:p>
      <w:pPr>
        <w:spacing w:after="0" w:line="200" w:lineRule="exact"/>
        <w:rPr>
          <w:sz w:val="20"/>
          <w:szCs w:val="20"/>
          <w:color w:val="auto"/>
        </w:rPr>
      </w:pPr>
    </w:p>
    <w:p>
      <w:pPr>
        <w:spacing w:after="0" w:line="22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D. Fischer</w:t>
      </w:r>
    </w:p>
    <w:p>
      <w:pPr>
        <w:spacing w:after="0" w:line="7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Mark D. Fischer, Vice President</w:t>
      </w:r>
    </w:p>
    <w:p>
      <w:pPr>
        <w:spacing w:after="0" w:line="85"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General Counsel and Secretary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Date: May 25, 2005</w:t>
      </w:r>
    </w:p>
    <w:p>
      <w:pPr>
        <w:sectPr>
          <w:pgSz w:w="11900" w:h="16838" w:orient="portrait"/>
          <w:cols w:equalWidth="0" w:num="1">
            <w:col w:w="11340"/>
          </w:cols>
          <w:pgMar w:left="240" w:top="874"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4" w:lineRule="exact"/>
        <w:rPr>
          <w:sz w:val="20"/>
          <w:szCs w:val="20"/>
          <w:color w:val="auto"/>
        </w:rPr>
      </w:pPr>
    </w:p>
    <w:p>
      <w:pPr>
        <w:jc w:val="center"/>
        <w:ind w:left="660"/>
        <w:spacing w:after="0"/>
        <w:rPr>
          <w:sz w:val="20"/>
          <w:szCs w:val="20"/>
          <w:color w:val="auto"/>
        </w:rPr>
      </w:pPr>
      <w:r>
        <w:rPr>
          <w:rFonts w:ascii="Arial" w:cs="Arial" w:eastAsia="Arial" w:hAnsi="Arial"/>
          <w:sz w:val="25"/>
          <w:szCs w:val="25"/>
          <w:b w:val="1"/>
          <w:bCs w:val="1"/>
          <w:color w:val="auto"/>
        </w:rPr>
        <w:t>PHILLIPS-VAN HEUSEN CORPORATION</w:t>
      </w:r>
    </w:p>
    <w:p>
      <w:pPr>
        <w:jc w:val="center"/>
        <w:ind w:left="660"/>
        <w:spacing w:after="0" w:line="236" w:lineRule="auto"/>
        <w:rPr>
          <w:sz w:val="20"/>
          <w:szCs w:val="20"/>
          <w:color w:val="auto"/>
        </w:rPr>
      </w:pPr>
      <w:r>
        <w:rPr>
          <w:rFonts w:ascii="Arial" w:cs="Arial" w:eastAsia="Arial" w:hAnsi="Arial"/>
          <w:sz w:val="25"/>
          <w:szCs w:val="25"/>
          <w:b w:val="1"/>
          <w:bCs w:val="1"/>
          <w:color w:val="auto"/>
        </w:rPr>
        <w:t>200 MADISON AVENUE</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25"/>
          <w:szCs w:val="25"/>
          <w:b w:val="1"/>
          <w:bCs w:val="1"/>
          <w:color w:val="auto"/>
        </w:rPr>
        <w:t>NEW YORK, N.Y. 10016</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May 25, 2005</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Contact:</w:t>
      </w:r>
      <w:r>
        <w:rPr>
          <w:sz w:val="20"/>
          <w:szCs w:val="20"/>
          <w:color w:val="auto"/>
        </w:rPr>
        <w:tab/>
      </w:r>
      <w:r>
        <w:rPr>
          <w:rFonts w:ascii="Arial" w:cs="Arial" w:eastAsia="Arial" w:hAnsi="Arial"/>
          <w:sz w:val="22"/>
          <w:szCs w:val="22"/>
          <w:b w:val="1"/>
          <w:bCs w:val="1"/>
          <w:color w:val="auto"/>
        </w:rPr>
        <w:t>Emanuel Chirico</w:t>
      </w:r>
    </w:p>
    <w:p>
      <w:pPr>
        <w:spacing w:after="0" w:line="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Executive Vice President &amp; Chief Financial Officer</w:t>
      </w:r>
    </w:p>
    <w:p>
      <w:pPr>
        <w:jc w:val="both"/>
        <w:ind w:left="1960" w:right="7980" w:hanging="7"/>
        <w:spacing w:after="0" w:line="259" w:lineRule="auto"/>
        <w:tabs>
          <w:tab w:leader="none" w:pos="2524"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381-3503 www.pvh.com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PHILLIPS-VAN HEUSEN CORPORATION REPORTS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2005 FIRST QUARTER RESULTS</w:t>
      </w:r>
    </w:p>
    <w:p>
      <w:pPr>
        <w:ind w:left="1880" w:right="5680" w:hanging="1548"/>
        <w:spacing w:after="0" w:line="224" w:lineRule="auto"/>
        <w:tabs>
          <w:tab w:leader="none" w:pos="66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FIRST QUARTER EPS EXCEEDS GUIDANCE AND CONSENSUS ESTIMATE</w:t>
      </w:r>
    </w:p>
    <w:p>
      <w:pPr>
        <w:ind w:left="1880" w:hanging="332"/>
        <w:spacing w:after="0" w:line="217" w:lineRule="auto"/>
        <w:tabs>
          <w:tab w:leader="none" w:pos="1880"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FIRST QUARTER EPS INCREASE</w:t>
      </w:r>
    </w:p>
    <w:p>
      <w:pPr>
        <w:ind w:left="660" w:hanging="328"/>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FULL YEAR EPS GUIDANCE RAISED</w:t>
      </w:r>
    </w:p>
    <w:p>
      <w:pPr>
        <w:spacing w:after="0" w:line="200" w:lineRule="exact"/>
        <w:rPr>
          <w:sz w:val="20"/>
          <w:szCs w:val="20"/>
          <w:color w:val="auto"/>
        </w:rPr>
      </w:pPr>
    </w:p>
    <w:p>
      <w:pPr>
        <w:spacing w:after="0" w:line="330"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Phillips-Van Heusen Corporation reported first quarter 2005 net income of $25.0 million, or $0.46 per share, which was $0.03 ahead of the First Call consensus estimate. First quarter 2005 earnings per share increased over 150% compared with 2004 first quarter earnings per share of $0.18, exclusive of restructuring and other items. First quarter 2004 GAAP net income, inclusive of restructuring and other items, was $1.6 million and, after deducting preferred stock dividends resulted in a net loss of $0.12 per share.</w:t>
      </w:r>
    </w:p>
    <w:p>
      <w:pPr>
        <w:spacing w:after="0" w:line="239"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The improvement in first quarter net income was due principally to sharp revenue increases in the Company's wholesale dress shirt and sportswear businesses. The quarter benefited from sales of the new dress shirt lines with BCBG, Michael Kors, Sean John and Chaps introduced in the second half of last year along with strong core dress shirt performance. The distribution of the men’s Calvin Klein sportswear collection, which was introduced for Fall 2004 selling, had its first Spring shipments in the first quarter and has performed very well. Additionally, both our Izod and Arrow sportswear brands have exceeded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4" w:name="page5"/>
    <w:bookmarkEnd w:id="4"/>
    <w:p>
      <w:pPr>
        <w:jc w:val="both"/>
        <w:spacing w:after="0" w:line="335" w:lineRule="auto"/>
        <w:rPr>
          <w:sz w:val="20"/>
          <w:szCs w:val="20"/>
          <w:color w:val="auto"/>
        </w:rPr>
      </w:pPr>
      <w:r>
        <w:rPr>
          <w:rFonts w:ascii="Arial" w:cs="Arial" w:eastAsia="Arial" w:hAnsi="Arial"/>
          <w:sz w:val="22"/>
          <w:szCs w:val="22"/>
          <w:color w:val="auto"/>
        </w:rPr>
        <w:t>Overall, total revenues in the first quarter increased 25% to $472.1 million from $378.2 million in the prior year. As noted, key drivers were wholesale dress shirt and sportswear increases, particularly the new dress shirt lines and Calvin Klein men's sportswear. In addition, an 8% growth in Calvin Klein licensing revenues as well as the continued rollout of a limited number of Calvin Klein outlet stores contributed to the increase.</w:t>
      </w:r>
    </w:p>
    <w:p>
      <w:pPr>
        <w:spacing w:after="0" w:line="235"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From a balance sheet perspective, inventories at the end of the current year's first quarter were on plan, with a 21% increase over last year's levels. This increase supports the additional volume relating to the Calvin Klein sportswear business and planned growth in the dress shirt and other sportswear businesses for the second quarter.</w:t>
      </w:r>
    </w:p>
    <w:p>
      <w:pPr>
        <w:spacing w:after="0" w:line="234"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Commenting on these results, Bruce J. Klatsky, Chairman and Chief Executive Officer, noted, "We are extremely pleased that the strong growth and momentum from 2004 continued into the first quarter of this year. The significant revenue and earnings growth exhibited by our wholesale dress shirt and sportswear businesses enabled us to exceed our previous earnings guidance and to more than double the prior year's first quarter earnings. We are also pleased with the continued growth of our Calvin Klein Licensing business stemming from existing licensees, as well as growth initiatives we have undertaken to expand the breadth and reach of Calvin Klein product offerings. The increased revenue from the Calvin Klein Licensing business enabled us to increase advertising expenditures for the Calvin Klein brand, which should benefit that brand into the future."</w:t>
      </w:r>
    </w:p>
    <w:p>
      <w:pPr>
        <w:spacing w:after="0" w:line="236"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Mr. Klatsky continued, "Our focus remains on maximizing the growth opportunities for Calvin Klein and our wholesale dress shirt and sportswear businesses. Our Calvin Klein better men's sportswear line continues to perform well. Our new dress shirt licensing agreements with BCBG, Michael Kors, Chaps and Sean John also contributed to our revenue and earnings increases. The performance of the Arrow brand continues to exceed our expectations and we are pleased that we will be significantly increasing our marketing spending in the second half of the year, investing in the brand in order to further its growth opportunities."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5" w:name="page6"/>
    <w:bookmarkEnd w:id="5"/>
    <w:p>
      <w:pPr>
        <w:jc w:val="both"/>
        <w:spacing w:after="0" w:line="333" w:lineRule="auto"/>
        <w:rPr>
          <w:sz w:val="20"/>
          <w:szCs w:val="20"/>
          <w:color w:val="auto"/>
        </w:rPr>
      </w:pPr>
      <w:r>
        <w:rPr>
          <w:rFonts w:ascii="Arial" w:cs="Arial" w:eastAsia="Arial" w:hAnsi="Arial"/>
          <w:sz w:val="22"/>
          <w:szCs w:val="22"/>
          <w:color w:val="auto"/>
        </w:rPr>
        <w:t>Mr. Klatsky concluded, "Recognizing our performance in the first quarter and what we see as the tone of our business through May, we are projecting second quarter earnings per share of $0.38 to $0.39 or an increase of 36% to 39% over the prior year’s earnings per share exclusive of restructuring and other items, with corresponding revenues of $420 to $425 million, or an increase of 12% to13% over the prior year. Reflecting the actual results of our first quarter and our second quarter projections, we are raising our 2005 earnings per share guidance to a range of $1.68 to $1.73, or an increase of 23% to 26% over the prior year’s earnings per share exclusive of restructuring and other items, with corresponding revenues of $1.80 billion to $1.82 billion, which represents a revenue increase of 10% to 11% over 2004. Our 2005 guidance continues to be based on a conservative view of the second half of the year and we have not raised, at this time, our earnings estimates for the third and fourth quarters. If the current trends in our business were to continue, we would expect to exceed these second half estimates. We remain very pleased with our execution across all segments of our business and with the prospects for the new Calvin Klein businesses which will fuel growth in 2005 and beyond. Looking beyond this year, we continue to be comfortable in our ability to grow earnings at 15-20% per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6" w:name="page7"/>
    <w:bookmarkEnd w:id="6"/>
    <w:p>
      <w:pPr>
        <w:spacing w:after="0" w:line="2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549910</wp:posOffset>
            </wp:positionV>
            <wp:extent cx="7250430" cy="1607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607820"/>
                    </a:xfrm>
                    <a:prstGeom prst="rect">
                      <a:avLst/>
                    </a:prstGeom>
                    <a:noFill/>
                  </pic:spPr>
                </pic:pic>
              </a:graphicData>
            </a:graphic>
          </wp:anchor>
        </w:drawing>
        <w:t xml:space="preserve">The Company webcasts its conference calls to review its earnings releases. </w:t>
      </w:r>
      <w:r>
        <w:rPr>
          <w:rFonts w:ascii="Arial" w:cs="Arial" w:eastAsia="Arial" w:hAnsi="Arial"/>
          <w:sz w:val="20"/>
          <w:szCs w:val="20"/>
          <w:b w:val="1"/>
          <w:bCs w:val="1"/>
          <w:color w:val="auto"/>
        </w:rPr>
        <w:t>The Company's conference call to review</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its first quarter earnings release is scheduled for Wednesday, May 25, 2005 at 11:00 a.m. EST. </w:t>
      </w:r>
      <w:r>
        <w:rPr>
          <w:rFonts w:ascii="Arial" w:cs="Arial" w:eastAsia="Arial" w:hAnsi="Arial"/>
          <w:sz w:val="20"/>
          <w:szCs w:val="20"/>
          <w:color w:val="auto"/>
        </w:rPr>
        <w:t>Please log on either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our web site at </w:t>
      </w:r>
      <w:r>
        <w:rPr>
          <w:rFonts w:ascii="Arial" w:cs="Arial" w:eastAsia="Arial" w:hAnsi="Arial"/>
          <w:sz w:val="20"/>
          <w:szCs w:val="20"/>
          <w:b w:val="1"/>
          <w:bCs w:val="1"/>
          <w:color w:val="auto"/>
        </w:rPr>
        <w:t>www.pvh.com</w:t>
      </w:r>
      <w:r>
        <w:rPr>
          <w:rFonts w:ascii="Arial" w:cs="Arial" w:eastAsia="Arial" w:hAnsi="Arial"/>
          <w:sz w:val="20"/>
          <w:szCs w:val="20"/>
          <w:color w:val="auto"/>
        </w:rPr>
        <w:t xml:space="preserve"> and go to the News Release page or to CCBN's website at www.companyboardroom.com to listen to the live webcast of the conference call. The webcast will be available for replay for one year after it is held, commencing approximately two hours after the live broadcast ends. Please log on to www.pvh.com or www.companyboardroom.com as described above to listen to the replay. In addition, an audio replay of the conference call is available for 48 hours starting one hour after it is he ld. The replay of the conference call can be accessed by calling 1-888-203-1112 and using passcode #2226749.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230505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620"/>
          </w:cols>
          <w:pgMar w:left="960" w:top="909" w:right="319" w:bottom="1440" w:gutter="0" w:footer="0" w:header="0"/>
        </w:sectPr>
      </w:pPr>
    </w:p>
    <w:bookmarkStart w:id="7" w:name="page8"/>
    <w:bookmarkEnd w:id="7"/>
    <w:p>
      <w:pPr>
        <w:ind w:right="20"/>
        <w:spacing w:after="0" w:line="4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852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t>SAFE HARBOR STATEMENT UNDER THE PRIVATE SECURITIES LITIGATION REFORM ACT OF 1995: Forward-looking statements in this press release and made during the conference call / webcast, including, without limitation, statements relating to the Company's future revenues and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the following: (i) the Company's plans, strategies, objectives, expectations and intentions are subject to change at any time at the discretion of the Company; (i i) the levels of sales of the Company's apparel and footwear products, both to its wholesale customers and in its retail stores, and the levels of sales of the Company's licensees at wholesale and retail, and the extent of discounts and promotional pricing in which the Company and its licensees are required to engage, all of which can be affected by weather conditions, changes in the economy, fuel prices, reductions in travel, fashion trends, consolidations, repositionings and bankruptcies in the retail industries, repositionings of brands by the Company's licensors and other factors; (iii) the Company's plans and results of operations will be affected by the Company's ability to manage its growth and inventory, including the Company's ability to realize revenue growth from developing and growing Calvin Klein; (iv) the Company's operations and results could be affected by quota restrictions (which, among other things, could limit the Company's ability to produce products in cost-effective countries tha t have the labor and technical expertise needed), the availability and cost of raw materials (particularly petroleum-based synthetic fabrics, which are currently in high demand), the Company's ability to adjust timely to changes in trade regulations and the migration and development of manufacturers (which can affect where the Company's products can best be produced), and civil conflict, war or terrorist acts, the threat of any of the foregoing or political and labor instability in the United States or any of the countries where the Company's products are or are planned to be produced; (v) disease epidemics and health related concerns, which could result in closed factories, reduced workforces, scarcity of raw materials and scrutiny or embargoing of goods produced in infected areas; (vi) acquisitions and issues arising with acquisitions and proposed transactions, including without limitation, the ability to integrate an acquired entity into the Company with no substantial adverse affect on the acquired entit y's or the Company's existing operations, employee relationships, vendor relationships, customer relationships or financial performance; (vii) the failure of the Company's licensees to market successfully licensed products or to preserve the value of the Company's brands, or their misuse of the Company's brands and (viii) other risks and uncertainties indicated from time to time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491" w:lineRule="auto"/>
        <w:rPr>
          <w:sz w:val="20"/>
          <w:szCs w:val="20"/>
          <w:color w:val="auto"/>
        </w:rPr>
      </w:pPr>
      <w:r>
        <w:rPr>
          <w:rFonts w:ascii="Arial" w:cs="Arial" w:eastAsia="Arial" w:hAnsi="Arial"/>
          <w:sz w:val="14"/>
          <w:szCs w:val="14"/>
          <w:color w:val="auto"/>
        </w:rPr>
        <w:t>This press release includes, and the conference call/webcast will include, certain non-GAAP financial measures, as defined under SEC rules. A reconciliation of these measures is included in the financial information later in this release, as well as in the Company's Current Reports on Form 8-K furnished to the SEC in connection with its earnings releases.</w:t>
      </w:r>
    </w:p>
    <w:p>
      <w:pPr>
        <w:spacing w:after="0" w:line="308" w:lineRule="exact"/>
        <w:rPr>
          <w:sz w:val="20"/>
          <w:szCs w:val="20"/>
          <w:color w:val="auto"/>
        </w:rPr>
      </w:pPr>
    </w:p>
    <w:p>
      <w:pPr>
        <w:ind w:right="260"/>
        <w:spacing w:after="0" w:line="500" w:lineRule="auto"/>
        <w:rPr>
          <w:sz w:val="20"/>
          <w:szCs w:val="20"/>
          <w:color w:val="auto"/>
        </w:rPr>
      </w:pPr>
      <w:r>
        <w:rPr>
          <w:rFonts w:ascii="Arial" w:cs="Arial" w:eastAsia="Arial" w:hAnsi="Arial"/>
          <w:sz w:val="14"/>
          <w:szCs w:val="14"/>
          <w:color w:val="auto"/>
        </w:rPr>
        <w:t>The Company does not undertake any obligation to update publicly any forward-looking statement, including, without limitation, any estimate regarding revenues or earnings, whether as a result of the receipt of new information, future events or otherwise.</w:t>
      </w:r>
    </w:p>
    <w:p>
      <w:pPr>
        <w:spacing w:after="0" w:line="37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230505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640"/>
          </w:cols>
          <w:pgMar w:left="960" w:top="536" w:right="29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Income Statements</w:t>
      </w:r>
    </w:p>
    <w:p>
      <w:pPr>
        <w:spacing w:after="0"/>
        <w:rPr>
          <w:sz w:val="20"/>
          <w:szCs w:val="20"/>
          <w:color w:val="auto"/>
        </w:rPr>
      </w:pPr>
      <w:r>
        <w:rPr>
          <w:rFonts w:ascii="Arial" w:cs="Arial" w:eastAsia="Arial" w:hAnsi="Arial"/>
          <w:sz w:val="25"/>
          <w:szCs w:val="25"/>
          <w:b w:val="1"/>
          <w:bCs w:val="1"/>
          <w:i w:val="1"/>
          <w:iCs w:val="1"/>
          <w:color w:val="auto"/>
        </w:rPr>
        <w:t>(In thousands, except per share data)</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7"/>
          </w:tcPr>
          <w:p>
            <w:pPr>
              <w:jc w:val="right"/>
              <w:ind w:right="100"/>
              <w:spacing w:after="0"/>
              <w:rPr>
                <w:sz w:val="20"/>
                <w:szCs w:val="20"/>
                <w:color w:val="auto"/>
              </w:rPr>
            </w:pPr>
            <w:r>
              <w:rPr>
                <w:rFonts w:ascii="Arial" w:cs="Arial" w:eastAsia="Arial" w:hAnsi="Arial"/>
                <w:sz w:val="20"/>
                <w:szCs w:val="20"/>
                <w:b w:val="1"/>
                <w:bCs w:val="1"/>
                <w:color w:val="auto"/>
              </w:rPr>
              <w:t>Quarter Ended</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7"/>
          </w:tcPr>
          <w:p>
            <w:pPr>
              <w:jc w:val="right"/>
              <w:ind w:right="520"/>
              <w:spacing w:after="0"/>
              <w:rPr>
                <w:sz w:val="20"/>
                <w:szCs w:val="20"/>
                <w:color w:val="auto"/>
              </w:rPr>
            </w:pPr>
            <w:r>
              <w:rPr>
                <w:rFonts w:ascii="Arial" w:cs="Arial" w:eastAsia="Arial" w:hAnsi="Arial"/>
                <w:sz w:val="20"/>
                <w:szCs w:val="20"/>
                <w:b w:val="1"/>
                <w:bCs w:val="1"/>
                <w:color w:val="auto"/>
              </w:rPr>
              <w:t>5/2/04</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20"/>
                <w:szCs w:val="20"/>
                <w:b w:val="1"/>
                <w:bCs w:val="1"/>
                <w:color w:val="auto"/>
                <w:w w:val="96"/>
              </w:rPr>
              <w:t>Results</w:t>
            </w:r>
          </w:p>
        </w:tc>
        <w:tc>
          <w:tcPr>
            <w:tcW w:w="0" w:type="dxa"/>
            <w:vAlign w:val="bottom"/>
          </w:tcPr>
          <w:p>
            <w:pPr>
              <w:spacing w:after="0"/>
              <w:rPr>
                <w:sz w:val="1"/>
                <w:szCs w:val="1"/>
                <w:color w:val="auto"/>
              </w:rPr>
            </w:pPr>
          </w:p>
        </w:tc>
      </w:tr>
      <w:tr>
        <w:trPr>
          <w:trHeight w:val="252"/>
        </w:trPr>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5"/>
          </w:tcPr>
          <w:p>
            <w:pPr>
              <w:jc w:val="center"/>
              <w:ind w:left="11"/>
              <w:spacing w:after="0"/>
              <w:rPr>
                <w:sz w:val="20"/>
                <w:szCs w:val="20"/>
                <w:color w:val="auto"/>
              </w:rPr>
            </w:pPr>
            <w:r>
              <w:rPr>
                <w:rFonts w:ascii="Arial" w:cs="Arial" w:eastAsia="Arial" w:hAnsi="Arial"/>
                <w:sz w:val="20"/>
                <w:szCs w:val="20"/>
                <w:b w:val="1"/>
                <w:bCs w:val="1"/>
                <w:color w:val="auto"/>
              </w:rPr>
              <w:t>Excluding</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20"/>
                <w:szCs w:val="20"/>
                <w:b w:val="1"/>
                <w:bCs w:val="1"/>
                <w:color w:val="auto"/>
                <w:w w:val="99"/>
              </w:rPr>
              <w:t>Quarter</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center"/>
              <w:ind w:right="198"/>
              <w:spacing w:after="0"/>
              <w:rPr>
                <w:sz w:val="20"/>
                <w:szCs w:val="20"/>
                <w:color w:val="auto"/>
              </w:rPr>
            </w:pPr>
            <w:r>
              <w:rPr>
                <w:rFonts w:ascii="Arial" w:cs="Arial" w:eastAsia="Arial" w:hAnsi="Arial"/>
                <w:sz w:val="20"/>
                <w:szCs w:val="20"/>
                <w:b w:val="1"/>
                <w:bCs w:val="1"/>
                <w:color w:val="auto"/>
                <w:w w:val="99"/>
              </w:rPr>
              <w:t>Results</w:t>
            </w:r>
          </w:p>
        </w:tc>
        <w:tc>
          <w:tcPr>
            <w:tcW w:w="1800" w:type="dxa"/>
            <w:vAlign w:val="bottom"/>
            <w:gridSpan w:val="7"/>
          </w:tcPr>
          <w:p>
            <w:pPr>
              <w:jc w:val="right"/>
              <w:ind w:right="260"/>
              <w:spacing w:after="0"/>
              <w:rPr>
                <w:sz w:val="20"/>
                <w:szCs w:val="20"/>
                <w:color w:val="auto"/>
              </w:rPr>
            </w:pPr>
            <w:r>
              <w:rPr>
                <w:rFonts w:ascii="Arial" w:cs="Arial" w:eastAsia="Arial" w:hAnsi="Arial"/>
                <w:sz w:val="20"/>
                <w:szCs w:val="20"/>
                <w:b w:val="1"/>
                <w:bCs w:val="1"/>
                <w:color w:val="auto"/>
              </w:rPr>
              <w:t>Restructuring</w:t>
            </w:r>
          </w:p>
        </w:tc>
        <w:tc>
          <w:tcPr>
            <w:tcW w:w="1380" w:type="dxa"/>
            <w:vAlign w:val="bottom"/>
            <w:gridSpan w:val="5"/>
          </w:tcPr>
          <w:p>
            <w:pPr>
              <w:jc w:val="center"/>
              <w:spacing w:after="0"/>
              <w:rPr>
                <w:sz w:val="20"/>
                <w:szCs w:val="20"/>
                <w:color w:val="auto"/>
              </w:rPr>
            </w:pPr>
            <w:r>
              <w:rPr>
                <w:rFonts w:ascii="Arial" w:cs="Arial" w:eastAsia="Arial" w:hAnsi="Arial"/>
                <w:sz w:val="20"/>
                <w:szCs w:val="20"/>
                <w:b w:val="1"/>
                <w:bCs w:val="1"/>
                <w:color w:val="auto"/>
                <w:w w:val="99"/>
              </w:rPr>
              <w:t>Restructuring</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20"/>
                <w:szCs w:val="20"/>
                <w:b w:val="1"/>
                <w:bCs w:val="1"/>
                <w:color w:val="auto"/>
                <w:w w:val="98"/>
              </w:rPr>
              <w:t>Ended</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3"/>
          </w:tcPr>
          <w:p>
            <w:pPr>
              <w:jc w:val="center"/>
              <w:ind w:right="278"/>
              <w:spacing w:after="0"/>
              <w:rPr>
                <w:sz w:val="20"/>
                <w:szCs w:val="20"/>
                <w:color w:val="auto"/>
              </w:rPr>
            </w:pPr>
            <w:r>
              <w:rPr>
                <w:rFonts w:ascii="Arial" w:cs="Arial" w:eastAsia="Arial" w:hAnsi="Arial"/>
                <w:sz w:val="20"/>
                <w:szCs w:val="20"/>
                <w:b w:val="1"/>
                <w:bCs w:val="1"/>
                <w:color w:val="auto"/>
                <w:w w:val="96"/>
              </w:rPr>
              <w:t>Under</w:t>
            </w:r>
          </w:p>
        </w:tc>
        <w:tc>
          <w:tcPr>
            <w:tcW w:w="1800" w:type="dxa"/>
            <w:vAlign w:val="bottom"/>
            <w:gridSpan w:val="7"/>
          </w:tcPr>
          <w:p>
            <w:pPr>
              <w:jc w:val="right"/>
              <w:ind w:right="440"/>
              <w:spacing w:after="0"/>
              <w:rPr>
                <w:sz w:val="20"/>
                <w:szCs w:val="20"/>
                <w:color w:val="auto"/>
              </w:rPr>
            </w:pPr>
            <w:r>
              <w:rPr>
                <w:rFonts w:ascii="Arial" w:cs="Arial" w:eastAsia="Arial" w:hAnsi="Arial"/>
                <w:sz w:val="20"/>
                <w:szCs w:val="20"/>
                <w:b w:val="1"/>
                <w:bCs w:val="1"/>
                <w:color w:val="auto"/>
              </w:rPr>
              <w:t>and Other</w:t>
            </w:r>
          </w:p>
        </w:tc>
        <w:tc>
          <w:tcPr>
            <w:tcW w:w="1380" w:type="dxa"/>
            <w:vAlign w:val="bottom"/>
            <w:gridSpan w:val="5"/>
          </w:tcPr>
          <w:p>
            <w:pPr>
              <w:ind w:left="280"/>
              <w:spacing w:after="0"/>
              <w:rPr>
                <w:sz w:val="20"/>
                <w:szCs w:val="20"/>
                <w:color w:val="auto"/>
              </w:rPr>
            </w:pPr>
            <w:r>
              <w:rPr>
                <w:rFonts w:ascii="Arial" w:cs="Arial" w:eastAsia="Arial" w:hAnsi="Arial"/>
                <w:sz w:val="20"/>
                <w:szCs w:val="20"/>
                <w:b w:val="1"/>
                <w:bCs w:val="1"/>
                <w:color w:val="auto"/>
              </w:rPr>
              <w:t>and Other</w:t>
            </w:r>
          </w:p>
        </w:tc>
        <w:tc>
          <w:tcPr>
            <w:tcW w:w="0" w:type="dxa"/>
            <w:vAlign w:val="bottom"/>
          </w:tcPr>
          <w:p>
            <w:pPr>
              <w:spacing w:after="0"/>
              <w:rPr>
                <w:sz w:val="1"/>
                <w:szCs w:val="1"/>
                <w:color w:val="auto"/>
              </w:rPr>
            </w:pPr>
          </w:p>
        </w:tc>
      </w:tr>
      <w:tr>
        <w:trPr>
          <w:trHeight w:val="217"/>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center"/>
              <w:ind w:right="140"/>
              <w:spacing w:after="0" w:line="217" w:lineRule="exact"/>
              <w:rPr>
                <w:sz w:val="20"/>
                <w:szCs w:val="20"/>
                <w:color w:val="auto"/>
              </w:rPr>
            </w:pPr>
            <w:r>
              <w:rPr>
                <w:rFonts w:ascii="Arial" w:cs="Arial" w:eastAsia="Arial" w:hAnsi="Arial"/>
                <w:sz w:val="20"/>
                <w:szCs w:val="20"/>
                <w:b w:val="1"/>
                <w:bCs w:val="1"/>
                <w:color w:val="auto"/>
                <w:w w:val="97"/>
              </w:rPr>
              <w:t>5/1/05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278"/>
              <w:spacing w:after="0" w:line="217" w:lineRule="exact"/>
              <w:rPr>
                <w:sz w:val="20"/>
                <w:szCs w:val="20"/>
                <w:color w:val="auto"/>
              </w:rPr>
            </w:pPr>
            <w:r>
              <w:rPr>
                <w:rFonts w:ascii="Arial" w:cs="Arial" w:eastAsia="Arial" w:hAnsi="Arial"/>
                <w:sz w:val="20"/>
                <w:szCs w:val="20"/>
                <w:b w:val="1"/>
                <w:bCs w:val="1"/>
                <w:color w:val="auto"/>
                <w:w w:val="96"/>
              </w:rPr>
              <w:t>GAAP</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5"/>
              </w:rPr>
              <w:t>Items</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86"/>
              </w:rPr>
              <w:t>(1)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Arial" w:cs="Arial" w:eastAsia="Arial" w:hAnsi="Arial"/>
                <w:sz w:val="20"/>
                <w:szCs w:val="20"/>
                <w:b w:val="1"/>
                <w:bCs w:val="1"/>
                <w:color w:val="auto"/>
                <w:w w:val="91"/>
              </w:rPr>
              <w:t>Items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w w:val="86"/>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4"/>
        </w:trPr>
        <w:tc>
          <w:tcPr>
            <w:tcW w:w="3640" w:type="dxa"/>
            <w:vAlign w:val="bottom"/>
          </w:tcPr>
          <w:p>
            <w:pPr>
              <w:spacing w:after="0"/>
              <w:rPr>
                <w:sz w:val="20"/>
                <w:szCs w:val="20"/>
                <w:color w:val="auto"/>
              </w:rPr>
            </w:pPr>
            <w:r>
              <w:rPr>
                <w:rFonts w:ascii="Arial" w:cs="Arial" w:eastAsia="Arial" w:hAnsi="Arial"/>
                <w:sz w:val="20"/>
                <w:szCs w:val="20"/>
                <w:color w:val="auto"/>
              </w:rPr>
              <w:t>Net sales</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96"/>
              </w:rPr>
              <w:t>423,115</w:t>
            </w:r>
          </w:p>
        </w:tc>
        <w:tc>
          <w:tcPr>
            <w:tcW w:w="620" w:type="dxa"/>
            <w:vAlign w:val="bottom"/>
            <w:gridSpan w:val="3"/>
          </w:tcPr>
          <w:p>
            <w:pPr>
              <w:ind w:left="500"/>
              <w:spacing w:after="0"/>
              <w:rPr>
                <w:sz w:val="20"/>
                <w:szCs w:val="20"/>
                <w:color w:val="auto"/>
              </w:rPr>
            </w:pPr>
            <w:r>
              <w:rPr>
                <w:rFonts w:ascii="Arial" w:cs="Arial" w:eastAsia="Arial" w:hAnsi="Arial"/>
                <w:sz w:val="20"/>
                <w:szCs w:val="20"/>
                <w:color w:val="auto"/>
                <w:w w:val="89"/>
              </w:rPr>
              <w:t>$</w:t>
            </w:r>
          </w:p>
        </w:tc>
        <w:tc>
          <w:tcPr>
            <w:tcW w:w="1000" w:type="dxa"/>
            <w:vAlign w:val="bottom"/>
            <w:gridSpan w:val="4"/>
          </w:tcPr>
          <w:p>
            <w:pPr>
              <w:jc w:val="center"/>
              <w:ind w:right="218"/>
              <w:spacing w:after="0"/>
              <w:rPr>
                <w:sz w:val="20"/>
                <w:szCs w:val="20"/>
                <w:color w:val="auto"/>
              </w:rPr>
            </w:pPr>
            <w:r>
              <w:rPr>
                <w:rFonts w:ascii="Arial" w:cs="Arial" w:eastAsia="Arial" w:hAnsi="Arial"/>
                <w:sz w:val="20"/>
                <w:szCs w:val="20"/>
                <w:color w:val="auto"/>
                <w:w w:val="96"/>
              </w:rPr>
              <w:t>336,578</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20"/>
                <w:szCs w:val="20"/>
                <w:color w:val="auto"/>
                <w:w w:val="96"/>
              </w:rPr>
              <w:t>336,578</w:t>
            </w:r>
          </w:p>
        </w:tc>
        <w:tc>
          <w:tcPr>
            <w:tcW w:w="0" w:type="dxa"/>
            <w:vAlign w:val="bottom"/>
          </w:tcPr>
          <w:p>
            <w:pPr>
              <w:spacing w:after="0"/>
              <w:rPr>
                <w:sz w:val="1"/>
                <w:szCs w:val="1"/>
                <w:color w:val="auto"/>
              </w:rPr>
            </w:pPr>
          </w:p>
        </w:tc>
      </w:tr>
      <w:tr>
        <w:trPr>
          <w:trHeight w:val="199"/>
        </w:trPr>
        <w:tc>
          <w:tcPr>
            <w:tcW w:w="3640" w:type="dxa"/>
            <w:vAlign w:val="bottom"/>
          </w:tcPr>
          <w:p>
            <w:pPr>
              <w:spacing w:after="0" w:line="199" w:lineRule="exact"/>
              <w:rPr>
                <w:sz w:val="20"/>
                <w:szCs w:val="20"/>
                <w:color w:val="auto"/>
              </w:rPr>
            </w:pPr>
            <w:r>
              <w:rPr>
                <w:rFonts w:ascii="Arial" w:cs="Arial" w:eastAsia="Arial" w:hAnsi="Arial"/>
                <w:sz w:val="20"/>
                <w:szCs w:val="20"/>
                <w:color w:val="auto"/>
              </w:rPr>
              <w:t>Royalty and other revenues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0"/>
                <w:szCs w:val="20"/>
                <w:color w:val="auto"/>
              </w:rPr>
              <w:t>48,994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ind w:right="20"/>
              <w:spacing w:after="0" w:line="199" w:lineRule="exact"/>
              <w:rPr>
                <w:sz w:val="20"/>
                <w:szCs w:val="20"/>
                <w:color w:val="auto"/>
              </w:rPr>
            </w:pPr>
            <w:r>
              <w:rPr>
                <w:rFonts w:ascii="Arial" w:cs="Arial" w:eastAsia="Arial" w:hAnsi="Arial"/>
                <w:sz w:val="20"/>
                <w:szCs w:val="20"/>
                <w:color w:val="auto"/>
              </w:rPr>
              <w:t>41,660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41,660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line="223" w:lineRule="exact"/>
              <w:rPr>
                <w:sz w:val="20"/>
                <w:szCs w:val="20"/>
                <w:color w:val="auto"/>
              </w:rPr>
            </w:pPr>
            <w:r>
              <w:rPr>
                <w:rFonts w:ascii="Arial" w:cs="Arial" w:eastAsia="Arial" w:hAnsi="Arial"/>
                <w:sz w:val="20"/>
                <w:szCs w:val="20"/>
                <w:color w:val="auto"/>
              </w:rPr>
              <w:t>Total revenues</w:t>
            </w:r>
          </w:p>
        </w:tc>
        <w:tc>
          <w:tcPr>
            <w:tcW w:w="120" w:type="dxa"/>
            <w:vAlign w:val="bottom"/>
            <w:gridSpan w:val="2"/>
          </w:tcPr>
          <w:p>
            <w:pPr>
              <w:jc w:val="right"/>
              <w:spacing w:after="0" w:line="223" w:lineRule="exact"/>
              <w:rPr>
                <w:sz w:val="20"/>
                <w:szCs w:val="20"/>
                <w:color w:val="auto"/>
              </w:rPr>
            </w:pPr>
            <w:r>
              <w:rPr>
                <w:rFonts w:ascii="Arial" w:cs="Arial" w:eastAsia="Arial" w:hAnsi="Arial"/>
                <w:sz w:val="20"/>
                <w:szCs w:val="20"/>
                <w:u w:val="single" w:color="auto"/>
                <w:color w:val="auto"/>
                <w:w w:val="89"/>
              </w:rPr>
              <w:t>$</w:t>
            </w:r>
          </w:p>
        </w:tc>
        <w:tc>
          <w:tcPr>
            <w:tcW w:w="720" w:type="dxa"/>
            <w:vAlign w:val="bottom"/>
            <w:gridSpan w:val="3"/>
          </w:tcPr>
          <w:p>
            <w:pPr>
              <w:jc w:val="right"/>
              <w:spacing w:after="0" w:line="223" w:lineRule="exact"/>
              <w:rPr>
                <w:sz w:val="20"/>
                <w:szCs w:val="20"/>
                <w:color w:val="auto"/>
              </w:rPr>
            </w:pPr>
            <w:r>
              <w:rPr>
                <w:rFonts w:ascii="Arial" w:cs="Arial" w:eastAsia="Arial" w:hAnsi="Arial"/>
                <w:sz w:val="20"/>
                <w:szCs w:val="20"/>
                <w:color w:val="auto"/>
                <w:w w:val="96"/>
              </w:rPr>
              <w:t>472,109</w:t>
            </w:r>
          </w:p>
        </w:tc>
        <w:tc>
          <w:tcPr>
            <w:tcW w:w="620" w:type="dxa"/>
            <w:vAlign w:val="bottom"/>
            <w:gridSpan w:val="3"/>
          </w:tcPr>
          <w:p>
            <w:pPr>
              <w:ind w:left="500"/>
              <w:spacing w:after="0" w:line="223" w:lineRule="exact"/>
              <w:rPr>
                <w:sz w:val="20"/>
                <w:szCs w:val="20"/>
                <w:color w:val="auto"/>
              </w:rPr>
            </w:pPr>
            <w:r>
              <w:rPr>
                <w:rFonts w:ascii="Arial" w:cs="Arial" w:eastAsia="Arial" w:hAnsi="Arial"/>
                <w:sz w:val="20"/>
                <w:szCs w:val="20"/>
                <w:u w:val="single" w:color="auto"/>
                <w:color w:val="auto"/>
                <w:w w:val="89"/>
              </w:rPr>
              <w:t>$</w:t>
            </w:r>
          </w:p>
        </w:tc>
        <w:tc>
          <w:tcPr>
            <w:tcW w:w="1000" w:type="dxa"/>
            <w:vAlign w:val="bottom"/>
            <w:gridSpan w:val="4"/>
          </w:tcPr>
          <w:p>
            <w:pPr>
              <w:jc w:val="center"/>
              <w:ind w:right="218"/>
              <w:spacing w:after="0" w:line="223" w:lineRule="exact"/>
              <w:rPr>
                <w:sz w:val="20"/>
                <w:szCs w:val="20"/>
                <w:color w:val="auto"/>
              </w:rPr>
            </w:pPr>
            <w:r>
              <w:rPr>
                <w:rFonts w:ascii="Arial" w:cs="Arial" w:eastAsia="Arial" w:hAnsi="Arial"/>
                <w:sz w:val="20"/>
                <w:szCs w:val="20"/>
                <w:color w:val="auto"/>
                <w:w w:val="96"/>
              </w:rPr>
              <w:t>378,238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3"/>
          </w:tcPr>
          <w:p>
            <w:pPr>
              <w:jc w:val="right"/>
              <w:ind w:right="260"/>
              <w:spacing w:after="0" w:line="223" w:lineRule="exact"/>
              <w:rPr>
                <w:sz w:val="20"/>
                <w:szCs w:val="20"/>
                <w:color w:val="auto"/>
              </w:rPr>
            </w:pPr>
            <w:r>
              <w:rPr>
                <w:rFonts w:ascii="Arial" w:cs="Arial" w:eastAsia="Arial" w:hAnsi="Arial"/>
                <w:sz w:val="20"/>
                <w:szCs w:val="20"/>
                <w:color w:val="auto"/>
                <w:w w:val="96"/>
              </w:rPr>
              <w:t>378,238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Gross profit on net sales</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96"/>
              </w:rPr>
              <w:t>160,400</w:t>
            </w:r>
          </w:p>
        </w:tc>
        <w:tc>
          <w:tcPr>
            <w:tcW w:w="620" w:type="dxa"/>
            <w:vAlign w:val="bottom"/>
            <w:gridSpan w:val="3"/>
          </w:tcPr>
          <w:p>
            <w:pPr>
              <w:ind w:left="500"/>
              <w:spacing w:after="0"/>
              <w:rPr>
                <w:sz w:val="20"/>
                <w:szCs w:val="20"/>
                <w:color w:val="auto"/>
              </w:rPr>
            </w:pPr>
            <w:r>
              <w:rPr>
                <w:rFonts w:ascii="Arial" w:cs="Arial" w:eastAsia="Arial" w:hAnsi="Arial"/>
                <w:sz w:val="20"/>
                <w:szCs w:val="20"/>
                <w:color w:val="auto"/>
                <w:w w:val="89"/>
              </w:rPr>
              <w:t>$</w:t>
            </w:r>
          </w:p>
        </w:tc>
        <w:tc>
          <w:tcPr>
            <w:tcW w:w="1000" w:type="dxa"/>
            <w:vAlign w:val="bottom"/>
            <w:gridSpan w:val="4"/>
          </w:tcPr>
          <w:p>
            <w:pPr>
              <w:jc w:val="center"/>
              <w:ind w:right="218"/>
              <w:spacing w:after="0"/>
              <w:rPr>
                <w:sz w:val="20"/>
                <w:szCs w:val="20"/>
                <w:color w:val="auto"/>
              </w:rPr>
            </w:pPr>
            <w:r>
              <w:rPr>
                <w:rFonts w:ascii="Arial" w:cs="Arial" w:eastAsia="Arial" w:hAnsi="Arial"/>
                <w:sz w:val="20"/>
                <w:szCs w:val="20"/>
                <w:color w:val="auto"/>
                <w:w w:val="96"/>
              </w:rPr>
              <w:t>128,626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20"/>
                <w:szCs w:val="20"/>
                <w:color w:val="auto"/>
                <w:w w:val="96"/>
              </w:rPr>
              <w:t>128,626</w:t>
            </w:r>
          </w:p>
        </w:tc>
        <w:tc>
          <w:tcPr>
            <w:tcW w:w="0" w:type="dxa"/>
            <w:vAlign w:val="bottom"/>
          </w:tcPr>
          <w:p>
            <w:pPr>
              <w:spacing w:after="0"/>
              <w:rPr>
                <w:sz w:val="1"/>
                <w:szCs w:val="1"/>
                <w:color w:val="auto"/>
              </w:rPr>
            </w:pPr>
          </w:p>
        </w:tc>
      </w:tr>
      <w:tr>
        <w:trPr>
          <w:trHeight w:val="222"/>
        </w:trPr>
        <w:tc>
          <w:tcPr>
            <w:tcW w:w="3640" w:type="dxa"/>
            <w:vAlign w:val="bottom"/>
          </w:tcPr>
          <w:p>
            <w:pPr>
              <w:spacing w:after="0" w:line="222" w:lineRule="exact"/>
              <w:rPr>
                <w:sz w:val="20"/>
                <w:szCs w:val="20"/>
                <w:color w:val="auto"/>
              </w:rPr>
            </w:pPr>
            <w:r>
              <w:rPr>
                <w:rFonts w:ascii="Arial" w:cs="Arial" w:eastAsia="Arial" w:hAnsi="Arial"/>
                <w:sz w:val="20"/>
                <w:szCs w:val="20"/>
                <w:color w:val="auto"/>
              </w:rPr>
              <w:t>Gross profit on royalty and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120"/>
              <w:spacing w:after="0" w:line="193" w:lineRule="exact"/>
              <w:rPr>
                <w:sz w:val="20"/>
                <w:szCs w:val="20"/>
                <w:color w:val="auto"/>
              </w:rPr>
            </w:pPr>
            <w:r>
              <w:rPr>
                <w:rFonts w:ascii="Arial" w:cs="Arial" w:eastAsia="Arial" w:hAnsi="Arial"/>
                <w:sz w:val="20"/>
                <w:szCs w:val="20"/>
                <w:color w:val="auto"/>
              </w:rPr>
              <w:t>other revenues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line="193" w:lineRule="exact"/>
              <w:rPr>
                <w:sz w:val="20"/>
                <w:szCs w:val="20"/>
                <w:color w:val="auto"/>
              </w:rPr>
            </w:pPr>
            <w:r>
              <w:rPr>
                <w:rFonts w:ascii="Arial" w:cs="Arial" w:eastAsia="Arial" w:hAnsi="Arial"/>
                <w:sz w:val="20"/>
                <w:szCs w:val="20"/>
                <w:color w:val="auto"/>
              </w:rPr>
              <w:t>48,994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20"/>
              <w:spacing w:after="0" w:line="193" w:lineRule="exact"/>
              <w:rPr>
                <w:sz w:val="20"/>
                <w:szCs w:val="20"/>
                <w:color w:val="auto"/>
              </w:rPr>
            </w:pPr>
            <w:r>
              <w:rPr>
                <w:rFonts w:ascii="Arial" w:cs="Arial" w:eastAsia="Arial" w:hAnsi="Arial"/>
                <w:sz w:val="20"/>
                <w:szCs w:val="20"/>
                <w:color w:val="auto"/>
              </w:rPr>
              <w:t>41,660</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line="193" w:lineRule="exact"/>
              <w:rPr>
                <w:sz w:val="20"/>
                <w:szCs w:val="20"/>
                <w:color w:val="auto"/>
              </w:rPr>
            </w:pPr>
            <w:r>
              <w:rPr>
                <w:rFonts w:ascii="Arial" w:cs="Arial" w:eastAsia="Arial" w:hAnsi="Arial"/>
                <w:sz w:val="20"/>
                <w:szCs w:val="20"/>
                <w:color w:val="auto"/>
              </w:rPr>
              <w:t>41,660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0"/>
                <w:szCs w:val="20"/>
                <w:color w:val="auto"/>
              </w:rPr>
            </w:pPr>
            <w:r>
              <w:rPr>
                <w:rFonts w:ascii="Arial" w:cs="Arial" w:eastAsia="Arial" w:hAnsi="Arial"/>
                <w:sz w:val="20"/>
                <w:szCs w:val="20"/>
                <w:color w:val="auto"/>
              </w:rPr>
              <w:t>Total gross profit</w:t>
            </w:r>
          </w:p>
        </w:tc>
        <w:tc>
          <w:tcPr>
            <w:tcW w:w="840" w:type="dxa"/>
            <w:vAlign w:val="bottom"/>
            <w:gridSpan w:val="5"/>
          </w:tcPr>
          <w:p>
            <w:pPr>
              <w:jc w:val="right"/>
              <w:spacing w:after="0"/>
              <w:rPr>
                <w:sz w:val="20"/>
                <w:szCs w:val="20"/>
                <w:color w:val="auto"/>
              </w:rPr>
            </w:pPr>
            <w:r>
              <w:rPr>
                <w:rFonts w:ascii="Arial" w:cs="Arial" w:eastAsia="Arial" w:hAnsi="Arial"/>
                <w:sz w:val="20"/>
                <w:szCs w:val="20"/>
                <w:color w:val="auto"/>
              </w:rPr>
              <w:t>209,394</w:t>
            </w:r>
          </w:p>
        </w:tc>
        <w:tc>
          <w:tcPr>
            <w:tcW w:w="1340" w:type="dxa"/>
            <w:vAlign w:val="bottom"/>
            <w:gridSpan w:val="6"/>
          </w:tcPr>
          <w:p>
            <w:pPr>
              <w:jc w:val="right"/>
              <w:ind w:right="20"/>
              <w:spacing w:after="0"/>
              <w:rPr>
                <w:sz w:val="20"/>
                <w:szCs w:val="20"/>
                <w:color w:val="auto"/>
              </w:rPr>
            </w:pPr>
            <w:r>
              <w:rPr>
                <w:rFonts w:ascii="Arial" w:cs="Arial" w:eastAsia="Arial" w:hAnsi="Arial"/>
                <w:sz w:val="20"/>
                <w:szCs w:val="20"/>
                <w:color w:val="auto"/>
              </w:rPr>
              <w:t>170,286</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gridSpan w:val="4"/>
          </w:tcPr>
          <w:p>
            <w:pPr>
              <w:jc w:val="right"/>
              <w:spacing w:after="0"/>
              <w:rPr>
                <w:sz w:val="20"/>
                <w:szCs w:val="20"/>
                <w:color w:val="auto"/>
              </w:rPr>
            </w:pPr>
            <w:r>
              <w:rPr>
                <w:rFonts w:ascii="Arial" w:cs="Arial" w:eastAsia="Arial" w:hAnsi="Arial"/>
                <w:sz w:val="20"/>
                <w:szCs w:val="20"/>
                <w:color w:val="auto"/>
              </w:rPr>
              <w:t>170,286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3640" w:type="dxa"/>
            <w:vAlign w:val="bottom"/>
          </w:tcPr>
          <w:p>
            <w:pPr>
              <w:spacing w:after="0"/>
              <w:rPr>
                <w:sz w:val="20"/>
                <w:szCs w:val="20"/>
                <w:color w:val="auto"/>
              </w:rPr>
            </w:pPr>
            <w:r>
              <w:rPr>
                <w:rFonts w:ascii="Arial" w:cs="Arial" w:eastAsia="Arial" w:hAnsi="Arial"/>
                <w:sz w:val="20"/>
                <w:szCs w:val="20"/>
                <w:color w:val="auto"/>
              </w:rPr>
              <w:t>Selling, general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120"/>
              <w:spacing w:after="0" w:line="199" w:lineRule="exact"/>
              <w:rPr>
                <w:sz w:val="20"/>
                <w:szCs w:val="20"/>
                <w:color w:val="auto"/>
              </w:rPr>
            </w:pPr>
            <w:r>
              <w:rPr>
                <w:rFonts w:ascii="Arial" w:cs="Arial" w:eastAsia="Arial" w:hAnsi="Arial"/>
                <w:sz w:val="20"/>
                <w:szCs w:val="20"/>
                <w:color w:val="auto"/>
              </w:rPr>
              <w:t>administrative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199" w:lineRule="exact"/>
              <w:rPr>
                <w:sz w:val="20"/>
                <w:szCs w:val="20"/>
                <w:color w:val="auto"/>
              </w:rPr>
            </w:pPr>
            <w:r>
              <w:rPr>
                <w:rFonts w:ascii="Arial" w:cs="Arial" w:eastAsia="Arial" w:hAnsi="Arial"/>
                <w:sz w:val="20"/>
                <w:szCs w:val="20"/>
                <w:color w:val="auto"/>
                <w:w w:val="96"/>
              </w:rPr>
              <w:t>161,765</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center"/>
              <w:ind w:right="20"/>
              <w:spacing w:after="0" w:line="199" w:lineRule="exact"/>
              <w:rPr>
                <w:sz w:val="20"/>
                <w:szCs w:val="20"/>
                <w:color w:val="auto"/>
              </w:rPr>
            </w:pPr>
            <w:r>
              <w:rPr>
                <w:rFonts w:ascii="Arial" w:cs="Arial" w:eastAsia="Arial" w:hAnsi="Arial"/>
                <w:sz w:val="20"/>
                <w:szCs w:val="20"/>
                <w:color w:val="auto"/>
                <w:w w:val="96"/>
              </w:rPr>
              <w:t>149,992</w:t>
            </w:r>
          </w:p>
        </w:tc>
        <w:tc>
          <w:tcPr>
            <w:tcW w:w="28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1260" w:type="dxa"/>
            <w:vAlign w:val="bottom"/>
            <w:gridSpan w:val="4"/>
          </w:tcPr>
          <w:p>
            <w:pPr>
              <w:jc w:val="right"/>
              <w:ind w:right="540"/>
              <w:spacing w:after="0" w:line="199" w:lineRule="exact"/>
              <w:rPr>
                <w:sz w:val="20"/>
                <w:szCs w:val="20"/>
                <w:color w:val="auto"/>
              </w:rPr>
            </w:pPr>
            <w:r>
              <w:rPr>
                <w:rFonts w:ascii="Arial" w:cs="Arial" w:eastAsia="Arial" w:hAnsi="Arial"/>
                <w:sz w:val="20"/>
                <w:szCs w:val="20"/>
                <w:color w:val="auto"/>
              </w:rPr>
              <w:t>$ 5,271</w:t>
            </w:r>
          </w:p>
        </w:tc>
        <w:tc>
          <w:tcPr>
            <w:tcW w:w="1120" w:type="dxa"/>
            <w:vAlign w:val="bottom"/>
            <w:gridSpan w:val="4"/>
          </w:tcPr>
          <w:p>
            <w:pPr>
              <w:jc w:val="right"/>
              <w:spacing w:after="0" w:line="199" w:lineRule="exact"/>
              <w:rPr>
                <w:sz w:val="20"/>
                <w:szCs w:val="20"/>
                <w:color w:val="auto"/>
              </w:rPr>
            </w:pPr>
            <w:r>
              <w:rPr>
                <w:rFonts w:ascii="Arial" w:cs="Arial" w:eastAsia="Arial" w:hAnsi="Arial"/>
                <w:sz w:val="20"/>
                <w:szCs w:val="20"/>
                <w:color w:val="auto"/>
              </w:rPr>
              <w:t>144,721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Earnings before interest and taxes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47,629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8"/>
              </w:rPr>
              <w:t>20,294</w:t>
            </w:r>
          </w:p>
        </w:tc>
        <w:tc>
          <w:tcPr>
            <w:tcW w:w="28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(5,271)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rPr>
              <w:t>25,565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640" w:type="dxa"/>
            <w:vAlign w:val="bottom"/>
          </w:tcPr>
          <w:p>
            <w:pPr>
              <w:spacing w:after="0"/>
              <w:rPr>
                <w:sz w:val="20"/>
                <w:szCs w:val="20"/>
                <w:color w:val="auto"/>
              </w:rPr>
            </w:pPr>
            <w:r>
              <w:rPr>
                <w:rFonts w:ascii="Arial" w:cs="Arial" w:eastAsia="Arial" w:hAnsi="Arial"/>
                <w:sz w:val="20"/>
                <w:szCs w:val="20"/>
                <w:color w:val="auto"/>
              </w:rPr>
              <w:t>Interest expense, net</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7,978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17,843</w:t>
            </w:r>
          </w:p>
        </w:tc>
        <w:tc>
          <w:tcPr>
            <w:tcW w:w="28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9,374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8,469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Pre-tax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20"/>
                <w:szCs w:val="20"/>
                <w:color w:val="auto"/>
              </w:rPr>
              <w:t>39,651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20"/>
                <w:szCs w:val="20"/>
                <w:color w:val="auto"/>
              </w:rPr>
              <w:t>2,451</w:t>
            </w:r>
          </w:p>
        </w:tc>
        <w:tc>
          <w:tcPr>
            <w:tcW w:w="280" w:type="dxa"/>
            <w:vAlign w:val="bottom"/>
          </w:tcPr>
          <w:p>
            <w:pPr>
              <w:spacing w:after="0"/>
              <w:rPr>
                <w:sz w:val="24"/>
                <w:szCs w:val="24"/>
                <w:color w:val="auto"/>
              </w:rPr>
            </w:pPr>
          </w:p>
        </w:tc>
        <w:tc>
          <w:tcPr>
            <w:tcW w:w="1260" w:type="dxa"/>
            <w:vAlign w:val="bottom"/>
            <w:gridSpan w:val="6"/>
          </w:tcPr>
          <w:p>
            <w:pPr>
              <w:jc w:val="right"/>
              <w:spacing w:after="0"/>
              <w:rPr>
                <w:sz w:val="20"/>
                <w:szCs w:val="20"/>
                <w:color w:val="auto"/>
              </w:rPr>
            </w:pPr>
            <w:r>
              <w:rPr>
                <w:rFonts w:ascii="Arial" w:cs="Arial" w:eastAsia="Arial" w:hAnsi="Arial"/>
                <w:sz w:val="20"/>
                <w:szCs w:val="20"/>
                <w:color w:val="auto"/>
              </w:rPr>
              <w:t>(14,645)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17,096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640" w:type="dxa"/>
            <w:vAlign w:val="bottom"/>
          </w:tcPr>
          <w:p>
            <w:pPr>
              <w:spacing w:after="0"/>
              <w:rPr>
                <w:sz w:val="20"/>
                <w:szCs w:val="20"/>
                <w:color w:val="auto"/>
              </w:rPr>
            </w:pPr>
            <w:r>
              <w:rPr>
                <w:rFonts w:ascii="Arial" w:cs="Arial" w:eastAsia="Arial" w:hAnsi="Arial"/>
                <w:sz w:val="20"/>
                <w:szCs w:val="20"/>
                <w:color w:val="auto"/>
              </w:rPr>
              <w:t>Income tax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14,671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20"/>
                <w:szCs w:val="20"/>
                <w:color w:val="auto"/>
              </w:rPr>
              <w:t>858</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Arial" w:cs="Arial" w:eastAsia="Arial" w:hAnsi="Arial"/>
                <w:sz w:val="20"/>
                <w:szCs w:val="20"/>
                <w:color w:val="auto"/>
              </w:rPr>
              <w:t>(5,126)</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5,984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Net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20"/>
                <w:szCs w:val="20"/>
                <w:color w:val="auto"/>
              </w:rPr>
              <w:t>24,980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20"/>
                <w:szCs w:val="20"/>
                <w:color w:val="auto"/>
              </w:rPr>
              <w:t>1,593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Arial" w:cs="Arial" w:eastAsia="Arial" w:hAnsi="Arial"/>
                <w:sz w:val="20"/>
                <w:szCs w:val="20"/>
                <w:color w:val="auto"/>
              </w:rPr>
              <w:t>(9,519)</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11,112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640" w:type="dxa"/>
            <w:vAlign w:val="bottom"/>
          </w:tcPr>
          <w:p>
            <w:pPr>
              <w:spacing w:after="0"/>
              <w:rPr>
                <w:sz w:val="20"/>
                <w:szCs w:val="20"/>
                <w:color w:val="auto"/>
              </w:rPr>
            </w:pPr>
            <w:r>
              <w:rPr>
                <w:rFonts w:ascii="Arial" w:cs="Arial" w:eastAsia="Arial" w:hAnsi="Arial"/>
                <w:sz w:val="20"/>
                <w:szCs w:val="20"/>
                <w:color w:val="auto"/>
              </w:rPr>
              <w:t>Preferred stock dividends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5,281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5,281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5,281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Net income (loss) available to</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120"/>
              <w:spacing w:after="0" w:line="199" w:lineRule="exact"/>
              <w:rPr>
                <w:sz w:val="20"/>
                <w:szCs w:val="20"/>
                <w:color w:val="auto"/>
              </w:rPr>
            </w:pPr>
            <w:r>
              <w:rPr>
                <w:rFonts w:ascii="Arial" w:cs="Arial" w:eastAsia="Arial" w:hAnsi="Arial"/>
                <w:sz w:val="20"/>
                <w:szCs w:val="20"/>
                <w:color w:val="auto"/>
              </w:rPr>
              <w:t>common stockholders</w:t>
            </w:r>
          </w:p>
        </w:tc>
        <w:tc>
          <w:tcPr>
            <w:tcW w:w="120" w:type="dxa"/>
            <w:vAlign w:val="bottom"/>
            <w:gridSpan w:val="2"/>
          </w:tcPr>
          <w:p>
            <w:pPr>
              <w:jc w:val="right"/>
              <w:spacing w:after="0" w:line="199" w:lineRule="exact"/>
              <w:rPr>
                <w:sz w:val="20"/>
                <w:szCs w:val="20"/>
                <w:color w:val="auto"/>
              </w:rPr>
            </w:pPr>
            <w:r>
              <w:rPr>
                <w:rFonts w:ascii="Arial" w:cs="Arial" w:eastAsia="Arial" w:hAnsi="Arial"/>
                <w:sz w:val="20"/>
                <w:szCs w:val="20"/>
                <w:color w:val="auto"/>
                <w:w w:val="89"/>
              </w:rPr>
              <w:t>$</w:t>
            </w:r>
          </w:p>
        </w:tc>
        <w:tc>
          <w:tcPr>
            <w:tcW w:w="720" w:type="dxa"/>
            <w:vAlign w:val="bottom"/>
            <w:gridSpan w:val="3"/>
          </w:tcPr>
          <w:p>
            <w:pPr>
              <w:jc w:val="right"/>
              <w:spacing w:after="0" w:line="199" w:lineRule="exact"/>
              <w:rPr>
                <w:sz w:val="20"/>
                <w:szCs w:val="20"/>
                <w:color w:val="auto"/>
              </w:rPr>
            </w:pPr>
            <w:r>
              <w:rPr>
                <w:rFonts w:ascii="Arial" w:cs="Arial" w:eastAsia="Arial" w:hAnsi="Arial"/>
                <w:sz w:val="20"/>
                <w:szCs w:val="20"/>
                <w:color w:val="auto"/>
              </w:rPr>
              <w:t>19,699</w:t>
            </w:r>
          </w:p>
        </w:tc>
        <w:tc>
          <w:tcPr>
            <w:tcW w:w="500" w:type="dxa"/>
            <w:vAlign w:val="bottom"/>
            <w:gridSpan w:val="2"/>
          </w:tcPr>
          <w:p>
            <w:pPr>
              <w:jc w:val="right"/>
              <w:spacing w:after="0" w:line="19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720" w:type="dxa"/>
            <w:vAlign w:val="bottom"/>
            <w:gridSpan w:val="3"/>
          </w:tcPr>
          <w:p>
            <w:pPr>
              <w:jc w:val="right"/>
              <w:ind w:right="20"/>
              <w:spacing w:after="0" w:line="199" w:lineRule="exact"/>
              <w:rPr>
                <w:sz w:val="20"/>
                <w:szCs w:val="20"/>
                <w:color w:val="auto"/>
              </w:rPr>
            </w:pPr>
            <w:r>
              <w:rPr>
                <w:rFonts w:ascii="Arial" w:cs="Arial" w:eastAsia="Arial" w:hAnsi="Arial"/>
                <w:sz w:val="20"/>
                <w:szCs w:val="20"/>
                <w:color w:val="auto"/>
              </w:rPr>
              <w:t>(3,688)</w:t>
            </w:r>
          </w:p>
        </w:tc>
        <w:tc>
          <w:tcPr>
            <w:tcW w:w="280" w:type="dxa"/>
            <w:vAlign w:val="bottom"/>
          </w:tcPr>
          <w:p>
            <w:pPr>
              <w:spacing w:after="0"/>
              <w:rPr>
                <w:sz w:val="17"/>
                <w:szCs w:val="17"/>
                <w:color w:val="auto"/>
              </w:rPr>
            </w:pPr>
          </w:p>
        </w:tc>
        <w:tc>
          <w:tcPr>
            <w:tcW w:w="1260" w:type="dxa"/>
            <w:vAlign w:val="bottom"/>
            <w:gridSpan w:val="6"/>
          </w:tcPr>
          <w:p>
            <w:pPr>
              <w:jc w:val="right"/>
              <w:spacing w:after="0" w:line="199" w:lineRule="exact"/>
              <w:rPr>
                <w:sz w:val="20"/>
                <w:szCs w:val="20"/>
                <w:color w:val="auto"/>
              </w:rPr>
            </w:pPr>
            <w:r>
              <w:rPr>
                <w:rFonts w:ascii="Arial" w:cs="Arial" w:eastAsia="Arial" w:hAnsi="Arial"/>
                <w:sz w:val="20"/>
                <w:szCs w:val="20"/>
                <w:color w:val="auto"/>
              </w:rPr>
              <w:t>$ (9,519)</w:t>
            </w:r>
          </w:p>
        </w:tc>
        <w:tc>
          <w:tcPr>
            <w:tcW w:w="54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line="199" w:lineRule="exact"/>
              <w:rPr>
                <w:sz w:val="20"/>
                <w:szCs w:val="20"/>
                <w:color w:val="auto"/>
              </w:rPr>
            </w:pPr>
            <w:r>
              <w:rPr>
                <w:rFonts w:ascii="Arial" w:cs="Arial" w:eastAsia="Arial" w:hAnsi="Arial"/>
                <w:sz w:val="20"/>
                <w:szCs w:val="20"/>
                <w:color w:val="auto"/>
              </w:rPr>
              <w:t>5,831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640" w:type="dxa"/>
            <w:vAlign w:val="bottom"/>
          </w:tcPr>
          <w:p>
            <w:pPr>
              <w:spacing w:after="0"/>
              <w:rPr>
                <w:sz w:val="20"/>
                <w:szCs w:val="20"/>
                <w:color w:val="auto"/>
              </w:rPr>
            </w:pPr>
            <w:r>
              <w:rPr>
                <w:rFonts w:ascii="Arial" w:cs="Arial" w:eastAsia="Arial" w:hAnsi="Arial"/>
                <w:sz w:val="20"/>
                <w:szCs w:val="20"/>
                <w:color w:val="auto"/>
              </w:rPr>
              <w:t>Basic net income (loss) per</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40" w:type="dxa"/>
            <w:vAlign w:val="bottom"/>
            <w:vMerge w:val="restart"/>
          </w:tcPr>
          <w:p>
            <w:pPr>
              <w:ind w:left="120"/>
              <w:spacing w:after="0"/>
              <w:rPr>
                <w:sz w:val="20"/>
                <w:szCs w:val="20"/>
                <w:color w:val="auto"/>
              </w:rPr>
            </w:pPr>
            <w:r>
              <w:rPr>
                <w:rFonts w:ascii="Arial" w:cs="Arial" w:eastAsia="Arial" w:hAnsi="Arial"/>
                <w:sz w:val="20"/>
                <w:szCs w:val="20"/>
                <w:color w:val="auto"/>
              </w:rPr>
              <w:t>common share</w:t>
            </w:r>
            <w:r>
              <w:rPr>
                <w:rFonts w:ascii="Arial" w:cs="Arial" w:eastAsia="Arial" w:hAnsi="Arial"/>
                <w:sz w:val="33"/>
                <w:szCs w:val="33"/>
                <w:color w:val="auto"/>
                <w:vertAlign w:val="superscript"/>
              </w:rPr>
              <w:t>(2)</w:t>
            </w:r>
          </w:p>
        </w:tc>
        <w:tc>
          <w:tcPr>
            <w:tcW w:w="12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20"/>
                <w:szCs w:val="20"/>
                <w:color w:val="auto"/>
              </w:rPr>
              <w:t>0.60</w:t>
            </w:r>
          </w:p>
        </w:tc>
        <w:tc>
          <w:tcPr>
            <w:tcW w:w="500" w:type="dxa"/>
            <w:vAlign w:val="bottom"/>
            <w:gridSpan w:val="2"/>
            <w:vMerge w:val="restart"/>
          </w:tcPr>
          <w:p>
            <w:pPr>
              <w:spacing w:after="0"/>
              <w:rPr>
                <w:sz w:val="17"/>
                <w:szCs w:val="17"/>
                <w:color w:val="auto"/>
              </w:rPr>
            </w:pPr>
          </w:p>
        </w:tc>
        <w:tc>
          <w:tcPr>
            <w:tcW w:w="120" w:type="dxa"/>
            <w:vAlign w:val="bottom"/>
            <w:tcBorders>
              <w:bottom w:val="single" w:sz="8" w:color="auto"/>
            </w:tcBorders>
          </w:tcPr>
          <w:p>
            <w:pPr>
              <w:spacing w:after="0" w:line="179"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gridSpan w:val="3"/>
          </w:tcPr>
          <w:p>
            <w:pPr>
              <w:jc w:val="right"/>
              <w:ind w:right="20"/>
              <w:spacing w:after="0" w:line="179" w:lineRule="exact"/>
              <w:rPr>
                <w:sz w:val="20"/>
                <w:szCs w:val="20"/>
                <w:color w:val="auto"/>
              </w:rPr>
            </w:pPr>
            <w:r>
              <w:rPr>
                <w:rFonts w:ascii="Arial" w:cs="Arial" w:eastAsia="Arial" w:hAnsi="Arial"/>
                <w:sz w:val="20"/>
                <w:szCs w:val="20"/>
                <w:color w:val="auto"/>
              </w:rPr>
              <w:t>(0.12</w:t>
            </w:r>
          </w:p>
        </w:tc>
        <w:tc>
          <w:tcPr>
            <w:tcW w:w="280" w:type="dxa"/>
            <w:vAlign w:val="bottom"/>
            <w:vMerge w:val="restart"/>
          </w:tcPr>
          <w:p>
            <w:pPr>
              <w:jc w:val="right"/>
              <w:ind w:right="138"/>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20" w:type="dxa"/>
            <w:vAlign w:val="bottom"/>
            <w:tcBorders>
              <w:bottom w:val="single" w:sz="8" w:color="auto"/>
            </w:tcBorders>
          </w:tcPr>
          <w:p>
            <w:pPr>
              <w:spacing w:after="0" w:line="179"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20"/>
                <w:szCs w:val="20"/>
                <w:color w:val="auto"/>
              </w:rPr>
              <w:t>0.19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640" w:type="dxa"/>
            <w:vAlign w:val="bottom"/>
          </w:tcPr>
          <w:p>
            <w:pPr>
              <w:spacing w:after="0"/>
              <w:rPr>
                <w:sz w:val="20"/>
                <w:szCs w:val="20"/>
                <w:color w:val="auto"/>
              </w:rPr>
            </w:pPr>
            <w:r>
              <w:rPr>
                <w:rFonts w:ascii="Arial" w:cs="Arial" w:eastAsia="Arial" w:hAnsi="Arial"/>
                <w:sz w:val="20"/>
                <w:szCs w:val="20"/>
                <w:color w:val="auto"/>
              </w:rPr>
              <w:t>Diluted net income (loss) per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640" w:type="dxa"/>
            <w:vAlign w:val="bottom"/>
            <w:vMerge w:val="restart"/>
          </w:tcPr>
          <w:p>
            <w:pPr>
              <w:ind w:left="120"/>
              <w:spacing w:after="0"/>
              <w:rPr>
                <w:sz w:val="20"/>
                <w:szCs w:val="20"/>
                <w:color w:val="auto"/>
              </w:rPr>
            </w:pPr>
            <w:r>
              <w:rPr>
                <w:rFonts w:ascii="Arial" w:cs="Arial" w:eastAsia="Arial" w:hAnsi="Arial"/>
                <w:sz w:val="20"/>
                <w:szCs w:val="20"/>
                <w:color w:val="auto"/>
              </w:rPr>
              <w:t>common share</w:t>
            </w:r>
            <w:r>
              <w:rPr>
                <w:rFonts w:ascii="Arial" w:cs="Arial" w:eastAsia="Arial" w:hAnsi="Arial"/>
                <w:sz w:val="33"/>
                <w:szCs w:val="33"/>
                <w:color w:val="auto"/>
                <w:vertAlign w:val="superscript"/>
              </w:rPr>
              <w:t>(2)</w:t>
            </w:r>
          </w:p>
        </w:tc>
        <w:tc>
          <w:tcPr>
            <w:tcW w:w="12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gridSpan w:val="3"/>
          </w:tcPr>
          <w:p>
            <w:pPr>
              <w:jc w:val="right"/>
              <w:spacing w:after="0" w:line="179" w:lineRule="exact"/>
              <w:rPr>
                <w:sz w:val="20"/>
                <w:szCs w:val="20"/>
                <w:color w:val="auto"/>
              </w:rPr>
            </w:pPr>
            <w:r>
              <w:rPr>
                <w:rFonts w:ascii="Arial" w:cs="Arial" w:eastAsia="Arial" w:hAnsi="Arial"/>
                <w:sz w:val="20"/>
                <w:szCs w:val="20"/>
                <w:color w:val="auto"/>
              </w:rPr>
              <w:t>0.46</w:t>
            </w:r>
          </w:p>
        </w:tc>
        <w:tc>
          <w:tcPr>
            <w:tcW w:w="500" w:type="dxa"/>
            <w:vAlign w:val="bottom"/>
            <w:gridSpan w:val="2"/>
            <w:vMerge w:val="restart"/>
          </w:tcPr>
          <w:p>
            <w:pPr>
              <w:spacing w:after="0"/>
              <w:rPr>
                <w:sz w:val="17"/>
                <w:szCs w:val="17"/>
                <w:color w:val="auto"/>
              </w:rPr>
            </w:pPr>
          </w:p>
        </w:tc>
        <w:tc>
          <w:tcPr>
            <w:tcW w:w="120" w:type="dxa"/>
            <w:vAlign w:val="bottom"/>
            <w:tcBorders>
              <w:bottom w:val="single" w:sz="8" w:color="auto"/>
            </w:tcBorders>
          </w:tcPr>
          <w:p>
            <w:pPr>
              <w:spacing w:after="0" w:line="179"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gridSpan w:val="3"/>
          </w:tcPr>
          <w:p>
            <w:pPr>
              <w:jc w:val="right"/>
              <w:ind w:right="20"/>
              <w:spacing w:after="0" w:line="179" w:lineRule="exact"/>
              <w:rPr>
                <w:sz w:val="20"/>
                <w:szCs w:val="20"/>
                <w:color w:val="auto"/>
              </w:rPr>
            </w:pPr>
            <w:r>
              <w:rPr>
                <w:rFonts w:ascii="Arial" w:cs="Arial" w:eastAsia="Arial" w:hAnsi="Arial"/>
                <w:sz w:val="20"/>
                <w:szCs w:val="20"/>
                <w:color w:val="auto"/>
              </w:rPr>
              <w:t>(0.12</w:t>
            </w:r>
          </w:p>
        </w:tc>
        <w:tc>
          <w:tcPr>
            <w:tcW w:w="280" w:type="dxa"/>
            <w:vAlign w:val="bottom"/>
            <w:vMerge w:val="restart"/>
          </w:tcPr>
          <w:p>
            <w:pPr>
              <w:jc w:val="right"/>
              <w:ind w:right="138"/>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vMerge w:val="restart"/>
          </w:tcPr>
          <w:p>
            <w:pPr>
              <w:spacing w:after="0"/>
              <w:rPr>
                <w:sz w:val="17"/>
                <w:szCs w:val="17"/>
                <w:color w:val="auto"/>
              </w:rPr>
            </w:pPr>
          </w:p>
        </w:tc>
        <w:tc>
          <w:tcPr>
            <w:tcW w:w="120" w:type="dxa"/>
            <w:vAlign w:val="bottom"/>
            <w:tcBorders>
              <w:bottom w:val="single" w:sz="8" w:color="auto"/>
            </w:tcBorders>
          </w:tcPr>
          <w:p>
            <w:pPr>
              <w:spacing w:after="0" w:line="179"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20"/>
                <w:szCs w:val="20"/>
                <w:color w:val="auto"/>
              </w:rPr>
              <w:t>0.18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firstLine="8"/>
        <w:spacing w:after="0" w:line="224" w:lineRule="auto"/>
        <w:tabs>
          <w:tab w:leader="none" w:pos="261" w:val="left"/>
        </w:tabs>
        <w:numPr>
          <w:ilvl w:val="0"/>
          <w:numId w:val="4"/>
        </w:numPr>
        <w:rPr>
          <w:rFonts w:ascii="Arial" w:cs="Arial" w:eastAsia="Arial" w:hAnsi="Arial"/>
          <w:sz w:val="31"/>
          <w:szCs w:val="31"/>
          <w:color w:val="auto"/>
          <w:vertAlign w:val="superscript"/>
        </w:rPr>
      </w:pPr>
      <w:r>
        <w:rPr>
          <w:rFonts w:ascii="Arial" w:cs="Arial" w:eastAsia="Arial" w:hAnsi="Arial"/>
          <w:sz w:val="19"/>
          <w:szCs w:val="19"/>
          <w:color w:val="auto"/>
        </w:rPr>
        <w:t xml:space="preserve">Restructuring and other items for the quarter ended May 2, 2004 include (a) licensing the </w:t>
      </w:r>
      <w:r>
        <w:rPr>
          <w:rFonts w:ascii="Arial" w:cs="Arial" w:eastAsia="Arial" w:hAnsi="Arial"/>
          <w:sz w:val="19"/>
          <w:szCs w:val="19"/>
          <w:i w:val="1"/>
          <w:iCs w:val="1"/>
          <w:color w:val="auto"/>
        </w:rPr>
        <w:t>Bass</w:t>
      </w:r>
      <w:r>
        <w:rPr>
          <w:rFonts w:ascii="Arial" w:cs="Arial" w:eastAsia="Arial" w:hAnsi="Arial"/>
          <w:sz w:val="19"/>
          <w:szCs w:val="19"/>
          <w:color w:val="auto"/>
        </w:rPr>
        <w:t xml:space="preserve"> brand for wholesale distribution of footwear to Brown Shoe Company, exiting the wholesale footwear business and relocating the Company's existing retail footwear operations; (b) closing underperforming retail outlet stores and (c) debt extinguishment costs associated with the Company's debt refinancing in February 2004.</w:t>
      </w:r>
    </w:p>
    <w:p>
      <w:pPr>
        <w:spacing w:after="0" w:line="277" w:lineRule="exact"/>
        <w:rPr>
          <w:rFonts w:ascii="Arial" w:cs="Arial" w:eastAsia="Arial" w:hAnsi="Arial"/>
          <w:sz w:val="31"/>
          <w:szCs w:val="31"/>
          <w:color w:val="auto"/>
          <w:vertAlign w:val="superscript"/>
        </w:rPr>
      </w:pPr>
    </w:p>
    <w:p>
      <w:pPr>
        <w:ind w:firstLine="8"/>
        <w:spacing w:after="0" w:line="183" w:lineRule="auto"/>
        <w:tabs>
          <w:tab w:leader="none" w:pos="296" w:val="left"/>
        </w:tabs>
        <w:numPr>
          <w:ilvl w:val="0"/>
          <w:numId w:val="4"/>
        </w:numPr>
        <w:rPr>
          <w:rFonts w:ascii="Arial" w:cs="Arial" w:eastAsia="Arial" w:hAnsi="Arial"/>
          <w:sz w:val="33"/>
          <w:szCs w:val="33"/>
          <w:color w:val="auto"/>
          <w:vertAlign w:val="superscript"/>
        </w:rPr>
      </w:pPr>
      <w:r>
        <w:rPr>
          <w:rFonts w:ascii="Arial" w:cs="Arial" w:eastAsia="Arial" w:hAnsi="Arial"/>
          <w:sz w:val="20"/>
          <w:szCs w:val="20"/>
          <w:color w:val="auto"/>
        </w:rPr>
        <w:t>Please see the Notes to Consolidated Income Statements for a reconciliation of basic and diluted net income (loss) per common share.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9"/>
          <w:szCs w:val="29"/>
          <w:u w:val="single" w:color="auto"/>
          <w:color w:val="auto"/>
        </w:rPr>
        <w:t>Notes to Consolidated Income Statements:</w:t>
      </w:r>
    </w:p>
    <w:p>
      <w:pPr>
        <w:spacing w:after="0" w:line="207" w:lineRule="exact"/>
        <w:rPr>
          <w:sz w:val="20"/>
          <w:szCs w:val="20"/>
          <w:color w:val="auto"/>
        </w:rPr>
      </w:pPr>
    </w:p>
    <w:p>
      <w:pPr>
        <w:jc w:val="both"/>
        <w:ind w:firstLine="8"/>
        <w:spacing w:after="0" w:line="241" w:lineRule="auto"/>
        <w:tabs>
          <w:tab w:leader="none" w:pos="23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believes presenting its prior year results excluding restructuring and other items provides useful information to investors because many investors make decisions based on the ongoing operations of an enterprise. The Company believes that investors often look at ongoing operations as a measure of assessing performance and as a basis for comparing past results against future results. The Company uses its prior year results excluding restructuring and other items to discuss its business with investment institutions, the Company’s Board of Directors and others. Such results were also the basis for certain incentive compensation calculations.</w:t>
      </w:r>
    </w:p>
    <w:p>
      <w:pPr>
        <w:spacing w:after="0" w:line="207"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computed its basic and diluted net income (loss) per common share as follows:</w:t>
      </w:r>
    </w:p>
    <w:p>
      <w:pPr>
        <w:spacing w:after="0"/>
        <w:rPr>
          <w:sz w:val="20"/>
          <w:szCs w:val="20"/>
          <w:color w:val="auto"/>
        </w:rPr>
      </w:pPr>
      <w:r>
        <w:rPr>
          <w:rFonts w:ascii="Arial" w:cs="Arial" w:eastAsia="Arial" w:hAnsi="Arial"/>
          <w:sz w:val="20"/>
          <w:szCs w:val="20"/>
          <w:color w:val="auto"/>
        </w:rPr>
        <w:t>(In thousands, except per share data)</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80" w:type="dxa"/>
            <w:vAlign w:val="bottom"/>
            <w:gridSpan w:val="8"/>
          </w:tcPr>
          <w:p>
            <w:pPr>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20"/>
                <w:szCs w:val="20"/>
                <w:b w:val="1"/>
                <w:bCs w:val="1"/>
                <w:color w:val="auto"/>
              </w:rPr>
              <w:t>5/2/04</w:t>
            </w:r>
          </w:p>
        </w:tc>
        <w:tc>
          <w:tcPr>
            <w:tcW w:w="900" w:type="dxa"/>
            <w:vAlign w:val="bottom"/>
            <w:gridSpan w:val="4"/>
            <w:vMerge w:val="restart"/>
          </w:tcPr>
          <w:p>
            <w:pPr>
              <w:jc w:val="center"/>
              <w:ind w:right="280"/>
              <w:spacing w:after="0"/>
              <w:rPr>
                <w:sz w:val="20"/>
                <w:szCs w:val="20"/>
                <w:color w:val="auto"/>
              </w:rPr>
            </w:pPr>
            <w:r>
              <w:rPr>
                <w:rFonts w:ascii="Arial" w:cs="Arial" w:eastAsia="Arial" w:hAnsi="Arial"/>
                <w:sz w:val="20"/>
                <w:szCs w:val="20"/>
                <w:b w:val="1"/>
                <w:bCs w:val="1"/>
                <w:color w:val="auto"/>
                <w:w w:val="85"/>
              </w:rPr>
              <w:t>Results</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5"/>
          </w:tcPr>
          <w:p>
            <w:pPr>
              <w:jc w:val="center"/>
              <w:ind w:left="321"/>
              <w:spacing w:after="0"/>
              <w:rPr>
                <w:sz w:val="20"/>
                <w:szCs w:val="20"/>
                <w:color w:val="auto"/>
              </w:rPr>
            </w:pPr>
            <w:r>
              <w:rPr>
                <w:rFonts w:ascii="Arial" w:cs="Arial" w:eastAsia="Arial" w:hAnsi="Arial"/>
                <w:sz w:val="20"/>
                <w:szCs w:val="20"/>
                <w:b w:val="1"/>
                <w:bCs w:val="1"/>
                <w:color w:val="auto"/>
              </w:rPr>
              <w:t>Excluding</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420" w:type="dxa"/>
            <w:vAlign w:val="bottom"/>
            <w:gridSpan w:val="4"/>
          </w:tcPr>
          <w:p>
            <w:pPr>
              <w:ind w:left="20"/>
              <w:spacing w:after="0"/>
              <w:rPr>
                <w:sz w:val="20"/>
                <w:szCs w:val="20"/>
                <w:color w:val="auto"/>
              </w:rPr>
            </w:pPr>
            <w:r>
              <w:rPr>
                <w:rFonts w:ascii="Arial" w:cs="Arial" w:eastAsia="Arial" w:hAnsi="Arial"/>
                <w:sz w:val="20"/>
                <w:szCs w:val="20"/>
                <w:b w:val="1"/>
                <w:bCs w:val="1"/>
                <w:color w:val="auto"/>
              </w:rPr>
              <w:t>Quarter</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5"/>
          </w:tcPr>
          <w:p>
            <w:pPr>
              <w:jc w:val="center"/>
              <w:ind w:right="20"/>
              <w:spacing w:after="0"/>
              <w:rPr>
                <w:sz w:val="20"/>
                <w:szCs w:val="20"/>
                <w:color w:val="auto"/>
              </w:rPr>
            </w:pPr>
            <w:r>
              <w:rPr>
                <w:rFonts w:ascii="Arial" w:cs="Arial" w:eastAsia="Arial" w:hAnsi="Arial"/>
                <w:sz w:val="20"/>
                <w:szCs w:val="20"/>
                <w:b w:val="1"/>
                <w:bCs w:val="1"/>
                <w:color w:val="auto"/>
                <w:w w:val="99"/>
              </w:rPr>
              <w:t>Results</w:t>
            </w:r>
          </w:p>
        </w:tc>
        <w:tc>
          <w:tcPr>
            <w:tcW w:w="1700" w:type="dxa"/>
            <w:vAlign w:val="bottom"/>
            <w:gridSpan w:val="5"/>
          </w:tcPr>
          <w:p>
            <w:pPr>
              <w:jc w:val="center"/>
              <w:ind w:left="301"/>
              <w:spacing w:after="0"/>
              <w:rPr>
                <w:sz w:val="20"/>
                <w:szCs w:val="20"/>
                <w:color w:val="auto"/>
              </w:rPr>
            </w:pPr>
            <w:r>
              <w:rPr>
                <w:rFonts w:ascii="Arial" w:cs="Arial" w:eastAsia="Arial" w:hAnsi="Arial"/>
                <w:sz w:val="20"/>
                <w:szCs w:val="20"/>
                <w:b w:val="1"/>
                <w:bCs w:val="1"/>
                <w:color w:val="auto"/>
                <w:w w:val="99"/>
              </w:rPr>
              <w:t>Restructuring</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420" w:type="dxa"/>
            <w:vAlign w:val="bottom"/>
            <w:gridSpan w:val="4"/>
          </w:tcPr>
          <w:p>
            <w:pPr>
              <w:ind w:left="80"/>
              <w:spacing w:after="0"/>
              <w:rPr>
                <w:sz w:val="20"/>
                <w:szCs w:val="20"/>
                <w:color w:val="auto"/>
              </w:rPr>
            </w:pPr>
            <w:r>
              <w:rPr>
                <w:rFonts w:ascii="Arial" w:cs="Arial" w:eastAsia="Arial" w:hAnsi="Arial"/>
                <w:sz w:val="20"/>
                <w:szCs w:val="20"/>
                <w:b w:val="1"/>
                <w:bCs w:val="1"/>
                <w:color w:val="auto"/>
              </w:rPr>
              <w:t>Ended</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5"/>
          </w:tcPr>
          <w:p>
            <w:pPr>
              <w:jc w:val="center"/>
              <w:spacing w:after="0"/>
              <w:rPr>
                <w:sz w:val="20"/>
                <w:szCs w:val="20"/>
                <w:color w:val="auto"/>
              </w:rPr>
            </w:pPr>
            <w:r>
              <w:rPr>
                <w:rFonts w:ascii="Arial" w:cs="Arial" w:eastAsia="Arial" w:hAnsi="Arial"/>
                <w:sz w:val="20"/>
                <w:szCs w:val="20"/>
                <w:b w:val="1"/>
                <w:bCs w:val="1"/>
                <w:color w:val="auto"/>
              </w:rPr>
              <w:t>Under</w:t>
            </w:r>
          </w:p>
        </w:tc>
        <w:tc>
          <w:tcPr>
            <w:tcW w:w="1700" w:type="dxa"/>
            <w:vAlign w:val="bottom"/>
            <w:gridSpan w:val="5"/>
          </w:tcPr>
          <w:p>
            <w:pPr>
              <w:jc w:val="center"/>
              <w:ind w:left="321"/>
              <w:spacing w:after="0"/>
              <w:rPr>
                <w:sz w:val="20"/>
                <w:szCs w:val="20"/>
                <w:color w:val="auto"/>
              </w:rPr>
            </w:pPr>
            <w:r>
              <w:rPr>
                <w:rFonts w:ascii="Arial" w:cs="Arial" w:eastAsia="Arial" w:hAnsi="Arial"/>
                <w:sz w:val="20"/>
                <w:szCs w:val="20"/>
                <w:b w:val="1"/>
                <w:bCs w:val="1"/>
                <w:color w:val="auto"/>
                <w:w w:val="97"/>
              </w:rPr>
              <w:t>and Other</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line="217" w:lineRule="exact"/>
              <w:rPr>
                <w:sz w:val="20"/>
                <w:szCs w:val="20"/>
                <w:color w:val="auto"/>
              </w:rPr>
            </w:pPr>
            <w:r>
              <w:rPr>
                <w:rFonts w:ascii="Arial" w:cs="Arial" w:eastAsia="Arial" w:hAnsi="Arial"/>
                <w:sz w:val="20"/>
                <w:szCs w:val="20"/>
                <w:b w:val="1"/>
                <w:bCs w:val="1"/>
                <w:color w:val="auto"/>
                <w:w w:val="93"/>
              </w:rPr>
              <w:t>5/1/05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5"/>
          </w:tcPr>
          <w:p>
            <w:pPr>
              <w:jc w:val="center"/>
              <w:spacing w:after="0" w:line="217" w:lineRule="exact"/>
              <w:rPr>
                <w:sz w:val="20"/>
                <w:szCs w:val="20"/>
                <w:color w:val="auto"/>
              </w:rPr>
            </w:pPr>
            <w:r>
              <w:rPr>
                <w:rFonts w:ascii="Arial" w:cs="Arial" w:eastAsia="Arial" w:hAnsi="Arial"/>
                <w:sz w:val="20"/>
                <w:szCs w:val="20"/>
                <w:b w:val="1"/>
                <w:bCs w:val="1"/>
                <w:color w:val="auto"/>
              </w:rPr>
              <w:t>GAAP</w:t>
            </w:r>
          </w:p>
        </w:tc>
        <w:tc>
          <w:tcPr>
            <w:tcW w:w="800" w:type="dxa"/>
            <w:vAlign w:val="bottom"/>
          </w:tcPr>
          <w:p>
            <w:pPr>
              <w:spacing w:after="0"/>
              <w:rPr>
                <w:sz w:val="18"/>
                <w:szCs w:val="18"/>
                <w:color w:val="auto"/>
              </w:rPr>
            </w:pPr>
          </w:p>
        </w:tc>
        <w:tc>
          <w:tcPr>
            <w:tcW w:w="900" w:type="dxa"/>
            <w:vAlign w:val="bottom"/>
            <w:gridSpan w:val="4"/>
          </w:tcPr>
          <w:p>
            <w:pPr>
              <w:jc w:val="center"/>
              <w:ind w:right="380"/>
              <w:spacing w:after="0" w:line="217" w:lineRule="exact"/>
              <w:rPr>
                <w:sz w:val="20"/>
                <w:szCs w:val="20"/>
                <w:color w:val="auto"/>
              </w:rPr>
            </w:pPr>
            <w:r>
              <w:rPr>
                <w:rFonts w:ascii="Arial" w:cs="Arial" w:eastAsia="Arial" w:hAnsi="Arial"/>
                <w:sz w:val="20"/>
                <w:szCs w:val="20"/>
                <w:b w:val="1"/>
                <w:bCs w:val="1"/>
                <w:color w:val="auto"/>
                <w:w w:val="99"/>
              </w:rPr>
              <w:t>Items</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000" w:type="dxa"/>
            <w:vAlign w:val="bottom"/>
          </w:tcPr>
          <w:p>
            <w:pPr>
              <w:spacing w:after="0"/>
              <w:rPr>
                <w:sz w:val="20"/>
                <w:szCs w:val="20"/>
                <w:color w:val="auto"/>
              </w:rPr>
            </w:pPr>
            <w:r>
              <w:rPr>
                <w:rFonts w:ascii="Arial" w:cs="Arial" w:eastAsia="Arial" w:hAnsi="Arial"/>
                <w:sz w:val="20"/>
                <w:szCs w:val="20"/>
                <w:color w:val="auto"/>
              </w:rPr>
              <w:t>Net income</w:t>
            </w:r>
          </w:p>
        </w:tc>
        <w:tc>
          <w:tcPr>
            <w:tcW w:w="660" w:type="dxa"/>
            <w:vAlign w:val="bottom"/>
            <w:gridSpan w:val="3"/>
          </w:tcPr>
          <w:p>
            <w:pPr>
              <w:jc w:val="right"/>
              <w:spacing w:after="0"/>
              <w:rPr>
                <w:sz w:val="20"/>
                <w:szCs w:val="20"/>
                <w:color w:val="auto"/>
              </w:rPr>
            </w:pPr>
            <w:r>
              <w:rPr>
                <w:rFonts w:ascii="Arial" w:cs="Arial" w:eastAsia="Arial" w:hAnsi="Arial"/>
                <w:sz w:val="20"/>
                <w:szCs w:val="20"/>
                <w:color w:val="auto"/>
                <w:w w:val="96"/>
              </w:rPr>
              <w:t>$24,980</w:t>
            </w:r>
          </w:p>
        </w:tc>
        <w:tc>
          <w:tcPr>
            <w:tcW w:w="76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20"/>
                <w:szCs w:val="20"/>
                <w:color w:val="auto"/>
              </w:rPr>
              <w:t>$ 1,593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4"/>
          </w:tcPr>
          <w:p>
            <w:pPr>
              <w:jc w:val="right"/>
              <w:ind w:right="300"/>
              <w:spacing w:after="0"/>
              <w:rPr>
                <w:sz w:val="20"/>
                <w:szCs w:val="20"/>
                <w:color w:val="auto"/>
              </w:rPr>
            </w:pPr>
            <w:r>
              <w:rPr>
                <w:rFonts w:ascii="Arial" w:cs="Arial" w:eastAsia="Arial" w:hAnsi="Arial"/>
                <w:sz w:val="20"/>
                <w:szCs w:val="20"/>
                <w:color w:val="auto"/>
                <w:w w:val="94"/>
              </w:rPr>
              <w:t>11,112</w:t>
            </w:r>
          </w:p>
        </w:tc>
        <w:tc>
          <w:tcPr>
            <w:tcW w:w="0" w:type="dxa"/>
            <w:vAlign w:val="bottom"/>
          </w:tcPr>
          <w:p>
            <w:pPr>
              <w:spacing w:after="0"/>
              <w:rPr>
                <w:sz w:val="1"/>
                <w:szCs w:val="1"/>
                <w:color w:val="auto"/>
              </w:rPr>
            </w:pPr>
          </w:p>
        </w:tc>
      </w:tr>
      <w:tr>
        <w:trPr>
          <w:trHeight w:val="442"/>
        </w:trPr>
        <w:tc>
          <w:tcPr>
            <w:tcW w:w="4000" w:type="dxa"/>
            <w:vAlign w:val="bottom"/>
          </w:tcPr>
          <w:p>
            <w:pPr>
              <w:spacing w:after="0"/>
              <w:rPr>
                <w:sz w:val="20"/>
                <w:szCs w:val="20"/>
                <w:color w:val="auto"/>
              </w:rPr>
            </w:pPr>
            <w:r>
              <w:rPr>
                <w:rFonts w:ascii="Arial" w:cs="Arial" w:eastAsia="Arial" w:hAnsi="Arial"/>
                <w:sz w:val="20"/>
                <w:szCs w:val="20"/>
                <w:color w:val="auto"/>
              </w:rPr>
              <w:t>Less: Preferred stock dividends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5,281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5,281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4000" w:type="dxa"/>
            <w:vAlign w:val="bottom"/>
          </w:tcPr>
          <w:p>
            <w:pPr>
              <w:spacing w:after="0"/>
              <w:rPr>
                <w:sz w:val="20"/>
                <w:szCs w:val="20"/>
                <w:color w:val="auto"/>
              </w:rPr>
            </w:pPr>
            <w:r>
              <w:rPr>
                <w:rFonts w:ascii="Arial" w:cs="Arial" w:eastAsia="Arial" w:hAnsi="Arial"/>
                <w:sz w:val="20"/>
                <w:szCs w:val="20"/>
                <w:color w:val="auto"/>
              </w:rPr>
              <w:t>Net income (loss) available to</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common stockholders for basic</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net income (loss) per common</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share</w:t>
            </w:r>
          </w:p>
        </w:tc>
        <w:tc>
          <w:tcPr>
            <w:tcW w:w="660" w:type="dxa"/>
            <w:vAlign w:val="bottom"/>
            <w:gridSpan w:val="3"/>
          </w:tcPr>
          <w:p>
            <w:pPr>
              <w:ind w:left="100"/>
              <w:spacing w:after="0"/>
              <w:rPr>
                <w:sz w:val="20"/>
                <w:szCs w:val="20"/>
                <w:color w:val="auto"/>
              </w:rPr>
            </w:pPr>
            <w:r>
              <w:rPr>
                <w:rFonts w:ascii="Arial" w:cs="Arial" w:eastAsia="Arial" w:hAnsi="Arial"/>
                <w:sz w:val="20"/>
                <w:szCs w:val="20"/>
                <w:color w:val="auto"/>
                <w:w w:val="84"/>
              </w:rPr>
              <w:t>19,699</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(3,688)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5,831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4000" w:type="dxa"/>
            <w:vAlign w:val="bottom"/>
          </w:tcPr>
          <w:p>
            <w:pPr>
              <w:spacing w:after="0"/>
              <w:rPr>
                <w:sz w:val="20"/>
                <w:szCs w:val="20"/>
                <w:color w:val="auto"/>
              </w:rPr>
            </w:pPr>
            <w:r>
              <w:rPr>
                <w:rFonts w:ascii="Arial" w:cs="Arial" w:eastAsia="Arial" w:hAnsi="Arial"/>
                <w:sz w:val="20"/>
                <w:szCs w:val="20"/>
                <w:color w:val="auto"/>
              </w:rPr>
              <w:t>Add back preferred stock dividends</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4000" w:type="dxa"/>
            <w:vAlign w:val="bottom"/>
          </w:tcPr>
          <w:p>
            <w:pPr>
              <w:spacing w:after="0"/>
              <w:rPr>
                <w:sz w:val="20"/>
                <w:szCs w:val="20"/>
                <w:color w:val="auto"/>
              </w:rPr>
            </w:pPr>
            <w:r>
              <w:rPr>
                <w:rFonts w:ascii="Arial" w:cs="Arial" w:eastAsia="Arial" w:hAnsi="Arial"/>
                <w:sz w:val="20"/>
                <w:szCs w:val="20"/>
                <w:color w:val="auto"/>
              </w:rPr>
              <w:t>Net income (loss) available to</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common stockholders for</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diluted net income (loss) per</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60"/>
              <w:spacing w:after="0" w:line="199" w:lineRule="exact"/>
              <w:rPr>
                <w:sz w:val="20"/>
                <w:szCs w:val="20"/>
                <w:color w:val="auto"/>
              </w:rPr>
            </w:pPr>
            <w:r>
              <w:rPr>
                <w:rFonts w:ascii="Arial" w:cs="Arial" w:eastAsia="Arial" w:hAnsi="Arial"/>
                <w:sz w:val="20"/>
                <w:szCs w:val="20"/>
                <w:color w:val="auto"/>
              </w:rPr>
              <w:t>common share</w:t>
            </w:r>
          </w:p>
        </w:tc>
        <w:tc>
          <w:tcPr>
            <w:tcW w:w="660" w:type="dxa"/>
            <w:vAlign w:val="bottom"/>
            <w:gridSpan w:val="3"/>
          </w:tcPr>
          <w:p>
            <w:pPr>
              <w:jc w:val="right"/>
              <w:spacing w:after="0" w:line="199" w:lineRule="exact"/>
              <w:rPr>
                <w:sz w:val="20"/>
                <w:szCs w:val="20"/>
                <w:color w:val="auto"/>
              </w:rPr>
            </w:pPr>
            <w:r>
              <w:rPr>
                <w:rFonts w:ascii="Arial" w:cs="Arial" w:eastAsia="Arial" w:hAnsi="Arial"/>
                <w:sz w:val="20"/>
                <w:szCs w:val="20"/>
                <w:u w:val="single" w:color="auto"/>
                <w:color w:val="auto"/>
                <w:w w:val="96"/>
              </w:rPr>
              <w:t>$</w:t>
            </w:r>
            <w:r>
              <w:rPr>
                <w:rFonts w:ascii="Arial" w:cs="Arial" w:eastAsia="Arial" w:hAnsi="Arial"/>
                <w:sz w:val="20"/>
                <w:szCs w:val="20"/>
                <w:color w:val="auto"/>
                <w:w w:val="96"/>
              </w:rPr>
              <w:t>24,980</w:t>
            </w:r>
          </w:p>
        </w:tc>
        <w:tc>
          <w:tcPr>
            <w:tcW w:w="760" w:type="dxa"/>
            <w:vAlign w:val="bottom"/>
          </w:tcPr>
          <w:p>
            <w:pPr>
              <w:spacing w:after="0"/>
              <w:rPr>
                <w:sz w:val="17"/>
                <w:szCs w:val="17"/>
                <w:color w:val="auto"/>
              </w:rPr>
            </w:pPr>
          </w:p>
        </w:tc>
        <w:tc>
          <w:tcPr>
            <w:tcW w:w="860" w:type="dxa"/>
            <w:vAlign w:val="bottom"/>
            <w:gridSpan w:val="6"/>
          </w:tcPr>
          <w:p>
            <w:pPr>
              <w:jc w:val="right"/>
              <w:spacing w:after="0" w:line="199" w:lineRule="exact"/>
              <w:rPr>
                <w:sz w:val="20"/>
                <w:szCs w:val="20"/>
                <w:color w:val="auto"/>
              </w:rPr>
            </w:pPr>
            <w:r>
              <w:rPr>
                <w:rFonts w:ascii="Arial" w:cs="Arial" w:eastAsia="Arial" w:hAnsi="Arial"/>
                <w:sz w:val="20"/>
                <w:szCs w:val="20"/>
                <w:color w:val="auto"/>
              </w:rPr>
              <w:t>$ (3,688)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20"/>
                <w:szCs w:val="20"/>
                <w:color w:val="auto"/>
              </w:rPr>
              <w:t>$</w:t>
            </w:r>
          </w:p>
        </w:tc>
        <w:tc>
          <w:tcPr>
            <w:tcW w:w="900" w:type="dxa"/>
            <w:vAlign w:val="bottom"/>
            <w:gridSpan w:val="4"/>
          </w:tcPr>
          <w:p>
            <w:pPr>
              <w:jc w:val="right"/>
              <w:ind w:right="300"/>
              <w:spacing w:after="0" w:line="199" w:lineRule="exact"/>
              <w:rPr>
                <w:sz w:val="20"/>
                <w:szCs w:val="20"/>
                <w:color w:val="auto"/>
              </w:rPr>
            </w:pPr>
            <w:r>
              <w:rPr>
                <w:rFonts w:ascii="Arial" w:cs="Arial" w:eastAsia="Arial" w:hAnsi="Arial"/>
                <w:sz w:val="20"/>
                <w:szCs w:val="20"/>
                <w:color w:val="auto"/>
              </w:rPr>
              <w:t>5,831</w:t>
            </w:r>
          </w:p>
        </w:tc>
        <w:tc>
          <w:tcPr>
            <w:tcW w:w="0" w:type="dxa"/>
            <w:vAlign w:val="bottom"/>
          </w:tcPr>
          <w:p>
            <w:pPr>
              <w:spacing w:after="0"/>
              <w:rPr>
                <w:sz w:val="1"/>
                <w:szCs w:val="1"/>
                <w:color w:val="auto"/>
              </w:rPr>
            </w:pPr>
          </w:p>
        </w:tc>
      </w:tr>
      <w:tr>
        <w:trPr>
          <w:trHeight w:val="511"/>
        </w:trPr>
        <w:tc>
          <w:tcPr>
            <w:tcW w:w="4000" w:type="dxa"/>
            <w:vAlign w:val="bottom"/>
          </w:tcPr>
          <w:p>
            <w:pPr>
              <w:spacing w:after="0"/>
              <w:rPr>
                <w:sz w:val="20"/>
                <w:szCs w:val="20"/>
                <w:color w:val="auto"/>
              </w:rPr>
            </w:pPr>
            <w:r>
              <w:rPr>
                <w:rFonts w:ascii="Arial" w:cs="Arial" w:eastAsia="Arial" w:hAnsi="Arial"/>
                <w:sz w:val="20"/>
                <w:szCs w:val="20"/>
                <w:color w:val="auto"/>
              </w:rPr>
              <w:t>Weighted average common shares</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outstanding for basic net income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60"/>
              <w:spacing w:after="0"/>
              <w:rPr>
                <w:sz w:val="20"/>
                <w:szCs w:val="20"/>
                <w:color w:val="auto"/>
              </w:rPr>
            </w:pPr>
            <w:r>
              <w:rPr>
                <w:rFonts w:ascii="Arial" w:cs="Arial" w:eastAsia="Arial" w:hAnsi="Arial"/>
                <w:sz w:val="20"/>
                <w:szCs w:val="20"/>
                <w:color w:val="auto"/>
              </w:rPr>
              <w:t>(loss) per common share</w:t>
            </w:r>
          </w:p>
        </w:tc>
        <w:tc>
          <w:tcPr>
            <w:tcW w:w="660" w:type="dxa"/>
            <w:vAlign w:val="bottom"/>
            <w:gridSpan w:val="3"/>
          </w:tcPr>
          <w:p>
            <w:pPr>
              <w:ind w:left="100"/>
              <w:spacing w:after="0"/>
              <w:rPr>
                <w:sz w:val="20"/>
                <w:szCs w:val="20"/>
                <w:color w:val="auto"/>
              </w:rPr>
            </w:pPr>
            <w:r>
              <w:rPr>
                <w:rFonts w:ascii="Arial" w:cs="Arial" w:eastAsia="Arial" w:hAnsi="Arial"/>
                <w:sz w:val="20"/>
                <w:szCs w:val="20"/>
                <w:color w:val="auto"/>
                <w:w w:val="84"/>
              </w:rPr>
              <w:t>32,978</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20"/>
                <w:szCs w:val="20"/>
                <w:color w:val="auto"/>
              </w:rPr>
              <w:t>30,715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20"/>
                <w:szCs w:val="20"/>
                <w:color w:val="auto"/>
              </w:rPr>
              <w:t>30,715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20"/>
                <w:szCs w:val="20"/>
                <w:color w:val="auto"/>
              </w:rPr>
              <w:t>Impact of dilutive stock options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2,033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20"/>
                <w:szCs w:val="20"/>
                <w:color w:val="auto"/>
              </w:rPr>
              <w:t>1,349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20"/>
                <w:szCs w:val="20"/>
                <w:color w:val="auto"/>
              </w:rPr>
              <w:t>Impact of assumed preferred stock</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60"/>
              <w:spacing w:after="0" w:line="199" w:lineRule="exact"/>
              <w:rPr>
                <w:sz w:val="20"/>
                <w:szCs w:val="20"/>
                <w:color w:val="auto"/>
              </w:rPr>
            </w:pPr>
            <w:r>
              <w:rPr>
                <w:rFonts w:ascii="Arial" w:cs="Arial" w:eastAsia="Arial" w:hAnsi="Arial"/>
                <w:sz w:val="20"/>
                <w:szCs w:val="20"/>
                <w:color w:val="auto"/>
              </w:rPr>
              <w:t>conversion</w:t>
            </w:r>
          </w:p>
        </w:tc>
        <w:tc>
          <w:tcPr>
            <w:tcW w:w="66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0"/>
                <w:szCs w:val="20"/>
                <w:color w:val="auto"/>
              </w:rPr>
              <w:t>18,910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4000" w:type="dxa"/>
            <w:vAlign w:val="bottom"/>
          </w:tcPr>
          <w:p>
            <w:pPr>
              <w:spacing w:after="0"/>
              <w:rPr>
                <w:sz w:val="20"/>
                <w:szCs w:val="20"/>
                <w:color w:val="auto"/>
              </w:rPr>
            </w:pPr>
            <w:r>
              <w:rPr>
                <w:rFonts w:ascii="Arial" w:cs="Arial" w:eastAsia="Arial" w:hAnsi="Arial"/>
                <w:sz w:val="20"/>
                <w:szCs w:val="20"/>
                <w:color w:val="auto"/>
              </w:rPr>
              <w:t>Total shares for diluted net income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60"/>
              <w:spacing w:after="0" w:line="199" w:lineRule="exact"/>
              <w:rPr>
                <w:sz w:val="20"/>
                <w:szCs w:val="20"/>
                <w:color w:val="auto"/>
              </w:rPr>
            </w:pPr>
            <w:r>
              <w:rPr>
                <w:rFonts w:ascii="Arial" w:cs="Arial" w:eastAsia="Arial" w:hAnsi="Arial"/>
                <w:sz w:val="20"/>
                <w:szCs w:val="20"/>
                <w:color w:val="auto"/>
              </w:rPr>
              <w:t>(loss) per common share</w:t>
            </w:r>
          </w:p>
        </w:tc>
        <w:tc>
          <w:tcPr>
            <w:tcW w:w="660" w:type="dxa"/>
            <w:vAlign w:val="bottom"/>
            <w:gridSpan w:val="3"/>
          </w:tcPr>
          <w:p>
            <w:pPr>
              <w:jc w:val="right"/>
              <w:spacing w:after="0" w:line="199" w:lineRule="exact"/>
              <w:rPr>
                <w:sz w:val="20"/>
                <w:szCs w:val="20"/>
                <w:color w:val="auto"/>
              </w:rPr>
            </w:pPr>
            <w:r>
              <w:rPr>
                <w:rFonts w:ascii="Arial" w:cs="Arial" w:eastAsia="Arial" w:hAnsi="Arial"/>
                <w:sz w:val="20"/>
                <w:szCs w:val="20"/>
                <w:color w:val="auto"/>
              </w:rPr>
              <w:t>53,921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jc w:val="right"/>
              <w:ind w:right="80"/>
              <w:spacing w:after="0" w:line="199" w:lineRule="exact"/>
              <w:rPr>
                <w:sz w:val="20"/>
                <w:szCs w:val="20"/>
                <w:color w:val="auto"/>
              </w:rPr>
            </w:pPr>
            <w:r>
              <w:rPr>
                <w:rFonts w:ascii="Arial" w:cs="Arial" w:eastAsia="Arial" w:hAnsi="Arial"/>
                <w:sz w:val="20"/>
                <w:szCs w:val="20"/>
                <w:color w:val="auto"/>
              </w:rPr>
              <w:t>30,715</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4"/>
          </w:tcPr>
          <w:p>
            <w:pPr>
              <w:jc w:val="right"/>
              <w:ind w:right="300"/>
              <w:spacing w:after="0" w:line="199" w:lineRule="exact"/>
              <w:rPr>
                <w:sz w:val="20"/>
                <w:szCs w:val="20"/>
                <w:color w:val="auto"/>
              </w:rPr>
            </w:pPr>
            <w:r>
              <w:rPr>
                <w:rFonts w:ascii="Arial" w:cs="Arial" w:eastAsia="Arial" w:hAnsi="Arial"/>
                <w:sz w:val="20"/>
                <w:szCs w:val="20"/>
                <w:color w:val="auto"/>
                <w:w w:val="94"/>
              </w:rPr>
              <w:t>32,064</w:t>
            </w:r>
          </w:p>
        </w:tc>
        <w:tc>
          <w:tcPr>
            <w:tcW w:w="0" w:type="dxa"/>
            <w:vAlign w:val="bottom"/>
          </w:tcPr>
          <w:p>
            <w:pPr>
              <w:spacing w:after="0"/>
              <w:rPr>
                <w:sz w:val="1"/>
                <w:szCs w:val="1"/>
                <w:color w:val="auto"/>
              </w:rPr>
            </w:pPr>
          </w:p>
        </w:tc>
      </w:tr>
      <w:tr>
        <w:trPr>
          <w:trHeight w:val="754"/>
        </w:trPr>
        <w:tc>
          <w:tcPr>
            <w:tcW w:w="4000" w:type="dxa"/>
            <w:vAlign w:val="bottom"/>
          </w:tcPr>
          <w:p>
            <w:pPr>
              <w:spacing w:after="0"/>
              <w:rPr>
                <w:sz w:val="20"/>
                <w:szCs w:val="20"/>
                <w:color w:val="auto"/>
              </w:rPr>
            </w:pPr>
            <w:r>
              <w:rPr>
                <w:rFonts w:ascii="Arial" w:cs="Arial" w:eastAsia="Arial" w:hAnsi="Arial"/>
                <w:sz w:val="20"/>
                <w:szCs w:val="20"/>
                <w:color w:val="auto"/>
              </w:rPr>
              <w:t>Basic net income (loss) per</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60"/>
              <w:spacing w:after="0" w:line="199" w:lineRule="exact"/>
              <w:rPr>
                <w:sz w:val="20"/>
                <w:szCs w:val="20"/>
                <w:color w:val="auto"/>
              </w:rPr>
            </w:pPr>
            <w:r>
              <w:rPr>
                <w:rFonts w:ascii="Arial" w:cs="Arial" w:eastAsia="Arial" w:hAnsi="Arial"/>
                <w:sz w:val="20"/>
                <w:szCs w:val="20"/>
                <w:color w:val="auto"/>
              </w:rPr>
              <w:t>common share</w:t>
            </w:r>
          </w:p>
        </w:tc>
        <w:tc>
          <w:tcPr>
            <w:tcW w:w="160" w:type="dxa"/>
            <w:vAlign w:val="bottom"/>
            <w:gridSpan w:val="2"/>
          </w:tcPr>
          <w:p>
            <w:pPr>
              <w:spacing w:after="0" w:line="199" w:lineRule="exact"/>
              <w:rPr>
                <w:sz w:val="20"/>
                <w:szCs w:val="20"/>
                <w:color w:val="auto"/>
              </w:rPr>
            </w:pPr>
            <w:r>
              <w:rPr>
                <w:rFonts w:ascii="Arial" w:cs="Arial" w:eastAsia="Arial" w:hAnsi="Arial"/>
                <w:sz w:val="20"/>
                <w:szCs w:val="20"/>
                <w:color w:val="auto"/>
              </w:rPr>
              <w:t>$</w:t>
            </w:r>
          </w:p>
        </w:tc>
        <w:tc>
          <w:tcPr>
            <w:tcW w:w="500" w:type="dxa"/>
            <w:vAlign w:val="bottom"/>
          </w:tcPr>
          <w:p>
            <w:pPr>
              <w:jc w:val="right"/>
              <w:spacing w:after="0" w:line="199" w:lineRule="exact"/>
              <w:rPr>
                <w:sz w:val="20"/>
                <w:szCs w:val="20"/>
                <w:color w:val="auto"/>
              </w:rPr>
            </w:pPr>
            <w:r>
              <w:rPr>
                <w:rFonts w:ascii="Arial" w:cs="Arial" w:eastAsia="Arial" w:hAnsi="Arial"/>
                <w:sz w:val="20"/>
                <w:szCs w:val="20"/>
                <w:color w:val="auto"/>
              </w:rPr>
              <w:t>0.60</w:t>
            </w:r>
          </w:p>
        </w:tc>
        <w:tc>
          <w:tcPr>
            <w:tcW w:w="760" w:type="dxa"/>
            <w:vAlign w:val="bottom"/>
          </w:tcPr>
          <w:p>
            <w:pPr>
              <w:spacing w:after="0"/>
              <w:rPr>
                <w:sz w:val="17"/>
                <w:szCs w:val="17"/>
                <w:color w:val="auto"/>
              </w:rPr>
            </w:pPr>
          </w:p>
        </w:tc>
        <w:tc>
          <w:tcPr>
            <w:tcW w:w="180" w:type="dxa"/>
            <w:vAlign w:val="bottom"/>
            <w:gridSpan w:val="3"/>
          </w:tcPr>
          <w:p>
            <w:pPr>
              <w:jc w:val="right"/>
              <w:ind w:right="20"/>
              <w:spacing w:after="0" w:line="199" w:lineRule="exact"/>
              <w:rPr>
                <w:sz w:val="20"/>
                <w:szCs w:val="20"/>
                <w:color w:val="auto"/>
              </w:rPr>
            </w:pPr>
            <w:r>
              <w:rPr>
                <w:rFonts w:ascii="Arial" w:cs="Arial" w:eastAsia="Arial" w:hAnsi="Arial"/>
                <w:sz w:val="20"/>
                <w:szCs w:val="20"/>
                <w:color w:val="auto"/>
              </w:rPr>
              <w:t>$</w:t>
            </w:r>
          </w:p>
        </w:tc>
        <w:tc>
          <w:tcPr>
            <w:tcW w:w="760" w:type="dxa"/>
            <w:vAlign w:val="bottom"/>
            <w:gridSpan w:val="4"/>
          </w:tcPr>
          <w:p>
            <w:pPr>
              <w:jc w:val="center"/>
              <w:ind w:left="61"/>
              <w:spacing w:after="0" w:line="199" w:lineRule="exact"/>
              <w:rPr>
                <w:sz w:val="20"/>
                <w:szCs w:val="20"/>
                <w:color w:val="auto"/>
              </w:rPr>
            </w:pPr>
            <w:r>
              <w:rPr>
                <w:rFonts w:ascii="Arial" w:cs="Arial" w:eastAsia="Arial" w:hAnsi="Arial"/>
                <w:sz w:val="20"/>
                <w:szCs w:val="20"/>
                <w:color w:val="auto"/>
                <w:w w:val="99"/>
              </w:rPr>
              <w:t>(0.12)</w:t>
            </w:r>
          </w:p>
        </w:tc>
        <w:tc>
          <w:tcPr>
            <w:tcW w:w="1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20"/>
                <w:szCs w:val="20"/>
                <w:color w:val="auto"/>
              </w:rPr>
              <w:t>0.19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4000" w:type="dxa"/>
            <w:vAlign w:val="bottom"/>
          </w:tcPr>
          <w:p>
            <w:pPr>
              <w:spacing w:after="0"/>
              <w:rPr>
                <w:sz w:val="20"/>
                <w:szCs w:val="20"/>
                <w:color w:val="auto"/>
              </w:rPr>
            </w:pPr>
            <w:r>
              <w:rPr>
                <w:rFonts w:ascii="Arial" w:cs="Arial" w:eastAsia="Arial" w:hAnsi="Arial"/>
                <w:sz w:val="20"/>
                <w:szCs w:val="20"/>
                <w:color w:val="auto"/>
              </w:rPr>
              <w:t>Diluted net income (loss) per</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60"/>
              <w:spacing w:after="0" w:line="199" w:lineRule="exact"/>
              <w:rPr>
                <w:sz w:val="20"/>
                <w:szCs w:val="20"/>
                <w:color w:val="auto"/>
              </w:rPr>
            </w:pPr>
            <w:r>
              <w:rPr>
                <w:rFonts w:ascii="Arial" w:cs="Arial" w:eastAsia="Arial" w:hAnsi="Arial"/>
                <w:sz w:val="20"/>
                <w:szCs w:val="20"/>
                <w:color w:val="auto"/>
              </w:rPr>
              <w:t>common share</w:t>
            </w:r>
          </w:p>
        </w:tc>
        <w:tc>
          <w:tcPr>
            <w:tcW w:w="160" w:type="dxa"/>
            <w:vAlign w:val="bottom"/>
            <w:gridSpan w:val="2"/>
          </w:tcPr>
          <w:p>
            <w:pPr>
              <w:spacing w:after="0" w:line="199" w:lineRule="exact"/>
              <w:rPr>
                <w:sz w:val="20"/>
                <w:szCs w:val="20"/>
                <w:color w:val="auto"/>
              </w:rPr>
            </w:pPr>
            <w:r>
              <w:rPr>
                <w:rFonts w:ascii="Arial" w:cs="Arial" w:eastAsia="Arial" w:hAnsi="Arial"/>
                <w:sz w:val="20"/>
                <w:szCs w:val="20"/>
                <w:color w:val="auto"/>
              </w:rPr>
              <w:t>$</w:t>
            </w:r>
          </w:p>
        </w:tc>
        <w:tc>
          <w:tcPr>
            <w:tcW w:w="500" w:type="dxa"/>
            <w:vAlign w:val="bottom"/>
          </w:tcPr>
          <w:p>
            <w:pPr>
              <w:jc w:val="right"/>
              <w:spacing w:after="0" w:line="199" w:lineRule="exact"/>
              <w:rPr>
                <w:sz w:val="20"/>
                <w:szCs w:val="20"/>
                <w:color w:val="auto"/>
              </w:rPr>
            </w:pPr>
            <w:r>
              <w:rPr>
                <w:rFonts w:ascii="Arial" w:cs="Arial" w:eastAsia="Arial" w:hAnsi="Arial"/>
                <w:sz w:val="20"/>
                <w:szCs w:val="20"/>
                <w:color w:val="auto"/>
              </w:rPr>
              <w:t>0.46</w:t>
            </w:r>
          </w:p>
        </w:tc>
        <w:tc>
          <w:tcPr>
            <w:tcW w:w="760" w:type="dxa"/>
            <w:vAlign w:val="bottom"/>
          </w:tcPr>
          <w:p>
            <w:pPr>
              <w:spacing w:after="0"/>
              <w:rPr>
                <w:sz w:val="17"/>
                <w:szCs w:val="17"/>
                <w:color w:val="auto"/>
              </w:rPr>
            </w:pPr>
          </w:p>
        </w:tc>
        <w:tc>
          <w:tcPr>
            <w:tcW w:w="140" w:type="dxa"/>
            <w:vAlign w:val="bottom"/>
            <w:gridSpan w:val="2"/>
          </w:tcPr>
          <w:p>
            <w:pPr>
              <w:jc w:val="right"/>
              <w:ind w:right="20"/>
              <w:spacing w:after="0" w:line="199" w:lineRule="exact"/>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17"/>
                <w:szCs w:val="17"/>
                <w:color w:val="auto"/>
              </w:rPr>
            </w:pPr>
          </w:p>
        </w:tc>
        <w:tc>
          <w:tcPr>
            <w:tcW w:w="760" w:type="dxa"/>
            <w:vAlign w:val="bottom"/>
            <w:gridSpan w:val="4"/>
          </w:tcPr>
          <w:p>
            <w:pPr>
              <w:jc w:val="center"/>
              <w:ind w:left="61"/>
              <w:spacing w:after="0" w:line="199" w:lineRule="exact"/>
              <w:rPr>
                <w:sz w:val="20"/>
                <w:szCs w:val="20"/>
                <w:color w:val="auto"/>
              </w:rPr>
            </w:pPr>
            <w:r>
              <w:rPr>
                <w:rFonts w:ascii="Arial" w:cs="Arial" w:eastAsia="Arial" w:hAnsi="Arial"/>
                <w:sz w:val="20"/>
                <w:szCs w:val="20"/>
                <w:color w:val="auto"/>
                <w:w w:val="99"/>
              </w:rPr>
              <w:t>(0.12)</w:t>
            </w:r>
          </w:p>
        </w:tc>
        <w:tc>
          <w:tcPr>
            <w:tcW w:w="18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20"/>
                <w:szCs w:val="20"/>
                <w:color w:val="auto"/>
              </w:rPr>
              <w:t>$</w:t>
            </w: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20"/>
                <w:szCs w:val="20"/>
                <w:color w:val="auto"/>
              </w:rPr>
              <w:t>0.18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10" w:name="page11"/>
    <w:bookmarkEnd w:id="10"/>
    <w:p>
      <w:pPr>
        <w:jc w:val="both"/>
        <w:ind w:firstLine="8"/>
        <w:spacing w:after="0"/>
        <w:tabs>
          <w:tab w:leader="none" w:pos="283" w:val="left"/>
        </w:tabs>
        <w:numPr>
          <w:ilvl w:val="0"/>
          <w:numId w:val="6"/>
        </w:numPr>
        <w:rPr>
          <w:rFonts w:ascii="Arial" w:cs="Arial" w:eastAsia="Arial" w:hAnsi="Arial"/>
          <w:sz w:val="20"/>
          <w:szCs w:val="20"/>
          <w:color w:val="auto"/>
        </w:rPr>
      </w:pPr>
      <w:r>
        <w:rPr>
          <w:rFonts w:ascii="Arial" w:cs="Arial" w:eastAsia="Arial" w:hAnsi="Arial"/>
          <w:sz w:val="20"/>
          <w:szCs w:val="20"/>
          <w:color w:val="auto"/>
        </w:rPr>
        <w:t>EBITDA is a "non-GAAP financial measure" which represents net income before net interest expense, income taxes, depreciation and amortization. EBITDA is provided because the Company believes it is an important measure of liquidity. The Company uses EBITDA in connection with certain covenants relating to the Company’s outstanding debt. You should not construe EBITDA as an alternative to net income as an indicator of the Company’s operating performance, or as an alternative to cash flows from operating activities as a measure of the Company’s liquidity, as determined in accordance with generally accepted accounting principles. The Company may calculate EBITDA differently than other companies. Net income is reconciled to EBITDA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7"/>
          </w:tcPr>
          <w:p>
            <w:pPr>
              <w:jc w:val="center"/>
              <w:ind w:left="301"/>
              <w:spacing w:after="0"/>
              <w:rPr>
                <w:sz w:val="20"/>
                <w:szCs w:val="20"/>
                <w:color w:val="auto"/>
              </w:rPr>
            </w:pPr>
            <w:r>
              <w:rPr>
                <w:rFonts w:ascii="Arial" w:cs="Arial" w:eastAsia="Arial" w:hAnsi="Arial"/>
                <w:sz w:val="20"/>
                <w:szCs w:val="20"/>
                <w:b w:val="1"/>
                <w:bCs w:val="1"/>
                <w:color w:val="auto"/>
                <w:w w:val="99"/>
              </w:rPr>
              <w:t>Quarter Ended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gridSpan w:val="7"/>
          </w:tcPr>
          <w:p>
            <w:pPr>
              <w:jc w:val="right"/>
              <w:ind w:right="420"/>
              <w:spacing w:after="0"/>
              <w:rPr>
                <w:sz w:val="20"/>
                <w:szCs w:val="20"/>
                <w:color w:val="auto"/>
              </w:rPr>
            </w:pPr>
            <w:r>
              <w:rPr>
                <w:rFonts w:ascii="Arial" w:cs="Arial" w:eastAsia="Arial" w:hAnsi="Arial"/>
                <w:sz w:val="20"/>
                <w:szCs w:val="20"/>
                <w:b w:val="1"/>
                <w:bCs w:val="1"/>
                <w:color w:val="auto"/>
              </w:rPr>
              <w:t>5/2/04</w:t>
            </w:r>
          </w:p>
        </w:tc>
        <w:tc>
          <w:tcPr>
            <w:tcW w:w="240" w:type="dxa"/>
            <w:vAlign w:val="bottom"/>
          </w:tcPr>
          <w:p>
            <w:pPr>
              <w:spacing w:after="0"/>
              <w:rPr>
                <w:sz w:val="22"/>
                <w:szCs w:val="22"/>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20"/>
                <w:szCs w:val="20"/>
                <w:b w:val="1"/>
                <w:bCs w:val="1"/>
                <w:color w:val="auto"/>
                <w:w w:val="96"/>
              </w:rPr>
              <w:t>Results</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4"/>
          </w:tcPr>
          <w:p>
            <w:pPr>
              <w:jc w:val="center"/>
              <w:spacing w:after="0"/>
              <w:rPr>
                <w:sz w:val="20"/>
                <w:szCs w:val="20"/>
                <w:color w:val="auto"/>
              </w:rPr>
            </w:pPr>
            <w:r>
              <w:rPr>
                <w:rFonts w:ascii="Arial" w:cs="Arial" w:eastAsia="Arial" w:hAnsi="Arial"/>
                <w:sz w:val="20"/>
                <w:szCs w:val="20"/>
                <w:b w:val="1"/>
                <w:bCs w:val="1"/>
                <w:color w:val="auto"/>
                <w:w w:val="98"/>
              </w:rPr>
              <w:t>Excluding</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20"/>
                <w:szCs w:val="20"/>
                <w:b w:val="1"/>
                <w:bCs w:val="1"/>
                <w:color w:val="auto"/>
                <w:w w:val="96"/>
              </w:rPr>
              <w:t>Quarter</w:t>
            </w:r>
          </w:p>
        </w:tc>
        <w:tc>
          <w:tcPr>
            <w:tcW w:w="940" w:type="dxa"/>
            <w:vAlign w:val="bottom"/>
            <w:gridSpan w:val="4"/>
          </w:tcPr>
          <w:p>
            <w:pPr>
              <w:jc w:val="right"/>
              <w:ind w:right="180"/>
              <w:spacing w:after="0"/>
              <w:rPr>
                <w:sz w:val="20"/>
                <w:szCs w:val="20"/>
                <w:color w:val="auto"/>
              </w:rPr>
            </w:pPr>
            <w:r>
              <w:rPr>
                <w:rFonts w:ascii="Arial" w:cs="Arial" w:eastAsia="Arial" w:hAnsi="Arial"/>
                <w:sz w:val="20"/>
                <w:szCs w:val="20"/>
                <w:b w:val="1"/>
                <w:bCs w:val="1"/>
                <w:color w:val="auto"/>
              </w:rPr>
              <w:t>Results</w:t>
            </w:r>
          </w:p>
        </w:tc>
        <w:tc>
          <w:tcPr>
            <w:tcW w:w="1780" w:type="dxa"/>
            <w:vAlign w:val="bottom"/>
            <w:gridSpan w:val="7"/>
          </w:tcPr>
          <w:p>
            <w:pPr>
              <w:jc w:val="center"/>
              <w:ind w:right="120"/>
              <w:spacing w:after="0"/>
              <w:rPr>
                <w:sz w:val="20"/>
                <w:szCs w:val="20"/>
                <w:color w:val="auto"/>
              </w:rPr>
            </w:pPr>
            <w:r>
              <w:rPr>
                <w:rFonts w:ascii="Arial" w:cs="Arial" w:eastAsia="Arial" w:hAnsi="Arial"/>
                <w:sz w:val="20"/>
                <w:szCs w:val="20"/>
                <w:b w:val="1"/>
                <w:bCs w:val="1"/>
                <w:color w:val="auto"/>
                <w:w w:val="99"/>
              </w:rPr>
              <w:t>Restructuring</w:t>
            </w:r>
          </w:p>
        </w:tc>
        <w:tc>
          <w:tcPr>
            <w:tcW w:w="132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Restructuring</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20"/>
                <w:szCs w:val="20"/>
                <w:b w:val="1"/>
                <w:bCs w:val="1"/>
                <w:color w:val="auto"/>
              </w:rPr>
              <w:t>Ended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w w:val="96"/>
              </w:rPr>
              <w:t>Under</w:t>
            </w:r>
          </w:p>
        </w:tc>
        <w:tc>
          <w:tcPr>
            <w:tcW w:w="1780" w:type="dxa"/>
            <w:vAlign w:val="bottom"/>
            <w:gridSpan w:val="7"/>
          </w:tcPr>
          <w:p>
            <w:pPr>
              <w:jc w:val="center"/>
              <w:ind w:right="120"/>
              <w:spacing w:after="0"/>
              <w:rPr>
                <w:sz w:val="20"/>
                <w:szCs w:val="20"/>
                <w:color w:val="auto"/>
              </w:rPr>
            </w:pPr>
            <w:r>
              <w:rPr>
                <w:rFonts w:ascii="Arial" w:cs="Arial" w:eastAsia="Arial" w:hAnsi="Arial"/>
                <w:sz w:val="20"/>
                <w:szCs w:val="20"/>
                <w:b w:val="1"/>
                <w:bCs w:val="1"/>
                <w:color w:val="auto"/>
                <w:w w:val="99"/>
              </w:rPr>
              <w:t>and Other</w:t>
            </w:r>
          </w:p>
        </w:tc>
        <w:tc>
          <w:tcPr>
            <w:tcW w:w="132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and Other</w:t>
            </w:r>
          </w:p>
        </w:tc>
        <w:tc>
          <w:tcPr>
            <w:tcW w:w="0" w:type="dxa"/>
            <w:vAlign w:val="bottom"/>
          </w:tcPr>
          <w:p>
            <w:pPr>
              <w:spacing w:after="0"/>
              <w:rPr>
                <w:sz w:val="1"/>
                <w:szCs w:val="1"/>
                <w:color w:val="auto"/>
              </w:rPr>
            </w:pPr>
          </w:p>
        </w:tc>
      </w:tr>
      <w:tr>
        <w:trPr>
          <w:trHeight w:val="217"/>
        </w:trPr>
        <w:tc>
          <w:tcPr>
            <w:tcW w:w="3280" w:type="dxa"/>
            <w:vAlign w:val="bottom"/>
            <w:vMerge w:val="restart"/>
          </w:tcPr>
          <w:p>
            <w:pPr>
              <w:spacing w:after="0"/>
              <w:rPr>
                <w:sz w:val="20"/>
                <w:szCs w:val="20"/>
                <w:color w:val="auto"/>
              </w:rPr>
            </w:pPr>
            <w:r>
              <w:rPr>
                <w:rFonts w:ascii="Arial" w:cs="Arial" w:eastAsia="Arial" w:hAnsi="Arial"/>
                <w:sz w:val="20"/>
                <w:szCs w:val="20"/>
                <w:b w:val="1"/>
                <w:bCs w:val="1"/>
                <w:color w:val="auto"/>
              </w:rPr>
              <w:t>($000)</w:t>
            </w:r>
          </w:p>
        </w:tc>
        <w:tc>
          <w:tcPr>
            <w:tcW w:w="700" w:type="dxa"/>
            <w:vAlign w:val="bottom"/>
            <w:gridSpan w:val="2"/>
          </w:tcPr>
          <w:p>
            <w:pPr>
              <w:jc w:val="center"/>
              <w:spacing w:after="0" w:line="217" w:lineRule="exact"/>
              <w:rPr>
                <w:sz w:val="20"/>
                <w:szCs w:val="20"/>
                <w:color w:val="auto"/>
              </w:rPr>
            </w:pPr>
            <w:r>
              <w:rPr>
                <w:rFonts w:ascii="Arial" w:cs="Arial" w:eastAsia="Arial" w:hAnsi="Arial"/>
                <w:sz w:val="20"/>
                <w:szCs w:val="20"/>
                <w:b w:val="1"/>
                <w:bCs w:val="1"/>
                <w:color w:val="auto"/>
                <w:w w:val="97"/>
              </w:rPr>
              <w:t>5/1/05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40"/>
              <w:spacing w:after="0" w:line="217" w:lineRule="exact"/>
              <w:rPr>
                <w:sz w:val="20"/>
                <w:szCs w:val="20"/>
                <w:color w:val="auto"/>
              </w:rPr>
            </w:pPr>
            <w:r>
              <w:rPr>
                <w:rFonts w:ascii="Arial" w:cs="Arial" w:eastAsia="Arial" w:hAnsi="Arial"/>
                <w:sz w:val="20"/>
                <w:szCs w:val="20"/>
                <w:b w:val="1"/>
                <w:bCs w:val="1"/>
                <w:color w:val="auto"/>
                <w:w w:val="96"/>
              </w:rPr>
              <w:t>GAAP</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jc w:val="center"/>
              <w:ind w:right="640"/>
              <w:spacing w:after="0" w:line="217" w:lineRule="exact"/>
              <w:rPr>
                <w:sz w:val="20"/>
                <w:szCs w:val="20"/>
                <w:color w:val="auto"/>
              </w:rPr>
            </w:pPr>
            <w:r>
              <w:rPr>
                <w:rFonts w:ascii="Arial" w:cs="Arial" w:eastAsia="Arial" w:hAnsi="Arial"/>
                <w:sz w:val="20"/>
                <w:szCs w:val="20"/>
                <w:b w:val="1"/>
                <w:bCs w:val="1"/>
                <w:color w:val="auto"/>
                <w:w w:val="99"/>
              </w:rPr>
              <w:t>Items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400"/>
              <w:spacing w:after="0" w:line="217" w:lineRule="exact"/>
              <w:rPr>
                <w:sz w:val="20"/>
                <w:szCs w:val="20"/>
                <w:color w:val="auto"/>
              </w:rPr>
            </w:pPr>
            <w:r>
              <w:rPr>
                <w:rFonts w:ascii="Arial" w:cs="Arial" w:eastAsia="Arial" w:hAnsi="Arial"/>
                <w:sz w:val="20"/>
                <w:szCs w:val="20"/>
                <w:b w:val="1"/>
                <w:bCs w:val="1"/>
                <w:color w:val="auto"/>
                <w:w w:val="99"/>
              </w:rPr>
              <w:t>Items</w:t>
            </w:r>
          </w:p>
        </w:tc>
        <w:tc>
          <w:tcPr>
            <w:tcW w:w="0" w:type="dxa"/>
            <w:vAlign w:val="bottom"/>
          </w:tcPr>
          <w:p>
            <w:pPr>
              <w:spacing w:after="0"/>
              <w:rPr>
                <w:sz w:val="1"/>
                <w:szCs w:val="1"/>
                <w:color w:val="auto"/>
              </w:rPr>
            </w:pPr>
          </w:p>
        </w:tc>
      </w:tr>
      <w:tr>
        <w:trPr>
          <w:trHeight w:val="268"/>
        </w:trPr>
        <w:tc>
          <w:tcPr>
            <w:tcW w:w="32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4"/>
              </w:rPr>
              <w:t>$24,980</w:t>
            </w:r>
          </w:p>
        </w:tc>
        <w:tc>
          <w:tcPr>
            <w:tcW w:w="4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gridSpan w:val="3"/>
          </w:tcPr>
          <w:p>
            <w:pPr>
              <w:jc w:val="right"/>
              <w:ind w:right="240"/>
              <w:spacing w:after="0"/>
              <w:rPr>
                <w:sz w:val="20"/>
                <w:szCs w:val="20"/>
                <w:color w:val="auto"/>
              </w:rPr>
            </w:pPr>
            <w:r>
              <w:rPr>
                <w:rFonts w:ascii="Arial" w:cs="Arial" w:eastAsia="Arial" w:hAnsi="Arial"/>
                <w:sz w:val="20"/>
                <w:szCs w:val="20"/>
                <w:color w:val="auto"/>
              </w:rPr>
              <w:t>1,593</w:t>
            </w:r>
          </w:p>
        </w:tc>
        <w:tc>
          <w:tcPr>
            <w:tcW w:w="1260" w:type="dxa"/>
            <w:vAlign w:val="bottom"/>
            <w:gridSpan w:val="6"/>
          </w:tcPr>
          <w:p>
            <w:pPr>
              <w:jc w:val="right"/>
              <w:ind w:right="20"/>
              <w:spacing w:after="0"/>
              <w:rPr>
                <w:sz w:val="20"/>
                <w:szCs w:val="20"/>
                <w:color w:val="auto"/>
              </w:rPr>
            </w:pPr>
            <w:r>
              <w:rPr>
                <w:rFonts w:ascii="Arial" w:cs="Arial" w:eastAsia="Arial" w:hAnsi="Arial"/>
                <w:sz w:val="20"/>
                <w:szCs w:val="20"/>
                <w:color w:val="auto"/>
              </w:rPr>
              <w:t>$(9,519)</w:t>
            </w:r>
          </w:p>
        </w:tc>
        <w:tc>
          <w:tcPr>
            <w:tcW w:w="520" w:type="dxa"/>
            <w:vAlign w:val="bottom"/>
          </w:tcPr>
          <w:p>
            <w:pPr>
              <w:spacing w:after="0"/>
              <w:rPr>
                <w:sz w:val="21"/>
                <w:szCs w:val="21"/>
                <w:color w:val="auto"/>
              </w:rPr>
            </w:pPr>
          </w:p>
        </w:tc>
        <w:tc>
          <w:tcPr>
            <w:tcW w:w="1320" w:type="dxa"/>
            <w:vAlign w:val="bottom"/>
            <w:gridSpan w:val="4"/>
          </w:tcPr>
          <w:p>
            <w:pPr>
              <w:jc w:val="right"/>
              <w:ind w:right="360"/>
              <w:spacing w:after="0"/>
              <w:rPr>
                <w:sz w:val="20"/>
                <w:szCs w:val="20"/>
                <w:color w:val="auto"/>
              </w:rPr>
            </w:pPr>
            <w:r>
              <w:rPr>
                <w:rFonts w:ascii="Arial" w:cs="Arial" w:eastAsia="Arial" w:hAnsi="Arial"/>
                <w:sz w:val="20"/>
                <w:szCs w:val="20"/>
                <w:color w:val="auto"/>
              </w:rPr>
              <w:t>$11,112</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Plus: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Income tax expense</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14,671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858</w:t>
            </w:r>
          </w:p>
        </w:tc>
        <w:tc>
          <w:tcPr>
            <w:tcW w:w="240" w:type="dxa"/>
            <w:vAlign w:val="bottom"/>
          </w:tcPr>
          <w:p>
            <w:pPr>
              <w:spacing w:after="0"/>
              <w:rPr>
                <w:sz w:val="21"/>
                <w:szCs w:val="21"/>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20"/>
                <w:szCs w:val="20"/>
                <w:color w:val="auto"/>
              </w:rPr>
              <w:t>(5,126)</w:t>
            </w:r>
          </w:p>
        </w:tc>
        <w:tc>
          <w:tcPr>
            <w:tcW w:w="520" w:type="dxa"/>
            <w:vAlign w:val="bottom"/>
          </w:tcPr>
          <w:p>
            <w:pPr>
              <w:spacing w:after="0"/>
              <w:rPr>
                <w:sz w:val="21"/>
                <w:szCs w:val="21"/>
                <w:color w:val="auto"/>
              </w:rPr>
            </w:pPr>
          </w:p>
        </w:tc>
        <w:tc>
          <w:tcPr>
            <w:tcW w:w="960" w:type="dxa"/>
            <w:vAlign w:val="bottom"/>
            <w:gridSpan w:val="3"/>
          </w:tcPr>
          <w:p>
            <w:pPr>
              <w:jc w:val="center"/>
              <w:ind w:left="321"/>
              <w:spacing w:after="0"/>
              <w:rPr>
                <w:sz w:val="20"/>
                <w:szCs w:val="20"/>
                <w:color w:val="auto"/>
              </w:rPr>
            </w:pPr>
            <w:r>
              <w:rPr>
                <w:rFonts w:ascii="Arial" w:cs="Arial" w:eastAsia="Arial" w:hAnsi="Arial"/>
                <w:sz w:val="20"/>
                <w:szCs w:val="20"/>
                <w:color w:val="auto"/>
                <w:w w:val="99"/>
              </w:rPr>
              <w:t>5,984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Interest expense, net</w:t>
            </w: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7,978</w:t>
            </w:r>
          </w:p>
        </w:tc>
        <w:tc>
          <w:tcPr>
            <w:tcW w:w="4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17,843</w:t>
            </w:r>
          </w:p>
        </w:tc>
        <w:tc>
          <w:tcPr>
            <w:tcW w:w="240" w:type="dxa"/>
            <w:vAlign w:val="bottom"/>
          </w:tcPr>
          <w:p>
            <w:pPr>
              <w:spacing w:after="0"/>
              <w:rPr>
                <w:sz w:val="21"/>
                <w:szCs w:val="21"/>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20"/>
                <w:szCs w:val="20"/>
                <w:color w:val="auto"/>
              </w:rPr>
              <w:t>9,374</w:t>
            </w:r>
          </w:p>
        </w:tc>
        <w:tc>
          <w:tcPr>
            <w:tcW w:w="520" w:type="dxa"/>
            <w:vAlign w:val="bottom"/>
          </w:tcPr>
          <w:p>
            <w:pPr>
              <w:spacing w:after="0"/>
              <w:rPr>
                <w:sz w:val="21"/>
                <w:szCs w:val="21"/>
                <w:color w:val="auto"/>
              </w:rPr>
            </w:pPr>
          </w:p>
        </w:tc>
        <w:tc>
          <w:tcPr>
            <w:tcW w:w="960" w:type="dxa"/>
            <w:vAlign w:val="bottom"/>
            <w:gridSpan w:val="3"/>
          </w:tcPr>
          <w:p>
            <w:pPr>
              <w:jc w:val="center"/>
              <w:ind w:left="321"/>
              <w:spacing w:after="0"/>
              <w:rPr>
                <w:sz w:val="20"/>
                <w:szCs w:val="20"/>
                <w:color w:val="auto"/>
              </w:rPr>
            </w:pPr>
            <w:r>
              <w:rPr>
                <w:rFonts w:ascii="Arial" w:cs="Arial" w:eastAsia="Arial" w:hAnsi="Arial"/>
                <w:sz w:val="20"/>
                <w:szCs w:val="20"/>
                <w:color w:val="auto"/>
                <w:w w:val="99"/>
              </w:rPr>
              <w:t>8,469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line="199" w:lineRule="exact"/>
              <w:rPr>
                <w:sz w:val="20"/>
                <w:szCs w:val="20"/>
                <w:color w:val="auto"/>
              </w:rPr>
            </w:pPr>
            <w:r>
              <w:rPr>
                <w:rFonts w:ascii="Arial" w:cs="Arial" w:eastAsia="Arial" w:hAnsi="Arial"/>
                <w:sz w:val="20"/>
                <w:szCs w:val="20"/>
                <w:color w:val="auto"/>
              </w:rPr>
              <w:t>Depreciation and amortization</w:t>
            </w:r>
          </w:p>
        </w:tc>
        <w:tc>
          <w:tcPr>
            <w:tcW w:w="70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8,592</w:t>
            </w: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7,056</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7,056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line="223" w:lineRule="exact"/>
              <w:rPr>
                <w:sz w:val="20"/>
                <w:szCs w:val="20"/>
                <w:color w:val="auto"/>
              </w:rPr>
            </w:pPr>
            <w:r>
              <w:rPr>
                <w:rFonts w:ascii="Arial" w:cs="Arial" w:eastAsia="Arial" w:hAnsi="Arial"/>
                <w:sz w:val="20"/>
                <w:szCs w:val="20"/>
                <w:color w:val="auto"/>
              </w:rPr>
              <w:t>EBITDA</w:t>
            </w:r>
          </w:p>
        </w:tc>
        <w:tc>
          <w:tcPr>
            <w:tcW w:w="700" w:type="dxa"/>
            <w:vAlign w:val="bottom"/>
            <w:gridSpan w:val="2"/>
          </w:tcPr>
          <w:p>
            <w:pPr>
              <w:jc w:val="right"/>
              <w:spacing w:after="0" w:line="223" w:lineRule="exact"/>
              <w:rPr>
                <w:sz w:val="20"/>
                <w:szCs w:val="20"/>
                <w:color w:val="auto"/>
              </w:rPr>
            </w:pPr>
            <w:r>
              <w:rPr>
                <w:rFonts w:ascii="Arial" w:cs="Arial" w:eastAsia="Arial" w:hAnsi="Arial"/>
                <w:sz w:val="20"/>
                <w:szCs w:val="20"/>
                <w:u w:val="single" w:color="auto"/>
                <w:color w:val="auto"/>
                <w:w w:val="94"/>
              </w:rPr>
              <w:t>$</w:t>
            </w:r>
            <w:r>
              <w:rPr>
                <w:rFonts w:ascii="Arial" w:cs="Arial" w:eastAsia="Arial" w:hAnsi="Arial"/>
                <w:sz w:val="20"/>
                <w:szCs w:val="20"/>
                <w:color w:val="auto"/>
                <w:w w:val="94"/>
              </w:rPr>
              <w:t>56,221</w:t>
            </w:r>
          </w:p>
        </w:tc>
        <w:tc>
          <w:tcPr>
            <w:tcW w:w="460" w:type="dxa"/>
            <w:vAlign w:val="bottom"/>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Arial" w:cs="Arial" w:eastAsia="Arial" w:hAnsi="Arial"/>
                <w:sz w:val="20"/>
                <w:szCs w:val="20"/>
                <w:u w:val="single" w:color="auto"/>
                <w:color w:val="auto"/>
                <w:w w:val="71"/>
              </w:rPr>
              <w:t>$</w:t>
            </w:r>
          </w:p>
        </w:tc>
        <w:tc>
          <w:tcPr>
            <w:tcW w:w="840" w:type="dxa"/>
            <w:vAlign w:val="bottom"/>
            <w:gridSpan w:val="3"/>
          </w:tcPr>
          <w:p>
            <w:pPr>
              <w:jc w:val="right"/>
              <w:ind w:right="240"/>
              <w:spacing w:after="0" w:line="223" w:lineRule="exact"/>
              <w:rPr>
                <w:sz w:val="20"/>
                <w:szCs w:val="20"/>
                <w:color w:val="auto"/>
              </w:rPr>
            </w:pPr>
            <w:r>
              <w:rPr>
                <w:rFonts w:ascii="Arial" w:cs="Arial" w:eastAsia="Arial" w:hAnsi="Arial"/>
                <w:sz w:val="20"/>
                <w:szCs w:val="20"/>
                <w:color w:val="auto"/>
                <w:w w:val="94"/>
              </w:rPr>
              <w:t>27,350</w:t>
            </w:r>
          </w:p>
        </w:tc>
        <w:tc>
          <w:tcPr>
            <w:tcW w:w="1260" w:type="dxa"/>
            <w:vAlign w:val="bottom"/>
            <w:gridSpan w:val="6"/>
          </w:tcPr>
          <w:p>
            <w:pPr>
              <w:jc w:val="right"/>
              <w:ind w:right="20"/>
              <w:spacing w:after="0" w:line="223" w:lineRule="exact"/>
              <w:rPr>
                <w:sz w:val="20"/>
                <w:szCs w:val="20"/>
                <w:color w:val="auto"/>
              </w:rPr>
            </w:pPr>
            <w:r>
              <w:rPr>
                <w:rFonts w:ascii="Arial" w:cs="Arial" w:eastAsia="Arial" w:hAnsi="Arial"/>
                <w:sz w:val="20"/>
                <w:szCs w:val="20"/>
                <w:color w:val="auto"/>
              </w:rPr>
              <w:t>$ (5,271)</w:t>
            </w:r>
          </w:p>
        </w:tc>
        <w:tc>
          <w:tcPr>
            <w:tcW w:w="520" w:type="dxa"/>
            <w:vAlign w:val="bottom"/>
          </w:tcPr>
          <w:p>
            <w:pPr>
              <w:spacing w:after="0"/>
              <w:rPr>
                <w:sz w:val="19"/>
                <w:szCs w:val="19"/>
                <w:color w:val="auto"/>
              </w:rPr>
            </w:pPr>
          </w:p>
        </w:tc>
        <w:tc>
          <w:tcPr>
            <w:tcW w:w="1320" w:type="dxa"/>
            <w:vAlign w:val="bottom"/>
            <w:gridSpan w:val="4"/>
          </w:tcPr>
          <w:p>
            <w:pPr>
              <w:jc w:val="right"/>
              <w:ind w:right="360"/>
              <w:spacing w:after="0" w:line="223" w:lineRule="exact"/>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32,621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Balance Sheets</w:t>
      </w:r>
    </w:p>
    <w:p>
      <w:pPr>
        <w:spacing w:after="0"/>
        <w:rPr>
          <w:sz w:val="20"/>
          <w:szCs w:val="20"/>
          <w:color w:val="auto"/>
        </w:rPr>
      </w:pPr>
      <w:r>
        <w:rPr>
          <w:rFonts w:ascii="Arial" w:cs="Arial" w:eastAsia="Arial" w:hAnsi="Arial"/>
          <w:sz w:val="25"/>
          <w:szCs w:val="25"/>
          <w:b w:val="1"/>
          <w:bCs w:val="1"/>
          <w:i w:val="1"/>
          <w:iCs w:val="1"/>
          <w:color w:val="auto"/>
        </w:rPr>
        <w:t>(In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May 1,</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b w:val="1"/>
                <w:bCs w:val="1"/>
                <w:color w:val="auto"/>
              </w:rPr>
              <w:t>May 2,</w:t>
            </w:r>
          </w:p>
        </w:tc>
      </w:tr>
      <w:tr>
        <w:trPr>
          <w:trHeight w:val="217"/>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40"/>
              <w:spacing w:after="0" w:line="217" w:lineRule="exact"/>
              <w:rPr>
                <w:sz w:val="20"/>
                <w:szCs w:val="20"/>
                <w:color w:val="auto"/>
              </w:rPr>
            </w:pPr>
            <w:r>
              <w:rPr>
                <w:rFonts w:ascii="Arial" w:cs="Arial" w:eastAsia="Arial" w:hAnsi="Arial"/>
                <w:sz w:val="20"/>
                <w:szCs w:val="20"/>
                <w:b w:val="1"/>
                <w:bCs w:val="1"/>
                <w:color w:val="auto"/>
              </w:rPr>
              <w:t>2005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line="217" w:lineRule="exact"/>
              <w:rPr>
                <w:sz w:val="20"/>
                <w:szCs w:val="20"/>
                <w:color w:val="auto"/>
              </w:rPr>
            </w:pPr>
            <w:r>
              <w:rPr>
                <w:rFonts w:ascii="Arial" w:cs="Arial" w:eastAsia="Arial" w:hAnsi="Arial"/>
                <w:sz w:val="20"/>
                <w:szCs w:val="20"/>
                <w:b w:val="1"/>
                <w:bCs w:val="1"/>
                <w:color w:val="auto"/>
              </w:rPr>
              <w:t>2004</w:t>
            </w:r>
          </w:p>
        </w:tc>
      </w:tr>
      <w:tr>
        <w:trPr>
          <w:trHeight w:val="281"/>
        </w:trPr>
        <w:tc>
          <w:tcPr>
            <w:tcW w:w="6100" w:type="dxa"/>
            <w:vAlign w:val="bottom"/>
          </w:tcPr>
          <w:p>
            <w:pPr>
              <w:spacing w:after="0"/>
              <w:rPr>
                <w:sz w:val="20"/>
                <w:szCs w:val="20"/>
                <w:color w:val="auto"/>
              </w:rPr>
            </w:pPr>
            <w:r>
              <w:rPr>
                <w:rFonts w:ascii="Arial" w:cs="Arial" w:eastAsia="Arial" w:hAnsi="Arial"/>
                <w:sz w:val="20"/>
                <w:szCs w:val="20"/>
                <w:color w:val="auto"/>
              </w:rPr>
              <w:t>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20"/>
                <w:szCs w:val="20"/>
                <w:color w:val="auto"/>
              </w:rPr>
              <w:t>Current Assets: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7"/>
        </w:trPr>
        <w:tc>
          <w:tcPr>
            <w:tcW w:w="6100" w:type="dxa"/>
            <w:vAlign w:val="bottom"/>
          </w:tcPr>
          <w:p>
            <w:pPr>
              <w:ind w:left="320"/>
              <w:spacing w:after="0"/>
              <w:rPr>
                <w:sz w:val="20"/>
                <w:szCs w:val="20"/>
                <w:color w:val="auto"/>
              </w:rPr>
            </w:pPr>
            <w:r>
              <w:rPr>
                <w:rFonts w:ascii="Arial" w:cs="Arial" w:eastAsia="Arial" w:hAnsi="Arial"/>
                <w:sz w:val="20"/>
                <w:szCs w:val="20"/>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126,884</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122,985</w:t>
            </w:r>
          </w:p>
        </w:tc>
      </w:tr>
      <w:tr>
        <w:trPr>
          <w:trHeight w:val="257"/>
        </w:trPr>
        <w:tc>
          <w:tcPr>
            <w:tcW w:w="6100" w:type="dxa"/>
            <w:vAlign w:val="bottom"/>
          </w:tcPr>
          <w:p>
            <w:pPr>
              <w:ind w:left="320"/>
              <w:spacing w:after="0"/>
              <w:rPr>
                <w:sz w:val="20"/>
                <w:szCs w:val="20"/>
                <w:color w:val="auto"/>
              </w:rPr>
            </w:pPr>
            <w:r>
              <w:rPr>
                <w:rFonts w:ascii="Arial" w:cs="Arial" w:eastAsia="Arial" w:hAnsi="Arial"/>
                <w:sz w:val="20"/>
                <w:szCs w:val="20"/>
                <w:color w:val="auto"/>
              </w:rPr>
              <w:t>Receivables</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128,345</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114,832</w:t>
            </w:r>
          </w:p>
        </w:tc>
      </w:tr>
      <w:tr>
        <w:trPr>
          <w:trHeight w:val="257"/>
        </w:trPr>
        <w:tc>
          <w:tcPr>
            <w:tcW w:w="6100" w:type="dxa"/>
            <w:vAlign w:val="bottom"/>
          </w:tcPr>
          <w:p>
            <w:pPr>
              <w:ind w:left="320"/>
              <w:spacing w:after="0"/>
              <w:rPr>
                <w:sz w:val="20"/>
                <w:szCs w:val="20"/>
                <w:color w:val="auto"/>
              </w:rPr>
            </w:pPr>
            <w:r>
              <w:rPr>
                <w:rFonts w:ascii="Arial" w:cs="Arial" w:eastAsia="Arial" w:hAnsi="Arial"/>
                <w:sz w:val="20"/>
                <w:szCs w:val="20"/>
                <w:color w:val="auto"/>
              </w:rPr>
              <w:t>Inventories</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234,203</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194,026</w:t>
            </w:r>
          </w:p>
        </w:tc>
      </w:tr>
      <w:tr>
        <w:trPr>
          <w:trHeight w:val="212"/>
        </w:trPr>
        <w:tc>
          <w:tcPr>
            <w:tcW w:w="6100" w:type="dxa"/>
            <w:vAlign w:val="bottom"/>
          </w:tcPr>
          <w:p>
            <w:pPr>
              <w:ind w:left="320"/>
              <w:spacing w:after="0" w:line="212" w:lineRule="exact"/>
              <w:rPr>
                <w:sz w:val="20"/>
                <w:szCs w:val="20"/>
                <w:color w:val="auto"/>
              </w:rPr>
            </w:pPr>
            <w:r>
              <w:rPr>
                <w:rFonts w:ascii="Arial" w:cs="Arial" w:eastAsia="Arial" w:hAnsi="Arial"/>
                <w:sz w:val="20"/>
                <w:szCs w:val="20"/>
                <w:color w:val="auto"/>
              </w:rPr>
              <w:t>Other, including deferred taxes of $11,994 and $17,164</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22,880</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32,394</w:t>
            </w:r>
          </w:p>
        </w:tc>
      </w:tr>
      <w:tr>
        <w:trPr>
          <w:trHeight w:val="281"/>
        </w:trPr>
        <w:tc>
          <w:tcPr>
            <w:tcW w:w="6100" w:type="dxa"/>
            <w:vAlign w:val="bottom"/>
          </w:tcPr>
          <w:p>
            <w:pPr>
              <w:ind w:left="720"/>
              <w:spacing w:after="0"/>
              <w:rPr>
                <w:sz w:val="20"/>
                <w:szCs w:val="20"/>
                <w:color w:val="auto"/>
              </w:rPr>
            </w:pPr>
            <w:r>
              <w:rPr>
                <w:rFonts w:ascii="Arial" w:cs="Arial" w:eastAsia="Arial" w:hAnsi="Arial"/>
                <w:sz w:val="20"/>
                <w:szCs w:val="20"/>
                <w:color w:val="auto"/>
              </w:rPr>
              <w:t>Total Current Assets</w:t>
            </w:r>
          </w:p>
        </w:tc>
        <w:tc>
          <w:tcPr>
            <w:tcW w:w="12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512,312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464,237</w:t>
            </w: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153,780</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136,416</w:t>
            </w: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Goodwill and Other Intangible Assets (1)</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882,332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794,409</w:t>
            </w:r>
          </w:p>
        </w:tc>
      </w:tr>
      <w:tr>
        <w:trPr>
          <w:trHeight w:val="212"/>
        </w:trPr>
        <w:tc>
          <w:tcPr>
            <w:tcW w:w="6100" w:type="dxa"/>
            <w:vAlign w:val="bottom"/>
          </w:tcPr>
          <w:p>
            <w:pPr>
              <w:spacing w:after="0" w:line="212" w:lineRule="exact"/>
              <w:rPr>
                <w:sz w:val="20"/>
                <w:szCs w:val="20"/>
                <w:color w:val="auto"/>
              </w:rPr>
            </w:pPr>
            <w:r>
              <w:rPr>
                <w:rFonts w:ascii="Arial" w:cs="Arial" w:eastAsia="Arial" w:hAnsi="Arial"/>
                <w:sz w:val="20"/>
                <w:szCs w:val="20"/>
                <w:color w:val="auto"/>
              </w:rPr>
              <w:t>Other</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28,233</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26,655</w:t>
            </w:r>
          </w:p>
        </w:tc>
      </w:tr>
      <w:tr>
        <w:trPr>
          <w:trHeight w:val="237"/>
        </w:trPr>
        <w:tc>
          <w:tcPr>
            <w:tcW w:w="6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u w:val="single" w:color="auto"/>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w w:val="96"/>
              </w:rPr>
              <w:t>1,576,657</w:t>
            </w:r>
          </w:p>
        </w:tc>
        <w:tc>
          <w:tcPr>
            <w:tcW w:w="520" w:type="dxa"/>
            <w:vAlign w:val="bottom"/>
            <w:gridSpan w:val="2"/>
          </w:tcPr>
          <w:p>
            <w:pPr>
              <w:jc w:val="right"/>
              <w:spacing w:after="0"/>
              <w:rPr>
                <w:sz w:val="20"/>
                <w:szCs w:val="20"/>
                <w:color w:val="auto"/>
              </w:rPr>
            </w:pPr>
            <w:r>
              <w:rPr>
                <w:rFonts w:ascii="Arial" w:cs="Arial" w:eastAsia="Arial" w:hAnsi="Arial"/>
                <w:sz w:val="20"/>
                <w:szCs w:val="20"/>
                <w:u w:val="single" w:color="auto"/>
                <w:color w:val="auto"/>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w w:val="96"/>
              </w:rPr>
              <w:t>1,421,717</w:t>
            </w:r>
          </w:p>
        </w:tc>
      </w:tr>
      <w:tr>
        <w:trPr>
          <w:trHeight w:val="538"/>
        </w:trPr>
        <w:tc>
          <w:tcPr>
            <w:tcW w:w="6100" w:type="dxa"/>
            <w:vAlign w:val="bottom"/>
          </w:tcPr>
          <w:p>
            <w:pPr>
              <w:spacing w:after="0"/>
              <w:rPr>
                <w:sz w:val="20"/>
                <w:szCs w:val="20"/>
                <w:color w:val="auto"/>
              </w:rPr>
            </w:pPr>
            <w:r>
              <w:rPr>
                <w:rFonts w:ascii="Arial" w:cs="Arial" w:eastAsia="Arial" w:hAnsi="Arial"/>
                <w:sz w:val="20"/>
                <w:szCs w:val="20"/>
                <w:color w:val="auto"/>
              </w:rPr>
              <w:t>LIABILITIES AND STOCKHOLDERS’ EQUITY</w:t>
            </w: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173,632</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163,972</w:t>
            </w: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Other Liabilities, including deferred taxes of $202,451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6100" w:type="dxa"/>
            <w:vAlign w:val="bottom"/>
          </w:tcPr>
          <w:p>
            <w:pPr>
              <w:ind w:left="120"/>
              <w:spacing w:after="0"/>
              <w:rPr>
                <w:sz w:val="20"/>
                <w:szCs w:val="20"/>
                <w:color w:val="auto"/>
              </w:rPr>
            </w:pPr>
            <w:r>
              <w:rPr>
                <w:rFonts w:ascii="Arial" w:cs="Arial" w:eastAsia="Arial" w:hAnsi="Arial"/>
                <w:sz w:val="20"/>
                <w:szCs w:val="20"/>
                <w:color w:val="auto"/>
              </w:rPr>
              <w:t>and $178,918</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338,071</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301,448</w:t>
            </w: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Long-Term Debt</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399,515</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399,504</w:t>
            </w:r>
          </w:p>
        </w:tc>
      </w:tr>
      <w:tr>
        <w:trPr>
          <w:trHeight w:val="257"/>
        </w:trPr>
        <w:tc>
          <w:tcPr>
            <w:tcW w:w="6100" w:type="dxa"/>
            <w:vAlign w:val="bottom"/>
          </w:tcPr>
          <w:p>
            <w:pPr>
              <w:spacing w:after="0"/>
              <w:rPr>
                <w:sz w:val="20"/>
                <w:szCs w:val="20"/>
                <w:color w:val="auto"/>
              </w:rPr>
            </w:pPr>
            <w:r>
              <w:rPr>
                <w:rFonts w:ascii="Arial" w:cs="Arial" w:eastAsia="Arial" w:hAnsi="Arial"/>
                <w:sz w:val="20"/>
                <w:szCs w:val="20"/>
                <w:color w:val="auto"/>
              </w:rPr>
              <w:t>Series B Convertible Redeemable Preferred Stock</w:t>
            </w: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264,746</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ind w:left="140"/>
              <w:spacing w:after="0"/>
              <w:rPr>
                <w:sz w:val="20"/>
                <w:szCs w:val="20"/>
                <w:color w:val="auto"/>
              </w:rPr>
            </w:pPr>
            <w:r>
              <w:rPr>
                <w:rFonts w:ascii="Arial" w:cs="Arial" w:eastAsia="Arial" w:hAnsi="Arial"/>
                <w:sz w:val="20"/>
                <w:szCs w:val="20"/>
                <w:color w:val="auto"/>
                <w:w w:val="99"/>
              </w:rPr>
              <w:t>264,746</w:t>
            </w:r>
          </w:p>
        </w:tc>
      </w:tr>
      <w:tr>
        <w:trPr>
          <w:trHeight w:val="212"/>
        </w:trPr>
        <w:tc>
          <w:tcPr>
            <w:tcW w:w="6100" w:type="dxa"/>
            <w:vAlign w:val="bottom"/>
          </w:tcPr>
          <w:p>
            <w:pPr>
              <w:spacing w:after="0" w:line="212" w:lineRule="exact"/>
              <w:rPr>
                <w:sz w:val="20"/>
                <w:szCs w:val="20"/>
                <w:color w:val="auto"/>
              </w:rPr>
            </w:pPr>
            <w:r>
              <w:rPr>
                <w:rFonts w:ascii="Arial" w:cs="Arial" w:eastAsia="Arial" w:hAnsi="Arial"/>
                <w:sz w:val="20"/>
                <w:szCs w:val="20"/>
                <w:color w:val="auto"/>
              </w:rPr>
              <w:t>Stockholders’ Equity</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400,693</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292,047</w:t>
            </w:r>
          </w:p>
        </w:tc>
      </w:tr>
      <w:tr>
        <w:trPr>
          <w:trHeight w:val="237"/>
        </w:trPr>
        <w:tc>
          <w:tcPr>
            <w:tcW w:w="6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6"/>
              </w:rPr>
              <w:t>1,576,657</w:t>
            </w:r>
          </w:p>
        </w:tc>
        <w:tc>
          <w:tcPr>
            <w:tcW w:w="4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6"/>
              </w:rPr>
              <w:t>1,421,717</w:t>
            </w:r>
          </w:p>
        </w:tc>
      </w:tr>
    </w:tbl>
    <w:p>
      <w:pPr>
        <w:spacing w:after="0" w:line="200" w:lineRule="exact"/>
        <w:rPr>
          <w:sz w:val="20"/>
          <w:szCs w:val="20"/>
          <w:color w:val="auto"/>
        </w:rPr>
      </w:pPr>
    </w:p>
    <w:p>
      <w:pPr>
        <w:spacing w:after="0" w:line="320" w:lineRule="exact"/>
        <w:rPr>
          <w:sz w:val="20"/>
          <w:szCs w:val="20"/>
          <w:color w:val="auto"/>
        </w:rPr>
      </w:pPr>
    </w:p>
    <w:p>
      <w:pPr>
        <w:ind w:left="660" w:right="39" w:hanging="328"/>
        <w:spacing w:after="0" w:line="262"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increase in goodwill and other intangible assets is due principally to the acquisition of the Arrow tradename in December,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219"/>
          </w:cols>
          <w:pgMar w:left="240" w:top="84" w:right="1440"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Segment Data</w:t>
      </w:r>
    </w:p>
    <w:p>
      <w:pPr>
        <w:spacing w:after="0"/>
        <w:rPr>
          <w:sz w:val="20"/>
          <w:szCs w:val="20"/>
          <w:color w:val="auto"/>
        </w:rPr>
      </w:pPr>
      <w:r>
        <w:rPr>
          <w:rFonts w:ascii="Arial" w:cs="Arial" w:eastAsia="Arial" w:hAnsi="Arial"/>
          <w:sz w:val="25"/>
          <w:szCs w:val="25"/>
          <w:b w:val="1"/>
          <w:bCs w:val="1"/>
          <w:i w:val="1"/>
          <w:iCs w:val="1"/>
          <w:color w:val="auto"/>
        </w:rPr>
        <w:t>(In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5"/>
          </w:tcPr>
          <w:p>
            <w:pPr>
              <w:jc w:val="center"/>
              <w:ind w:left="241"/>
              <w:spacing w:after="0"/>
              <w:rPr>
                <w:sz w:val="20"/>
                <w:szCs w:val="20"/>
                <w:color w:val="auto"/>
              </w:rPr>
            </w:pPr>
            <w:r>
              <w:rPr>
                <w:rFonts w:ascii="Arial" w:cs="Arial" w:eastAsia="Arial" w:hAnsi="Arial"/>
                <w:sz w:val="20"/>
                <w:szCs w:val="20"/>
                <w:b w:val="1"/>
                <w:bCs w:val="1"/>
                <w:color w:val="auto"/>
                <w:w w:val="99"/>
              </w:rPr>
              <w:t>Quarter Ended</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20"/>
                <w:szCs w:val="20"/>
                <w:b w:val="1"/>
                <w:bCs w:val="1"/>
                <w:color w:val="auto"/>
              </w:rPr>
              <w:t>5/2/04</w:t>
            </w:r>
          </w:p>
        </w:tc>
        <w:tc>
          <w:tcPr>
            <w:tcW w:w="280" w:type="dxa"/>
            <w:vAlign w:val="bottom"/>
          </w:tcPr>
          <w:p>
            <w:pPr>
              <w:spacing w:after="0"/>
              <w:rPr>
                <w:sz w:val="22"/>
                <w:szCs w:val="22"/>
                <w:color w:val="auto"/>
              </w:rPr>
            </w:pPr>
          </w:p>
        </w:tc>
        <w:tc>
          <w:tcPr>
            <w:tcW w:w="1040" w:type="dxa"/>
            <w:vAlign w:val="bottom"/>
            <w:gridSpan w:val="5"/>
            <w:vMerge w:val="restart"/>
          </w:tcPr>
          <w:p>
            <w:pPr>
              <w:jc w:val="center"/>
              <w:ind w:right="240"/>
              <w:spacing w:after="0"/>
              <w:rPr>
                <w:sz w:val="20"/>
                <w:szCs w:val="20"/>
                <w:color w:val="auto"/>
              </w:rPr>
            </w:pPr>
            <w:r>
              <w:rPr>
                <w:rFonts w:ascii="Arial" w:cs="Arial" w:eastAsia="Arial" w:hAnsi="Arial"/>
                <w:sz w:val="20"/>
                <w:szCs w:val="20"/>
                <w:b w:val="1"/>
                <w:bCs w:val="1"/>
                <w:color w:val="auto"/>
                <w:w w:val="99"/>
              </w:rPr>
              <w:t>Results</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8"/>
              </w:rPr>
              <w:t>Excluding</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99"/>
              </w:rPr>
              <w:t>Quarter</w:t>
            </w:r>
          </w:p>
        </w:tc>
        <w:tc>
          <w:tcPr>
            <w:tcW w:w="980" w:type="dxa"/>
            <w:vAlign w:val="bottom"/>
            <w:gridSpan w:val="5"/>
          </w:tcPr>
          <w:p>
            <w:pPr>
              <w:jc w:val="right"/>
              <w:ind w:right="160"/>
              <w:spacing w:after="0"/>
              <w:rPr>
                <w:sz w:val="20"/>
                <w:szCs w:val="20"/>
                <w:color w:val="auto"/>
              </w:rPr>
            </w:pPr>
            <w:r>
              <w:rPr>
                <w:rFonts w:ascii="Arial" w:cs="Arial" w:eastAsia="Arial" w:hAnsi="Arial"/>
                <w:sz w:val="20"/>
                <w:szCs w:val="20"/>
                <w:b w:val="1"/>
                <w:bCs w:val="1"/>
                <w:color w:val="auto"/>
              </w:rPr>
              <w:t>Results</w:t>
            </w:r>
          </w:p>
        </w:tc>
        <w:tc>
          <w:tcPr>
            <w:tcW w:w="1720" w:type="dxa"/>
            <w:vAlign w:val="bottom"/>
            <w:gridSpan w:val="5"/>
          </w:tcPr>
          <w:p>
            <w:pPr>
              <w:jc w:val="center"/>
              <w:ind w:right="80"/>
              <w:spacing w:after="0"/>
              <w:rPr>
                <w:sz w:val="20"/>
                <w:szCs w:val="20"/>
                <w:color w:val="auto"/>
              </w:rPr>
            </w:pPr>
            <w:r>
              <w:rPr>
                <w:rFonts w:ascii="Arial" w:cs="Arial" w:eastAsia="Arial" w:hAnsi="Arial"/>
                <w:sz w:val="20"/>
                <w:szCs w:val="20"/>
                <w:b w:val="1"/>
                <w:bCs w:val="1"/>
                <w:color w:val="auto"/>
                <w:w w:val="97"/>
              </w:rPr>
              <w:t>Restructuring</w:t>
            </w:r>
          </w:p>
        </w:tc>
        <w:tc>
          <w:tcPr>
            <w:tcW w:w="13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9"/>
              </w:rPr>
              <w:t>Restructuring</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98"/>
              </w:rPr>
              <w:t>Ended</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w w:val="96"/>
              </w:rPr>
              <w:t>Under</w:t>
            </w:r>
          </w:p>
        </w:tc>
        <w:tc>
          <w:tcPr>
            <w:tcW w:w="1720" w:type="dxa"/>
            <w:vAlign w:val="bottom"/>
            <w:gridSpan w:val="5"/>
          </w:tcPr>
          <w:p>
            <w:pPr>
              <w:jc w:val="center"/>
              <w:ind w:right="80"/>
              <w:spacing w:after="0"/>
              <w:rPr>
                <w:sz w:val="20"/>
                <w:szCs w:val="20"/>
                <w:color w:val="auto"/>
              </w:rPr>
            </w:pPr>
            <w:r>
              <w:rPr>
                <w:rFonts w:ascii="Arial" w:cs="Arial" w:eastAsia="Arial" w:hAnsi="Arial"/>
                <w:sz w:val="20"/>
                <w:szCs w:val="20"/>
                <w:b w:val="1"/>
                <w:bCs w:val="1"/>
                <w:color w:val="auto"/>
                <w:w w:val="97"/>
              </w:rPr>
              <w:t>and Other</w:t>
            </w:r>
          </w:p>
        </w:tc>
        <w:tc>
          <w:tcPr>
            <w:tcW w:w="13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9"/>
              </w:rPr>
              <w:t>and Other</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4"/>
          </w:tcPr>
          <w:p>
            <w:pPr>
              <w:jc w:val="right"/>
              <w:ind w:right="40"/>
              <w:spacing w:after="0" w:line="217" w:lineRule="exact"/>
              <w:rPr>
                <w:sz w:val="20"/>
                <w:szCs w:val="20"/>
                <w:color w:val="auto"/>
              </w:rPr>
            </w:pPr>
            <w:r>
              <w:rPr>
                <w:rFonts w:ascii="Arial" w:cs="Arial" w:eastAsia="Arial" w:hAnsi="Arial"/>
                <w:sz w:val="20"/>
                <w:szCs w:val="20"/>
                <w:b w:val="1"/>
                <w:bCs w:val="1"/>
                <w:color w:val="auto"/>
              </w:rPr>
              <w:t>5/1/05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60"/>
              <w:spacing w:after="0" w:line="217" w:lineRule="exact"/>
              <w:rPr>
                <w:sz w:val="20"/>
                <w:szCs w:val="20"/>
                <w:color w:val="auto"/>
              </w:rPr>
            </w:pPr>
            <w:r>
              <w:rPr>
                <w:rFonts w:ascii="Arial" w:cs="Arial" w:eastAsia="Arial" w:hAnsi="Arial"/>
                <w:sz w:val="20"/>
                <w:szCs w:val="20"/>
                <w:b w:val="1"/>
                <w:bCs w:val="1"/>
                <w:color w:val="auto"/>
                <w:w w:val="96"/>
              </w:rPr>
              <w:t>GAAP</w:t>
            </w:r>
          </w:p>
        </w:tc>
        <w:tc>
          <w:tcPr>
            <w:tcW w:w="560" w:type="dxa"/>
            <w:vAlign w:val="bottom"/>
          </w:tcPr>
          <w:p>
            <w:pPr>
              <w:spacing w:after="0"/>
              <w:rPr>
                <w:sz w:val="18"/>
                <w:szCs w:val="18"/>
                <w:color w:val="auto"/>
              </w:rPr>
            </w:pPr>
          </w:p>
        </w:tc>
        <w:tc>
          <w:tcPr>
            <w:tcW w:w="1160" w:type="dxa"/>
            <w:vAlign w:val="bottom"/>
            <w:gridSpan w:val="4"/>
          </w:tcPr>
          <w:p>
            <w:pPr>
              <w:jc w:val="center"/>
              <w:ind w:right="640"/>
              <w:spacing w:after="0" w:line="217" w:lineRule="exact"/>
              <w:rPr>
                <w:sz w:val="20"/>
                <w:szCs w:val="20"/>
                <w:color w:val="auto"/>
              </w:rPr>
            </w:pPr>
            <w:r>
              <w:rPr>
                <w:rFonts w:ascii="Arial" w:cs="Arial" w:eastAsia="Arial" w:hAnsi="Arial"/>
                <w:sz w:val="20"/>
                <w:szCs w:val="20"/>
                <w:b w:val="1"/>
                <w:bCs w:val="1"/>
                <w:color w:val="auto"/>
                <w:w w:val="99"/>
              </w:rPr>
              <w:t>Items</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380"/>
              <w:spacing w:after="0" w:line="217" w:lineRule="exact"/>
              <w:rPr>
                <w:sz w:val="20"/>
                <w:szCs w:val="20"/>
                <w:color w:val="auto"/>
              </w:rPr>
            </w:pPr>
            <w:r>
              <w:rPr>
                <w:rFonts w:ascii="Arial" w:cs="Arial" w:eastAsia="Arial" w:hAnsi="Arial"/>
                <w:sz w:val="20"/>
                <w:szCs w:val="20"/>
                <w:b w:val="1"/>
                <w:bCs w:val="1"/>
                <w:color w:val="auto"/>
                <w:w w:val="99"/>
              </w:rPr>
              <w:t>Items</w:t>
            </w:r>
          </w:p>
        </w:tc>
        <w:tc>
          <w:tcPr>
            <w:tcW w:w="0" w:type="dxa"/>
            <w:vAlign w:val="bottom"/>
          </w:tcPr>
          <w:p>
            <w:pPr>
              <w:spacing w:after="0"/>
              <w:rPr>
                <w:sz w:val="1"/>
                <w:szCs w:val="1"/>
                <w:color w:val="auto"/>
              </w:rPr>
            </w:pPr>
          </w:p>
        </w:tc>
      </w:tr>
      <w:tr>
        <w:trPr>
          <w:trHeight w:val="736"/>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8"/>
              </w:rPr>
              <w:t>Revenues – Apparel and Related</w:t>
            </w:r>
          </w:p>
        </w:tc>
        <w:tc>
          <w:tcPr>
            <w:tcW w:w="4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Products</w:t>
            </w:r>
          </w:p>
        </w:tc>
        <w:tc>
          <w:tcPr>
            <w:tcW w:w="2420" w:type="dxa"/>
            <w:vAlign w:val="bottom"/>
            <w:gridSpan w:val="4"/>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3320" w:type="dxa"/>
            <w:vAlign w:val="bottom"/>
            <w:gridSpan w:val="6"/>
          </w:tcPr>
          <w:p>
            <w:pPr>
              <w:spacing w:after="0"/>
              <w:rPr>
                <w:sz w:val="20"/>
                <w:szCs w:val="20"/>
                <w:color w:val="auto"/>
              </w:rPr>
            </w:pPr>
            <w:r>
              <w:rPr>
                <w:rFonts w:ascii="Arial" w:cs="Arial" w:eastAsia="Arial" w:hAnsi="Arial"/>
                <w:sz w:val="20"/>
                <w:szCs w:val="20"/>
                <w:color w:val="auto"/>
              </w:rPr>
              <w:t>Net sales</w:t>
            </w:r>
          </w:p>
        </w:tc>
        <w:tc>
          <w:tcPr>
            <w:tcW w:w="1500" w:type="dxa"/>
            <w:vAlign w:val="bottom"/>
            <w:gridSpan w:val="5"/>
          </w:tcPr>
          <w:p>
            <w:pPr>
              <w:jc w:val="right"/>
              <w:ind w:right="420"/>
              <w:spacing w:after="0"/>
              <w:rPr>
                <w:sz w:val="20"/>
                <w:szCs w:val="20"/>
                <w:color w:val="auto"/>
              </w:rPr>
            </w:pPr>
            <w:r>
              <w:rPr>
                <w:rFonts w:ascii="Arial" w:cs="Arial" w:eastAsia="Arial" w:hAnsi="Arial"/>
                <w:sz w:val="20"/>
                <w:szCs w:val="20"/>
                <w:color w:val="auto"/>
              </w:rPr>
              <w:t>$420,469</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gridSpan w:val="4"/>
          </w:tcPr>
          <w:p>
            <w:pPr>
              <w:jc w:val="right"/>
              <w:ind w:right="160"/>
              <w:spacing w:after="0"/>
              <w:rPr>
                <w:sz w:val="20"/>
                <w:szCs w:val="20"/>
                <w:color w:val="auto"/>
              </w:rPr>
            </w:pPr>
            <w:r>
              <w:rPr>
                <w:rFonts w:ascii="Arial" w:cs="Arial" w:eastAsia="Arial" w:hAnsi="Arial"/>
                <w:sz w:val="20"/>
                <w:szCs w:val="20"/>
                <w:color w:val="auto"/>
                <w:w w:val="94"/>
              </w:rPr>
              <w:t>333,658</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20"/>
                <w:szCs w:val="20"/>
                <w:color w:val="auto"/>
              </w:rPr>
              <w:t>$333,658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20" w:type="dxa"/>
            <w:vAlign w:val="bottom"/>
            <w:gridSpan w:val="6"/>
          </w:tcPr>
          <w:p>
            <w:pPr>
              <w:spacing w:after="0" w:line="192" w:lineRule="exact"/>
              <w:rPr>
                <w:sz w:val="20"/>
                <w:szCs w:val="20"/>
                <w:color w:val="auto"/>
              </w:rPr>
            </w:pPr>
            <w:r>
              <w:rPr>
                <w:rFonts w:ascii="Arial" w:cs="Arial" w:eastAsia="Arial" w:hAnsi="Arial"/>
                <w:sz w:val="20"/>
                <w:szCs w:val="20"/>
                <w:color w:val="auto"/>
              </w:rPr>
              <w:t>Royalty and other revenues</w:t>
            </w:r>
          </w:p>
        </w:tc>
        <w:tc>
          <w:tcPr>
            <w:tcW w:w="30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20"/>
                <w:szCs w:val="20"/>
                <w:color w:val="auto"/>
              </w:rPr>
              <w:t>7,231</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line="192" w:lineRule="exact"/>
              <w:rPr>
                <w:sz w:val="20"/>
                <w:szCs w:val="20"/>
                <w:color w:val="auto"/>
              </w:rPr>
            </w:pPr>
            <w:r>
              <w:rPr>
                <w:rFonts w:ascii="Arial" w:cs="Arial" w:eastAsia="Arial" w:hAnsi="Arial"/>
                <w:sz w:val="20"/>
                <w:szCs w:val="20"/>
                <w:color w:val="auto"/>
              </w:rPr>
              <w:t>3,608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line="192" w:lineRule="exact"/>
              <w:rPr>
                <w:sz w:val="20"/>
                <w:szCs w:val="20"/>
                <w:color w:val="auto"/>
              </w:rPr>
            </w:pPr>
            <w:r>
              <w:rPr>
                <w:rFonts w:ascii="Arial" w:cs="Arial" w:eastAsia="Arial" w:hAnsi="Arial"/>
                <w:sz w:val="20"/>
                <w:szCs w:val="20"/>
                <w:color w:val="auto"/>
              </w:rPr>
              <w:t>3,608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320" w:type="dxa"/>
            <w:vAlign w:val="bottom"/>
            <w:gridSpan w:val="6"/>
          </w:tcPr>
          <w:p>
            <w:pPr>
              <w:spacing w:after="0"/>
              <w:rPr>
                <w:sz w:val="20"/>
                <w:szCs w:val="20"/>
                <w:color w:val="auto"/>
              </w:rPr>
            </w:pPr>
            <w:r>
              <w:rPr>
                <w:rFonts w:ascii="Arial" w:cs="Arial" w:eastAsia="Arial" w:hAnsi="Arial"/>
                <w:sz w:val="20"/>
                <w:szCs w:val="20"/>
                <w:color w:val="auto"/>
              </w:rPr>
              <w:t>Total</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427,700</w:t>
            </w:r>
          </w:p>
        </w:tc>
        <w:tc>
          <w:tcPr>
            <w:tcW w:w="4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20"/>
                <w:szCs w:val="20"/>
                <w:color w:val="auto"/>
              </w:rPr>
              <w:t>337,266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20"/>
                <w:szCs w:val="20"/>
                <w:color w:val="auto"/>
              </w:rPr>
              <w:t>337,266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320" w:type="dxa"/>
            <w:vAlign w:val="bottom"/>
            <w:gridSpan w:val="6"/>
          </w:tcPr>
          <w:p>
            <w:pPr>
              <w:spacing w:after="0"/>
              <w:rPr>
                <w:sz w:val="20"/>
                <w:szCs w:val="20"/>
                <w:color w:val="auto"/>
              </w:rPr>
            </w:pPr>
            <w:r>
              <w:rPr>
                <w:rFonts w:ascii="Arial" w:cs="Arial" w:eastAsia="Arial" w:hAnsi="Arial"/>
                <w:sz w:val="20"/>
                <w:szCs w:val="20"/>
                <w:color w:val="auto"/>
              </w:rPr>
              <w:t>Revenues – Calvin Klein Licensing</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040" w:type="dxa"/>
            <w:vAlign w:val="bottom"/>
            <w:tcBorders>
              <w:top w:val="single" w:sz="8" w:color="auto"/>
            </w:tcBorders>
            <w:gridSpan w:val="5"/>
          </w:tcPr>
          <w:p>
            <w:pPr>
              <w:spacing w:after="0"/>
              <w:rPr>
                <w:sz w:val="20"/>
                <w:szCs w:val="20"/>
                <w:color w:val="auto"/>
              </w:rPr>
            </w:pPr>
            <w:r>
              <w:rPr>
                <w:rFonts w:ascii="Arial" w:cs="Arial" w:eastAsia="Arial" w:hAnsi="Arial"/>
                <w:sz w:val="20"/>
                <w:szCs w:val="20"/>
                <w:color w:val="auto"/>
              </w:rPr>
              <w:t>Net sales</w:t>
            </w:r>
          </w:p>
        </w:tc>
        <w:tc>
          <w:tcPr>
            <w:tcW w:w="28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20"/>
                <w:szCs w:val="20"/>
                <w:color w:val="auto"/>
              </w:rPr>
              <w:t>2,646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2,920</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20"/>
                <w:szCs w:val="20"/>
                <w:color w:val="auto"/>
              </w:rPr>
              <w:t>2,920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20" w:type="dxa"/>
            <w:vAlign w:val="bottom"/>
            <w:gridSpan w:val="6"/>
          </w:tcPr>
          <w:p>
            <w:pPr>
              <w:spacing w:after="0" w:line="192" w:lineRule="exact"/>
              <w:rPr>
                <w:sz w:val="20"/>
                <w:szCs w:val="20"/>
                <w:color w:val="auto"/>
              </w:rPr>
            </w:pPr>
            <w:r>
              <w:rPr>
                <w:rFonts w:ascii="Arial" w:cs="Arial" w:eastAsia="Arial" w:hAnsi="Arial"/>
                <w:sz w:val="20"/>
                <w:szCs w:val="20"/>
                <w:color w:val="auto"/>
              </w:rPr>
              <w:t>Royalty and other revenues</w:t>
            </w:r>
          </w:p>
        </w:tc>
        <w:tc>
          <w:tcPr>
            <w:tcW w:w="30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20"/>
                <w:szCs w:val="20"/>
                <w:color w:val="auto"/>
              </w:rPr>
              <w:t>41,763</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line="192" w:lineRule="exact"/>
              <w:rPr>
                <w:sz w:val="20"/>
                <w:szCs w:val="20"/>
                <w:color w:val="auto"/>
              </w:rPr>
            </w:pPr>
            <w:r>
              <w:rPr>
                <w:rFonts w:ascii="Arial" w:cs="Arial" w:eastAsia="Arial" w:hAnsi="Arial"/>
                <w:sz w:val="20"/>
                <w:szCs w:val="20"/>
                <w:color w:val="auto"/>
              </w:rPr>
              <w:t>38,052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line="192" w:lineRule="exact"/>
              <w:rPr>
                <w:sz w:val="20"/>
                <w:szCs w:val="20"/>
                <w:color w:val="auto"/>
              </w:rPr>
            </w:pPr>
            <w:r>
              <w:rPr>
                <w:rFonts w:ascii="Arial" w:cs="Arial" w:eastAsia="Arial" w:hAnsi="Arial"/>
                <w:sz w:val="20"/>
                <w:szCs w:val="20"/>
                <w:color w:val="auto"/>
              </w:rPr>
              <w:t>38,052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320" w:type="dxa"/>
            <w:vAlign w:val="bottom"/>
            <w:gridSpan w:val="6"/>
          </w:tcPr>
          <w:p>
            <w:pPr>
              <w:spacing w:after="0"/>
              <w:rPr>
                <w:sz w:val="20"/>
                <w:szCs w:val="20"/>
                <w:color w:val="auto"/>
              </w:rPr>
            </w:pPr>
            <w:r>
              <w:rPr>
                <w:rFonts w:ascii="Arial" w:cs="Arial" w:eastAsia="Arial" w:hAnsi="Arial"/>
                <w:sz w:val="20"/>
                <w:szCs w:val="20"/>
                <w:color w:val="auto"/>
              </w:rPr>
              <w:t>Total</w:t>
            </w:r>
          </w:p>
        </w:tc>
        <w:tc>
          <w:tcPr>
            <w:tcW w:w="1080" w:type="dxa"/>
            <w:vAlign w:val="bottom"/>
            <w:gridSpan w:val="4"/>
          </w:tcPr>
          <w:p>
            <w:pPr>
              <w:jc w:val="center"/>
              <w:ind w:left="341"/>
              <w:spacing w:after="0"/>
              <w:rPr>
                <w:sz w:val="20"/>
                <w:szCs w:val="20"/>
                <w:color w:val="auto"/>
              </w:rPr>
            </w:pPr>
            <w:r>
              <w:rPr>
                <w:rFonts w:ascii="Arial" w:cs="Arial" w:eastAsia="Arial" w:hAnsi="Arial"/>
                <w:sz w:val="20"/>
                <w:szCs w:val="20"/>
                <w:color w:val="auto"/>
                <w:w w:val="98"/>
              </w:rPr>
              <w:t>44,409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40,972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20"/>
                <w:szCs w:val="20"/>
                <w:color w:val="auto"/>
              </w:rPr>
              <w:t>40,972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320" w:type="dxa"/>
            <w:vAlign w:val="bottom"/>
            <w:gridSpan w:val="6"/>
          </w:tcPr>
          <w:p>
            <w:pPr>
              <w:spacing w:after="0"/>
              <w:rPr>
                <w:sz w:val="20"/>
                <w:szCs w:val="20"/>
                <w:color w:val="auto"/>
              </w:rPr>
            </w:pPr>
            <w:r>
              <w:rPr>
                <w:rFonts w:ascii="Arial" w:cs="Arial" w:eastAsia="Arial" w:hAnsi="Arial"/>
                <w:sz w:val="20"/>
                <w:szCs w:val="20"/>
                <w:color w:val="auto"/>
              </w:rPr>
              <w:t>Total Revenues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Net Sales</w:t>
            </w:r>
          </w:p>
        </w:tc>
        <w:tc>
          <w:tcPr>
            <w:tcW w:w="1960" w:type="dxa"/>
            <w:vAlign w:val="bottom"/>
            <w:gridSpan w:val="3"/>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423,115</w:t>
            </w:r>
          </w:p>
        </w:tc>
        <w:tc>
          <w:tcPr>
            <w:tcW w:w="42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20"/>
                <w:szCs w:val="20"/>
                <w:color w:val="auto"/>
              </w:rPr>
              <w:t>336,578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20"/>
                <w:szCs w:val="20"/>
                <w:color w:val="auto"/>
              </w:rPr>
              <w:t>336,578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20" w:type="dxa"/>
            <w:vAlign w:val="bottom"/>
            <w:gridSpan w:val="6"/>
          </w:tcPr>
          <w:p>
            <w:pPr>
              <w:spacing w:after="0" w:line="192" w:lineRule="exact"/>
              <w:rPr>
                <w:sz w:val="20"/>
                <w:szCs w:val="20"/>
                <w:color w:val="auto"/>
              </w:rPr>
            </w:pPr>
            <w:r>
              <w:rPr>
                <w:rFonts w:ascii="Arial" w:cs="Arial" w:eastAsia="Arial" w:hAnsi="Arial"/>
                <w:sz w:val="20"/>
                <w:szCs w:val="20"/>
                <w:color w:val="auto"/>
              </w:rPr>
              <w:t>Royalty and other revenues</w:t>
            </w:r>
          </w:p>
        </w:tc>
        <w:tc>
          <w:tcPr>
            <w:tcW w:w="30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spacing w:after="0" w:line="192" w:lineRule="exact"/>
              <w:rPr>
                <w:sz w:val="20"/>
                <w:szCs w:val="20"/>
                <w:color w:val="auto"/>
              </w:rPr>
            </w:pPr>
            <w:r>
              <w:rPr>
                <w:rFonts w:ascii="Arial" w:cs="Arial" w:eastAsia="Arial" w:hAnsi="Arial"/>
                <w:sz w:val="20"/>
                <w:szCs w:val="20"/>
                <w:color w:val="auto"/>
              </w:rPr>
              <w:t>48,994</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line="192" w:lineRule="exact"/>
              <w:rPr>
                <w:sz w:val="20"/>
                <w:szCs w:val="20"/>
                <w:color w:val="auto"/>
              </w:rPr>
            </w:pPr>
            <w:r>
              <w:rPr>
                <w:rFonts w:ascii="Arial" w:cs="Arial" w:eastAsia="Arial" w:hAnsi="Arial"/>
                <w:sz w:val="20"/>
                <w:szCs w:val="20"/>
                <w:color w:val="auto"/>
              </w:rPr>
              <w:t>41,660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line="192" w:lineRule="exact"/>
              <w:rPr>
                <w:sz w:val="20"/>
                <w:szCs w:val="20"/>
                <w:color w:val="auto"/>
              </w:rPr>
            </w:pPr>
            <w:r>
              <w:rPr>
                <w:rFonts w:ascii="Arial" w:cs="Arial" w:eastAsia="Arial" w:hAnsi="Arial"/>
                <w:sz w:val="20"/>
                <w:szCs w:val="20"/>
                <w:color w:val="auto"/>
              </w:rPr>
              <w:t>41,660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gridSpan w:val="6"/>
          </w:tcPr>
          <w:p>
            <w:pPr>
              <w:spacing w:after="0"/>
              <w:rPr>
                <w:sz w:val="20"/>
                <w:szCs w:val="20"/>
                <w:color w:val="auto"/>
              </w:rPr>
            </w:pPr>
            <w:r>
              <w:rPr>
                <w:rFonts w:ascii="Arial" w:cs="Arial" w:eastAsia="Arial" w:hAnsi="Arial"/>
                <w:sz w:val="20"/>
                <w:szCs w:val="20"/>
                <w:color w:val="auto"/>
              </w:rPr>
              <w:t>Total</w:t>
            </w:r>
          </w:p>
        </w:tc>
        <w:tc>
          <w:tcPr>
            <w:tcW w:w="1500" w:type="dxa"/>
            <w:vAlign w:val="bottom"/>
            <w:gridSpan w:val="5"/>
          </w:tcPr>
          <w:p>
            <w:pPr>
              <w:jc w:val="right"/>
              <w:ind w:right="42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472,109</w:t>
            </w:r>
          </w:p>
        </w:tc>
        <w:tc>
          <w:tcPr>
            <w:tcW w:w="120" w:type="dxa"/>
            <w:vAlign w:val="bottom"/>
          </w:tcPr>
          <w:p>
            <w:pPr>
              <w:jc w:val="right"/>
              <w:spacing w:after="0"/>
              <w:rPr>
                <w:sz w:val="20"/>
                <w:szCs w:val="20"/>
                <w:color w:val="auto"/>
              </w:rPr>
            </w:pPr>
            <w:r>
              <w:rPr>
                <w:rFonts w:ascii="Arial" w:cs="Arial" w:eastAsia="Arial" w:hAnsi="Arial"/>
                <w:sz w:val="20"/>
                <w:szCs w:val="20"/>
                <w:u w:val="single" w:color="auto"/>
                <w:color w:val="auto"/>
                <w:w w:val="89"/>
              </w:rPr>
              <w:t>$</w:t>
            </w:r>
          </w:p>
        </w:tc>
        <w:tc>
          <w:tcPr>
            <w:tcW w:w="860" w:type="dxa"/>
            <w:vAlign w:val="bottom"/>
            <w:gridSpan w:val="4"/>
          </w:tcPr>
          <w:p>
            <w:pPr>
              <w:jc w:val="right"/>
              <w:ind w:right="160"/>
              <w:spacing w:after="0"/>
              <w:rPr>
                <w:sz w:val="20"/>
                <w:szCs w:val="20"/>
                <w:color w:val="auto"/>
              </w:rPr>
            </w:pPr>
            <w:r>
              <w:rPr>
                <w:rFonts w:ascii="Arial" w:cs="Arial" w:eastAsia="Arial" w:hAnsi="Arial"/>
                <w:sz w:val="20"/>
                <w:szCs w:val="20"/>
                <w:color w:val="auto"/>
                <w:w w:val="94"/>
              </w:rPr>
              <w:t>378,238</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5"/>
          </w:tcPr>
          <w:p>
            <w:pPr>
              <w:jc w:val="right"/>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378,238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4"/>
        </w:trPr>
        <w:tc>
          <w:tcPr>
            <w:tcW w:w="3320" w:type="dxa"/>
            <w:vAlign w:val="bottom"/>
            <w:gridSpan w:val="6"/>
          </w:tcPr>
          <w:p>
            <w:pPr>
              <w:spacing w:after="0"/>
              <w:rPr>
                <w:sz w:val="20"/>
                <w:szCs w:val="20"/>
                <w:color w:val="auto"/>
              </w:rPr>
            </w:pPr>
            <w:r>
              <w:rPr>
                <w:rFonts w:ascii="Arial" w:cs="Arial" w:eastAsia="Arial" w:hAnsi="Arial"/>
                <w:sz w:val="20"/>
                <w:szCs w:val="20"/>
                <w:color w:val="auto"/>
              </w:rPr>
              <w:t>Operating earnings – Apparel and</w:t>
            </w:r>
          </w:p>
        </w:tc>
        <w:tc>
          <w:tcPr>
            <w:tcW w:w="2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200" w:type="dxa"/>
            <w:vAlign w:val="bottom"/>
            <w:gridSpan w:val="5"/>
          </w:tcPr>
          <w:p>
            <w:pPr>
              <w:spacing w:after="0"/>
              <w:rPr>
                <w:sz w:val="20"/>
                <w:szCs w:val="20"/>
                <w:color w:val="auto"/>
              </w:rPr>
            </w:pPr>
            <w:r>
              <w:rPr>
                <w:rFonts w:ascii="Arial" w:cs="Arial" w:eastAsia="Arial" w:hAnsi="Arial"/>
                <w:sz w:val="20"/>
                <w:szCs w:val="20"/>
                <w:color w:val="auto"/>
              </w:rPr>
              <w:t>Related Products</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$ 42,341</w:t>
            </w:r>
          </w:p>
        </w:tc>
        <w:tc>
          <w:tcPr>
            <w:tcW w:w="4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15,267</w:t>
            </w:r>
          </w:p>
        </w:tc>
        <w:tc>
          <w:tcPr>
            <w:tcW w:w="160" w:type="dxa"/>
            <w:vAlign w:val="bottom"/>
          </w:tcPr>
          <w:p>
            <w:pPr>
              <w:spacing w:after="0"/>
              <w:rPr>
                <w:sz w:val="23"/>
                <w:szCs w:val="23"/>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20"/>
                <w:szCs w:val="20"/>
                <w:color w:val="auto"/>
              </w:rPr>
              <w:t>$(5,271)</w:t>
            </w:r>
          </w:p>
        </w:tc>
        <w:tc>
          <w:tcPr>
            <w:tcW w:w="480" w:type="dxa"/>
            <w:vAlign w:val="bottom"/>
          </w:tcPr>
          <w:p>
            <w:pPr>
              <w:spacing w:after="0"/>
              <w:rPr>
                <w:sz w:val="23"/>
                <w:szCs w:val="23"/>
                <w:color w:val="auto"/>
              </w:rPr>
            </w:pPr>
          </w:p>
        </w:tc>
        <w:tc>
          <w:tcPr>
            <w:tcW w:w="1100" w:type="dxa"/>
            <w:vAlign w:val="bottom"/>
            <w:gridSpan w:val="5"/>
          </w:tcPr>
          <w:p>
            <w:pPr>
              <w:jc w:val="right"/>
              <w:spacing w:after="0"/>
              <w:rPr>
                <w:sz w:val="20"/>
                <w:szCs w:val="20"/>
                <w:color w:val="auto"/>
              </w:rPr>
            </w:pPr>
            <w:r>
              <w:rPr>
                <w:rFonts w:ascii="Arial" w:cs="Arial" w:eastAsia="Arial" w:hAnsi="Arial"/>
                <w:sz w:val="20"/>
                <w:szCs w:val="20"/>
                <w:color w:val="auto"/>
              </w:rPr>
              <w:t>$ 20,538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3320" w:type="dxa"/>
            <w:vAlign w:val="bottom"/>
            <w:gridSpan w:val="6"/>
          </w:tcPr>
          <w:p>
            <w:pPr>
              <w:spacing w:after="0"/>
              <w:rPr>
                <w:sz w:val="20"/>
                <w:szCs w:val="20"/>
                <w:color w:val="auto"/>
              </w:rPr>
            </w:pPr>
            <w:r>
              <w:rPr>
                <w:rFonts w:ascii="Arial" w:cs="Arial" w:eastAsia="Arial" w:hAnsi="Arial"/>
                <w:sz w:val="20"/>
                <w:szCs w:val="20"/>
                <w:color w:val="auto"/>
              </w:rPr>
              <w:t>Operating earnings– Calvin Klein</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3200" w:type="dxa"/>
            <w:vAlign w:val="bottom"/>
            <w:gridSpan w:val="5"/>
          </w:tcPr>
          <w:p>
            <w:pPr>
              <w:spacing w:after="0"/>
              <w:rPr>
                <w:sz w:val="20"/>
                <w:szCs w:val="20"/>
                <w:color w:val="auto"/>
              </w:rPr>
            </w:pPr>
            <w:r>
              <w:rPr>
                <w:rFonts w:ascii="Arial" w:cs="Arial" w:eastAsia="Arial" w:hAnsi="Arial"/>
                <w:sz w:val="20"/>
                <w:szCs w:val="20"/>
                <w:color w:val="auto"/>
              </w:rPr>
              <w:t>Licensing</w:t>
            </w:r>
          </w:p>
        </w:tc>
        <w:tc>
          <w:tcPr>
            <w:tcW w:w="1080" w:type="dxa"/>
            <w:vAlign w:val="bottom"/>
            <w:gridSpan w:val="4"/>
          </w:tcPr>
          <w:p>
            <w:pPr>
              <w:jc w:val="right"/>
              <w:spacing w:after="0"/>
              <w:rPr>
                <w:sz w:val="20"/>
                <w:szCs w:val="20"/>
                <w:color w:val="auto"/>
              </w:rPr>
            </w:pPr>
            <w:r>
              <w:rPr>
                <w:rFonts w:ascii="Arial" w:cs="Arial" w:eastAsia="Arial" w:hAnsi="Arial"/>
                <w:sz w:val="20"/>
                <w:szCs w:val="20"/>
                <w:color w:val="auto"/>
              </w:rPr>
              <w:t>13,957</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13,246</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gridSpan w:val="5"/>
          </w:tcPr>
          <w:p>
            <w:pPr>
              <w:jc w:val="right"/>
              <w:spacing w:after="0"/>
              <w:rPr>
                <w:sz w:val="20"/>
                <w:szCs w:val="20"/>
                <w:color w:val="auto"/>
              </w:rPr>
            </w:pPr>
            <w:r>
              <w:rPr>
                <w:rFonts w:ascii="Arial" w:cs="Arial" w:eastAsia="Arial" w:hAnsi="Arial"/>
                <w:sz w:val="20"/>
                <w:szCs w:val="20"/>
                <w:color w:val="auto"/>
              </w:rPr>
              <w:t>13,246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3320" w:type="dxa"/>
            <w:vAlign w:val="bottom"/>
            <w:gridSpan w:val="6"/>
          </w:tcPr>
          <w:p>
            <w:pPr>
              <w:spacing w:after="0"/>
              <w:rPr>
                <w:sz w:val="20"/>
                <w:szCs w:val="20"/>
                <w:color w:val="auto"/>
              </w:rPr>
            </w:pPr>
            <w:r>
              <w:rPr>
                <w:rFonts w:ascii="Arial" w:cs="Arial" w:eastAsia="Arial" w:hAnsi="Arial"/>
                <w:sz w:val="20"/>
                <w:szCs w:val="20"/>
                <w:color w:val="auto"/>
              </w:rPr>
              <w:t>Corporate expenses</w:t>
            </w:r>
          </w:p>
        </w:tc>
        <w:tc>
          <w:tcPr>
            <w:tcW w:w="300" w:type="dxa"/>
            <w:vAlign w:val="bottom"/>
            <w:gridSpan w:val="2"/>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8,669</w:t>
            </w: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8,219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8,219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3320" w:type="dxa"/>
            <w:vAlign w:val="bottom"/>
            <w:gridSpan w:val="6"/>
          </w:tcPr>
          <w:p>
            <w:pPr>
              <w:spacing w:after="0"/>
              <w:rPr>
                <w:sz w:val="20"/>
                <w:szCs w:val="20"/>
                <w:color w:val="auto"/>
              </w:rPr>
            </w:pPr>
            <w:r>
              <w:rPr>
                <w:rFonts w:ascii="Arial" w:cs="Arial" w:eastAsia="Arial" w:hAnsi="Arial"/>
                <w:sz w:val="20"/>
                <w:szCs w:val="20"/>
                <w:color w:val="auto"/>
              </w:rPr>
              <w:t>Earnings before interest and taxes</w:t>
            </w:r>
          </w:p>
        </w:tc>
        <w:tc>
          <w:tcPr>
            <w:tcW w:w="300" w:type="dxa"/>
            <w:vAlign w:val="bottom"/>
            <w:gridSpan w:val="2"/>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7"/>
              </w:rPr>
              <w:t>$ 47,629</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20,294</w:t>
            </w:r>
          </w:p>
        </w:tc>
        <w:tc>
          <w:tcPr>
            <w:tcW w:w="160" w:type="dxa"/>
            <w:vAlign w:val="bottom"/>
          </w:tcPr>
          <w:p>
            <w:pPr>
              <w:spacing w:after="0"/>
              <w:rPr>
                <w:sz w:val="24"/>
                <w:szCs w:val="24"/>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(5,271)</w:t>
            </w:r>
          </w:p>
        </w:tc>
        <w:tc>
          <w:tcPr>
            <w:tcW w:w="48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20"/>
                <w:szCs w:val="20"/>
                <w:color w:val="auto"/>
              </w:rPr>
              <w:t>$ 25,565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219"/>
          </w:cols>
          <w:pgMar w:left="240" w:top="354" w:right="1440"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Reconciliation of 2005 EBITDA Estimate</w:t>
      </w:r>
    </w:p>
    <w:p>
      <w:pPr>
        <w:spacing w:after="0" w:line="200" w:lineRule="exact"/>
        <w:rPr>
          <w:sz w:val="20"/>
          <w:szCs w:val="20"/>
          <w:color w:val="auto"/>
        </w:rPr>
      </w:pPr>
    </w:p>
    <w:p>
      <w:pPr>
        <w:spacing w:after="0" w:line="29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Company's 2005 full year EBITDA estimate is $210 - $214 million. EBITDA is a "non-GAAP financial measure" which represents net income before net interest expense, income taxes, depreciation and amortization. EBITDA is provided because the Company believes it is an important measure of liquidity. The Company uses EBITDA in connection with certain covenants relating to the Company’s outstanding debt. EBITDA should not be construed as an alternative to net income as an indicator of the Company’s operating performance, or as an alternative to cash flows from operating activities as a measure of the Company’s liquidity, as determined in accordance with generally accepted accounting principles. The Company may calculate EBITDA differently than other companies. Set forth below is the Company's reconciliation of net income to EBITDA of $2 12 million which is the midpoint of the range provided. It is not possible to provide a reconciliation for the entire range without unreasonable effort due to the number of elements which comprise EBITDA, including net income, income taxes, net interest expense, depreciation and amortization, each of which is subject to a range of estimates.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800" w:type="dxa"/>
            <w:vAlign w:val="bottom"/>
          </w:tcPr>
          <w:p>
            <w:pPr>
              <w:spacing w:after="0"/>
              <w:rPr>
                <w:sz w:val="20"/>
                <w:szCs w:val="20"/>
                <w:color w:val="auto"/>
              </w:rPr>
            </w:pPr>
            <w:r>
              <w:rPr>
                <w:rFonts w:ascii="Arial" w:cs="Arial" w:eastAsia="Arial" w:hAnsi="Arial"/>
                <w:sz w:val="20"/>
                <w:szCs w:val="20"/>
                <w:color w:val="auto"/>
              </w:rPr>
              <w:t>(In $000's)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2005</w:t>
            </w:r>
          </w:p>
        </w:tc>
      </w:tr>
      <w:tr>
        <w:trPr>
          <w:trHeight w:val="212"/>
        </w:trPr>
        <w:tc>
          <w:tcPr>
            <w:tcW w:w="4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line="212" w:lineRule="exact"/>
              <w:rPr>
                <w:sz w:val="20"/>
                <w:szCs w:val="20"/>
                <w:color w:val="auto"/>
              </w:rPr>
            </w:pPr>
            <w:r>
              <w:rPr>
                <w:rFonts w:ascii="Arial" w:cs="Arial" w:eastAsia="Arial" w:hAnsi="Arial"/>
                <w:sz w:val="20"/>
                <w:szCs w:val="20"/>
                <w:color w:val="auto"/>
                <w:w w:val="97"/>
              </w:rPr>
              <w:t>Estimate</w:t>
            </w:r>
          </w:p>
        </w:tc>
      </w:tr>
      <w:tr>
        <w:trPr>
          <w:trHeight w:val="524"/>
        </w:trPr>
        <w:tc>
          <w:tcPr>
            <w:tcW w:w="4800" w:type="dxa"/>
            <w:vAlign w:val="bottom"/>
          </w:tcPr>
          <w:p>
            <w:pPr>
              <w:spacing w:after="0"/>
              <w:rPr>
                <w:sz w:val="20"/>
                <w:szCs w:val="20"/>
                <w:color w:val="auto"/>
              </w:rPr>
            </w:pPr>
            <w:r>
              <w:rPr>
                <w:rFonts w:ascii="Arial" w:cs="Arial" w:eastAsia="Arial" w:hAnsi="Arial"/>
                <w:sz w:val="20"/>
                <w:szCs w:val="20"/>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92,000</w:t>
            </w:r>
          </w:p>
        </w:tc>
      </w:tr>
      <w:tr>
        <w:trPr>
          <w:trHeight w:val="500"/>
        </w:trPr>
        <w:tc>
          <w:tcPr>
            <w:tcW w:w="4800" w:type="dxa"/>
            <w:vAlign w:val="bottom"/>
          </w:tcPr>
          <w:p>
            <w:pPr>
              <w:spacing w:after="0"/>
              <w:rPr>
                <w:sz w:val="20"/>
                <w:szCs w:val="20"/>
                <w:color w:val="auto"/>
              </w:rPr>
            </w:pPr>
            <w:r>
              <w:rPr>
                <w:rFonts w:ascii="Arial" w:cs="Arial" w:eastAsia="Arial" w:hAnsi="Arial"/>
                <w:sz w:val="20"/>
                <w:szCs w:val="20"/>
                <w:color w:val="auto"/>
              </w:rPr>
              <w:t>Plus: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4800" w:type="dxa"/>
            <w:vAlign w:val="bottom"/>
          </w:tcPr>
          <w:p>
            <w:pPr>
              <w:spacing w:after="0"/>
              <w:rPr>
                <w:sz w:val="20"/>
                <w:szCs w:val="20"/>
                <w:color w:val="auto"/>
              </w:rPr>
            </w:pPr>
            <w:r>
              <w:rPr>
                <w:rFonts w:ascii="Arial" w:cs="Arial" w:eastAsia="Arial" w:hAnsi="Arial"/>
                <w:sz w:val="20"/>
                <w:szCs w:val="20"/>
                <w:color w:val="auto"/>
              </w:rPr>
              <w:t>Income tax expense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54,000</w:t>
            </w:r>
          </w:p>
        </w:tc>
      </w:tr>
      <w:tr>
        <w:trPr>
          <w:trHeight w:val="257"/>
        </w:trPr>
        <w:tc>
          <w:tcPr>
            <w:tcW w:w="4800" w:type="dxa"/>
            <w:vAlign w:val="bottom"/>
          </w:tcPr>
          <w:p>
            <w:pPr>
              <w:spacing w:after="0"/>
              <w:rPr>
                <w:sz w:val="20"/>
                <w:szCs w:val="20"/>
                <w:color w:val="auto"/>
              </w:rPr>
            </w:pPr>
            <w:r>
              <w:rPr>
                <w:rFonts w:ascii="Arial" w:cs="Arial" w:eastAsia="Arial" w:hAnsi="Arial"/>
                <w:sz w:val="20"/>
                <w:szCs w:val="20"/>
                <w:color w:val="auto"/>
              </w:rPr>
              <w:t>Interest expense, net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30,700</w:t>
            </w:r>
          </w:p>
        </w:tc>
      </w:tr>
      <w:tr>
        <w:trPr>
          <w:trHeight w:val="212"/>
        </w:trPr>
        <w:tc>
          <w:tcPr>
            <w:tcW w:w="4800" w:type="dxa"/>
            <w:vAlign w:val="bottom"/>
          </w:tcPr>
          <w:p>
            <w:pPr>
              <w:spacing w:after="0" w:line="212" w:lineRule="exact"/>
              <w:rPr>
                <w:sz w:val="20"/>
                <w:szCs w:val="20"/>
                <w:color w:val="auto"/>
              </w:rPr>
            </w:pPr>
            <w:r>
              <w:rPr>
                <w:rFonts w:ascii="Arial" w:cs="Arial" w:eastAsia="Arial" w:hAnsi="Arial"/>
                <w:sz w:val="20"/>
                <w:szCs w:val="20"/>
                <w:color w:val="auto"/>
              </w:rPr>
              <w:t>Depreciation and amortization</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20"/>
                <w:szCs w:val="20"/>
                <w:color w:val="auto"/>
              </w:rPr>
              <w:t>35,300</w:t>
            </w:r>
          </w:p>
        </w:tc>
      </w:tr>
      <w:tr>
        <w:trPr>
          <w:trHeight w:val="237"/>
        </w:trPr>
        <w:tc>
          <w:tcPr>
            <w:tcW w:w="4800" w:type="dxa"/>
            <w:vAlign w:val="bottom"/>
          </w:tcPr>
          <w:p>
            <w:pPr>
              <w:spacing w:after="0"/>
              <w:rPr>
                <w:sz w:val="20"/>
                <w:szCs w:val="20"/>
                <w:color w:val="auto"/>
              </w:rPr>
            </w:pPr>
            <w:r>
              <w:rPr>
                <w:rFonts w:ascii="Arial" w:cs="Arial" w:eastAsia="Arial" w:hAnsi="Arial"/>
                <w:sz w:val="20"/>
                <w:szCs w:val="20"/>
                <w:color w:val="auto"/>
              </w:rPr>
              <w:t>EBITDA</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212,000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2019-12-11T18:56:55Z</dcterms:created>
  <dcterms:modified xsi:type="dcterms:W3CDTF">2019-12-11T18:56:55Z</dcterms:modified>
</cp:coreProperties>
</file>